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olor w:val="auto"/>
          <w:sz w:val="72"/>
          <w:szCs w:val="72"/>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72"/>
          <w:szCs w:val="72"/>
        </w:rPr>
      </w:pPr>
    </w:p>
    <w:p>
      <w:pPr>
        <w:jc w:val="center"/>
        <w:rPr>
          <w:b/>
          <w:snapToGrid w:val="0"/>
          <w:color w:val="auto"/>
          <w:sz w:val="64"/>
        </w:rPr>
      </w:pPr>
      <w:r>
        <w:rPr>
          <w:rFonts w:hint="eastAsia" w:ascii="仿宋" w:hAnsi="仿宋" w:eastAsia="仿宋" w:cs="仿宋"/>
          <w:b/>
          <w:snapToGrid w:val="0"/>
          <w:color w:val="auto"/>
          <w:sz w:val="72"/>
          <w:szCs w:val="72"/>
        </w:rPr>
        <w:t>建设项目环境影响报告表</w:t>
      </w:r>
    </w:p>
    <w:p>
      <w:pPr>
        <w:jc w:val="center"/>
        <w:rPr>
          <w:rFonts w:hint="eastAsia" w:ascii="楷体" w:hAnsi="楷体" w:eastAsia="楷体" w:cs="楷体"/>
          <w:b w:val="0"/>
          <w:bCs/>
          <w:snapToGrid w:val="0"/>
          <w:color w:val="auto"/>
          <w:sz w:val="48"/>
          <w:szCs w:val="48"/>
          <w:lang w:eastAsia="zh-CN"/>
        </w:rPr>
      </w:pPr>
      <w:r>
        <w:rPr>
          <w:rFonts w:hint="eastAsia" w:ascii="楷体" w:hAnsi="楷体" w:eastAsia="楷体" w:cs="楷体"/>
          <w:b w:val="0"/>
          <w:bCs/>
          <w:snapToGrid w:val="0"/>
          <w:color w:val="auto"/>
          <w:sz w:val="48"/>
          <w:szCs w:val="48"/>
          <w:lang w:eastAsia="zh-CN"/>
        </w:rPr>
        <w:t>（</w:t>
      </w:r>
      <w:r>
        <w:rPr>
          <w:rFonts w:hint="eastAsia" w:ascii="楷体" w:hAnsi="楷体" w:eastAsia="楷体" w:cs="楷体"/>
          <w:b w:val="0"/>
          <w:bCs/>
          <w:snapToGrid w:val="0"/>
          <w:color w:val="auto"/>
          <w:sz w:val="48"/>
          <w:szCs w:val="48"/>
          <w:lang w:val="en-US" w:eastAsia="zh-CN"/>
        </w:rPr>
        <w:t>生态</w:t>
      </w:r>
      <w:r>
        <w:rPr>
          <w:rFonts w:hint="eastAsia" w:ascii="楷体" w:hAnsi="楷体" w:eastAsia="楷体" w:cs="楷体"/>
          <w:b w:val="0"/>
          <w:bCs/>
          <w:snapToGrid w:val="0"/>
          <w:color w:val="auto"/>
          <w:sz w:val="48"/>
          <w:szCs w:val="48"/>
          <w:lang w:eastAsia="zh-CN"/>
        </w:rPr>
        <w:t>影响类）</w:t>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both"/>
        <w:textAlignment w:val="auto"/>
        <w:rPr>
          <w:rFonts w:hint="default" w:ascii="仿宋" w:hAnsi="仿宋" w:eastAsia="仿宋" w:cs="仿宋"/>
          <w:b w:val="0"/>
          <w:bCs w:val="0"/>
          <w:color w:val="auto"/>
          <w:sz w:val="36"/>
          <w:szCs w:val="36"/>
          <w:u w:val="single"/>
          <w:lang w:val="en-US" w:eastAsia="zh-CN"/>
        </w:rPr>
      </w:pPr>
      <w:r>
        <w:rPr>
          <w:rFonts w:hint="eastAsia" w:ascii="仿宋" w:hAnsi="仿宋" w:eastAsia="仿宋" w:cs="仿宋"/>
          <w:b w:val="0"/>
          <w:bCs w:val="0"/>
          <w:color w:val="auto"/>
          <w:sz w:val="36"/>
          <w:szCs w:val="36"/>
        </w:rPr>
        <w:t>项目名称：</w:t>
      </w:r>
      <w:r>
        <w:rPr>
          <w:rFonts w:hint="eastAsia" w:ascii="仿宋" w:hAnsi="仿宋" w:eastAsia="仿宋" w:cs="仿宋"/>
          <w:b w:val="0"/>
          <w:bCs w:val="0"/>
          <w:color w:val="auto"/>
          <w:sz w:val="36"/>
          <w:szCs w:val="36"/>
          <w:u w:val="single"/>
          <w:lang w:val="en-US" w:eastAsia="zh-CN"/>
        </w:rPr>
        <w:t xml:space="preserve">   祁东县杨柳水闸除险加固工程   </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both"/>
        <w:textAlignment w:val="auto"/>
        <w:rPr>
          <w:rFonts w:hint="default" w:ascii="仿宋" w:hAnsi="仿宋" w:eastAsia="仿宋" w:cs="仿宋"/>
          <w:b w:val="0"/>
          <w:bCs w:val="0"/>
          <w:color w:val="auto"/>
          <w:sz w:val="36"/>
          <w:szCs w:val="36"/>
          <w:lang w:val="en-US" w:eastAsia="zh-CN"/>
        </w:rPr>
      </w:pPr>
      <w:r>
        <w:rPr>
          <w:rFonts w:hint="eastAsia" w:ascii="仿宋" w:hAnsi="仿宋" w:eastAsia="仿宋" w:cs="仿宋"/>
          <w:b w:val="0"/>
          <w:bCs w:val="0"/>
          <w:color w:val="auto"/>
          <w:sz w:val="36"/>
          <w:szCs w:val="36"/>
        </w:rPr>
        <w:t>建设单位：</w:t>
      </w:r>
      <w:r>
        <w:rPr>
          <w:rFonts w:hint="eastAsia" w:ascii="仿宋" w:hAnsi="仿宋" w:eastAsia="仿宋" w:cs="仿宋"/>
          <w:b w:val="0"/>
          <w:bCs w:val="0"/>
          <w:color w:val="auto"/>
          <w:sz w:val="36"/>
          <w:szCs w:val="36"/>
          <w:u w:val="single"/>
          <w:lang w:val="en-US" w:eastAsia="zh-CN"/>
        </w:rPr>
        <w:t xml:space="preserve">     祁东县七碗电灌站管理所</w:t>
      </w:r>
      <w:r>
        <w:rPr>
          <w:rFonts w:hint="eastAsia" w:ascii="仿宋" w:hAnsi="仿宋" w:eastAsia="仿宋" w:cs="仿宋"/>
          <w:b w:val="0"/>
          <w:bCs w:val="0"/>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00"/>
        <w:textAlignment w:val="auto"/>
        <w:rPr>
          <w:rFonts w:hint="eastAsia" w:ascii="仿宋" w:hAnsi="仿宋" w:eastAsia="仿宋" w:cs="仿宋"/>
          <w:b w:val="0"/>
          <w:bCs w:val="0"/>
          <w:color w:val="auto"/>
          <w:sz w:val="36"/>
          <w:szCs w:val="36"/>
          <w:lang w:val="en-US" w:eastAsia="zh-CN"/>
        </w:rPr>
      </w:pPr>
      <w:r>
        <w:rPr>
          <w:rFonts w:hint="eastAsia" w:ascii="仿宋" w:hAnsi="仿宋" w:eastAsia="仿宋" w:cs="仿宋"/>
          <w:b w:val="0"/>
          <w:bCs w:val="0"/>
          <w:color w:val="auto"/>
          <w:sz w:val="36"/>
          <w:szCs w:val="36"/>
        </w:rPr>
        <w:t>编制日期</w:t>
      </w:r>
      <w:r>
        <w:rPr>
          <w:rFonts w:hint="eastAsia" w:ascii="仿宋" w:hAnsi="仿宋" w:eastAsia="仿宋" w:cs="仿宋"/>
          <w:b w:val="0"/>
          <w:bCs w:val="0"/>
          <w:color w:val="auto"/>
          <w:sz w:val="36"/>
          <w:szCs w:val="36"/>
          <w:lang w:eastAsia="zh-CN"/>
        </w:rPr>
        <w:t>：</w:t>
      </w:r>
      <w:r>
        <w:rPr>
          <w:rFonts w:hint="eastAsia" w:ascii="仿宋" w:hAnsi="仿宋" w:eastAsia="仿宋" w:cs="仿宋"/>
          <w:b w:val="0"/>
          <w:bCs w:val="0"/>
          <w:color w:val="auto"/>
          <w:sz w:val="36"/>
          <w:szCs w:val="36"/>
          <w:u w:val="single"/>
          <w:lang w:val="en-US" w:eastAsia="zh-CN"/>
        </w:rPr>
        <w:t xml:space="preserve">           </w:t>
      </w:r>
      <w:r>
        <w:rPr>
          <w:rFonts w:hint="default" w:ascii="Times New Roman" w:hAnsi="Times New Roman" w:eastAsia="仿宋" w:cs="Times New Roman"/>
          <w:b w:val="0"/>
          <w:bCs w:val="0"/>
          <w:color w:val="auto"/>
          <w:sz w:val="36"/>
          <w:szCs w:val="36"/>
          <w:u w:val="single"/>
        </w:rPr>
        <w:t>20</w:t>
      </w:r>
      <w:r>
        <w:rPr>
          <w:rFonts w:hint="default" w:ascii="Times New Roman" w:hAnsi="Times New Roman" w:eastAsia="仿宋" w:cs="Times New Roman"/>
          <w:b w:val="0"/>
          <w:bCs w:val="0"/>
          <w:color w:val="auto"/>
          <w:sz w:val="36"/>
          <w:szCs w:val="36"/>
          <w:u w:val="single"/>
          <w:lang w:val="en-US" w:eastAsia="zh-CN"/>
        </w:rPr>
        <w:t>2</w:t>
      </w:r>
      <w:r>
        <w:rPr>
          <w:rFonts w:hint="eastAsia" w:eastAsia="仿宋" w:cs="Times New Roman"/>
          <w:b w:val="0"/>
          <w:bCs w:val="0"/>
          <w:color w:val="auto"/>
          <w:sz w:val="36"/>
          <w:szCs w:val="36"/>
          <w:u w:val="single"/>
          <w:lang w:val="en-US" w:eastAsia="zh-CN"/>
        </w:rPr>
        <w:t>4</w:t>
      </w:r>
      <w:r>
        <w:rPr>
          <w:rFonts w:hint="default" w:ascii="Times New Roman" w:hAnsi="Times New Roman" w:eastAsia="仿宋" w:cs="Times New Roman"/>
          <w:b w:val="0"/>
          <w:bCs w:val="0"/>
          <w:color w:val="auto"/>
          <w:sz w:val="36"/>
          <w:szCs w:val="36"/>
          <w:u w:val="single"/>
        </w:rPr>
        <w:t>年</w:t>
      </w:r>
      <w:r>
        <w:rPr>
          <w:rFonts w:hint="eastAsia" w:eastAsia="仿宋" w:cs="Times New Roman"/>
          <w:b w:val="0"/>
          <w:bCs w:val="0"/>
          <w:color w:val="auto"/>
          <w:sz w:val="36"/>
          <w:szCs w:val="36"/>
          <w:u w:val="single"/>
          <w:lang w:val="en-US" w:eastAsia="zh-CN"/>
        </w:rPr>
        <w:t>4</w:t>
      </w:r>
      <w:r>
        <w:rPr>
          <w:rFonts w:hint="default" w:ascii="Times New Roman" w:hAnsi="Times New Roman" w:eastAsia="仿宋" w:cs="Times New Roman"/>
          <w:b w:val="0"/>
          <w:bCs w:val="0"/>
          <w:color w:val="auto"/>
          <w:sz w:val="36"/>
          <w:szCs w:val="36"/>
          <w:u w:val="single"/>
        </w:rPr>
        <w:t>月</w:t>
      </w:r>
      <w:r>
        <w:rPr>
          <w:rFonts w:hint="eastAsia" w:ascii="仿宋" w:hAnsi="仿宋" w:eastAsia="仿宋" w:cs="仿宋"/>
          <w:b w:val="0"/>
          <w:bCs w:val="0"/>
          <w:color w:val="auto"/>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color w:val="auto"/>
          <w:sz w:val="30"/>
          <w:szCs w:val="30"/>
        </w:rPr>
      </w:pPr>
      <w:r>
        <w:rPr>
          <w:rFonts w:hint="eastAsia" w:ascii="楷体" w:hAnsi="楷体" w:eastAsia="楷体" w:cs="楷体"/>
          <w:b w:val="0"/>
          <w:bCs w:val="0"/>
          <w:color w:val="auto"/>
          <w:sz w:val="36"/>
          <w:szCs w:val="36"/>
        </w:rPr>
        <w:t>中华人民共和国生态环境部制</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val="0"/>
          <w:bCs w:val="0"/>
          <w:color w:val="auto"/>
          <w:sz w:val="30"/>
          <w:szCs w:val="30"/>
          <w:lang w:eastAsia="zh-CN"/>
        </w:rPr>
        <w:sectPr>
          <w:footerReference r:id="rId5" w:type="default"/>
          <w:footerReference r:id="rId6" w:type="even"/>
          <w:pgSz w:w="11907" w:h="16840"/>
          <w:pgMar w:top="1077" w:right="1077" w:bottom="1077" w:left="1247" w:header="992"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pStyle w:val="2"/>
        <w:jc w:val="center"/>
        <w:rPr>
          <w:rFonts w:hint="eastAsia"/>
          <w:lang w:eastAsia="zh-CN"/>
        </w:rPr>
        <w:sectPr>
          <w:pgSz w:w="16840" w:h="11907" w:orient="landscape"/>
          <w:pgMar w:top="1247" w:right="1077" w:bottom="1077" w:left="1077" w:header="992"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lang w:eastAsia="zh-CN"/>
        </w:rPr>
        <w:drawing>
          <wp:inline distT="0" distB="0" distL="114300" distR="114300">
            <wp:extent cx="8352155" cy="5906135"/>
            <wp:effectExtent l="0" t="0" r="10795" b="18415"/>
            <wp:docPr id="3" name="图片 3" descr="杨工资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杨工资质_00"/>
                    <pic:cNvPicPr>
                      <a:picLocks noChangeAspect="1"/>
                    </pic:cNvPicPr>
                  </pic:nvPicPr>
                  <pic:blipFill>
                    <a:blip r:embed="rId11"/>
                    <a:stretch>
                      <a:fillRect/>
                    </a:stretch>
                  </pic:blipFill>
                  <pic:spPr>
                    <a:xfrm>
                      <a:off x="0" y="0"/>
                      <a:ext cx="8352155" cy="5906135"/>
                    </a:xfrm>
                    <a:prstGeom prst="rect">
                      <a:avLst/>
                    </a:prstGeom>
                  </pic:spPr>
                </pic:pic>
              </a:graphicData>
            </a:graphic>
          </wp:inline>
        </w:drawing>
      </w:r>
    </w:p>
    <w:p>
      <w:pPr>
        <w:rPr>
          <w:rFonts w:hint="eastAsia"/>
          <w:b/>
          <w:bCs/>
          <w:color w:val="auto"/>
          <w:sz w:val="32"/>
          <w:szCs w:val="32"/>
          <w:lang w:val="en-US" w:eastAsia="zh-CN"/>
        </w:rPr>
        <w:sectPr>
          <w:footerReference r:id="rId7" w:type="default"/>
          <w:pgSz w:w="11906" w:h="16838"/>
          <w:pgMar w:top="1077" w:right="1077" w:bottom="1077" w:left="1247" w:header="851" w:footer="510"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b/>
          <w:bCs/>
          <w:color w:val="auto"/>
          <w:sz w:val="32"/>
          <w:szCs w:val="32"/>
          <w:lang w:val="en-US" w:eastAsia="zh-CN"/>
        </w:rPr>
        <w:drawing>
          <wp:inline distT="0" distB="0" distL="114300" distR="114300">
            <wp:extent cx="6080125" cy="8597900"/>
            <wp:effectExtent l="0" t="0" r="15875" b="12700"/>
            <wp:docPr id="7" name="图片 7" descr="杨工资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杨工资质_01"/>
                    <pic:cNvPicPr>
                      <a:picLocks noChangeAspect="1"/>
                    </pic:cNvPicPr>
                  </pic:nvPicPr>
                  <pic:blipFill>
                    <a:blip r:embed="rId12"/>
                    <a:stretch>
                      <a:fillRect/>
                    </a:stretch>
                  </pic:blipFill>
                  <pic:spPr>
                    <a:xfrm>
                      <a:off x="0" y="0"/>
                      <a:ext cx="6080125" cy="8597900"/>
                    </a:xfrm>
                    <a:prstGeom prst="rect">
                      <a:avLst/>
                    </a:prstGeom>
                  </pic:spPr>
                </pic:pic>
              </a:graphicData>
            </a:graphic>
          </wp:inline>
        </w:drawing>
      </w:r>
      <w:r>
        <w:rPr>
          <w:rFonts w:hint="eastAsia"/>
          <w:b/>
          <w:bCs/>
          <w:color w:val="auto"/>
          <w:sz w:val="32"/>
          <w:szCs w:val="32"/>
          <w:lang w:val="en-US" w:eastAsia="zh-CN"/>
        </w:rPr>
        <w:drawing>
          <wp:inline distT="0" distB="0" distL="114300" distR="114300">
            <wp:extent cx="6080125" cy="8597900"/>
            <wp:effectExtent l="0" t="0" r="15875" b="12700"/>
            <wp:docPr id="14" name="图片 14" descr="杨工资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杨工资质_02"/>
                    <pic:cNvPicPr>
                      <a:picLocks noChangeAspect="1"/>
                    </pic:cNvPicPr>
                  </pic:nvPicPr>
                  <pic:blipFill>
                    <a:blip r:embed="rId13"/>
                    <a:stretch>
                      <a:fillRect/>
                    </a:stretch>
                  </pic:blipFill>
                  <pic:spPr>
                    <a:xfrm>
                      <a:off x="0" y="0"/>
                      <a:ext cx="6080125" cy="8597900"/>
                    </a:xfrm>
                    <a:prstGeom prst="rect">
                      <a:avLst/>
                    </a:prstGeom>
                  </pic:spPr>
                </pic:pic>
              </a:graphicData>
            </a:graphic>
          </wp:inline>
        </w:drawing>
      </w:r>
      <w:r>
        <w:rPr>
          <w:rFonts w:hint="eastAsia"/>
          <w:b/>
          <w:bCs/>
          <w:color w:val="auto"/>
          <w:sz w:val="32"/>
          <w:szCs w:val="32"/>
          <w:lang w:val="en-US" w:eastAsia="zh-CN"/>
        </w:rPr>
        <w:drawing>
          <wp:inline distT="0" distB="0" distL="114300" distR="114300">
            <wp:extent cx="6080125" cy="8597900"/>
            <wp:effectExtent l="0" t="0" r="15875" b="12700"/>
            <wp:docPr id="25" name="图片 25" descr="杨工资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杨工资质_03"/>
                    <pic:cNvPicPr>
                      <a:picLocks noChangeAspect="1"/>
                    </pic:cNvPicPr>
                  </pic:nvPicPr>
                  <pic:blipFill>
                    <a:blip r:embed="rId14"/>
                    <a:stretch>
                      <a:fillRect/>
                    </a:stretch>
                  </pic:blipFill>
                  <pic:spPr>
                    <a:xfrm>
                      <a:off x="0" y="0"/>
                      <a:ext cx="6080125" cy="8597900"/>
                    </a:xfrm>
                    <a:prstGeom prst="rect">
                      <a:avLst/>
                    </a:prstGeom>
                  </pic:spPr>
                </pic:pic>
              </a:graphicData>
            </a:graphic>
          </wp:inline>
        </w:drawing>
      </w:r>
      <w:r>
        <w:rPr>
          <w:rFonts w:hint="eastAsia"/>
          <w:b/>
          <w:bCs/>
          <w:color w:val="auto"/>
          <w:sz w:val="32"/>
          <w:szCs w:val="32"/>
          <w:lang w:val="en-US" w:eastAsia="zh-CN"/>
        </w:rPr>
        <w:drawing>
          <wp:inline distT="0" distB="0" distL="114300" distR="114300">
            <wp:extent cx="6074410" cy="4295140"/>
            <wp:effectExtent l="0" t="0" r="2540" b="10160"/>
            <wp:docPr id="26" name="图片 26" descr="杨工资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杨工资质_04"/>
                    <pic:cNvPicPr>
                      <a:picLocks noChangeAspect="1"/>
                    </pic:cNvPicPr>
                  </pic:nvPicPr>
                  <pic:blipFill>
                    <a:blip r:embed="rId15"/>
                    <a:stretch>
                      <a:fillRect/>
                    </a:stretch>
                  </pic:blipFill>
                  <pic:spPr>
                    <a:xfrm>
                      <a:off x="0" y="0"/>
                      <a:ext cx="6074410" cy="4295140"/>
                    </a:xfrm>
                    <a:prstGeom prst="rect">
                      <a:avLst/>
                    </a:prstGeom>
                  </pic:spPr>
                </pic:pic>
              </a:graphicData>
            </a:graphic>
          </wp:inline>
        </w:drawing>
      </w:r>
      <w:r>
        <w:rPr>
          <w:rFonts w:hint="eastAsia"/>
          <w:b/>
          <w:bCs/>
          <w:color w:val="auto"/>
          <w:sz w:val="32"/>
          <w:szCs w:val="32"/>
          <w:lang w:val="en-US" w:eastAsia="zh-CN"/>
        </w:rPr>
        <w:drawing>
          <wp:inline distT="0" distB="0" distL="114300" distR="114300">
            <wp:extent cx="6074410" cy="4295140"/>
            <wp:effectExtent l="0" t="0" r="2540" b="10160"/>
            <wp:docPr id="27" name="图片 27" descr="杨工资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杨工资质_05"/>
                    <pic:cNvPicPr>
                      <a:picLocks noChangeAspect="1"/>
                    </pic:cNvPicPr>
                  </pic:nvPicPr>
                  <pic:blipFill>
                    <a:blip r:embed="rId16"/>
                    <a:stretch>
                      <a:fillRect/>
                    </a:stretch>
                  </pic:blipFill>
                  <pic:spPr>
                    <a:xfrm>
                      <a:off x="0" y="0"/>
                      <a:ext cx="6074410" cy="4295140"/>
                    </a:xfrm>
                    <a:prstGeom prst="rect">
                      <a:avLst/>
                    </a:prstGeom>
                  </pic:spPr>
                </pic:pic>
              </a:graphicData>
            </a:graphic>
          </wp:inline>
        </w:drawing>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auto"/>
          <w:lang w:val="en-US" w:eastAsia="zh-CN"/>
        </w:rPr>
      </w:pPr>
      <w:r>
        <w:rPr>
          <w:rFonts w:hint="eastAsia"/>
          <w:b/>
          <w:bCs/>
          <w:color w:val="auto"/>
          <w:sz w:val="32"/>
          <w:szCs w:val="32"/>
          <w:lang w:val="en-US" w:eastAsia="zh-CN"/>
        </w:rPr>
        <w:t>目 录</w:t>
      </w:r>
    </w:p>
    <w:p>
      <w:pPr>
        <w:pStyle w:val="19"/>
        <w:tabs>
          <w:tab w:val="right" w:leader="dot" w:pos="9582"/>
        </w:tabs>
        <w:spacing w:line="360" w:lineRule="auto"/>
        <w:rPr>
          <w:rFonts w:hint="default" w:ascii="Times New Roman" w:hAnsi="Times New Roman" w:eastAsia="宋体" w:cs="Times New Roman"/>
          <w:b/>
          <w:bCs/>
          <w:color w:val="auto"/>
          <w:sz w:val="28"/>
          <w:szCs w:val="28"/>
        </w:rPr>
      </w:pPr>
      <w:r>
        <w:rPr>
          <w:b/>
          <w:bCs/>
          <w:color w:val="auto"/>
        </w:rPr>
        <w:fldChar w:fldCharType="begin"/>
      </w:r>
      <w:r>
        <w:rPr>
          <w:b/>
          <w:bCs/>
          <w:color w:val="auto"/>
        </w:rPr>
        <w:instrText xml:space="preserve">TOC \o "1-1" \h \u </w:instrText>
      </w:r>
      <w:r>
        <w:rPr>
          <w:b/>
          <w:bCs/>
          <w:color w:val="auto"/>
        </w:rPr>
        <w:fldChar w:fldCharType="separate"/>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_Toc16153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一、建设项目基本情况</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_Toc16153 \h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1</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pStyle w:val="19"/>
        <w:tabs>
          <w:tab w:val="right" w:leader="dot" w:pos="9582"/>
        </w:tabs>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_Toc1028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二、建设</w:t>
      </w:r>
      <w:r>
        <w:rPr>
          <w:rFonts w:hint="default" w:ascii="Times New Roman" w:hAnsi="Times New Roman" w:eastAsia="宋体" w:cs="Times New Roman"/>
          <w:b/>
          <w:bCs/>
          <w:color w:val="auto"/>
          <w:sz w:val="28"/>
          <w:szCs w:val="28"/>
          <w:lang w:val="en-US" w:eastAsia="zh-CN"/>
        </w:rPr>
        <w:t>内容</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_Toc1028 \h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12</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pStyle w:val="19"/>
        <w:tabs>
          <w:tab w:val="right" w:leader="dot" w:pos="9582"/>
        </w:tabs>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_Toc27121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三、生态环境现状、保护目标及评价标准</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_Toc27121 \h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24</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pStyle w:val="19"/>
        <w:tabs>
          <w:tab w:val="right" w:leader="dot" w:pos="9582"/>
        </w:tabs>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_Toc6347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lang w:val="en-US" w:eastAsia="zh-CN"/>
        </w:rPr>
        <w:t>四</w:t>
      </w:r>
      <w:r>
        <w:rPr>
          <w:rFonts w:hint="default" w:ascii="Times New Roman" w:hAnsi="Times New Roman" w:eastAsia="宋体" w:cs="Times New Roman"/>
          <w:b/>
          <w:bCs/>
          <w:color w:val="auto"/>
          <w:sz w:val="28"/>
          <w:szCs w:val="28"/>
        </w:rPr>
        <w:t>、生态环境影响分析</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_Toc6347 \h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34</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pStyle w:val="19"/>
        <w:tabs>
          <w:tab w:val="right" w:leader="dot" w:pos="9582"/>
        </w:tabs>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_Toc11853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lang w:val="en-US" w:eastAsia="zh-CN"/>
        </w:rPr>
        <w:t>五</w:t>
      </w:r>
      <w:r>
        <w:rPr>
          <w:rFonts w:hint="default" w:ascii="Times New Roman" w:hAnsi="Times New Roman" w:eastAsia="宋体" w:cs="Times New Roman"/>
          <w:b/>
          <w:bCs/>
          <w:color w:val="auto"/>
          <w:sz w:val="28"/>
          <w:szCs w:val="28"/>
        </w:rPr>
        <w:t>、主要生态环境保护措施</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_Toc11853 \h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43</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pStyle w:val="19"/>
        <w:tabs>
          <w:tab w:val="right" w:leader="dot" w:pos="9582"/>
        </w:tabs>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_Toc31689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lang w:val="en-US" w:eastAsia="zh-CN"/>
        </w:rPr>
        <w:t>六</w:t>
      </w:r>
      <w:r>
        <w:rPr>
          <w:rFonts w:hint="default" w:ascii="Times New Roman" w:hAnsi="Times New Roman" w:eastAsia="宋体" w:cs="Times New Roman"/>
          <w:b/>
          <w:bCs/>
          <w:color w:val="auto"/>
          <w:sz w:val="28"/>
          <w:szCs w:val="28"/>
        </w:rPr>
        <w:t>、生态环境保护措施监督检查清单</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_Toc31689 \h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51</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pStyle w:val="19"/>
        <w:tabs>
          <w:tab w:val="right" w:leader="dot" w:pos="9582"/>
        </w:tabs>
        <w:spacing w:line="360" w:lineRule="auto"/>
        <w:rPr>
          <w:b/>
          <w:bCs/>
          <w:color w:val="auto"/>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HYPERLINK \l _Toc19646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lang w:val="en-US" w:eastAsia="zh-CN"/>
        </w:rPr>
        <w:t>七</w:t>
      </w:r>
      <w:r>
        <w:rPr>
          <w:rFonts w:hint="default" w:ascii="Times New Roman" w:hAnsi="Times New Roman" w:eastAsia="宋体" w:cs="Times New Roman"/>
          <w:b/>
          <w:bCs/>
          <w:color w:val="auto"/>
          <w:sz w:val="28"/>
          <w:szCs w:val="28"/>
        </w:rPr>
        <w:t>、结论</w:t>
      </w:r>
      <w:r>
        <w:rPr>
          <w:rFonts w:hint="default" w:ascii="Times New Roman" w:hAnsi="Times New Roman" w:eastAsia="宋体" w:cs="Times New Roman"/>
          <w:b/>
          <w:bCs/>
          <w:color w:val="auto"/>
          <w:sz w:val="28"/>
          <w:szCs w:val="28"/>
        </w:rPr>
        <w:tab/>
      </w: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 PAGEREF _Toc19646 \h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
          <w:bCs/>
          <w:color w:val="auto"/>
          <w:sz w:val="28"/>
          <w:szCs w:val="28"/>
        </w:rPr>
        <w:t>52</w:t>
      </w:r>
      <w:r>
        <w:rPr>
          <w:rFonts w:hint="default" w:ascii="Times New Roman" w:hAnsi="Times New Roman" w:eastAsia="宋体" w:cs="Times New Roman"/>
          <w:b/>
          <w:bCs/>
          <w:color w:val="auto"/>
          <w:sz w:val="28"/>
          <w:szCs w:val="28"/>
        </w:rPr>
        <w:fldChar w:fldCharType="end"/>
      </w:r>
      <w:r>
        <w:rPr>
          <w:rFonts w:hint="default" w:ascii="Times New Roman" w:hAnsi="Times New Roman" w:eastAsia="宋体" w:cs="Times New Roman"/>
          <w:b/>
          <w:bCs/>
          <w:color w:val="auto"/>
          <w:sz w:val="28"/>
          <w:szCs w:val="28"/>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rPr>
      </w:pPr>
      <w:r>
        <w:rPr>
          <w:b/>
          <w:bCs/>
          <w:color w:val="auto"/>
        </w:rPr>
        <w:fldChar w:fldCharType="end"/>
      </w:r>
    </w:p>
    <w:p>
      <w:pPr>
        <w:rPr>
          <w:b/>
          <w:bCs/>
          <w:color w:val="auto"/>
        </w:rPr>
      </w:pPr>
      <w:r>
        <w:rPr>
          <w:b/>
          <w:bCs/>
          <w:color w:val="auto"/>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 w:val="28"/>
          <w:szCs w:val="28"/>
        </w:rPr>
      </w:pPr>
      <w:r>
        <w:rPr>
          <w:b/>
          <w:bCs/>
          <w:color w:val="auto"/>
          <w:sz w:val="28"/>
          <w:szCs w:val="28"/>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color w:val="auto"/>
          <w:sz w:val="28"/>
          <w:szCs w:val="28"/>
          <w:u w:val="none"/>
        </w:rPr>
      </w:pPr>
      <w:bookmarkStart w:id="0" w:name="_Toc23835"/>
      <w:r>
        <w:rPr>
          <w:rFonts w:hint="eastAsia"/>
          <w:color w:val="auto"/>
          <w:sz w:val="28"/>
          <w:szCs w:val="28"/>
          <w:u w:val="none"/>
          <w:lang w:val="en-US" w:eastAsia="zh-CN"/>
        </w:rPr>
        <w:t>附件1：项目</w:t>
      </w:r>
      <w:r>
        <w:rPr>
          <w:rFonts w:hint="eastAsia"/>
          <w:color w:val="auto"/>
          <w:sz w:val="28"/>
          <w:szCs w:val="28"/>
          <w:u w:val="none"/>
        </w:rPr>
        <w:t>委托</w:t>
      </w:r>
      <w:r>
        <w:rPr>
          <w:rFonts w:hint="eastAsia"/>
          <w:color w:val="auto"/>
          <w:sz w:val="28"/>
          <w:szCs w:val="28"/>
          <w:u w:val="none"/>
          <w:lang w:val="en-US" w:eastAsia="zh-CN"/>
        </w:rPr>
        <w:t>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color w:val="auto"/>
          <w:sz w:val="28"/>
          <w:szCs w:val="28"/>
          <w:u w:val="none"/>
        </w:rPr>
      </w:pPr>
      <w:r>
        <w:rPr>
          <w:rFonts w:hint="eastAsia"/>
          <w:color w:val="auto"/>
          <w:sz w:val="28"/>
          <w:szCs w:val="28"/>
          <w:u w:val="none"/>
          <w:lang w:val="en-US" w:eastAsia="zh-CN"/>
        </w:rPr>
        <w:t>附件2：</w:t>
      </w:r>
      <w:r>
        <w:rPr>
          <w:rFonts w:hint="eastAsia"/>
          <w:color w:val="auto"/>
          <w:sz w:val="28"/>
          <w:szCs w:val="28"/>
          <w:u w:val="none"/>
        </w:rPr>
        <w:t>事业单位法人证书</w:t>
      </w:r>
    </w:p>
    <w:p>
      <w:pPr>
        <w:keepNext w:val="0"/>
        <w:keepLines w:val="0"/>
        <w:pageBreakBefore w:val="0"/>
        <w:widowControl w:val="0"/>
        <w:numPr>
          <w:ilvl w:val="0"/>
          <w:numId w:val="0"/>
        </w:numPr>
        <w:tabs>
          <w:tab w:val="left" w:pos="1641"/>
        </w:tabs>
        <w:kinsoku/>
        <w:wordWrap/>
        <w:overflowPunct/>
        <w:topLinePunct w:val="0"/>
        <w:autoSpaceDE/>
        <w:autoSpaceDN/>
        <w:bidi w:val="0"/>
        <w:adjustRightInd/>
        <w:snapToGrid/>
        <w:spacing w:line="360" w:lineRule="auto"/>
        <w:ind w:left="567" w:leftChars="0"/>
        <w:textAlignment w:val="auto"/>
        <w:rPr>
          <w:color w:val="auto"/>
          <w:sz w:val="28"/>
          <w:szCs w:val="28"/>
          <w:u w:val="none"/>
        </w:rPr>
      </w:pPr>
      <w:r>
        <w:rPr>
          <w:rFonts w:hint="eastAsia"/>
          <w:color w:val="auto"/>
          <w:sz w:val="28"/>
          <w:szCs w:val="28"/>
          <w:u w:val="none"/>
          <w:lang w:val="en-US" w:eastAsia="zh-CN"/>
        </w:rPr>
        <w:t>附件3：</w:t>
      </w:r>
      <w:r>
        <w:rPr>
          <w:rFonts w:hint="eastAsia"/>
          <w:color w:val="auto"/>
          <w:sz w:val="28"/>
          <w:szCs w:val="28"/>
          <w:u w:val="none"/>
        </w:rPr>
        <w:t>项目初步设计报告的批复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color w:val="auto"/>
          <w:sz w:val="28"/>
          <w:szCs w:val="28"/>
          <w:u w:val="none"/>
        </w:rPr>
      </w:pPr>
      <w:r>
        <w:rPr>
          <w:rFonts w:hint="eastAsia"/>
          <w:color w:val="auto"/>
          <w:sz w:val="28"/>
          <w:szCs w:val="28"/>
          <w:u w:val="none"/>
          <w:lang w:val="en-US" w:eastAsia="zh-CN"/>
        </w:rPr>
        <w:t>附件4：</w:t>
      </w:r>
      <w:r>
        <w:rPr>
          <w:rFonts w:hint="eastAsia"/>
          <w:color w:val="auto"/>
          <w:sz w:val="28"/>
          <w:szCs w:val="28"/>
          <w:u w:val="none"/>
        </w:rPr>
        <w:t>项目可行性研究报告的批复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color w:val="auto"/>
          <w:sz w:val="28"/>
          <w:szCs w:val="28"/>
          <w:u w:val="none"/>
        </w:rPr>
      </w:pPr>
      <w:r>
        <w:rPr>
          <w:rFonts w:hint="eastAsia"/>
          <w:color w:val="auto"/>
          <w:sz w:val="28"/>
          <w:szCs w:val="28"/>
          <w:u w:val="none"/>
          <w:lang w:val="en-US" w:eastAsia="zh-CN"/>
        </w:rPr>
        <w:t>附件5：项目安全鉴定报告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color w:val="auto"/>
          <w:sz w:val="28"/>
          <w:szCs w:val="28"/>
          <w:u w:val="none"/>
        </w:rPr>
      </w:pPr>
      <w:r>
        <w:rPr>
          <w:rFonts w:hint="eastAsia"/>
          <w:color w:val="auto"/>
          <w:sz w:val="28"/>
          <w:szCs w:val="28"/>
          <w:u w:val="none"/>
          <w:lang w:val="en-US" w:eastAsia="zh-CN"/>
        </w:rPr>
        <w:t>附件6：检测报告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color w:val="auto"/>
          <w:sz w:val="28"/>
          <w:szCs w:val="28"/>
          <w:u w:val="none"/>
        </w:rPr>
      </w:pPr>
      <w:r>
        <w:rPr>
          <w:rFonts w:hint="eastAsia"/>
          <w:color w:val="auto"/>
          <w:sz w:val="28"/>
          <w:szCs w:val="28"/>
          <w:u w:val="none"/>
          <w:lang w:val="en-US" w:eastAsia="zh-CN"/>
        </w:rPr>
        <w:t>附件7：项目用地情况说明</w:t>
      </w:r>
    </w:p>
    <w:bookmarkEnd w:id="0"/>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b/>
          <w:bCs/>
          <w:color w:val="auto"/>
          <w:sz w:val="28"/>
          <w:szCs w:val="28"/>
          <w:u w:val="none"/>
        </w:rPr>
      </w:pPr>
      <w:bookmarkStart w:id="1" w:name="_Toc23750"/>
      <w:r>
        <w:rPr>
          <w:rFonts w:ascii="Times New Roman" w:hAnsi="Times New Roman"/>
          <w:b/>
          <w:bCs/>
          <w:color w:val="auto"/>
          <w:sz w:val="28"/>
          <w:szCs w:val="28"/>
          <w:u w:val="none"/>
        </w:rPr>
        <w:t>附图：</w:t>
      </w:r>
      <w:bookmarkEnd w:id="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color w:val="auto"/>
          <w:sz w:val="28"/>
          <w:szCs w:val="28"/>
          <w:u w:val="none"/>
        </w:rPr>
      </w:pPr>
      <w:bookmarkStart w:id="2" w:name="_Toc27626"/>
      <w:r>
        <w:rPr>
          <w:rFonts w:hint="eastAsia"/>
          <w:color w:val="auto"/>
          <w:sz w:val="28"/>
          <w:szCs w:val="28"/>
          <w:u w:val="none"/>
          <w:lang w:val="en-US" w:eastAsia="zh-CN"/>
        </w:rPr>
        <w:t>附图1：项目</w:t>
      </w:r>
      <w:r>
        <w:rPr>
          <w:color w:val="auto"/>
          <w:sz w:val="28"/>
          <w:szCs w:val="28"/>
          <w:u w:val="none"/>
        </w:rPr>
        <w:t>地理位置图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color w:val="auto"/>
          <w:sz w:val="28"/>
          <w:szCs w:val="28"/>
          <w:u w:val="none"/>
        </w:rPr>
      </w:pPr>
      <w:r>
        <w:rPr>
          <w:rFonts w:hint="eastAsia"/>
          <w:color w:val="auto"/>
          <w:sz w:val="28"/>
          <w:szCs w:val="28"/>
          <w:u w:val="none"/>
          <w:lang w:val="en-US" w:eastAsia="zh-CN"/>
        </w:rPr>
        <w:t>附图2：项目现状总平面布置图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color w:val="auto"/>
          <w:sz w:val="28"/>
          <w:szCs w:val="28"/>
          <w:u w:val="none"/>
        </w:rPr>
      </w:pPr>
      <w:r>
        <w:rPr>
          <w:rFonts w:hint="eastAsia"/>
          <w:color w:val="auto"/>
          <w:sz w:val="28"/>
          <w:szCs w:val="28"/>
          <w:u w:val="none"/>
          <w:lang w:val="en-US" w:eastAsia="zh-CN"/>
        </w:rPr>
        <w:t>附图3：项目水闸枢纽现状平面布置图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rFonts w:hint="eastAsia"/>
          <w:color w:val="auto"/>
          <w:sz w:val="28"/>
          <w:szCs w:val="28"/>
          <w:u w:val="none"/>
          <w:lang w:val="en-US" w:eastAsia="zh-CN"/>
        </w:rPr>
      </w:pPr>
      <w:r>
        <w:rPr>
          <w:rFonts w:hint="eastAsia"/>
          <w:color w:val="auto"/>
          <w:sz w:val="28"/>
          <w:szCs w:val="28"/>
          <w:u w:val="none"/>
          <w:lang w:val="en-US" w:eastAsia="zh-CN"/>
        </w:rPr>
        <w:t>附图4：本次除险加固方案平面布置图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rFonts w:hint="eastAsia"/>
          <w:color w:val="auto"/>
          <w:sz w:val="28"/>
          <w:szCs w:val="28"/>
          <w:u w:val="none"/>
          <w:lang w:val="en-US" w:eastAsia="zh-CN"/>
        </w:rPr>
      </w:pPr>
      <w:r>
        <w:rPr>
          <w:rFonts w:hint="eastAsia"/>
          <w:color w:val="auto"/>
          <w:sz w:val="28"/>
          <w:szCs w:val="28"/>
          <w:u w:val="none"/>
          <w:lang w:val="en-US" w:eastAsia="zh-CN"/>
        </w:rPr>
        <w:t>附图5：施工总平面布置图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rFonts w:hint="default"/>
          <w:color w:val="auto"/>
          <w:sz w:val="28"/>
          <w:szCs w:val="28"/>
          <w:u w:val="none"/>
          <w:lang w:val="en-US" w:eastAsia="zh-CN"/>
        </w:rPr>
      </w:pPr>
      <w:r>
        <w:rPr>
          <w:rFonts w:hint="eastAsia"/>
          <w:color w:val="auto"/>
          <w:sz w:val="28"/>
          <w:szCs w:val="28"/>
          <w:u w:val="none"/>
          <w:lang w:val="en-US" w:eastAsia="zh-CN"/>
        </w:rPr>
        <w:t>附图6：施工围堰布置图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rFonts w:hint="default" w:eastAsia="宋体"/>
          <w:color w:val="auto"/>
          <w:lang w:val="en-US" w:eastAsia="zh-CN"/>
        </w:rPr>
      </w:pPr>
      <w:r>
        <w:rPr>
          <w:rFonts w:hint="eastAsia"/>
          <w:color w:val="auto"/>
          <w:sz w:val="28"/>
          <w:szCs w:val="28"/>
          <w:u w:val="none"/>
          <w:lang w:val="en-US" w:eastAsia="zh-CN"/>
        </w:rPr>
        <w:t>附图7：衡阳市环境管控单元图</w:t>
      </w:r>
    </w:p>
    <w:bookmarkEnd w:id="2"/>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rPr>
        <w:sectPr>
          <w:pgSz w:w="11906" w:h="16838"/>
          <w:pgMar w:top="1077" w:right="1077" w:bottom="1077" w:left="1247" w:header="851" w:footer="510" w:gutter="0"/>
          <w:pgBorders>
            <w:top w:val="none" w:sz="0" w:space="0"/>
            <w:left w:val="none" w:sz="0" w:space="0"/>
            <w:bottom w:val="none" w:sz="0" w:space="0"/>
            <w:right w:val="none" w:sz="0" w:space="0"/>
          </w:pgBorders>
          <w:pgNumType w:fmt="upperRoman"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color w:val="auto"/>
          <w:sz w:val="30"/>
          <w:szCs w:val="30"/>
        </w:rPr>
      </w:pPr>
      <w:bookmarkStart w:id="3" w:name="_Toc28648"/>
      <w:bookmarkStart w:id="4" w:name="_Toc377"/>
      <w:bookmarkStart w:id="5" w:name="_Toc22044"/>
      <w:bookmarkStart w:id="6" w:name="_Toc16153"/>
      <w:r>
        <w:rPr>
          <w:rFonts w:hint="eastAsia"/>
          <w:b/>
          <w:bCs/>
          <w:color w:val="auto"/>
          <w:sz w:val="30"/>
          <w:szCs w:val="30"/>
        </w:rPr>
        <w:t>一、建设项目基本情况</w:t>
      </w:r>
      <w:bookmarkEnd w:id="3"/>
      <w:bookmarkEnd w:id="4"/>
      <w:bookmarkEnd w:id="5"/>
      <w:bookmarkEnd w:id="6"/>
      <w:bookmarkStart w:id="32" w:name="_GoBack"/>
      <w:bookmarkEnd w:id="32"/>
    </w:p>
    <w:tbl>
      <w:tblPr>
        <w:tblStyle w:val="26"/>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629"/>
        <w:gridCol w:w="2687"/>
        <w:gridCol w:w="1978"/>
        <w:gridCol w:w="3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建设项目名称</w:t>
            </w:r>
          </w:p>
        </w:tc>
        <w:tc>
          <w:tcPr>
            <w:tcW w:w="395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祁东县杨柳水闸除险加固工程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项目代码</w:t>
            </w:r>
          </w:p>
        </w:tc>
        <w:tc>
          <w:tcPr>
            <w:tcW w:w="395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2019-430426-48-01-018107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建设单位联系人</w:t>
            </w:r>
          </w:p>
        </w:tc>
        <w:tc>
          <w:tcPr>
            <w:tcW w:w="13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陈朝晖</w:t>
            </w:r>
          </w:p>
        </w:tc>
        <w:tc>
          <w:tcPr>
            <w:tcW w:w="9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联系方式</w:t>
            </w:r>
          </w:p>
        </w:tc>
        <w:tc>
          <w:tcPr>
            <w:tcW w:w="1601" w:type="pct"/>
            <w:tcBorders>
              <w:tl2br w:val="nil"/>
              <w:tr2bl w:val="nil"/>
            </w:tcBorders>
            <w:noWrap w:val="0"/>
            <w:vAlign w:val="center"/>
          </w:tcPr>
          <w:p>
            <w:pPr>
              <w:spacing w:line="340" w:lineRule="exact"/>
              <w:jc w:val="center"/>
              <w:rPr>
                <w:rFonts w:hint="default" w:ascii="Times New Roman" w:hAnsi="Times New Roman" w:eastAsia="宋体" w:cs="Times New Roman"/>
                <w:color w:val="auto"/>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建设地点</w:t>
            </w:r>
          </w:p>
        </w:tc>
        <w:tc>
          <w:tcPr>
            <w:tcW w:w="395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湖南祁东县鸟江镇杨柳村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地理坐标</w:t>
            </w:r>
          </w:p>
        </w:tc>
        <w:tc>
          <w:tcPr>
            <w:tcW w:w="395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u w:val="none"/>
                <w:lang w:val="en-US" w:eastAsia="zh-CN"/>
              </w:rPr>
            </w:pPr>
            <w:r>
              <w:rPr>
                <w:rFonts w:hint="eastAsia"/>
                <w:u w:val="none"/>
                <w:lang w:val="en-US" w:eastAsia="zh-CN"/>
              </w:rPr>
              <w:t>E：122</w:t>
            </w:r>
            <w:r>
              <w:rPr>
                <w:rFonts w:hint="default" w:ascii="Times New Roman" w:hAnsi="Times New Roman" w:cs="Times New Roman"/>
                <w:color w:val="auto"/>
                <w:u w:val="none"/>
                <w:lang w:val="en-US" w:eastAsia="zh-CN"/>
              </w:rPr>
              <w:t>°</w:t>
            </w:r>
            <w:r>
              <w:rPr>
                <w:rFonts w:hint="eastAsia" w:cs="Times New Roman"/>
                <w:color w:val="auto"/>
                <w:u w:val="none"/>
                <w:lang w:val="en-US" w:eastAsia="zh-CN"/>
              </w:rPr>
              <w:t>13</w:t>
            </w:r>
            <w:r>
              <w:rPr>
                <w:rFonts w:hint="default" w:ascii="Times New Roman" w:hAnsi="Times New Roman" w:cs="Times New Roman"/>
                <w:color w:val="auto"/>
                <w:u w:val="none"/>
                <w:lang w:val="en-US" w:eastAsia="zh-CN"/>
              </w:rPr>
              <w:t>′</w:t>
            </w:r>
            <w:r>
              <w:rPr>
                <w:rFonts w:hint="eastAsia" w:cs="Times New Roman"/>
                <w:color w:val="auto"/>
                <w:u w:val="none"/>
                <w:lang w:val="en-US" w:eastAsia="zh-CN"/>
              </w:rPr>
              <w:t>14.428</w:t>
            </w:r>
            <w:r>
              <w:rPr>
                <w:rFonts w:hint="default" w:ascii="Times New Roman" w:hAnsi="Times New Roman" w:cs="Times New Roman"/>
                <w:color w:val="auto"/>
                <w:u w:val="none"/>
                <w:lang w:val="en-US" w:eastAsia="zh-CN"/>
              </w:rPr>
              <w:t>″</w:t>
            </w:r>
            <w:r>
              <w:rPr>
                <w:rFonts w:hint="eastAsia" w:ascii="Times New Roman" w:hAnsi="Times New Roman" w:cs="Times New Roman"/>
                <w:color w:val="auto"/>
                <w:u w:val="none"/>
                <w:lang w:val="en-US" w:eastAsia="zh-CN"/>
              </w:rPr>
              <w:t>，</w:t>
            </w:r>
            <w:r>
              <w:rPr>
                <w:rFonts w:hint="eastAsia" w:cs="Times New Roman"/>
                <w:color w:val="auto"/>
                <w:u w:val="none"/>
                <w:lang w:val="en-US" w:eastAsia="zh-CN"/>
              </w:rPr>
              <w:t>26</w:t>
            </w:r>
            <w:r>
              <w:rPr>
                <w:rFonts w:hint="default" w:ascii="Times New Roman" w:hAnsi="Times New Roman" w:cs="Times New Roman"/>
                <w:color w:val="auto"/>
                <w:u w:val="none"/>
                <w:lang w:val="en-US" w:eastAsia="zh-CN"/>
              </w:rPr>
              <w:t>°</w:t>
            </w:r>
            <w:r>
              <w:rPr>
                <w:rFonts w:hint="eastAsia" w:cs="Times New Roman"/>
                <w:color w:val="auto"/>
                <w:u w:val="none"/>
                <w:lang w:val="en-US" w:eastAsia="zh-CN"/>
              </w:rPr>
              <w:t>37</w:t>
            </w:r>
            <w:r>
              <w:rPr>
                <w:rFonts w:hint="default" w:ascii="Times New Roman" w:hAnsi="Times New Roman" w:cs="Times New Roman"/>
                <w:color w:val="auto"/>
                <w:u w:val="none"/>
                <w:lang w:val="en-US" w:eastAsia="zh-CN"/>
              </w:rPr>
              <w:t>′</w:t>
            </w:r>
            <w:r>
              <w:rPr>
                <w:rFonts w:hint="eastAsia" w:cs="Times New Roman"/>
                <w:color w:val="auto"/>
                <w:u w:val="none"/>
                <w:lang w:val="en-US" w:eastAsia="zh-CN"/>
              </w:rPr>
              <w:t>25.426</w:t>
            </w:r>
            <w:r>
              <w:rPr>
                <w:rFonts w:hint="default" w:ascii="Times New Roman" w:hAnsi="Times New Roman" w:cs="Times New Roman"/>
                <w:color w:val="auto"/>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9"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建设项目</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pacing w:val="-10"/>
                <w:u w:val="none"/>
              </w:rPr>
            </w:pPr>
            <w:r>
              <w:rPr>
                <w:rFonts w:hint="default" w:ascii="Times New Roman" w:hAnsi="Times New Roman" w:cs="Times New Roman"/>
                <w:color w:val="auto"/>
                <w:u w:val="none"/>
              </w:rPr>
              <w:t>行业类别</w:t>
            </w:r>
          </w:p>
        </w:tc>
        <w:tc>
          <w:tcPr>
            <w:tcW w:w="13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五</w:t>
            </w:r>
            <w:r>
              <w:rPr>
                <w:rFonts w:hint="default" w:ascii="Times New Roman" w:hAnsi="Times New Roman" w:eastAsia="宋体" w:cs="Times New Roman"/>
                <w:color w:val="auto"/>
                <w:u w:val="none"/>
                <w:lang w:val="en-US" w:eastAsia="zh-CN"/>
              </w:rPr>
              <w:t>十</w:t>
            </w:r>
            <w:r>
              <w:rPr>
                <w:rFonts w:hint="eastAsia" w:cs="Times New Roman"/>
                <w:color w:val="auto"/>
                <w:u w:val="none"/>
                <w:lang w:val="en-US" w:eastAsia="zh-CN"/>
              </w:rPr>
              <w:t>一</w:t>
            </w:r>
            <w:r>
              <w:rPr>
                <w:rFonts w:hint="default" w:ascii="Times New Roman" w:hAnsi="Times New Roman" w:eastAsia="宋体" w:cs="Times New Roman"/>
                <w:color w:val="auto"/>
                <w:u w:val="none"/>
                <w:lang w:val="en-US" w:eastAsia="zh-CN"/>
              </w:rPr>
              <w:t>、</w:t>
            </w:r>
            <w:r>
              <w:rPr>
                <w:rFonts w:hint="eastAsia" w:cs="Times New Roman"/>
                <w:color w:val="auto"/>
                <w:u w:val="none"/>
                <w:lang w:val="en-US" w:eastAsia="zh-CN"/>
              </w:rPr>
              <w:t>水利“127.防洪除涝工程-其他”</w:t>
            </w:r>
          </w:p>
        </w:tc>
        <w:tc>
          <w:tcPr>
            <w:tcW w:w="9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用地（用海）面积（m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）/长度（km）</w:t>
            </w:r>
          </w:p>
        </w:tc>
        <w:tc>
          <w:tcPr>
            <w:tcW w:w="1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0"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建设性质</w:t>
            </w:r>
          </w:p>
        </w:tc>
        <w:tc>
          <w:tcPr>
            <w:tcW w:w="13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s="Times New Roman"/>
                <w:color w:val="auto"/>
                <w:sz w:val="24"/>
                <w:u w:val="none"/>
                <w:lang w:eastAsia="zh-CN"/>
              </w:rPr>
            </w:pPr>
            <w:r>
              <w:rPr>
                <w:rFonts w:hint="eastAsia" w:cs="Times New Roman"/>
                <w:color w:val="auto"/>
                <w:sz w:val="24"/>
                <w:u w:val="none"/>
                <w:lang w:eastAsia="zh-CN"/>
              </w:rPr>
              <w:sym w:font="Wingdings 2" w:char="00A3"/>
            </w:r>
            <w:r>
              <w:rPr>
                <w:rFonts w:hint="default" w:ascii="Times New Roman" w:hAnsi="Times New Roman" w:cs="Times New Roman"/>
                <w:color w:val="auto"/>
                <w:sz w:val="24"/>
                <w:u w:val="none"/>
              </w:rPr>
              <w:t>新建</w:t>
            </w:r>
            <w:r>
              <w:rPr>
                <w:rFonts w:hint="eastAsia" w:cs="Times New Roman"/>
                <w:color w:val="auto"/>
                <w:sz w:val="24"/>
                <w:u w:val="none"/>
                <w:lang w:eastAsia="zh-CN"/>
              </w:rPr>
              <w:t>（</w:t>
            </w:r>
            <w:r>
              <w:rPr>
                <w:rFonts w:hint="eastAsia" w:cs="Times New Roman"/>
                <w:color w:val="auto"/>
                <w:sz w:val="24"/>
                <w:u w:val="none"/>
                <w:lang w:val="en-US" w:eastAsia="zh-CN"/>
              </w:rPr>
              <w:t>迁建</w:t>
            </w:r>
            <w:r>
              <w:rPr>
                <w:rFonts w:hint="eastAsia" w:cs="Times New Roman"/>
                <w:color w:val="auto"/>
                <w:sz w:val="24"/>
                <w:u w:val="none"/>
                <w:lang w:eastAsia="zh-CN"/>
              </w:rPr>
              <w:t>）</w:t>
            </w:r>
          </w:p>
          <w:p>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cs="Times New Roman"/>
                <w:color w:val="auto"/>
                <w:sz w:val="24"/>
                <w:u w:val="none"/>
              </w:rPr>
            </w:pPr>
            <w:r>
              <w:rPr>
                <w:rFonts w:hint="eastAsia" w:ascii="Times New Roman" w:hAnsi="Times New Roman" w:cs="Times New Roman"/>
                <w:color w:val="auto"/>
                <w:sz w:val="24"/>
                <w:u w:val="none"/>
                <w:lang w:eastAsia="zh-CN"/>
              </w:rPr>
              <w:sym w:font="Wingdings 2" w:char="0052"/>
            </w:r>
            <w:r>
              <w:rPr>
                <w:rFonts w:hint="default" w:ascii="Times New Roman" w:hAnsi="Times New Roman" w:cs="Times New Roman"/>
                <w:color w:val="auto"/>
                <w:sz w:val="24"/>
                <w:u w:val="none"/>
              </w:rPr>
              <w:t>改建</w:t>
            </w:r>
          </w:p>
          <w:p>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s="Times New Roman"/>
                <w:color w:val="auto"/>
                <w:sz w:val="24"/>
                <w:u w:val="none"/>
                <w:lang w:val="en-US" w:eastAsia="zh-CN"/>
              </w:rPr>
            </w:pPr>
            <w:r>
              <w:rPr>
                <w:rFonts w:hint="eastAsia" w:ascii="Times New Roman" w:hAnsi="Times New Roman" w:cs="Times New Roman"/>
                <w:color w:val="auto"/>
                <w:sz w:val="24"/>
                <w:u w:val="none"/>
                <w:lang w:eastAsia="zh-CN"/>
              </w:rPr>
              <w:t>□</w:t>
            </w:r>
            <w:r>
              <w:rPr>
                <w:rFonts w:hint="eastAsia" w:cs="Times New Roman"/>
                <w:color w:val="auto"/>
                <w:sz w:val="24"/>
                <w:u w:val="none"/>
                <w:lang w:val="en-US" w:eastAsia="zh-CN"/>
              </w:rPr>
              <w:t>扩建</w:t>
            </w:r>
          </w:p>
          <w:p>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u w:val="none"/>
                <w:lang w:val="en-US" w:eastAsia="zh-CN"/>
              </w:rPr>
            </w:pPr>
            <w:r>
              <w:rPr>
                <w:rFonts w:hint="eastAsia" w:cs="Times New Roman"/>
                <w:color w:val="auto"/>
                <w:sz w:val="24"/>
                <w:u w:val="none"/>
                <w:lang w:eastAsia="zh-CN"/>
              </w:rPr>
              <w:t>□</w:t>
            </w:r>
            <w:r>
              <w:rPr>
                <w:rFonts w:hint="eastAsia" w:cs="Times New Roman"/>
                <w:color w:val="auto"/>
                <w:sz w:val="24"/>
                <w:u w:val="none"/>
                <w:lang w:val="en-US" w:eastAsia="zh-CN"/>
              </w:rPr>
              <w:t>技术改造</w:t>
            </w:r>
          </w:p>
        </w:tc>
        <w:tc>
          <w:tcPr>
            <w:tcW w:w="9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建设项目</w:t>
            </w:r>
          </w:p>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申报情形</w:t>
            </w:r>
          </w:p>
        </w:tc>
        <w:tc>
          <w:tcPr>
            <w:tcW w:w="16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left"/>
              <w:textAlignment w:val="auto"/>
              <w:outlineLvl w:val="9"/>
              <w:rPr>
                <w:rFonts w:hint="eastAsia" w:ascii="宋体" w:hAnsi="宋体" w:cs="宋体"/>
                <w:color w:val="auto"/>
                <w:szCs w:val="21"/>
                <w:u w:val="none"/>
              </w:rPr>
            </w:pPr>
            <w:r>
              <w:rPr>
                <w:rFonts w:hint="eastAsia" w:cs="Times New Roman"/>
                <w:color w:val="auto"/>
                <w:sz w:val="24"/>
                <w:u w:val="none"/>
                <w:lang w:eastAsia="zh-CN"/>
              </w:rPr>
              <w:t>☑</w:t>
            </w:r>
            <w:r>
              <w:rPr>
                <w:rFonts w:hint="eastAsia" w:ascii="宋体" w:hAnsi="宋体" w:cs="宋体"/>
                <w:color w:val="auto"/>
                <w:szCs w:val="21"/>
                <w:u w:val="none"/>
              </w:rPr>
              <w:t>首次申报项目</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left"/>
              <w:textAlignment w:val="auto"/>
              <w:outlineLvl w:val="9"/>
              <w:rPr>
                <w:rFonts w:hint="eastAsia" w:ascii="宋体" w:hAnsi="宋体" w:cs="宋体"/>
                <w:color w:val="auto"/>
                <w:szCs w:val="21"/>
                <w:u w:val="none"/>
              </w:rPr>
            </w:pPr>
            <w:r>
              <w:rPr>
                <w:rFonts w:hint="eastAsia" w:ascii="Times New Roman" w:hAnsi="Times New Roman" w:cs="Times New Roman"/>
                <w:color w:val="auto"/>
                <w:sz w:val="24"/>
                <w:u w:val="none"/>
                <w:lang w:eastAsia="zh-CN"/>
              </w:rPr>
              <w:t>□</w:t>
            </w:r>
            <w:r>
              <w:rPr>
                <w:rFonts w:hint="eastAsia" w:ascii="宋体" w:hAnsi="宋体" w:cs="宋体"/>
                <w:color w:val="auto"/>
                <w:szCs w:val="21"/>
                <w:u w:val="none"/>
              </w:rPr>
              <w:t>不予批准后再次申报项目</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left"/>
              <w:textAlignment w:val="auto"/>
              <w:outlineLvl w:val="9"/>
              <w:rPr>
                <w:rFonts w:hint="eastAsia" w:ascii="宋体" w:hAnsi="宋体" w:cs="宋体"/>
                <w:color w:val="auto"/>
                <w:szCs w:val="21"/>
                <w:u w:val="none"/>
              </w:rPr>
            </w:pPr>
            <w:r>
              <w:rPr>
                <w:rFonts w:hint="eastAsia" w:ascii="Times New Roman" w:hAnsi="Times New Roman" w:cs="Times New Roman"/>
                <w:color w:val="auto"/>
                <w:sz w:val="24"/>
                <w:u w:val="none"/>
                <w:lang w:eastAsia="zh-CN"/>
              </w:rPr>
              <w:t>□</w:t>
            </w:r>
            <w:r>
              <w:rPr>
                <w:rFonts w:hint="eastAsia" w:ascii="宋体" w:hAnsi="宋体" w:cs="宋体"/>
                <w:color w:val="auto"/>
                <w:szCs w:val="21"/>
                <w:u w:val="none"/>
              </w:rPr>
              <w:t>超五年重新审核项目</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left"/>
              <w:textAlignment w:val="auto"/>
              <w:outlineLvl w:val="9"/>
              <w:rPr>
                <w:rFonts w:hint="default" w:ascii="Times New Roman" w:hAnsi="Times New Roman" w:cs="Times New Roman"/>
                <w:color w:val="auto"/>
                <w:sz w:val="24"/>
                <w:u w:val="none"/>
              </w:rPr>
            </w:pPr>
            <w:r>
              <w:rPr>
                <w:rFonts w:hint="eastAsia" w:ascii="Times New Roman" w:hAnsi="Times New Roman" w:cs="Times New Roman"/>
                <w:color w:val="auto"/>
                <w:sz w:val="24"/>
                <w:u w:val="none"/>
                <w:lang w:eastAsia="zh-CN"/>
              </w:rPr>
              <w:t>□</w:t>
            </w:r>
            <w:r>
              <w:rPr>
                <w:rFonts w:hint="eastAsia" w:ascii="宋体" w:hAnsi="宋体" w:cs="宋体"/>
                <w:color w:val="auto"/>
                <w:szCs w:val="21"/>
                <w:u w:val="none"/>
              </w:rPr>
              <w:t>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项目审批（核准/</w:t>
            </w:r>
          </w:p>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备案）部门</w:t>
            </w:r>
          </w:p>
        </w:tc>
        <w:tc>
          <w:tcPr>
            <w:tcW w:w="13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祁东县发展和改革局</w:t>
            </w:r>
          </w:p>
        </w:tc>
        <w:tc>
          <w:tcPr>
            <w:tcW w:w="9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项目审批（核准/备案）文号</w:t>
            </w:r>
          </w:p>
        </w:tc>
        <w:tc>
          <w:tcPr>
            <w:tcW w:w="1601" w:type="pct"/>
            <w:tcBorders>
              <w:tl2br w:val="nil"/>
              <w:tr2bl w:val="nil"/>
            </w:tcBorders>
            <w:noWrap w:val="0"/>
            <w:vAlign w:val="center"/>
          </w:tcPr>
          <w:p>
            <w:pPr>
              <w:spacing w:line="360" w:lineRule="exact"/>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祁发改审〔2018〕84号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总投资</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万元</w:t>
            </w:r>
            <w:r>
              <w:rPr>
                <w:rFonts w:hint="eastAsia" w:ascii="Times New Roman" w:hAnsi="Times New Roman" w:cs="Times New Roman"/>
                <w:color w:val="auto"/>
                <w:u w:val="none"/>
                <w:lang w:eastAsia="zh-CN"/>
              </w:rPr>
              <w:t>）</w:t>
            </w:r>
          </w:p>
        </w:tc>
        <w:tc>
          <w:tcPr>
            <w:tcW w:w="13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2302.62</w:t>
            </w:r>
          </w:p>
        </w:tc>
        <w:tc>
          <w:tcPr>
            <w:tcW w:w="9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环保投资</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万元</w:t>
            </w:r>
            <w:r>
              <w:rPr>
                <w:rFonts w:hint="eastAsia" w:ascii="Times New Roman" w:hAnsi="Times New Roman" w:cs="Times New Roman"/>
                <w:color w:val="auto"/>
                <w:u w:val="none"/>
                <w:lang w:eastAsia="zh-CN"/>
              </w:rPr>
              <w:t>）</w:t>
            </w:r>
          </w:p>
        </w:tc>
        <w:tc>
          <w:tcPr>
            <w:tcW w:w="1601" w:type="pct"/>
            <w:tcBorders>
              <w:tl2br w:val="nil"/>
              <w:tr2bl w:val="nil"/>
            </w:tcBorders>
            <w:noWrap w:val="0"/>
            <w:vAlign w:val="center"/>
          </w:tcPr>
          <w:p>
            <w:pPr>
              <w:spacing w:line="340" w:lineRule="exact"/>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ind w:left="-72" w:leftChars="-30" w:right="-72" w:rightChars="-30"/>
              <w:jc w:val="center"/>
              <w:textAlignment w:val="auto"/>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环保投资占比（%）</w:t>
            </w:r>
          </w:p>
        </w:tc>
        <w:tc>
          <w:tcPr>
            <w:tcW w:w="13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6.5%</w:t>
            </w:r>
          </w:p>
        </w:tc>
        <w:tc>
          <w:tcPr>
            <w:tcW w:w="9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cs="Times New Roman"/>
                <w:color w:val="auto"/>
                <w:u w:val="none"/>
              </w:rPr>
            </w:pPr>
            <w:r>
              <w:rPr>
                <w:rFonts w:hint="default" w:ascii="Times New Roman" w:hAnsi="Times New Roman" w:cs="Times New Roman"/>
                <w:color w:val="auto"/>
                <w:u w:val="none"/>
              </w:rPr>
              <w:t>施工工期</w:t>
            </w:r>
          </w:p>
        </w:tc>
        <w:tc>
          <w:tcPr>
            <w:tcW w:w="1601" w:type="pct"/>
            <w:tcBorders>
              <w:tl2br w:val="nil"/>
              <w:tr2bl w:val="nil"/>
            </w:tcBorders>
            <w:noWrap w:val="0"/>
            <w:vAlign w:val="center"/>
          </w:tcPr>
          <w:p>
            <w:pPr>
              <w:spacing w:line="360" w:lineRule="exact"/>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是否开工建设</w:t>
            </w:r>
          </w:p>
        </w:tc>
        <w:tc>
          <w:tcPr>
            <w:tcW w:w="395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宋体" w:hAnsi="宋体" w:cs="宋体"/>
                <w:color w:val="auto"/>
                <w:szCs w:val="21"/>
                <w:u w:val="none"/>
              </w:rPr>
            </w:pPr>
            <w:r>
              <w:rPr>
                <w:rFonts w:hint="eastAsia" w:cs="Times New Roman"/>
                <w:color w:val="auto"/>
                <w:sz w:val="24"/>
                <w:u w:val="none"/>
                <w:lang w:eastAsia="zh-CN"/>
              </w:rPr>
              <w:t>☑</w:t>
            </w:r>
            <w:r>
              <w:rPr>
                <w:rFonts w:hint="eastAsia" w:ascii="宋体" w:hAnsi="宋体" w:cs="宋体"/>
                <w:color w:val="auto"/>
                <w:szCs w:val="21"/>
                <w:u w:val="none"/>
              </w:rPr>
              <w:t>否</w:t>
            </w:r>
          </w:p>
          <w:p>
            <w:pPr>
              <w:spacing w:line="360" w:lineRule="exact"/>
              <w:jc w:val="both"/>
              <w:rPr>
                <w:rFonts w:hint="default" w:ascii="Times New Roman" w:hAnsi="Times New Roman" w:eastAsia="宋体" w:cs="Times New Roman"/>
                <w:color w:val="auto"/>
                <w:u w:val="none"/>
                <w:lang w:val="en-US" w:eastAsia="zh-CN"/>
              </w:rPr>
            </w:pPr>
            <w:r>
              <w:rPr>
                <w:rFonts w:hint="eastAsia" w:cs="Times New Roman"/>
                <w:color w:val="auto"/>
                <w:sz w:val="24"/>
                <w:u w:val="none"/>
                <w:lang w:eastAsia="zh-CN"/>
              </w:rPr>
              <w:t>□</w:t>
            </w:r>
            <w:r>
              <w:rPr>
                <w:rFonts w:hint="eastAsia" w:ascii="Times New Roman" w:hAnsi="Times New Roman" w:cs="Times New Roman"/>
                <w:color w:val="auto"/>
                <w:sz w:val="24"/>
                <w:u w:val="no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专项评价设置情况</w:t>
            </w:r>
          </w:p>
        </w:tc>
        <w:tc>
          <w:tcPr>
            <w:tcW w:w="395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本工程为防洪除涝工程，本项目不包含水库，且不涉及环境敏感区，本项目不设地表水专项评价和生态环境专项评价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规划情况</w:t>
            </w:r>
          </w:p>
        </w:tc>
        <w:tc>
          <w:tcPr>
            <w:tcW w:w="395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u w:val="none"/>
                <w:lang w:eastAsia="zh-CN"/>
              </w:rPr>
            </w:pPr>
            <w:r>
              <w:rPr>
                <w:rFonts w:hint="eastAsia" w:cs="Times New Roman"/>
                <w:color w:val="auto"/>
                <w:u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规划环境影响</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评价情况</w:t>
            </w:r>
          </w:p>
        </w:tc>
        <w:tc>
          <w:tcPr>
            <w:tcW w:w="3952"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u w:val="none"/>
                <w:lang w:eastAsia="zh-CN"/>
              </w:rPr>
            </w:pPr>
            <w:r>
              <w:rPr>
                <w:rFonts w:hint="eastAsia" w:cs="Times New Roman"/>
                <w:u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104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规划及规划环境影响评价符合性分析</w:t>
            </w:r>
          </w:p>
        </w:tc>
        <w:tc>
          <w:tcPr>
            <w:tcW w:w="3952" w:type="pct"/>
            <w:gridSpan w:val="3"/>
            <w:tcBorders>
              <w:tl2br w:val="nil"/>
              <w:tr2bl w:val="nil"/>
            </w:tcBorders>
            <w:noWrap w:val="0"/>
            <w:vAlign w:val="center"/>
          </w:tcPr>
          <w:p>
            <w:pPr>
              <w:bidi w:val="0"/>
              <w:ind w:firstLine="480" w:firstLineChars="200"/>
              <w:jc w:val="center"/>
              <w:outlineLvl w:val="9"/>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2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t>其他符合性分析</w:t>
            </w:r>
          </w:p>
        </w:tc>
        <w:tc>
          <w:tcPr>
            <w:tcW w:w="4772" w:type="pct"/>
            <w:gridSpan w:val="4"/>
            <w:tcBorders>
              <w:tl2br w:val="nil"/>
              <w:tr2bl w:val="nil"/>
            </w:tcBorders>
            <w:noWrap w:val="0"/>
            <w:vAlign w:val="center"/>
          </w:tcPr>
          <w:p>
            <w:pPr>
              <w:bidi w:val="0"/>
              <w:outlineLvl w:val="9"/>
              <w:rPr>
                <w:rFonts w:hint="default" w:ascii="Times New Roman" w:hAnsi="Times New Roman" w:cs="Times New Roman"/>
                <w:b/>
                <w:bCs/>
                <w:color w:val="auto"/>
                <w:u w:val="none"/>
                <w:lang w:val="en-US" w:eastAsia="zh-CN"/>
              </w:rPr>
            </w:pPr>
            <w:r>
              <w:rPr>
                <w:rFonts w:hint="eastAsia" w:ascii="Times New Roman" w:hAnsi="Times New Roman" w:cs="Times New Roman"/>
                <w:b/>
                <w:bCs/>
                <w:color w:val="auto"/>
                <w:u w:val="none"/>
                <w:lang w:val="en-US" w:eastAsia="zh-CN"/>
              </w:rPr>
              <w:t>1</w:t>
            </w:r>
            <w:r>
              <w:rPr>
                <w:rFonts w:hint="eastAsia" w:cs="Times New Roman"/>
                <w:b/>
                <w:bCs/>
                <w:color w:val="auto"/>
                <w:u w:val="none"/>
                <w:lang w:val="en-US" w:eastAsia="zh-CN"/>
              </w:rPr>
              <w:t>.1</w:t>
            </w:r>
            <w:r>
              <w:rPr>
                <w:rFonts w:hint="eastAsia" w:ascii="Times New Roman" w:hAnsi="Times New Roman" w:cs="Times New Roman"/>
                <w:b/>
                <w:bCs/>
                <w:color w:val="auto"/>
                <w:u w:val="none"/>
                <w:lang w:val="en-US" w:eastAsia="zh-CN"/>
              </w:rPr>
              <w:t>产业政策相符性分析</w:t>
            </w:r>
          </w:p>
          <w:p>
            <w:pPr>
              <w:bidi w:val="0"/>
              <w:ind w:firstLine="480" w:firstLineChars="200"/>
              <w:outlineLvl w:val="9"/>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（1）《产业结构调整指导目录（</w:t>
            </w:r>
            <w:r>
              <w:rPr>
                <w:rFonts w:hint="eastAsia" w:cs="Times New Roman"/>
                <w:color w:val="auto"/>
                <w:u w:val="none"/>
                <w:lang w:val="en-US" w:eastAsia="zh-CN"/>
              </w:rPr>
              <w:t>2024</w:t>
            </w:r>
            <w:r>
              <w:rPr>
                <w:rFonts w:hint="default" w:ascii="Times New Roman" w:hAnsi="Times New Roman" w:eastAsia="宋体" w:cs="Times New Roman"/>
                <w:color w:val="auto"/>
                <w:u w:val="none"/>
                <w:lang w:val="en-US" w:eastAsia="zh-CN"/>
              </w:rPr>
              <w:t>年本）》符合性分析</w:t>
            </w:r>
          </w:p>
          <w:p>
            <w:pPr>
              <w:bidi w:val="0"/>
              <w:ind w:firstLine="480" w:firstLineChars="200"/>
              <w:outlineLvl w:val="9"/>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本项目属于《国民经济行业分类》中的</w:t>
            </w:r>
            <w:r>
              <w:rPr>
                <w:rFonts w:hint="eastAsia" w:cs="Times New Roman"/>
                <w:color w:val="auto"/>
                <w:u w:val="none"/>
                <w:lang w:val="en-US" w:eastAsia="zh-CN"/>
              </w:rPr>
              <w:t>“N7610防洪除涝设施管理”</w:t>
            </w:r>
            <w:r>
              <w:rPr>
                <w:rFonts w:hint="default" w:ascii="Times New Roman" w:hAnsi="Times New Roman" w:eastAsia="宋体" w:cs="Times New Roman"/>
                <w:color w:val="auto"/>
                <w:u w:val="none"/>
                <w:lang w:val="en-US" w:eastAsia="zh-CN"/>
              </w:rPr>
              <w:t>，根据《产业结构调整指导目录（</w:t>
            </w:r>
            <w:r>
              <w:rPr>
                <w:rFonts w:hint="eastAsia" w:cs="Times New Roman"/>
                <w:color w:val="auto"/>
                <w:u w:val="none"/>
                <w:lang w:val="en-US" w:eastAsia="zh-CN"/>
              </w:rPr>
              <w:t>2024年本</w:t>
            </w:r>
            <w:r>
              <w:rPr>
                <w:rFonts w:hint="default" w:ascii="Times New Roman" w:hAnsi="Times New Roman" w:eastAsia="宋体" w:cs="Times New Roman"/>
                <w:color w:val="auto"/>
                <w:u w:val="none"/>
                <w:lang w:val="en-US" w:eastAsia="zh-CN"/>
              </w:rPr>
              <w:t>）》，本工程属于第一类鼓励类</w:t>
            </w:r>
            <w:r>
              <w:rPr>
                <w:rFonts w:hint="eastAsia" w:cs="Times New Roman"/>
                <w:color w:val="auto"/>
                <w:u w:val="none"/>
                <w:lang w:val="en-US" w:eastAsia="zh-CN"/>
              </w:rPr>
              <w:t>中“二、水利”的“3、防洪提升工程中水闸除险加固工程”，为鼓励类项目</w:t>
            </w:r>
            <w:r>
              <w:rPr>
                <w:rFonts w:hint="default" w:ascii="Times New Roman" w:hAnsi="Times New Roman" w:eastAsia="宋体" w:cs="Times New Roman"/>
                <w:color w:val="auto"/>
                <w:u w:val="none"/>
                <w:lang w:val="en-US" w:eastAsia="zh-CN"/>
              </w:rPr>
              <w:t>。因此，本项目的建设符合国家产业政策。</w:t>
            </w:r>
          </w:p>
          <w:p>
            <w:pPr>
              <w:bidi w:val="0"/>
              <w:outlineLvl w:val="9"/>
              <w:rPr>
                <w:rFonts w:hint="default" w:ascii="Times New Roman" w:hAnsi="Times New Roman" w:cs="Times New Roman"/>
                <w:b/>
                <w:bCs/>
                <w:color w:val="auto"/>
                <w:u w:val="none"/>
                <w:lang w:val="en-US" w:eastAsia="zh-CN"/>
              </w:rPr>
            </w:pPr>
            <w:r>
              <w:rPr>
                <w:rFonts w:hint="eastAsia" w:cs="Times New Roman"/>
                <w:b/>
                <w:bCs/>
                <w:color w:val="auto"/>
                <w:u w:val="none"/>
                <w:lang w:val="en-US" w:eastAsia="zh-CN"/>
              </w:rPr>
              <w:t>1.2</w:t>
            </w:r>
            <w:r>
              <w:rPr>
                <w:rFonts w:hint="eastAsia" w:ascii="Times New Roman" w:hAnsi="Times New Roman" w:cs="Times New Roman"/>
                <w:b/>
                <w:bCs/>
                <w:color w:val="auto"/>
                <w:u w:val="none"/>
                <w:lang w:val="en-US" w:eastAsia="zh-CN"/>
              </w:rPr>
              <w:t>“三线一单”的符合性分析</w:t>
            </w:r>
          </w:p>
          <w:p>
            <w:pPr>
              <w:bidi w:val="0"/>
              <w:ind w:firstLine="480" w:firstLineChars="200"/>
              <w:outlineLvl w:val="9"/>
              <w:rPr>
                <w:rFonts w:hint="eastAsia" w:ascii="Times New Roman" w:hAnsi="Times New Roman" w:cs="Times New Roman"/>
                <w:color w:val="auto"/>
                <w:u w:val="none"/>
                <w:lang w:eastAsia="zh-CN"/>
              </w:rPr>
            </w:pPr>
            <w:r>
              <w:rPr>
                <w:rFonts w:hint="eastAsia"/>
                <w:color w:val="auto"/>
                <w:u w:val="none"/>
                <w:lang w:eastAsia="zh-CN"/>
              </w:rPr>
              <w:t>（</w:t>
            </w:r>
            <w:r>
              <w:rPr>
                <w:rFonts w:hint="eastAsia"/>
                <w:color w:val="auto"/>
                <w:u w:val="none"/>
                <w:lang w:val="en-US" w:eastAsia="zh-CN"/>
              </w:rPr>
              <w:t>1</w:t>
            </w:r>
            <w:r>
              <w:rPr>
                <w:rFonts w:hint="eastAsia"/>
                <w:color w:val="auto"/>
                <w:u w:val="none"/>
                <w:lang w:eastAsia="zh-CN"/>
              </w:rPr>
              <w:t>）</w:t>
            </w:r>
            <w:r>
              <w:rPr>
                <w:rFonts w:hint="eastAsia"/>
                <w:color w:val="auto"/>
                <w:u w:val="none"/>
              </w:rPr>
              <w:t>生态保护红线</w:t>
            </w:r>
          </w:p>
          <w:p>
            <w:pPr>
              <w:bidi w:val="0"/>
              <w:ind w:firstLine="480" w:firstLineChars="200"/>
              <w:outlineLvl w:val="9"/>
              <w:rPr>
                <w:rFonts w:hint="eastAsia" w:ascii="Times New Roman" w:hAnsi="Times New Roman" w:cs="Times New Roman"/>
                <w:color w:val="auto"/>
                <w:u w:val="none"/>
                <w:lang w:eastAsia="zh-CN"/>
              </w:rPr>
            </w:pPr>
            <w:r>
              <w:rPr>
                <w:rFonts w:hint="eastAsia" w:ascii="Times New Roman" w:hAnsi="Times New Roman" w:eastAsia="宋体" w:cs="Times New Roman"/>
                <w:color w:val="auto"/>
                <w:u w:val="none"/>
                <w:lang w:val="en-US" w:eastAsia="zh-CN"/>
              </w:rPr>
              <w:t>根据《湖南省人民政府关于印发&lt;湖南省生态保护红线&gt;的通知》（湘政发[2018]20号）</w:t>
            </w:r>
            <w:r>
              <w:rPr>
                <w:rFonts w:hint="eastAsia" w:cs="Times New Roman"/>
                <w:color w:val="auto"/>
                <w:u w:val="none"/>
                <w:lang w:val="en-US" w:eastAsia="zh-CN"/>
              </w:rPr>
              <w:t>、</w:t>
            </w:r>
            <w:r>
              <w:rPr>
                <w:rFonts w:hint="eastAsia"/>
                <w:color w:val="auto"/>
                <w:u w:val="none"/>
              </w:rPr>
              <w:t>《湖南省人民政府关于实施“三线一单”生态环境分区管控的意见》</w:t>
            </w:r>
            <w:r>
              <w:rPr>
                <w:rFonts w:hint="eastAsia"/>
                <w:color w:val="auto"/>
                <w:u w:val="none"/>
                <w:lang w:eastAsia="zh-CN"/>
              </w:rPr>
              <w:t>（</w:t>
            </w:r>
            <w:r>
              <w:rPr>
                <w:rFonts w:hint="eastAsia"/>
                <w:color w:val="auto"/>
                <w:u w:val="none"/>
              </w:rPr>
              <w:t>湘政发﹝2020﹞12号</w:t>
            </w:r>
            <w:r>
              <w:rPr>
                <w:rFonts w:hint="eastAsia"/>
                <w:color w:val="auto"/>
                <w:u w:val="none"/>
                <w:lang w:eastAsia="zh-CN"/>
              </w:rPr>
              <w:t>），</w:t>
            </w:r>
            <w:r>
              <w:rPr>
                <w:rFonts w:hint="eastAsia"/>
                <w:color w:val="auto"/>
                <w:u w:val="none"/>
                <w:lang w:val="en-US" w:eastAsia="zh-CN"/>
              </w:rPr>
              <w:t>根据祁东县自然资源局出具的文件，</w:t>
            </w:r>
            <w:r>
              <w:rPr>
                <w:rFonts w:hint="eastAsia" w:ascii="Times New Roman" w:hAnsi="Times New Roman" w:eastAsia="宋体" w:cs="Times New Roman"/>
                <w:color w:val="auto"/>
                <w:u w:val="none"/>
                <w:lang w:val="en-US" w:eastAsia="zh-CN"/>
              </w:rPr>
              <w:t>本项目</w:t>
            </w:r>
            <w:r>
              <w:rPr>
                <w:rFonts w:hint="default" w:ascii="Times New Roman" w:hAnsi="Times New Roman" w:cs="Times New Roman"/>
                <w:color w:val="auto"/>
                <w:kern w:val="0"/>
                <w:sz w:val="24"/>
                <w:u w:val="none"/>
              </w:rPr>
              <w:t>不在生态保护红线区域内，因此项目建设符合生态保护红线规定要求。</w:t>
            </w:r>
          </w:p>
          <w:p>
            <w:pPr>
              <w:bidi w:val="0"/>
              <w:ind w:firstLine="480" w:firstLineChars="200"/>
              <w:outlineLvl w:val="9"/>
              <w:rPr>
                <w:rFonts w:hint="eastAsia" w:ascii="Times New Roman" w:hAnsi="Times New Roman" w:cs="Times New Roman"/>
                <w:color w:val="auto"/>
                <w:u w:val="none"/>
                <w:lang w:eastAsia="zh-CN"/>
              </w:rPr>
            </w:pPr>
            <w:r>
              <w:rPr>
                <w:rFonts w:hint="eastAsia"/>
                <w:color w:val="auto"/>
                <w:u w:val="none"/>
                <w:lang w:eastAsia="zh-CN"/>
              </w:rPr>
              <w:t>（</w:t>
            </w:r>
            <w:r>
              <w:rPr>
                <w:rFonts w:hint="eastAsia"/>
                <w:color w:val="auto"/>
                <w:u w:val="none"/>
                <w:lang w:val="en-US" w:eastAsia="zh-CN"/>
              </w:rPr>
              <w:t>2</w:t>
            </w:r>
            <w:r>
              <w:rPr>
                <w:rFonts w:hint="eastAsia"/>
                <w:color w:val="auto"/>
                <w:u w:val="none"/>
                <w:lang w:eastAsia="zh-CN"/>
              </w:rPr>
              <w:t>）</w:t>
            </w:r>
            <w:r>
              <w:rPr>
                <w:rFonts w:hint="eastAsia"/>
                <w:color w:val="auto"/>
                <w:u w:val="none"/>
              </w:rPr>
              <w:t>环境质量底线</w:t>
            </w:r>
          </w:p>
          <w:p>
            <w:pPr>
              <w:bidi w:val="0"/>
              <w:ind w:firstLine="480" w:firstLineChars="200"/>
              <w:outlineLvl w:val="9"/>
              <w:rPr>
                <w:rFonts w:hint="eastAsia" w:ascii="Times New Roman" w:hAnsi="Times New Roman" w:eastAsia="宋体" w:cs="Times New Roman"/>
                <w:color w:val="auto"/>
                <w:u w:val="none"/>
                <w:lang w:eastAsia="zh-CN"/>
              </w:rPr>
            </w:pPr>
            <w:r>
              <w:rPr>
                <w:rFonts w:hint="default" w:ascii="Times New Roman" w:hAnsi="Times New Roman" w:cs="Times New Roman"/>
                <w:color w:val="auto"/>
                <w:sz w:val="24"/>
                <w:szCs w:val="24"/>
                <w:u w:val="none"/>
              </w:rPr>
              <w:t>本项目施工期间主要产生扬尘和噪声污染，污染源强度较低，通过针对性污染防治措施处理后，项目扬尘符合《环境空气质量标准》（GB3095-2012）中的二级标准，声环境质量达到《声环境质量标准》（GB3096—2008）</w:t>
            </w:r>
            <w:r>
              <w:rPr>
                <w:rFonts w:hint="eastAsia" w:cs="Times New Roman"/>
                <w:color w:val="auto"/>
                <w:sz w:val="24"/>
                <w:szCs w:val="24"/>
                <w:u w:val="none"/>
                <w:lang w:val="en-US" w:eastAsia="zh-CN"/>
              </w:rPr>
              <w:t>1</w:t>
            </w:r>
            <w:r>
              <w:rPr>
                <w:rFonts w:hint="default" w:ascii="Times New Roman" w:hAnsi="Times New Roman" w:cs="Times New Roman"/>
                <w:color w:val="auto"/>
                <w:sz w:val="24"/>
                <w:szCs w:val="24"/>
                <w:u w:val="none"/>
              </w:rPr>
              <w:t>类标准</w:t>
            </w:r>
            <w:r>
              <w:rPr>
                <w:rFonts w:hint="eastAsia" w:cs="Times New Roman"/>
                <w:color w:val="auto"/>
                <w:sz w:val="24"/>
                <w:szCs w:val="24"/>
                <w:u w:val="none"/>
                <w:lang w:eastAsia="zh-CN"/>
              </w:rPr>
              <w:t>，</w:t>
            </w:r>
            <w:r>
              <w:rPr>
                <w:rFonts w:hint="default" w:ascii="Times New Roman" w:hAnsi="Times New Roman" w:cs="Times New Roman"/>
                <w:color w:val="auto"/>
                <w:sz w:val="24"/>
                <w:szCs w:val="24"/>
                <w:u w:val="none"/>
              </w:rPr>
              <w:t>不会降低周围区域空气环境、声环境功能，</w:t>
            </w:r>
            <w:r>
              <w:rPr>
                <w:rFonts w:hint="eastAsia" w:cs="Times New Roman"/>
                <w:color w:val="auto"/>
                <w:sz w:val="24"/>
                <w:szCs w:val="24"/>
                <w:u w:val="none"/>
                <w:lang w:val="en-US" w:eastAsia="zh-CN"/>
              </w:rPr>
              <w:t>施工期</w:t>
            </w:r>
            <w:r>
              <w:rPr>
                <w:rFonts w:hint="default" w:ascii="Times New Roman" w:hAnsi="Times New Roman" w:cs="Times New Roman"/>
                <w:color w:val="auto"/>
                <w:sz w:val="24"/>
                <w:szCs w:val="24"/>
                <w:u w:val="none"/>
              </w:rPr>
              <w:t>无生产废水外排。</w:t>
            </w:r>
            <w:r>
              <w:rPr>
                <w:rFonts w:hint="eastAsia" w:cs="Times New Roman"/>
                <w:color w:val="auto"/>
                <w:sz w:val="24"/>
                <w:szCs w:val="24"/>
                <w:u w:val="none"/>
                <w:lang w:eastAsia="zh-CN"/>
              </w:rPr>
              <w:t>项目排放的各项污染物经相应措施处理后对周围环境很小，不会改变项目所在区域的环境功能，因此本项目的建设符合环境质量底线要求。</w:t>
            </w:r>
          </w:p>
          <w:p>
            <w:pPr>
              <w:bidi w:val="0"/>
              <w:ind w:firstLine="480" w:firstLineChars="200"/>
              <w:outlineLvl w:val="9"/>
              <w:rPr>
                <w:rFonts w:hint="eastAsia"/>
                <w:color w:val="auto"/>
                <w:u w:val="none"/>
                <w:lang w:val="en-US" w:eastAsia="zh-CN"/>
              </w:rPr>
            </w:pPr>
            <w:r>
              <w:rPr>
                <w:rFonts w:hint="eastAsia"/>
                <w:color w:val="auto"/>
                <w:u w:val="none"/>
                <w:lang w:eastAsia="zh-CN"/>
              </w:rPr>
              <w:t>（</w:t>
            </w:r>
            <w:r>
              <w:rPr>
                <w:rFonts w:hint="eastAsia"/>
                <w:color w:val="auto"/>
                <w:u w:val="none"/>
                <w:lang w:val="en-US" w:eastAsia="zh-CN"/>
              </w:rPr>
              <w:t>3</w:t>
            </w:r>
            <w:r>
              <w:rPr>
                <w:rFonts w:hint="eastAsia"/>
                <w:color w:val="auto"/>
                <w:u w:val="none"/>
                <w:lang w:eastAsia="zh-CN"/>
              </w:rPr>
              <w:t>）</w:t>
            </w:r>
            <w:r>
              <w:rPr>
                <w:rFonts w:hint="eastAsia"/>
                <w:color w:val="auto"/>
                <w:u w:val="none"/>
              </w:rPr>
              <w:t>资源利用上线</w:t>
            </w:r>
          </w:p>
          <w:p>
            <w:pPr>
              <w:bidi w:val="0"/>
              <w:ind w:firstLine="480" w:firstLineChars="200"/>
              <w:outlineLvl w:val="9"/>
              <w:rPr>
                <w:rFonts w:hint="eastAsia"/>
                <w:color w:val="auto"/>
                <w:u w:val="none"/>
              </w:rPr>
            </w:pPr>
            <w:r>
              <w:rPr>
                <w:rFonts w:hint="eastAsia"/>
                <w:color w:val="auto"/>
                <w:u w:val="none"/>
              </w:rPr>
              <w:t>本项目生产过程中需要一定量的电源、水资源等，不属于高能耗、高物耗、高水耗和产能过剩、低水平重复建设项目，本项目资源能源消耗量相对区域资源利用总量较少，项目所在地不涉及基本农田，土地资源消耗符合要求，因此项目符合资源利用上限要求。</w:t>
            </w:r>
          </w:p>
          <w:p>
            <w:pPr>
              <w:bidi w:val="0"/>
              <w:ind w:firstLine="480" w:firstLineChars="200"/>
              <w:outlineLvl w:val="9"/>
              <w:rPr>
                <w:rFonts w:hint="eastAsia" w:ascii="Times New Roman" w:hAnsi="Times New Roman" w:cs="Times New Roman"/>
                <w:color w:val="auto"/>
                <w:u w:val="none"/>
                <w:lang w:eastAsia="zh-CN"/>
              </w:rPr>
            </w:pPr>
            <w:r>
              <w:rPr>
                <w:rFonts w:hint="eastAsia"/>
                <w:color w:val="auto"/>
                <w:u w:val="none"/>
                <w:lang w:eastAsia="zh-CN"/>
              </w:rPr>
              <w:t>（</w:t>
            </w:r>
            <w:r>
              <w:rPr>
                <w:rFonts w:hint="eastAsia"/>
                <w:color w:val="auto"/>
                <w:u w:val="none"/>
                <w:lang w:val="en-US" w:eastAsia="zh-CN"/>
              </w:rPr>
              <w:t>4</w:t>
            </w:r>
            <w:r>
              <w:rPr>
                <w:rFonts w:hint="eastAsia"/>
                <w:color w:val="auto"/>
                <w:u w:val="none"/>
                <w:lang w:eastAsia="zh-CN"/>
              </w:rPr>
              <w:t>）</w:t>
            </w:r>
            <w:r>
              <w:rPr>
                <w:rFonts w:hint="eastAsia"/>
                <w:color w:val="auto"/>
                <w:u w:val="none"/>
                <w:lang w:val="en-US" w:eastAsia="zh-CN"/>
              </w:rPr>
              <w:t>生态</w:t>
            </w:r>
            <w:r>
              <w:rPr>
                <w:rFonts w:hint="eastAsia"/>
                <w:color w:val="auto"/>
                <w:u w:val="none"/>
              </w:rPr>
              <w:t>环境准入清单</w:t>
            </w:r>
          </w:p>
          <w:p>
            <w:pPr>
              <w:bidi w:val="0"/>
              <w:ind w:firstLine="480" w:firstLineChars="200"/>
              <w:jc w:val="both"/>
              <w:outlineLvl w:val="9"/>
              <w:rPr>
                <w:rFonts w:hint="eastAsia"/>
                <w:b w:val="0"/>
                <w:bCs w:val="0"/>
                <w:color w:val="auto"/>
                <w:u w:val="none"/>
                <w:lang w:val="en-US" w:eastAsia="zh-CN"/>
              </w:rPr>
            </w:pPr>
            <w:r>
              <w:rPr>
                <w:rFonts w:hint="eastAsia"/>
                <w:b w:val="0"/>
                <w:bCs w:val="0"/>
                <w:color w:val="auto"/>
                <w:u w:val="none"/>
                <w:lang w:val="en-US" w:eastAsia="zh-CN"/>
              </w:rPr>
              <w:t>本项目与《衡阳市人民政府关于实施“三线一单”生态环境分区管控的意见》符合性详见下表。</w:t>
            </w:r>
          </w:p>
          <w:p>
            <w:pPr>
              <w:bidi w:val="0"/>
              <w:jc w:val="center"/>
              <w:outlineLvl w:val="9"/>
              <w:rPr>
                <w:rFonts w:hint="default"/>
                <w:b/>
                <w:bCs/>
                <w:color w:val="auto"/>
                <w:u w:val="none"/>
                <w:lang w:val="en-US" w:eastAsia="zh-CN"/>
              </w:rPr>
            </w:pPr>
            <w:r>
              <w:rPr>
                <w:rFonts w:hint="eastAsia"/>
                <w:b/>
                <w:bCs/>
                <w:color w:val="auto"/>
                <w:u w:val="none"/>
                <w:lang w:val="en-US" w:eastAsia="zh-CN"/>
              </w:rPr>
              <w:t>表1-1  与《衡阳市人民政府关于实施“三线一单”生态环境分区管控的意见》符合性分析</w:t>
            </w:r>
          </w:p>
          <w:tbl>
            <w:tblPr>
              <w:tblStyle w:val="27"/>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4571"/>
              <w:gridCol w:w="2009"/>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05" w:type="pct"/>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rPr>
                      <w:rStyle w:val="70"/>
                      <w:rFonts w:hint="default" w:ascii="Times New Roman" w:hAnsi="Times New Roman" w:eastAsia="宋体" w:cs="Times New Roman"/>
                      <w:color w:val="auto"/>
                      <w:sz w:val="21"/>
                      <w:szCs w:val="21"/>
                      <w:u w:val="none"/>
                      <w:lang w:val="en-US"/>
                    </w:rPr>
                  </w:pPr>
                  <w:r>
                    <w:rPr>
                      <w:rStyle w:val="70"/>
                      <w:rFonts w:hint="eastAsia" w:cs="Times New Roman"/>
                      <w:color w:val="auto"/>
                      <w:sz w:val="21"/>
                      <w:szCs w:val="21"/>
                      <w:u w:val="none"/>
                      <w:lang w:val="en-US"/>
                    </w:rPr>
                    <w:t>属性/区域</w:t>
                  </w:r>
                </w:p>
              </w:tc>
              <w:tc>
                <w:tcPr>
                  <w:tcW w:w="2471" w:type="pct"/>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rPr>
                      <w:rStyle w:val="70"/>
                      <w:rFonts w:hint="default" w:ascii="Times New Roman" w:hAnsi="Times New Roman" w:eastAsia="宋体" w:cs="Times New Roman"/>
                      <w:color w:val="auto"/>
                      <w:sz w:val="21"/>
                      <w:szCs w:val="21"/>
                      <w:u w:val="none"/>
                      <w:lang w:val="en-US"/>
                    </w:rPr>
                  </w:pPr>
                  <w:r>
                    <w:rPr>
                      <w:rStyle w:val="70"/>
                      <w:rFonts w:hint="eastAsia" w:cs="Times New Roman"/>
                      <w:color w:val="auto"/>
                      <w:sz w:val="21"/>
                      <w:szCs w:val="21"/>
                      <w:u w:val="none"/>
                      <w:lang w:val="en-US"/>
                    </w:rPr>
                    <w:t>管控要求</w:t>
                  </w:r>
                </w:p>
              </w:tc>
              <w:tc>
                <w:tcPr>
                  <w:tcW w:w="10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color w:val="auto"/>
                      <w:sz w:val="21"/>
                      <w:szCs w:val="21"/>
                      <w:u w:val="none"/>
                    </w:rPr>
                  </w:pPr>
                  <w:r>
                    <w:rPr>
                      <w:color w:val="auto"/>
                      <w:sz w:val="21"/>
                      <w:szCs w:val="21"/>
                      <w:u w:val="none"/>
                    </w:rPr>
                    <w:t>本项目</w:t>
                  </w:r>
                  <w:r>
                    <w:rPr>
                      <w:rFonts w:hint="eastAsia"/>
                      <w:color w:val="auto"/>
                      <w:sz w:val="21"/>
                      <w:szCs w:val="21"/>
                      <w:u w:val="none"/>
                      <w:lang w:val="en-US" w:eastAsia="zh-CN"/>
                    </w:rPr>
                    <w:t>情况</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72" w:leftChars="-30" w:right="-72" w:rightChars="-30"/>
                    <w:jc w:val="center"/>
                    <w:textAlignment w:val="auto"/>
                    <w:rPr>
                      <w:rStyle w:val="70"/>
                      <w:rFonts w:hint="default" w:ascii="Times New Roman" w:hAnsi="Times New Roman" w:eastAsia="宋体" w:cs="Times New Roman"/>
                      <w:color w:val="auto"/>
                      <w:sz w:val="21"/>
                      <w:szCs w:val="21"/>
                      <w:u w:val="none"/>
                    </w:rPr>
                  </w:pPr>
                  <w:r>
                    <w:rPr>
                      <w:color w:val="auto"/>
                      <w:sz w:val="21"/>
                      <w:szCs w:val="21"/>
                      <w:u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3" w:type="dxa"/>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rPr>
                      <w:rStyle w:val="70"/>
                      <w:rFonts w:hint="default" w:ascii="Times New Roman" w:hAnsi="Times New Roman" w:eastAsia="宋体" w:cs="Times New Roman"/>
                      <w:color w:val="auto"/>
                      <w:sz w:val="21"/>
                      <w:szCs w:val="21"/>
                      <w:u w:val="none"/>
                      <w:lang w:val="en-US"/>
                    </w:rPr>
                  </w:pPr>
                  <w:r>
                    <w:rPr>
                      <w:rFonts w:hint="default"/>
                      <w:color w:val="auto"/>
                      <w:u w:val="none"/>
                    </w:rPr>
                    <w:t>空间布局约束</w:t>
                  </w:r>
                </w:p>
              </w:tc>
              <w:tc>
                <w:tcPr>
                  <w:tcW w:w="3694" w:type="dxa"/>
                  <w:tcBorders>
                    <w:tl2br w:val="nil"/>
                    <w:tr2bl w:val="nil"/>
                  </w:tcBorders>
                  <w:noWrap w:val="0"/>
                  <w:vAlign w:val="center"/>
                </w:tcPr>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both"/>
                    <w:rPr>
                      <w:rFonts w:hint="eastAsia"/>
                      <w:color w:val="auto"/>
                      <w:u w:val="none"/>
                      <w:lang w:val="en-US" w:eastAsia="zh-CN"/>
                    </w:rPr>
                  </w:pPr>
                  <w:r>
                    <w:rPr>
                      <w:rFonts w:hint="eastAsia"/>
                      <w:color w:val="auto"/>
                      <w:u w:val="none"/>
                      <w:lang w:val="en-US" w:eastAsia="zh-CN"/>
                    </w:rPr>
                    <w:t>(1.1）全面落实主体功能区规划，优化发展空间布局。以《衡阳市城市总体规划（2006—2020)》为指导，根据资源环境承载能力、现有开发密度和发展潜力，统筹考虑未来的人口分布、经济布局、城镇化格局和国土利用，将全市国土空间划分为已建区域、适宜开发区域、限制开发区域、禁止开发区域四大类主体功能区。</w:t>
                  </w:r>
                </w:p>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both"/>
                    <w:rPr>
                      <w:rFonts w:hint="eastAsia"/>
                      <w:color w:val="auto"/>
                      <w:u w:val="none"/>
                      <w:lang w:val="en-US" w:eastAsia="zh-CN"/>
                    </w:rPr>
                  </w:pPr>
                  <w:r>
                    <w:rPr>
                      <w:rFonts w:hint="eastAsia"/>
                      <w:color w:val="auto"/>
                      <w:u w:val="none"/>
                      <w:lang w:val="en-US" w:eastAsia="zh-CN"/>
                    </w:rPr>
                    <w:t>(1.2）强化主体功能区划约束，科学制定重点行业发展规划，严格限制在生态脆弱或环境敏感地区建设“两高”行业项目。在全市范围内对淘汰类“散乱污”企业依法依规完成关停取缔。</w:t>
                  </w:r>
                </w:p>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both"/>
                    <w:rPr>
                      <w:rFonts w:hint="eastAsia"/>
                      <w:color w:val="auto"/>
                      <w:u w:val="none"/>
                      <w:lang w:val="en-US" w:eastAsia="zh-CN"/>
                    </w:rPr>
                  </w:pPr>
                  <w:r>
                    <w:rPr>
                      <w:rFonts w:hint="eastAsia"/>
                      <w:color w:val="auto"/>
                      <w:u w:val="none"/>
                      <w:lang w:val="en-US" w:eastAsia="zh-CN"/>
                    </w:rPr>
                    <w:t>(1.3）进一步鼓励产业集聚发展，统筹开展全市范围内“散乱污”企业综合整治。基本完成产业园区外重化企业搬迁入园和园区循环化改造。</w:t>
                  </w:r>
                </w:p>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both"/>
                    <w:rPr>
                      <w:rFonts w:hint="eastAsia"/>
                      <w:color w:val="auto"/>
                      <w:u w:val="none"/>
                      <w:lang w:val="en-US" w:eastAsia="zh-CN"/>
                    </w:rPr>
                  </w:pPr>
                  <w:r>
                    <w:rPr>
                      <w:rFonts w:hint="eastAsia"/>
                      <w:color w:val="auto"/>
                      <w:u w:val="none"/>
                      <w:lang w:val="en-US" w:eastAsia="zh-CN"/>
                    </w:rPr>
                    <w:t>(1.4)严格执行相关行业企业布局选址要求，禁止在商住、学校、医疗、养老机构、人口密集区和公共服务设施等周边新建有色金属冶炼、化工等行业企业。</w:t>
                  </w:r>
                </w:p>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both"/>
                    <w:rPr>
                      <w:rFonts w:hint="default" w:ascii="Times New Roman" w:hAnsi="Times New Roman" w:eastAsia="宋体" w:cs="Times New Roman"/>
                      <w:color w:val="auto"/>
                      <w:sz w:val="21"/>
                      <w:szCs w:val="21"/>
                      <w:u w:val="none"/>
                      <w:lang w:val="en-US" w:eastAsia="zh-CN"/>
                    </w:rPr>
                  </w:pPr>
                  <w:r>
                    <w:rPr>
                      <w:rFonts w:hint="eastAsia"/>
                      <w:color w:val="auto"/>
                      <w:u w:val="none"/>
                      <w:lang w:val="en-US" w:eastAsia="zh-CN"/>
                    </w:rPr>
                    <w:t>(1.5）湘江沿江岸线1公里范围内，严禁新建、扩建化工园区、化工生产项目;严禁现有合规化工园区在沿江岸线1公里范围内靠江扩建;安全环保达标的化工生产企业因生产需要可向背江一面逐步搬迁。</w:t>
                  </w:r>
                </w:p>
              </w:tc>
              <w:tc>
                <w:tcPr>
                  <w:tcW w:w="1624" w:type="dxa"/>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ind w:firstLine="0" w:firstLineChars="0"/>
                    <w:jc w:val="center"/>
                    <w:rPr>
                      <w:rStyle w:val="70"/>
                      <w:rFonts w:hint="default" w:ascii="Times New Roman" w:hAnsi="Times New Roman" w:eastAsia="宋体" w:cs="Times New Roman"/>
                      <w:color w:val="auto"/>
                      <w:sz w:val="21"/>
                      <w:szCs w:val="21"/>
                      <w:u w:val="none"/>
                      <w:lang w:val="en-US" w:eastAsia="zh-CN"/>
                    </w:rPr>
                  </w:pPr>
                  <w:r>
                    <w:rPr>
                      <w:rFonts w:hint="default"/>
                      <w:color w:val="auto"/>
                      <w:u w:val="none"/>
                      <w:lang w:val="en-US" w:eastAsia="zh-CN"/>
                    </w:rPr>
                    <w:t>本项目</w:t>
                  </w:r>
                  <w:r>
                    <w:rPr>
                      <w:rFonts w:hint="eastAsia"/>
                      <w:color w:val="auto"/>
                      <w:u w:val="none"/>
                      <w:lang w:val="en-US" w:eastAsia="zh-CN"/>
                    </w:rPr>
                    <w:t>不涉及新增用地</w:t>
                  </w:r>
                </w:p>
              </w:tc>
              <w:tc>
                <w:tcPr>
                  <w:tcW w:w="636" w:type="pct"/>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rPr>
                      <w:rStyle w:val="70"/>
                      <w:rFonts w:hint="default" w:ascii="Times New Roman" w:hAnsi="Times New Roman" w:eastAsia="宋体" w:cs="Times New Roman"/>
                      <w:color w:val="auto"/>
                      <w:sz w:val="21"/>
                      <w:szCs w:val="21"/>
                      <w:u w:val="none"/>
                    </w:rPr>
                  </w:pPr>
                  <w:r>
                    <w:rPr>
                      <w:rStyle w:val="70"/>
                      <w:rFonts w:hint="default" w:ascii="Times New Roman" w:hAnsi="Times New Roman" w:eastAsia="宋体" w:cs="Times New Roman"/>
                      <w:color w:val="auto"/>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dxa"/>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kern w:val="0"/>
                      <w:sz w:val="21"/>
                      <w:szCs w:val="21"/>
                      <w:u w:val="none"/>
                      <w:lang w:val="en-US" w:eastAsia="zh-CN"/>
                    </w:rPr>
                  </w:pPr>
                  <w:r>
                    <w:rPr>
                      <w:rFonts w:hint="default"/>
                      <w:color w:val="auto"/>
                      <w:u w:val="none"/>
                    </w:rPr>
                    <w:t>污染物排放管控</w:t>
                  </w:r>
                </w:p>
              </w:tc>
              <w:tc>
                <w:tcPr>
                  <w:tcW w:w="3694" w:type="dxa"/>
                  <w:tcBorders>
                    <w:tl2br w:val="nil"/>
                    <w:tr2bl w:val="nil"/>
                  </w:tcBorders>
                  <w:noWrap w:val="0"/>
                  <w:vAlign w:val="center"/>
                </w:tcPr>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left"/>
                    <w:rPr>
                      <w:rFonts w:hint="eastAsia"/>
                      <w:color w:val="auto"/>
                      <w:u w:val="none"/>
                      <w:lang w:val="en-US" w:eastAsia="zh-CN"/>
                    </w:rPr>
                  </w:pPr>
                  <w:r>
                    <w:rPr>
                      <w:rFonts w:hint="eastAsia"/>
                      <w:color w:val="auto"/>
                      <w:u w:val="none"/>
                      <w:lang w:val="en-US" w:eastAsia="zh-CN"/>
                    </w:rPr>
                    <w:t>(2.1）全市淘汰10 蒸吨及以下燃煤锅炉。新、改、扩建项目二氧化硫、氮氧化物污染物须实行两倍削减替代。(2.2）以钢铁、建材、化工、有色金属冶炼等行业为重点，全面推进清洁生产技术改造，注重过程控制。全市国家级园区和省级工业园区建成大气污染网格化综合监管平台，建设网格化监测微型站，加强特征污染物和环境质量监测;积极推进火电、钢铁、建材、平板玻璃、有色、化工等重点行业以及符合政策予以保留的在用燃煤锅炉环保设施升级改造，实现连续稳定达标排放。强化工业企业无组织排放管控。实行重点地区和重点行业特别排放限值要求。</w:t>
                  </w:r>
                </w:p>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left"/>
                    <w:rPr>
                      <w:rFonts w:hint="eastAsia"/>
                      <w:color w:val="auto"/>
                      <w:u w:val="none"/>
                      <w:lang w:val="en-US" w:eastAsia="zh-CN"/>
                    </w:rPr>
                  </w:pPr>
                  <w:r>
                    <w:rPr>
                      <w:rFonts w:hint="eastAsia"/>
                      <w:color w:val="auto"/>
                      <w:u w:val="none"/>
                      <w:lang w:val="en-US" w:eastAsia="zh-CN"/>
                    </w:rPr>
                    <w:t>(2.3）加强在用机动车污染防治，管控非道路移动机械和船舶污染。坚持扬尘污染治理。严禁秸和露天焚烧。(2.4）督促涉重金属企业严格落实各项要求，对未经审批的建设项目，一律停止建设;对未按时完成实施方案规定要求、无污染治理设施、污染治理设施运行不正常或超标排放的，一律停产整治;对整治无望或限期整治后仍达不到相关要求的，依法予以关停。</w:t>
                  </w:r>
                </w:p>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left"/>
                    <w:rPr>
                      <w:rFonts w:hint="default" w:ascii="Times New Roman" w:hAnsi="Times New Roman" w:eastAsia="宋体" w:cs="Times New Roman"/>
                      <w:color w:val="auto"/>
                      <w:sz w:val="21"/>
                      <w:szCs w:val="21"/>
                      <w:u w:val="none"/>
                      <w:lang w:val="en-US" w:eastAsia="zh-CN"/>
                    </w:rPr>
                  </w:pPr>
                  <w:r>
                    <w:rPr>
                      <w:rFonts w:hint="eastAsia"/>
                      <w:color w:val="auto"/>
                      <w:u w:val="none"/>
                      <w:lang w:val="en-US" w:eastAsia="zh-CN"/>
                    </w:rPr>
                    <w:t>(2.5）充分利用环境监测网格，重点监管有色金属冶炼、有色金属矿采选、化工、电解锰、电镀、制革、石油加工、危险废物经营等重点行业，以及产粮（油〉大县、绿色食品（原料）基地、县级以上城市建成区等区域，重点监控土壤中镉、汞、砷、铅、铬、锑等重金属和多环芳经、石油经、卤代经等有机污染物。</w:t>
                  </w:r>
                </w:p>
              </w:tc>
              <w:tc>
                <w:tcPr>
                  <w:tcW w:w="162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both"/>
                    <w:rPr>
                      <w:rStyle w:val="70"/>
                      <w:rFonts w:hint="default" w:ascii="Times New Roman" w:hAnsi="Times New Roman" w:eastAsia="宋体" w:cs="Times New Roman"/>
                      <w:color w:val="auto"/>
                      <w:sz w:val="21"/>
                      <w:szCs w:val="21"/>
                      <w:u w:val="none"/>
                      <w:lang w:val="en-US" w:eastAsia="zh-CN"/>
                    </w:rPr>
                  </w:pPr>
                  <w:r>
                    <w:rPr>
                      <w:rFonts w:hint="default"/>
                      <w:color w:val="auto"/>
                      <w:sz w:val="21"/>
                      <w:szCs w:val="21"/>
                      <w:u w:val="none"/>
                      <w:lang w:val="en-US" w:eastAsia="zh-CN"/>
                    </w:rPr>
                    <w:t>本项目</w:t>
                  </w:r>
                  <w:r>
                    <w:rPr>
                      <w:rFonts w:hint="eastAsia"/>
                      <w:color w:val="auto"/>
                      <w:sz w:val="21"/>
                      <w:szCs w:val="21"/>
                      <w:u w:val="none"/>
                      <w:lang w:val="en-US" w:eastAsia="zh-CN"/>
                    </w:rPr>
                    <w:t>为除险加固工程，不属于高污染项目</w:t>
                  </w:r>
                </w:p>
              </w:tc>
              <w:tc>
                <w:tcPr>
                  <w:tcW w:w="636" w:type="pct"/>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rPr>
                      <w:rStyle w:val="70"/>
                      <w:rFonts w:hint="default" w:ascii="Times New Roman" w:hAnsi="Times New Roman" w:eastAsia="宋体" w:cs="Times New Roman"/>
                      <w:color w:val="auto"/>
                      <w:sz w:val="21"/>
                      <w:szCs w:val="21"/>
                      <w:u w:val="none"/>
                    </w:rPr>
                  </w:pPr>
                  <w:r>
                    <w:rPr>
                      <w:rStyle w:val="70"/>
                      <w:rFonts w:hint="default" w:ascii="Times New Roman" w:hAnsi="Times New Roman" w:eastAsia="宋体" w:cs="Times New Roman"/>
                      <w:color w:val="auto"/>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dxa"/>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color w:val="auto"/>
                      <w:kern w:val="0"/>
                      <w:sz w:val="21"/>
                      <w:szCs w:val="21"/>
                      <w:u w:val="none"/>
                      <w:lang w:val="en-US" w:eastAsia="zh-CN"/>
                    </w:rPr>
                  </w:pPr>
                  <w:r>
                    <w:rPr>
                      <w:rFonts w:hint="eastAsia"/>
                      <w:color w:val="auto"/>
                      <w:u w:val="none"/>
                      <w:lang w:val="en-US" w:eastAsia="zh-CN"/>
                    </w:rPr>
                    <w:t>环境风险防控</w:t>
                  </w:r>
                </w:p>
              </w:tc>
              <w:tc>
                <w:tcPr>
                  <w:tcW w:w="3694" w:type="dxa"/>
                  <w:tcBorders>
                    <w:tl2br w:val="nil"/>
                    <w:tr2bl w:val="nil"/>
                  </w:tcBorders>
                  <w:noWrap w:val="0"/>
                  <w:vAlign w:val="center"/>
                </w:tcPr>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both"/>
                    <w:rPr>
                      <w:rFonts w:hint="eastAsia"/>
                      <w:color w:val="auto"/>
                      <w:u w:val="none"/>
                      <w:lang w:val="en-US" w:eastAsia="zh-CN"/>
                    </w:rPr>
                  </w:pPr>
                  <w:r>
                    <w:rPr>
                      <w:rFonts w:hint="eastAsia"/>
                      <w:color w:val="auto"/>
                      <w:u w:val="none"/>
                      <w:lang w:val="en-US" w:eastAsia="zh-CN"/>
                    </w:rPr>
                    <w:t>(3.1)向环境排放污染物的企业事业单位，生产、贮存、经营、使用、运输危险化学品的企业事业单位，产生、收集、贮存、运输、利用、处置危险废物的企业事业单位，以及其他可能发生突发环境事件的单位应编制突发环境事件应急预案。</w:t>
                  </w:r>
                </w:p>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both"/>
                    <w:rPr>
                      <w:rFonts w:hint="eastAsia"/>
                      <w:color w:val="auto"/>
                      <w:u w:val="none"/>
                      <w:lang w:val="en-US" w:eastAsia="zh-CN"/>
                    </w:rPr>
                  </w:pPr>
                  <w:r>
                    <w:rPr>
                      <w:rFonts w:hint="eastAsia"/>
                      <w:color w:val="auto"/>
                      <w:u w:val="none"/>
                      <w:lang w:val="en-US" w:eastAsia="zh-CN"/>
                    </w:rPr>
                    <w:t>(3.2）加强重金属污染风险防控。推进全过程污染防控，设定有色金属企业进入门槛，对新进、新建企业设置技术和环保门槛，引进具备先进采选冶炼技术的大型企业进驻工业园区等手段全面促进产业技术升级，涉重产业发展规划必须开展规划环境影响评价，积极开展涉重金属企业产业结构调整，对规模小、污染排放高、经济效益差、环境风险隐患突出的企业实施关停并转，加快淘汰落后生产能力，对于生产工艺落后、浪费资源、破坏环境的企业坚决关停淘汰。各县(市、区）要对本辖区的所有新（改、扩）建涉重金属重点行业项目进行统筹考虑。新（改、扩）建涉重金属重点行业建设项目必须遵循重点重金属污染物排放“减量置换"或"等量置换"原则，有明确具体的重金属污染物排放总量来源;无明确总量来源的，各级环保部门不得批准相关环境影响评价文件。</w:t>
                  </w:r>
                </w:p>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both"/>
                    <w:rPr>
                      <w:rFonts w:hint="eastAsia"/>
                      <w:color w:val="auto"/>
                      <w:u w:val="none"/>
                      <w:lang w:val="en-US" w:eastAsia="zh-CN"/>
                    </w:rPr>
                  </w:pPr>
                  <w:r>
                    <w:rPr>
                      <w:rFonts w:hint="eastAsia"/>
                      <w:color w:val="auto"/>
                      <w:u w:val="none"/>
                      <w:lang w:val="en-US" w:eastAsia="zh-CN"/>
                    </w:rPr>
                    <w:t>(3.3）强化源头预防，深入推进重点区域和重点行业土壤重金属污染综合整治，部分重点区域实现土壤环境质量明显改善，遏止污染事故的发生。制定实施受污染耕地安全利用方案，采取农艺调控、化学阻控、替代种植等措施,降低农产品重金属超标风险。暂时不能进行治理修复的污染地块，设置标志标识围栏，根据各地块的环境因地制宜采取建设撤洪导流沟渠、地表覆盖等措施减少雨水冲刷等风险管控措施。在未完成治理并通过验收前，不得用于农业、畜牧业以及工商业开发建设。</w:t>
                  </w:r>
                </w:p>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both"/>
                    <w:rPr>
                      <w:rFonts w:hint="eastAsia"/>
                      <w:color w:val="auto"/>
                      <w:u w:val="none"/>
                      <w:lang w:val="en-US" w:eastAsia="zh-CN"/>
                    </w:rPr>
                  </w:pPr>
                  <w:r>
                    <w:rPr>
                      <w:rFonts w:hint="eastAsia"/>
                      <w:color w:val="auto"/>
                      <w:u w:val="none"/>
                      <w:lang w:val="en-US" w:eastAsia="zh-CN"/>
                    </w:rPr>
                    <w:t>(3.4）加强土壤污染风险防控能力建设。提高突发土壤环境事件应急能力，完善各级环境污染事件应急预案，加强环境应急管理、技术支撑、处置救援能力建设。</w:t>
                  </w:r>
                </w:p>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both"/>
                    <w:rPr>
                      <w:rFonts w:hint="eastAsia"/>
                      <w:color w:val="auto"/>
                      <w:u w:val="none"/>
                      <w:lang w:val="en-US" w:eastAsia="zh-CN"/>
                    </w:rPr>
                  </w:pPr>
                  <w:r>
                    <w:rPr>
                      <w:rFonts w:hint="eastAsia"/>
                      <w:color w:val="auto"/>
                      <w:u w:val="none"/>
                      <w:lang w:val="en-US" w:eastAsia="zh-CN"/>
                    </w:rPr>
                    <w:t>(3.5）县市区、重点乡镇（街道）及工业园区要配备必要的土壤污染快速检测等执法装备。对全市环境执法人员每3年开展1轮土壤污染防治专业技术培训。提高突发土壤环境事件应急能力，完善各级环境污染事件应急预案，加强环境应急管理、技术支撑、处置救援能力建设。</w:t>
                  </w:r>
                </w:p>
                <w:p>
                  <w:pPr>
                    <w:pStyle w:val="37"/>
                    <w:keepNext w:val="0"/>
                    <w:keepLines w:val="0"/>
                    <w:pageBreakBefore w:val="0"/>
                    <w:numPr>
                      <w:ilvl w:val="0"/>
                      <w:numId w:val="0"/>
                    </w:numPr>
                    <w:kinsoku/>
                    <w:wordWrap/>
                    <w:overflowPunct/>
                    <w:topLinePunct w:val="0"/>
                    <w:autoSpaceDE/>
                    <w:autoSpaceDN/>
                    <w:bidi w:val="0"/>
                    <w:spacing w:line="240" w:lineRule="auto"/>
                    <w:ind w:left="0" w:leftChars="0" w:firstLine="0" w:firstLineChars="0"/>
                    <w:jc w:val="both"/>
                    <w:rPr>
                      <w:rFonts w:hint="default" w:ascii="Times New Roman" w:hAnsi="Times New Roman" w:eastAsia="宋体" w:cs="Times New Roman"/>
                      <w:color w:val="auto"/>
                      <w:sz w:val="21"/>
                      <w:szCs w:val="21"/>
                      <w:u w:val="none"/>
                      <w:lang w:val="en-US" w:eastAsia="zh-CN"/>
                    </w:rPr>
                  </w:pPr>
                  <w:r>
                    <w:rPr>
                      <w:rFonts w:hint="eastAsia"/>
                      <w:color w:val="auto"/>
                      <w:u w:val="none"/>
                      <w:lang w:val="en-US" w:eastAsia="zh-CN"/>
                    </w:rPr>
                    <w:t>(3.6）结合土壤污染状况详查情况，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士地用途。</w:t>
                  </w:r>
                </w:p>
              </w:tc>
              <w:tc>
                <w:tcPr>
                  <w:tcW w:w="162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color w:val="auto"/>
                      <w:sz w:val="21"/>
                      <w:szCs w:val="21"/>
                      <w:u w:val="none"/>
                      <w:lang w:eastAsia="zh-CN"/>
                    </w:rPr>
                  </w:pPr>
                  <w:r>
                    <w:rPr>
                      <w:rFonts w:hint="eastAsia"/>
                      <w:color w:val="auto"/>
                      <w:sz w:val="21"/>
                      <w:szCs w:val="21"/>
                      <w:u w:val="none"/>
                      <w:lang w:val="en-US" w:eastAsia="zh-CN"/>
                    </w:rPr>
                    <w:t>本项目周边未发现</w:t>
                  </w:r>
                  <w:r>
                    <w:rPr>
                      <w:rFonts w:hint="default"/>
                      <w:color w:val="auto"/>
                      <w:sz w:val="21"/>
                      <w:szCs w:val="21"/>
                      <w:u w:val="none"/>
                    </w:rPr>
                    <w:t>濒危野生动植物</w:t>
                  </w:r>
                  <w:r>
                    <w:rPr>
                      <w:rFonts w:hint="eastAsia"/>
                      <w:color w:val="auto"/>
                      <w:sz w:val="21"/>
                      <w:szCs w:val="21"/>
                      <w:u w:val="none"/>
                      <w:lang w:val="en-US" w:eastAsia="zh-CN"/>
                    </w:rPr>
                    <w:t>及保护区域</w:t>
                  </w:r>
                </w:p>
              </w:tc>
              <w:tc>
                <w:tcPr>
                  <w:tcW w:w="636" w:type="pct"/>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rPr>
                      <w:rStyle w:val="70"/>
                      <w:rFonts w:hint="default" w:ascii="Times New Roman" w:hAnsi="Times New Roman" w:eastAsia="宋体" w:cs="Times New Roman"/>
                      <w:color w:val="auto"/>
                      <w:sz w:val="21"/>
                      <w:szCs w:val="21"/>
                      <w:u w:val="none"/>
                      <w:lang w:val="en-US"/>
                    </w:rPr>
                  </w:pPr>
                  <w:r>
                    <w:rPr>
                      <w:rStyle w:val="70"/>
                      <w:rFonts w:hint="eastAsia" w:cs="Times New Roman"/>
                      <w:color w:val="auto"/>
                      <w:sz w:val="21"/>
                      <w:szCs w:val="21"/>
                      <w:u w:val="none"/>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3" w:type="dxa"/>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color w:val="auto"/>
                      <w:kern w:val="0"/>
                      <w:sz w:val="21"/>
                      <w:szCs w:val="21"/>
                      <w:u w:val="none"/>
                      <w:lang w:val="en-US" w:eastAsia="zh-CN"/>
                    </w:rPr>
                  </w:pPr>
                  <w:r>
                    <w:rPr>
                      <w:rFonts w:hint="default"/>
                      <w:color w:val="auto"/>
                      <w:u w:val="none"/>
                    </w:rPr>
                    <w:t>资源开发效率要求</w:t>
                  </w:r>
                </w:p>
              </w:tc>
              <w:tc>
                <w:tcPr>
                  <w:tcW w:w="3694" w:type="dxa"/>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both"/>
                    <w:rPr>
                      <w:rFonts w:hint="default"/>
                      <w:color w:val="auto"/>
                      <w:u w:val="none"/>
                    </w:rPr>
                  </w:pPr>
                  <w:r>
                    <w:rPr>
                      <w:rFonts w:hint="default"/>
                      <w:color w:val="auto"/>
                      <w:u w:val="none"/>
                    </w:rPr>
                    <w:t>(4.1）能源资源:(1)提高能源支撑保障能力、加快转变能源发展方式、推进能源结构调整、促进节能减排。(2)加快能源设施建设，提高能源生产及运输能力，增强经济社会发展能源保障。提高资源利用率，加快发展风电，积极推进城市生活垃圾焚烧发电、生物质发电。推广发展沼气、生物质燃料等农村能源使用。鼓励发展热电联产和余热(气)余压利用、天然气分布式能源。(3)禁燃区内生产和生活使用的常规燃料按照《高污染燃料目录》“ⅢI类（严格)"进行管控。</w:t>
                  </w:r>
                </w:p>
                <w:p>
                  <w:pPr>
                    <w:pStyle w:val="37"/>
                    <w:keepNext w:val="0"/>
                    <w:keepLines w:val="0"/>
                    <w:pageBreakBefore w:val="0"/>
                    <w:kinsoku/>
                    <w:wordWrap/>
                    <w:overflowPunct/>
                    <w:topLinePunct w:val="0"/>
                    <w:autoSpaceDE/>
                    <w:autoSpaceDN/>
                    <w:bidi w:val="0"/>
                    <w:spacing w:line="240" w:lineRule="auto"/>
                    <w:ind w:left="0" w:leftChars="0" w:firstLine="0" w:firstLineChars="0"/>
                    <w:jc w:val="both"/>
                    <w:rPr>
                      <w:rFonts w:hint="default"/>
                      <w:color w:val="auto"/>
                      <w:u w:val="none"/>
                    </w:rPr>
                  </w:pPr>
                  <w:r>
                    <w:rPr>
                      <w:rFonts w:hint="default"/>
                      <w:color w:val="auto"/>
                      <w:u w:val="none"/>
                    </w:rPr>
                    <w:t>(4.2）水资源:1强化工业节水，淘汰落后的用水技术、工艺、产品和设备，重点开展火电、钢铁、石化、化工、印染、造纸、食品等高耗水工业行业节水技术改造，大力推广工业水循环利用，推进节水型企业、节水型工业园区建设;2)加强地下水监督管理。实行地下水取用水总量和水位控制，加强矿泉水和地热水取用水管理，县市区人民政府要依法规范机井建设管理，限期关闭未经批准的和公共供水管网覆盖范围内的自备水井。加快实施国家地下水监测工程，完善地下水监测网络，实现对全市地下水水位、水量的动态有效监测。(3建立健全省、市、县级重点监控用水单位名录，强化取用水计量管理，对主要用水设备、工艺和水消耗情况及用水效率等进行监控管理，完善取用水统计和核查体系，建立健全用水统计台账。(4)到2020年，水资源消耗总量和强度双控管理制度基本完善，双控措施有效落实，双控目标全面完成，初步实现城镇发展规模、人口规模、产业结构和布局等经济社会发展要素与水资源协调发展.各流域、各区域用水总量得到有效控制，地下水开发利用得到有效管控，全市年用水总量控制在35.1亿立方米以内。各流域、各区域用水强度得到有效控制，万元国内生产总值用水量、万元工业增加值用水量分别比2015年降低30%和32.7%;农田灌溉水有效利用系数提高到0.536 以上。</w:t>
                  </w:r>
                </w:p>
                <w:p>
                  <w:pPr>
                    <w:pStyle w:val="37"/>
                    <w:keepNext w:val="0"/>
                    <w:keepLines w:val="0"/>
                    <w:pageBreakBefore w:val="0"/>
                    <w:kinsoku/>
                    <w:wordWrap/>
                    <w:overflowPunct/>
                    <w:topLinePunct w:val="0"/>
                    <w:autoSpaceDE/>
                    <w:autoSpaceDN/>
                    <w:bidi w:val="0"/>
                    <w:spacing w:line="240" w:lineRule="auto"/>
                    <w:ind w:left="0" w:leftChars="0" w:firstLine="0" w:firstLineChars="0"/>
                    <w:jc w:val="both"/>
                    <w:rPr>
                      <w:rFonts w:hint="default" w:ascii="Times New Roman" w:hAnsi="Times New Roman" w:eastAsia="宋体" w:cs="Times New Roman"/>
                      <w:color w:val="auto"/>
                      <w:sz w:val="21"/>
                      <w:szCs w:val="21"/>
                      <w:u w:val="none"/>
                      <w:lang w:val="en-US" w:eastAsia="zh-CN"/>
                    </w:rPr>
                  </w:pPr>
                  <w:r>
                    <w:rPr>
                      <w:rFonts w:hint="default"/>
                      <w:color w:val="auto"/>
                      <w:u w:val="none"/>
                    </w:rPr>
                    <w:t>(4.3）鼓励工业企业集聚发展，提高土地节约集约利用水平，减少土壤污染。结合区域功能定位和土壤污染防治需要，科学布局生活垃圾处理、危险废物收集、处置与利用、废旧资源再生利用等设施和场所，合理确定畜禽养殖布局和规模,加强分区管理。</w:t>
                  </w:r>
                </w:p>
              </w:tc>
              <w:tc>
                <w:tcPr>
                  <w:tcW w:w="1624" w:type="dxa"/>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ind w:firstLine="0" w:firstLineChars="0"/>
                    <w:jc w:val="both"/>
                    <w:rPr>
                      <w:rFonts w:hint="default" w:ascii="Times New Roman" w:hAnsi="Times New Roman"/>
                      <w:color w:val="auto"/>
                      <w:sz w:val="21"/>
                      <w:szCs w:val="21"/>
                      <w:u w:val="none"/>
                      <w:lang w:val="en-US" w:eastAsia="zh-CN"/>
                    </w:rPr>
                  </w:pPr>
                  <w:r>
                    <w:rPr>
                      <w:rStyle w:val="70"/>
                      <w:rFonts w:hint="default" w:ascii="Times New Roman" w:hAnsi="Times New Roman" w:eastAsia="宋体" w:cs="Times New Roman"/>
                      <w:color w:val="auto"/>
                      <w:sz w:val="21"/>
                      <w:szCs w:val="21"/>
                      <w:u w:val="none"/>
                      <w:lang w:val="en-US"/>
                    </w:rPr>
                    <w:t>本项目使用能源主要为电能，</w:t>
                  </w:r>
                  <w:r>
                    <w:rPr>
                      <w:rStyle w:val="70"/>
                      <w:rFonts w:hint="eastAsia" w:cs="Times New Roman"/>
                      <w:color w:val="auto"/>
                      <w:sz w:val="21"/>
                      <w:szCs w:val="21"/>
                      <w:u w:val="none"/>
                      <w:lang w:val="en-US"/>
                    </w:rPr>
                    <w:t>且施工时间较短，能源消耗量较少</w:t>
                  </w:r>
                </w:p>
              </w:tc>
              <w:tc>
                <w:tcPr>
                  <w:tcW w:w="636" w:type="pct"/>
                  <w:tcBorders>
                    <w:tl2br w:val="nil"/>
                    <w:tr2bl w:val="nil"/>
                  </w:tcBorders>
                  <w:noWrap w:val="0"/>
                  <w:vAlign w:val="center"/>
                </w:tcPr>
                <w:p>
                  <w:pPr>
                    <w:pStyle w:val="37"/>
                    <w:keepNext w:val="0"/>
                    <w:keepLines w:val="0"/>
                    <w:pageBreakBefore w:val="0"/>
                    <w:kinsoku/>
                    <w:wordWrap/>
                    <w:overflowPunct/>
                    <w:topLinePunct w:val="0"/>
                    <w:autoSpaceDE/>
                    <w:autoSpaceDN/>
                    <w:bidi w:val="0"/>
                    <w:spacing w:line="240" w:lineRule="auto"/>
                    <w:ind w:left="0" w:leftChars="0" w:firstLine="0" w:firstLineChars="0"/>
                    <w:jc w:val="center"/>
                    <w:rPr>
                      <w:rStyle w:val="70"/>
                      <w:rFonts w:hint="default" w:ascii="Times New Roman" w:hAnsi="Times New Roman" w:eastAsia="宋体" w:cs="Times New Roman"/>
                      <w:color w:val="auto"/>
                      <w:sz w:val="21"/>
                      <w:szCs w:val="21"/>
                      <w:u w:val="none"/>
                      <w:lang w:val="en-US"/>
                    </w:rPr>
                  </w:pPr>
                  <w:r>
                    <w:rPr>
                      <w:rStyle w:val="70"/>
                      <w:rFonts w:hint="eastAsia" w:cs="Times New Roman"/>
                      <w:color w:val="auto"/>
                      <w:sz w:val="21"/>
                      <w:szCs w:val="21"/>
                      <w:u w:val="none"/>
                      <w:lang w:val="en-US"/>
                    </w:rPr>
                    <w:t>符合</w:t>
                  </w:r>
                </w:p>
              </w:tc>
            </w:tr>
          </w:tbl>
          <w:p>
            <w:pPr>
              <w:bidi w:val="0"/>
              <w:ind w:firstLine="480" w:firstLineChars="200"/>
              <w:jc w:val="both"/>
              <w:outlineLvl w:val="9"/>
              <w:rPr>
                <w:rFonts w:hint="eastAsia"/>
                <w:b/>
                <w:bCs/>
                <w:color w:val="auto"/>
                <w:u w:val="none"/>
                <w:lang w:val="en-US" w:eastAsia="zh-CN"/>
              </w:rPr>
            </w:pPr>
            <w:r>
              <w:rPr>
                <w:rFonts w:hint="eastAsia"/>
                <w:color w:val="auto"/>
                <w:u w:val="none"/>
                <w:lang w:val="en-US" w:eastAsia="zh-CN"/>
              </w:rPr>
              <w:t>综上，项目符合</w:t>
            </w:r>
            <w:r>
              <w:rPr>
                <w:rFonts w:hint="eastAsia"/>
                <w:b w:val="0"/>
                <w:bCs w:val="0"/>
                <w:color w:val="auto"/>
                <w:u w:val="none"/>
                <w:lang w:val="en-US" w:eastAsia="zh-CN"/>
              </w:rPr>
              <w:t>《衡阳市人民政府关于实施“三线一单”生态环境分区管控的意见》</w:t>
            </w:r>
            <w:r>
              <w:rPr>
                <w:rFonts w:hint="eastAsia"/>
                <w:color w:val="auto"/>
                <w:u w:val="none"/>
                <w:lang w:val="en-US" w:eastAsia="zh-CN"/>
              </w:rPr>
              <w:t>。</w:t>
            </w:r>
          </w:p>
          <w:p>
            <w:pPr>
              <w:bidi w:val="0"/>
              <w:ind w:firstLine="480" w:firstLineChars="200"/>
              <w:jc w:val="both"/>
              <w:outlineLvl w:val="9"/>
              <w:rPr>
                <w:rFonts w:hint="eastAsia"/>
                <w:b/>
                <w:bCs/>
                <w:color w:val="auto"/>
                <w:u w:val="none"/>
                <w:lang w:val="en-US" w:eastAsia="zh-CN"/>
              </w:rPr>
            </w:pPr>
            <w:r>
              <w:rPr>
                <w:rFonts w:hint="eastAsia"/>
                <w:b w:val="0"/>
                <w:bCs w:val="0"/>
                <w:color w:val="auto"/>
                <w:u w:val="none"/>
                <w:lang w:val="en-US" w:eastAsia="zh-CN"/>
              </w:rPr>
              <w:t>本项目位于鸟江镇，环境管控单元编码为ZH43042630003，属于一般管控单元。</w:t>
            </w:r>
          </w:p>
          <w:p>
            <w:pPr>
              <w:bidi w:val="0"/>
              <w:jc w:val="center"/>
              <w:outlineLvl w:val="9"/>
              <w:rPr>
                <w:rFonts w:hint="default"/>
                <w:b/>
                <w:bCs/>
                <w:color w:val="auto"/>
                <w:u w:val="none"/>
                <w:lang w:val="en-US" w:eastAsia="zh-CN"/>
              </w:rPr>
            </w:pPr>
            <w:r>
              <w:rPr>
                <w:rFonts w:hint="eastAsia"/>
                <w:b/>
                <w:bCs/>
                <w:color w:val="auto"/>
                <w:u w:val="none"/>
                <w:lang w:val="en-US" w:eastAsia="zh-CN"/>
              </w:rPr>
              <w:t>表1-2  鸟江镇环境管控单元生态环境准入清单一览表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751"/>
              <w:gridCol w:w="686"/>
              <w:gridCol w:w="1161"/>
              <w:gridCol w:w="912"/>
              <w:gridCol w:w="603"/>
              <w:gridCol w:w="215"/>
              <w:gridCol w:w="1304"/>
              <w:gridCol w:w="632"/>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环境管控单元编码</w:t>
                  </w:r>
                </w:p>
              </w:tc>
              <w:tc>
                <w:tcPr>
                  <w:tcW w:w="1751"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kern w:val="0"/>
                      <w:sz w:val="21"/>
                      <w:szCs w:val="21"/>
                      <w:u w:val="none" w:color="auto"/>
                    </w:rPr>
                    <w:t>ZH43042630003</w:t>
                  </w:r>
                </w:p>
              </w:tc>
              <w:tc>
                <w:tcPr>
                  <w:tcW w:w="1847" w:type="dxa"/>
                  <w:gridSpan w:val="2"/>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单元分类</w:t>
                  </w:r>
                </w:p>
              </w:tc>
              <w:tc>
                <w:tcPr>
                  <w:tcW w:w="1515" w:type="dxa"/>
                  <w:gridSpan w:val="2"/>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cs="Times New Roman"/>
                      <w:color w:val="000000"/>
                      <w:sz w:val="21"/>
                      <w:szCs w:val="21"/>
                      <w:u w:val="none" w:color="auto"/>
                      <w:vertAlign w:val="baseline"/>
                      <w:lang w:val="en-US" w:eastAsia="zh-CN"/>
                    </w:rPr>
                    <w:t>一般</w:t>
                  </w:r>
                  <w:r>
                    <w:rPr>
                      <w:rFonts w:hint="eastAsia" w:ascii="Times New Roman" w:hAnsi="Times New Roman" w:eastAsia="宋体" w:cs="Times New Roman"/>
                      <w:color w:val="000000"/>
                      <w:sz w:val="21"/>
                      <w:szCs w:val="21"/>
                      <w:u w:val="none" w:color="auto"/>
                      <w:vertAlign w:val="baseline"/>
                      <w:lang w:val="en-US" w:eastAsia="zh-CN"/>
                    </w:rPr>
                    <w:t>管控单元</w:t>
                  </w:r>
                </w:p>
              </w:tc>
              <w:tc>
                <w:tcPr>
                  <w:tcW w:w="1519" w:type="dxa"/>
                  <w:gridSpan w:val="2"/>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单元面积</w:t>
                  </w:r>
                </w:p>
              </w:tc>
              <w:tc>
                <w:tcPr>
                  <w:tcW w:w="1522" w:type="dxa"/>
                  <w:gridSpan w:val="2"/>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cs="Times New Roman"/>
                      <w:color w:val="000000"/>
                      <w:sz w:val="21"/>
                      <w:szCs w:val="21"/>
                      <w:u w:val="none" w:color="auto"/>
                      <w:vertAlign w:val="baseline"/>
                      <w:lang w:val="en-US" w:eastAsia="zh-CN"/>
                    </w:rPr>
                    <w:t>450.31</w:t>
                  </w:r>
                  <w:r>
                    <w:rPr>
                      <w:rFonts w:hint="eastAsia" w:ascii="Times New Roman" w:hAnsi="Times New Roman" w:eastAsia="宋体" w:cs="Times New Roman"/>
                      <w:color w:val="000000"/>
                      <w:sz w:val="21"/>
                      <w:szCs w:val="21"/>
                      <w:u w:val="none" w:color="auto"/>
                      <w:vertAlign w:val="baseline"/>
                      <w:lang w:val="en-US" w:eastAsia="zh-CN"/>
                    </w:rPr>
                    <w:t>km</w:t>
                  </w:r>
                  <w:r>
                    <w:rPr>
                      <w:rFonts w:hint="eastAsia" w:ascii="Times New Roman" w:hAnsi="Times New Roman" w:eastAsia="宋体" w:cs="Times New Roman"/>
                      <w:color w:val="000000"/>
                      <w:sz w:val="21"/>
                      <w:szCs w:val="21"/>
                      <w:u w:val="none" w:color="auto"/>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主体功能定位</w:t>
                  </w:r>
                </w:p>
              </w:tc>
              <w:tc>
                <w:tcPr>
                  <w:tcW w:w="1751" w:type="dxa"/>
                  <w:noWrap w:val="0"/>
                  <w:vAlign w:val="center"/>
                </w:tcPr>
                <w:p>
                  <w:pPr>
                    <w:numPr>
                      <w:ilvl w:val="0"/>
                      <w:numId w:val="0"/>
                    </w:numPr>
                    <w:bidi w:val="0"/>
                    <w:spacing w:line="240" w:lineRule="auto"/>
                    <w:jc w:val="center"/>
                    <w:rPr>
                      <w:rFonts w:hint="default" w:ascii="Times New Roman" w:hAnsi="Times New Roman" w:eastAsia="宋体" w:cs="Times New Roman"/>
                      <w:kern w:val="0"/>
                      <w:sz w:val="21"/>
                      <w:szCs w:val="21"/>
                      <w:u w:val="none" w:color="auto"/>
                      <w:lang w:val="en-US" w:eastAsia="zh-CN"/>
                    </w:rPr>
                  </w:pPr>
                  <w:r>
                    <w:rPr>
                      <w:rFonts w:hint="eastAsia" w:cs="Times New Roman"/>
                      <w:kern w:val="0"/>
                      <w:sz w:val="21"/>
                      <w:szCs w:val="21"/>
                      <w:u w:val="none" w:color="auto"/>
                      <w:lang w:val="en-US" w:eastAsia="zh-CN"/>
                    </w:rPr>
                    <w:t>国家层面农产品主产区</w:t>
                  </w:r>
                </w:p>
              </w:tc>
              <w:tc>
                <w:tcPr>
                  <w:tcW w:w="686"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cs="Times New Roman"/>
                      <w:color w:val="000000"/>
                      <w:sz w:val="21"/>
                      <w:szCs w:val="21"/>
                      <w:u w:val="none" w:color="auto"/>
                      <w:vertAlign w:val="baseline"/>
                      <w:lang w:val="en-US" w:eastAsia="zh-CN"/>
                    </w:rPr>
                    <w:t>涉及乡镇</w:t>
                  </w:r>
                </w:p>
              </w:tc>
              <w:tc>
                <w:tcPr>
                  <w:tcW w:w="1161"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cs="Times New Roman"/>
                      <w:color w:val="000000"/>
                      <w:sz w:val="21"/>
                      <w:szCs w:val="21"/>
                      <w:u w:val="none" w:color="auto"/>
                      <w:vertAlign w:val="baseline"/>
                      <w:lang w:val="en-US" w:eastAsia="zh-CN"/>
                    </w:rPr>
                    <w:t>鸟江镇</w:t>
                  </w:r>
                </w:p>
              </w:tc>
              <w:tc>
                <w:tcPr>
                  <w:tcW w:w="912"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cs="Times New Roman"/>
                      <w:color w:val="000000"/>
                      <w:sz w:val="21"/>
                      <w:szCs w:val="21"/>
                      <w:u w:val="none" w:color="auto"/>
                      <w:vertAlign w:val="baseline"/>
                      <w:lang w:val="en-US" w:eastAsia="zh-CN"/>
                    </w:rPr>
                    <w:t>经济产业布局</w:t>
                  </w:r>
                </w:p>
              </w:tc>
              <w:tc>
                <w:tcPr>
                  <w:tcW w:w="3644" w:type="dxa"/>
                  <w:gridSpan w:val="5"/>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cs="Times New Roman"/>
                      <w:color w:val="000000"/>
                      <w:sz w:val="21"/>
                      <w:szCs w:val="21"/>
                      <w:u w:val="none" w:color="auto"/>
                      <w:vertAlign w:val="baseline"/>
                      <w:lang w:val="en-US" w:eastAsia="zh-CN"/>
                    </w:rPr>
                    <w:t>矿产资源开采、建材、农副产品加工、烟花炮竹、旅游、物流、生态农业、烟草、畜禽养殖等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主要属性</w:t>
                  </w:r>
                </w:p>
              </w:tc>
              <w:tc>
                <w:tcPr>
                  <w:tcW w:w="8154" w:type="dxa"/>
                  <w:gridSpan w:val="9"/>
                  <w:noWrap w:val="0"/>
                  <w:vAlign w:val="center"/>
                </w:tcPr>
                <w:p>
                  <w:pPr>
                    <w:numPr>
                      <w:ilvl w:val="0"/>
                      <w:numId w:val="0"/>
                    </w:numPr>
                    <w:bidi w:val="0"/>
                    <w:spacing w:line="240" w:lineRule="auto"/>
                    <w:jc w:val="left"/>
                    <w:rPr>
                      <w:rFonts w:hint="eastAsia" w:cs="Times New Roman"/>
                      <w:color w:val="000000"/>
                      <w:sz w:val="21"/>
                      <w:szCs w:val="21"/>
                      <w:u w:val="none" w:color="auto"/>
                      <w:vertAlign w:val="baseline"/>
                      <w:lang w:val="en-US" w:eastAsia="zh-CN"/>
                    </w:rPr>
                  </w:pPr>
                  <w:r>
                    <w:rPr>
                      <w:rFonts w:hint="eastAsia" w:cs="Times New Roman"/>
                      <w:color w:val="000000"/>
                      <w:sz w:val="21"/>
                      <w:szCs w:val="21"/>
                      <w:u w:val="none" w:color="auto"/>
                      <w:vertAlign w:val="baseline"/>
                      <w:lang w:val="en-US" w:eastAsia="zh-CN"/>
                    </w:rPr>
                    <w:t>鸟江镇</w:t>
                  </w:r>
                  <w:r>
                    <w:rPr>
                      <w:rFonts w:hint="eastAsia" w:ascii="Times New Roman" w:hAnsi="Times New Roman" w:eastAsia="宋体" w:cs="Times New Roman"/>
                      <w:color w:val="000000"/>
                      <w:sz w:val="21"/>
                      <w:szCs w:val="21"/>
                      <w:u w:val="none" w:color="auto"/>
                      <w:vertAlign w:val="baseline"/>
                      <w:lang w:val="en-US" w:eastAsia="zh-CN"/>
                    </w:rPr>
                    <w:t>：</w:t>
                  </w:r>
                  <w:r>
                    <w:rPr>
                      <w:rFonts w:hint="eastAsia" w:cs="Times New Roman"/>
                      <w:color w:val="000000"/>
                      <w:sz w:val="21"/>
                      <w:szCs w:val="21"/>
                      <w:u w:val="none" w:color="auto"/>
                      <w:vertAlign w:val="baseline"/>
                      <w:lang w:val="en-US" w:eastAsia="zh-CN"/>
                    </w:rPr>
                    <w:t>红线/一般生态空间--公益林/湿地公园/水源涵养重要区</w:t>
                  </w:r>
                </w:p>
                <w:p>
                  <w:pPr>
                    <w:numPr>
                      <w:ilvl w:val="0"/>
                      <w:numId w:val="0"/>
                    </w:numPr>
                    <w:bidi w:val="0"/>
                    <w:spacing w:line="240" w:lineRule="auto"/>
                    <w:jc w:val="left"/>
                    <w:rPr>
                      <w:rFonts w:hint="eastAsia" w:cs="Times New Roman"/>
                      <w:color w:val="000000"/>
                      <w:sz w:val="21"/>
                      <w:szCs w:val="21"/>
                      <w:u w:val="none" w:color="auto"/>
                      <w:vertAlign w:val="baseline"/>
                      <w:lang w:val="en-US" w:eastAsia="zh-CN"/>
                    </w:rPr>
                  </w:pPr>
                  <w:r>
                    <w:rPr>
                      <w:rFonts w:hint="eastAsia" w:cs="Times New Roman"/>
                      <w:color w:val="000000"/>
                      <w:sz w:val="21"/>
                      <w:szCs w:val="21"/>
                      <w:u w:val="none" w:color="auto"/>
                      <w:vertAlign w:val="baseline"/>
                      <w:lang w:val="en-US" w:eastAsia="zh-CN"/>
                    </w:rPr>
                    <w:t>其他水环境重点管控区--祁东县鸟江大岭铅锌矿业有限公司鸟江大岭铅锌矿</w:t>
                  </w:r>
                </w:p>
                <w:p>
                  <w:pPr>
                    <w:numPr>
                      <w:ilvl w:val="0"/>
                      <w:numId w:val="0"/>
                    </w:numPr>
                    <w:bidi w:val="0"/>
                    <w:spacing w:line="240" w:lineRule="auto"/>
                    <w:jc w:val="left"/>
                    <w:rPr>
                      <w:rFonts w:hint="default" w:ascii="Times New Roman" w:hAnsi="Times New Roman" w:eastAsia="宋体" w:cs="Times New Roman"/>
                      <w:color w:val="000000"/>
                      <w:sz w:val="21"/>
                      <w:szCs w:val="21"/>
                      <w:u w:val="none" w:color="auto"/>
                      <w:vertAlign w:val="baseline"/>
                      <w:lang w:val="en-US" w:eastAsia="zh-CN"/>
                    </w:rPr>
                  </w:pPr>
                  <w:r>
                    <w:rPr>
                      <w:rFonts w:hint="eastAsia" w:cs="Times New Roman"/>
                      <w:color w:val="000000"/>
                      <w:sz w:val="21"/>
                      <w:szCs w:val="21"/>
                      <w:u w:val="none" w:color="auto"/>
                      <w:vertAlign w:val="baseline"/>
                      <w:lang w:val="en-US" w:eastAsia="zh-CN"/>
                    </w:rPr>
                    <w:t>农用地优先保护区/其他土壤重点管控区--部省级采矿权/市县级采矿权/部省级探矿权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9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管控维度</w:t>
                  </w:r>
                </w:p>
              </w:tc>
              <w:tc>
                <w:tcPr>
                  <w:tcW w:w="5328" w:type="dxa"/>
                  <w:gridSpan w:val="6"/>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管控要求</w:t>
                  </w:r>
                </w:p>
              </w:tc>
              <w:tc>
                <w:tcPr>
                  <w:tcW w:w="1936" w:type="dxa"/>
                  <w:gridSpan w:val="2"/>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本项目情况</w:t>
                  </w:r>
                </w:p>
              </w:tc>
              <w:tc>
                <w:tcPr>
                  <w:tcW w:w="890"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9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空间布局约束</w:t>
                  </w:r>
                </w:p>
              </w:tc>
              <w:tc>
                <w:tcPr>
                  <w:tcW w:w="5328" w:type="dxa"/>
                  <w:gridSpan w:val="6"/>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（1.1）</w:t>
                  </w:r>
                  <w:r>
                    <w:rPr>
                      <w:rFonts w:hint="eastAsia" w:cs="Times New Roman"/>
                      <w:color w:val="000000"/>
                      <w:sz w:val="21"/>
                      <w:szCs w:val="21"/>
                      <w:u w:val="none" w:color="auto"/>
                      <w:vertAlign w:val="baseline"/>
                      <w:lang w:val="en-US" w:eastAsia="zh-CN"/>
                    </w:rPr>
                    <w:t>区域养殖业按划定的禁养区、限养区、适养区实施分类管理</w:t>
                  </w:r>
                  <w:r>
                    <w:rPr>
                      <w:rFonts w:hint="default" w:ascii="Times New Roman" w:hAnsi="Times New Roman" w:eastAsia="宋体" w:cs="Times New Roman"/>
                      <w:color w:val="000000"/>
                      <w:sz w:val="21"/>
                      <w:szCs w:val="21"/>
                      <w:u w:val="none" w:color="auto"/>
                      <w:vertAlign w:val="baseline"/>
                      <w:lang w:val="en-US" w:eastAsia="zh-CN"/>
                    </w:rPr>
                    <w:t>。</w:t>
                  </w:r>
                </w:p>
              </w:tc>
              <w:tc>
                <w:tcPr>
                  <w:tcW w:w="1936" w:type="dxa"/>
                  <w:gridSpan w:val="2"/>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本项目</w:t>
                  </w:r>
                  <w:r>
                    <w:rPr>
                      <w:rFonts w:hint="eastAsia" w:cs="Times New Roman"/>
                      <w:color w:val="000000"/>
                      <w:sz w:val="21"/>
                      <w:szCs w:val="21"/>
                      <w:u w:val="none" w:color="auto"/>
                      <w:vertAlign w:val="baseline"/>
                      <w:lang w:val="en-US" w:eastAsia="zh-CN"/>
                    </w:rPr>
                    <w:t>不涉及养殖业</w:t>
                  </w:r>
                </w:p>
              </w:tc>
              <w:tc>
                <w:tcPr>
                  <w:tcW w:w="890"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109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污染物排放管控</w:t>
                  </w:r>
                </w:p>
              </w:tc>
              <w:tc>
                <w:tcPr>
                  <w:tcW w:w="5328" w:type="dxa"/>
                  <w:gridSpan w:val="6"/>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(2.1)加快补齐县城污水收集和处理设施短板，积极推进雨污分流、老旧污水管网改造和破损修复等工作，加快消除老旧城区和城乡结合部生活污水收集处理设施空白区，显著提升县城生活污水集中收集效能，落实《湖南省乡镇污水处理设施建设四年行动实施方案〈2019—2022年)》，实现全县乡镇污水处理设施全覆盖。加快实施城市黑臭水体治理工程，突出抓好控源截污、内源治理、生态修复、活水保质等工作。</w:t>
                  </w:r>
                </w:p>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(2.2）完成“散乱污"企业及集群综合整治工作，全面推进清洁生产技术改造;新建涉及工业炉窑的建设项目，原则上要入园区，配套建设高效环保治理设施;加油站、储油库、油罐车基本完成油气回收治理工作;辖区内涉气型污染企业应配置废气收集与净化处理装置，减少无组织排放，废气达到国家或地方排放标准要求;禁止露天烧烤直排:禁止露天焚烧农作物秸杆、枯枝、落叶、杂草及生活垃圾。</w:t>
                  </w:r>
                </w:p>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(2.3）建立健全城镇垃圾收集转运及处理处置体系，推动生活垃圾分类，统筹布局生活垃圾转运站，逐步淘汰敞开式收运设施，在全县建成区推广密闭压缩式收运方式，加快建设生活垃圾处理设施;对于无渗滤液处理设施、渗滤液处理不达标的生活垃圾处理设施，加快完成改造。。</w:t>
                  </w:r>
                </w:p>
              </w:tc>
              <w:tc>
                <w:tcPr>
                  <w:tcW w:w="1936" w:type="dxa"/>
                  <w:gridSpan w:val="2"/>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本</w:t>
                  </w:r>
                  <w:r>
                    <w:rPr>
                      <w:rFonts w:hint="eastAsia" w:ascii="Times New Roman" w:hAnsi="Times New Roman" w:eastAsia="宋体" w:cs="Times New Roman"/>
                      <w:color w:val="000000"/>
                      <w:sz w:val="21"/>
                      <w:szCs w:val="21"/>
                      <w:u w:val="none" w:color="auto"/>
                      <w:vertAlign w:val="baseline"/>
                      <w:lang w:val="en-US" w:eastAsia="zh-CN"/>
                    </w:rPr>
                    <w:t>评价要求工程施工期间需按上述要求采取环境保护措施</w:t>
                  </w:r>
                </w:p>
              </w:tc>
              <w:tc>
                <w:tcPr>
                  <w:tcW w:w="890"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09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环境风险防控</w:t>
                  </w:r>
                </w:p>
              </w:tc>
              <w:tc>
                <w:tcPr>
                  <w:tcW w:w="5328" w:type="dxa"/>
                  <w:gridSpan w:val="6"/>
                  <w:noWrap w:val="0"/>
                  <w:vAlign w:val="center"/>
                </w:tcPr>
                <w:p>
                  <w:pPr>
                    <w:numPr>
                      <w:ilvl w:val="0"/>
                      <w:numId w:val="0"/>
                    </w:numPr>
                    <w:bidi w:val="0"/>
                    <w:spacing w:line="240" w:lineRule="auto"/>
                    <w:jc w:val="both"/>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(3.1)管控农用地土壤污染风险。推动完成受污染耕地安全利用和结构调整工作，在农用地土壤污染状况详查基础上，完成受污染耕地的质量类别划分，开展受污染耕地成因排查和整改试点工作。</w:t>
                  </w:r>
                </w:p>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(3.2）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1936" w:type="dxa"/>
                  <w:gridSpan w:val="2"/>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本项目不涉及其中内容</w:t>
                  </w:r>
                </w:p>
              </w:tc>
              <w:tc>
                <w:tcPr>
                  <w:tcW w:w="890"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资源开发效率要求</w:t>
                  </w:r>
                </w:p>
              </w:tc>
              <w:tc>
                <w:tcPr>
                  <w:tcW w:w="5328" w:type="dxa"/>
                  <w:gridSpan w:val="6"/>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(4.1）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p>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(4.2）水资源:大力推进农业、工业、城镇节水，全面推进节水型社会建设。</w:t>
                  </w:r>
                </w:p>
              </w:tc>
              <w:tc>
                <w:tcPr>
                  <w:tcW w:w="1936" w:type="dxa"/>
                  <w:gridSpan w:val="2"/>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本工程施工期使用清洁能源电能；施工期产生的施工废水经处理后回用于回用，可以有效节约水资源</w:t>
                  </w:r>
                </w:p>
              </w:tc>
              <w:tc>
                <w:tcPr>
                  <w:tcW w:w="890"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符合</w:t>
                  </w:r>
                </w:p>
              </w:tc>
            </w:tr>
          </w:tbl>
          <w:p>
            <w:pPr>
              <w:bidi w:val="0"/>
              <w:ind w:firstLine="480" w:firstLineChars="200"/>
              <w:outlineLvl w:val="9"/>
              <w:rPr>
                <w:rFonts w:hint="eastAsia"/>
                <w:color w:val="auto"/>
                <w:u w:val="none"/>
                <w:lang w:val="en-US" w:eastAsia="zh-CN"/>
              </w:rPr>
            </w:pPr>
            <w:r>
              <w:rPr>
                <w:rFonts w:hint="eastAsia"/>
                <w:color w:val="auto"/>
                <w:u w:val="none"/>
                <w:lang w:val="en-US" w:eastAsia="zh-CN"/>
              </w:rPr>
              <w:t>综上，项目符合</w:t>
            </w:r>
            <w:r>
              <w:rPr>
                <w:rFonts w:hint="eastAsia"/>
                <w:b w:val="0"/>
                <w:bCs w:val="0"/>
                <w:color w:val="auto"/>
                <w:u w:val="none"/>
                <w:lang w:val="en-US" w:eastAsia="zh-CN"/>
              </w:rPr>
              <w:t>《衡阳市人民政府关于实施“三线一单”生态环境分区管控的意见》（</w:t>
            </w:r>
            <w:r>
              <w:rPr>
                <w:rFonts w:hint="eastAsia"/>
                <w:color w:val="auto"/>
                <w:u w:val="none"/>
                <w:lang w:val="en-US" w:eastAsia="zh-CN"/>
              </w:rPr>
              <w:t>潭</w:t>
            </w:r>
            <w:r>
              <w:rPr>
                <w:rFonts w:hint="eastAsia"/>
                <w:color w:val="auto"/>
                <w:u w:val="none"/>
              </w:rPr>
              <w:t>政发﹝2020﹞12号</w:t>
            </w:r>
            <w:r>
              <w:rPr>
                <w:rFonts w:hint="eastAsia"/>
                <w:b w:val="0"/>
                <w:bCs w:val="0"/>
                <w:color w:val="auto"/>
                <w:u w:val="none"/>
                <w:lang w:val="en-US" w:eastAsia="zh-CN"/>
              </w:rPr>
              <w:t>）中</w:t>
            </w:r>
            <w:r>
              <w:rPr>
                <w:rFonts w:hint="eastAsia"/>
                <w:color w:val="auto"/>
                <w:u w:val="none"/>
                <w:lang w:val="en-US" w:eastAsia="zh-CN"/>
              </w:rPr>
              <w:t>相关要求。</w:t>
            </w:r>
          </w:p>
          <w:p>
            <w:pPr>
              <w:bidi w:val="0"/>
              <w:outlineLvl w:val="9"/>
              <w:rPr>
                <w:rFonts w:hint="default" w:cs="Times New Roman"/>
                <w:b/>
                <w:bCs/>
                <w:color w:val="auto"/>
                <w:kern w:val="0"/>
                <w:sz w:val="24"/>
                <w:szCs w:val="24"/>
                <w:u w:val="none"/>
                <w:lang w:val="en-US" w:eastAsia="zh-CN" w:bidi="ar-SA"/>
              </w:rPr>
            </w:pPr>
            <w:r>
              <w:rPr>
                <w:rFonts w:hint="eastAsia" w:cs="Times New Roman"/>
                <w:b/>
                <w:bCs/>
                <w:color w:val="auto"/>
                <w:kern w:val="0"/>
                <w:sz w:val="24"/>
                <w:szCs w:val="24"/>
                <w:u w:val="none"/>
                <w:lang w:val="en-US" w:eastAsia="zh-CN" w:bidi="ar-SA"/>
              </w:rPr>
              <w:t>1.3与《湖南省湘江保护条例》符合性分析</w:t>
            </w:r>
          </w:p>
          <w:p>
            <w:pPr>
              <w:bidi w:val="0"/>
              <w:jc w:val="center"/>
              <w:outlineLvl w:val="9"/>
              <w:rPr>
                <w:rFonts w:hint="default" w:cs="Times New Roman"/>
                <w:b w:val="0"/>
                <w:color w:val="auto"/>
                <w:kern w:val="0"/>
                <w:sz w:val="24"/>
                <w:szCs w:val="24"/>
                <w:u w:val="none"/>
                <w:lang w:val="en-US" w:eastAsia="zh-CN" w:bidi="ar-SA"/>
              </w:rPr>
            </w:pPr>
            <w:r>
              <w:rPr>
                <w:rFonts w:hint="eastAsia" w:cs="Times New Roman"/>
                <w:b/>
                <w:bCs/>
                <w:color w:val="auto"/>
                <w:kern w:val="0"/>
                <w:sz w:val="24"/>
                <w:szCs w:val="24"/>
                <w:u w:val="none"/>
                <w:lang w:val="en-US" w:eastAsia="zh-CN" w:bidi="ar-SA"/>
              </w:rPr>
              <w:t>表1-3  与《湖南省湘江保护条例》符合性分析一览表</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5"/>
              <w:gridCol w:w="2628"/>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b w:val="0"/>
                      <w:color w:val="auto"/>
                      <w:kern w:val="0"/>
                      <w:sz w:val="21"/>
                      <w:szCs w:val="21"/>
                      <w:u w:val="none"/>
                      <w:vertAlign w:val="baseline"/>
                      <w:lang w:val="en-US" w:eastAsia="zh-CN" w:bidi="ar-SA"/>
                    </w:rPr>
                  </w:pPr>
                  <w:r>
                    <w:rPr>
                      <w:rFonts w:hint="default" w:eastAsia="宋体"/>
                      <w:color w:val="auto"/>
                      <w:sz w:val="21"/>
                      <w:szCs w:val="21"/>
                      <w:u w:val="none"/>
                      <w:lang w:val="en-US" w:eastAsia="zh-CN"/>
                    </w:rPr>
                    <w:t>要求</w:t>
                  </w:r>
                </w:p>
              </w:tc>
              <w:tc>
                <w:tcPr>
                  <w:tcW w:w="1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b w:val="0"/>
                      <w:color w:val="auto"/>
                      <w:kern w:val="0"/>
                      <w:sz w:val="21"/>
                      <w:szCs w:val="21"/>
                      <w:u w:val="none"/>
                      <w:vertAlign w:val="baseline"/>
                      <w:lang w:val="en-US" w:eastAsia="zh-CN" w:bidi="ar-SA"/>
                    </w:rPr>
                  </w:pPr>
                  <w:r>
                    <w:rPr>
                      <w:rFonts w:hint="eastAsia" w:eastAsia="宋体"/>
                      <w:color w:val="auto"/>
                      <w:sz w:val="21"/>
                      <w:szCs w:val="21"/>
                      <w:u w:val="none"/>
                      <w:lang w:eastAsia="zh-CN"/>
                    </w:rPr>
                    <w:t>本项目情况</w:t>
                  </w:r>
                </w:p>
              </w:tc>
              <w:tc>
                <w:tcPr>
                  <w:tcW w:w="6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s="Times New Roman"/>
                      <w:b w:val="0"/>
                      <w:color w:val="auto"/>
                      <w:kern w:val="0"/>
                      <w:sz w:val="21"/>
                      <w:szCs w:val="21"/>
                      <w:u w:val="none"/>
                      <w:vertAlign w:val="baseline"/>
                      <w:lang w:val="en-US" w:eastAsia="zh-CN" w:bidi="ar-SA"/>
                    </w:rPr>
                  </w:pPr>
                  <w:r>
                    <w:rPr>
                      <w:rFonts w:hint="eastAsia" w:cs="Times New Roman"/>
                      <w:b w:val="0"/>
                      <w:color w:val="auto"/>
                      <w:kern w:val="0"/>
                      <w:sz w:val="21"/>
                      <w:szCs w:val="21"/>
                      <w:u w:val="none"/>
                      <w:vertAlign w:val="baseline"/>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cs="Times New Roman"/>
                      <w:b w:val="0"/>
                      <w:color w:val="auto"/>
                      <w:kern w:val="0"/>
                      <w:sz w:val="21"/>
                      <w:szCs w:val="21"/>
                      <w:u w:val="none"/>
                      <w:vertAlign w:val="baseline"/>
                      <w:lang w:val="en-US" w:eastAsia="zh-CN" w:bidi="ar-SA"/>
                    </w:rPr>
                  </w:pPr>
                  <w:r>
                    <w:rPr>
                      <w:rFonts w:hint="eastAsia" w:cs="Times New Roman"/>
                      <w:b w:val="0"/>
                      <w:color w:val="auto"/>
                      <w:kern w:val="0"/>
                      <w:sz w:val="21"/>
                      <w:szCs w:val="21"/>
                      <w:u w:val="none"/>
                      <w:vertAlign w:val="baseline"/>
                      <w:lang w:val="en-US" w:eastAsia="zh-CN" w:bidi="ar-SA"/>
                    </w:rPr>
                    <w:t>第二十五条禁止在湘江流域饮用水水源一级保护区内设置排污口（渠），禁止新建、改建、扩建与供水设施和保护水源无关的建设项目；已经设置排污口（渠）、建成与供水设施和保护水源无关的建设项目，县级以上人民政府应当在省人民政府规定期限内组织拆除或者关闭。禁止在湘江流域饮用水水源一级保护区内从事网箱养殖、旅游、游泳、垂钓或者其他可能污染饮用水水体的活动</w:t>
                  </w:r>
                </w:p>
              </w:tc>
              <w:tc>
                <w:tcPr>
                  <w:tcW w:w="142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s="Times New Roman"/>
                      <w:b w:val="0"/>
                      <w:color w:val="auto"/>
                      <w:kern w:val="0"/>
                      <w:sz w:val="21"/>
                      <w:szCs w:val="21"/>
                      <w:u w:val="none"/>
                      <w:vertAlign w:val="baseline"/>
                      <w:lang w:val="en-US" w:eastAsia="zh-CN" w:bidi="ar-SA"/>
                    </w:rPr>
                  </w:pPr>
                  <w:r>
                    <w:rPr>
                      <w:rFonts w:hint="eastAsia" w:cs="Times New Roman"/>
                      <w:b w:val="0"/>
                      <w:color w:val="auto"/>
                      <w:kern w:val="0"/>
                      <w:sz w:val="21"/>
                      <w:szCs w:val="21"/>
                      <w:u w:val="none"/>
                      <w:vertAlign w:val="baseline"/>
                      <w:lang w:val="en-US" w:eastAsia="zh-CN" w:bidi="ar-SA"/>
                    </w:rPr>
                    <w:t>本</w:t>
                  </w:r>
                  <w:r>
                    <w:rPr>
                      <w:rFonts w:hint="default" w:cs="Times New Roman"/>
                      <w:b w:val="0"/>
                      <w:color w:val="auto"/>
                      <w:kern w:val="0"/>
                      <w:sz w:val="21"/>
                      <w:szCs w:val="21"/>
                      <w:u w:val="none"/>
                      <w:vertAlign w:val="baseline"/>
                      <w:lang w:val="en-US" w:eastAsia="zh-CN" w:bidi="ar-SA"/>
                    </w:rPr>
                    <w:t>项目不属于生产类项目</w:t>
                  </w:r>
                  <w:r>
                    <w:rPr>
                      <w:rFonts w:hint="eastAsia" w:cs="Times New Roman"/>
                      <w:b w:val="0"/>
                      <w:color w:val="auto"/>
                      <w:kern w:val="0"/>
                      <w:sz w:val="21"/>
                      <w:szCs w:val="21"/>
                      <w:u w:val="none"/>
                      <w:vertAlign w:val="baseline"/>
                      <w:lang w:val="en-US" w:eastAsia="zh-CN" w:bidi="ar-SA"/>
                    </w:rPr>
                    <w:t>，本项目为防洪除涝，岸线保护、保护水源地改善环境的民生项目，对场地原有绿化进行保留，局部进行修复，有利于水源地的保护，防止水土流失，有利于防洪除涝。不会在保护区域内新建、扩建与供水设施和保护水源无关的建设项目</w:t>
                  </w:r>
                </w:p>
              </w:tc>
              <w:tc>
                <w:tcPr>
                  <w:tcW w:w="6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b w:val="0"/>
                      <w:color w:val="auto"/>
                      <w:kern w:val="0"/>
                      <w:sz w:val="21"/>
                      <w:szCs w:val="21"/>
                      <w:u w:val="none"/>
                      <w:vertAlign w:val="baseline"/>
                      <w:lang w:val="en-US" w:eastAsia="zh-CN" w:bidi="ar-SA"/>
                    </w:rPr>
                  </w:pPr>
                  <w:r>
                    <w:rPr>
                      <w:rFonts w:hint="eastAsia" w:cs="Times New Roman"/>
                      <w:b w:val="0"/>
                      <w:color w:val="auto"/>
                      <w:kern w:val="0"/>
                      <w:sz w:val="21"/>
                      <w:szCs w:val="21"/>
                      <w:u w:val="none"/>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4"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cs="Times New Roman"/>
                      <w:b w:val="0"/>
                      <w:color w:val="auto"/>
                      <w:kern w:val="0"/>
                      <w:sz w:val="21"/>
                      <w:szCs w:val="21"/>
                      <w:u w:val="none"/>
                      <w:vertAlign w:val="baseline"/>
                      <w:lang w:val="en-US" w:eastAsia="zh-CN" w:bidi="ar-SA"/>
                    </w:rPr>
                  </w:pPr>
                  <w:r>
                    <w:rPr>
                      <w:rFonts w:hint="eastAsia" w:cs="Times New Roman"/>
                      <w:b w:val="0"/>
                      <w:color w:val="auto"/>
                      <w:kern w:val="0"/>
                      <w:sz w:val="21"/>
                      <w:szCs w:val="21"/>
                      <w:u w:val="none"/>
                      <w:vertAlign w:val="baseline"/>
                      <w:lang w:val="en-US" w:eastAsia="zh-CN" w:bidi="ar-SA"/>
                    </w:rPr>
                    <w:t>第二十六条禁止在湘江流域饮用水水源二级保护区内设置排污口（渠），禁止新建、改建、扩建排放污染物的建设项目；已经设置排污口（渠）、建成排放污染物的建设项目，县级以上人民政府应当在省人民政府规定期限内组织拆除或者关闭</w:t>
                  </w:r>
                </w:p>
              </w:tc>
              <w:tc>
                <w:tcPr>
                  <w:tcW w:w="142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s="Times New Roman"/>
                      <w:b w:val="0"/>
                      <w:color w:val="auto"/>
                      <w:kern w:val="0"/>
                      <w:sz w:val="21"/>
                      <w:szCs w:val="21"/>
                      <w:u w:val="none"/>
                      <w:vertAlign w:val="baseline"/>
                      <w:lang w:val="en-US" w:eastAsia="zh-CN" w:bidi="ar-SA"/>
                    </w:rPr>
                  </w:pPr>
                </w:p>
              </w:tc>
              <w:tc>
                <w:tcPr>
                  <w:tcW w:w="6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b w:val="0"/>
                      <w:color w:val="auto"/>
                      <w:kern w:val="0"/>
                      <w:sz w:val="21"/>
                      <w:szCs w:val="21"/>
                      <w:u w:val="none"/>
                      <w:vertAlign w:val="baseline"/>
                      <w:lang w:val="en-US" w:eastAsia="zh-CN" w:bidi="ar-SA"/>
                    </w:rPr>
                  </w:pPr>
                  <w:r>
                    <w:rPr>
                      <w:rFonts w:hint="eastAsia" w:cs="Times New Roman"/>
                      <w:b w:val="0"/>
                      <w:color w:val="auto"/>
                      <w:kern w:val="0"/>
                      <w:sz w:val="21"/>
                      <w:szCs w:val="21"/>
                      <w:u w:val="none"/>
                      <w:vertAlign w:val="baseline"/>
                      <w:lang w:val="en-US" w:eastAsia="zh-CN" w:bidi="ar-SA"/>
                    </w:rPr>
                    <w:t>符合</w:t>
                  </w:r>
                </w:p>
              </w:tc>
            </w:tr>
          </w:tbl>
          <w:p>
            <w:pPr>
              <w:bidi w:val="0"/>
              <w:ind w:firstLine="480" w:firstLineChars="200"/>
              <w:outlineLvl w:val="9"/>
              <w:rPr>
                <w:rFonts w:hint="eastAsia"/>
                <w:color w:val="auto"/>
                <w:u w:val="none"/>
                <w:lang w:val="en-US" w:eastAsia="zh-CN"/>
              </w:rPr>
            </w:pPr>
            <w:r>
              <w:rPr>
                <w:rFonts w:hint="eastAsia" w:cs="Times New Roman"/>
                <w:b w:val="0"/>
                <w:color w:val="auto"/>
                <w:kern w:val="0"/>
                <w:sz w:val="24"/>
                <w:szCs w:val="24"/>
                <w:u w:val="none"/>
                <w:lang w:val="en-US" w:eastAsia="zh-CN" w:bidi="ar-SA"/>
              </w:rPr>
              <w:t>综上所述，本项目符合《湖南省湘江保护条例》</w:t>
            </w:r>
            <w:r>
              <w:rPr>
                <w:rFonts w:hint="eastAsia"/>
                <w:color w:val="auto"/>
                <w:sz w:val="24"/>
                <w:szCs w:val="24"/>
                <w:u w:val="none"/>
                <w:lang w:val="en-US" w:eastAsia="zh-CN"/>
              </w:rPr>
              <w:t>要求。</w:t>
            </w:r>
          </w:p>
          <w:p>
            <w:pPr>
              <w:numPr>
                <w:ilvl w:val="0"/>
                <w:numId w:val="0"/>
              </w:numPr>
              <w:jc w:val="left"/>
              <w:rPr>
                <w:rFonts w:hint="eastAsia" w:ascii="Times New Roman" w:hAnsi="Times New Roman" w:eastAsia="宋体" w:cs="Times New Roman"/>
                <w:b/>
                <w:bCs/>
                <w:u w:val="none" w:color="auto"/>
                <w:lang w:val="en-US" w:eastAsia="zh-CN"/>
              </w:rPr>
            </w:pPr>
            <w:r>
              <w:rPr>
                <w:rFonts w:hint="eastAsia" w:cs="Times New Roman"/>
                <w:b/>
                <w:bCs/>
                <w:u w:val="none" w:color="auto"/>
                <w:lang w:val="en-US" w:eastAsia="zh-CN"/>
              </w:rPr>
              <w:t>1.4</w:t>
            </w:r>
            <w:r>
              <w:rPr>
                <w:rFonts w:hint="eastAsia" w:ascii="Times New Roman" w:hAnsi="Times New Roman" w:eastAsia="宋体" w:cs="Times New Roman"/>
                <w:b/>
                <w:bCs/>
                <w:u w:val="none" w:color="auto"/>
                <w:lang w:val="en-US" w:eastAsia="zh-CN"/>
              </w:rPr>
              <w:t>、与《湖南省长江经济带发展负面清单实施细则（试行，2022年版）》符合性分析</w:t>
            </w:r>
          </w:p>
          <w:p>
            <w:pPr>
              <w:snapToGrid w:val="0"/>
              <w:spacing w:line="360" w:lineRule="auto"/>
              <w:ind w:firstLine="470" w:firstLineChars="196"/>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项目</w:t>
            </w:r>
            <w:r>
              <w:rPr>
                <w:rFonts w:hint="eastAsia" w:ascii="Times New Roman" w:hAnsi="Times New Roman" w:eastAsia="宋体" w:cs="Times New Roman"/>
                <w:sz w:val="24"/>
                <w:szCs w:val="24"/>
                <w:u w:val="none" w:color="auto"/>
                <w:lang w:val="en-US" w:eastAsia="zh-CN"/>
              </w:rPr>
              <w:t>与</w:t>
            </w:r>
            <w:r>
              <w:rPr>
                <w:rFonts w:hint="default" w:ascii="Times New Roman" w:hAnsi="Times New Roman" w:eastAsia="宋体" w:cs="Times New Roman"/>
                <w:sz w:val="24"/>
                <w:szCs w:val="24"/>
                <w:u w:val="none" w:color="auto"/>
                <w:lang w:val="en-US" w:eastAsia="zh-CN"/>
              </w:rPr>
              <w:t>《湖南省长江经济带发展负面清单实施细则（试行，2022年版）》的符合性分析如下：</w:t>
            </w:r>
          </w:p>
          <w:p>
            <w:pPr>
              <w:pStyle w:val="33"/>
              <w:jc w:val="center"/>
              <w:rPr>
                <w:b/>
                <w:bCs/>
                <w:sz w:val="21"/>
                <w:szCs w:val="21"/>
                <w:u w:val="none" w:color="auto"/>
              </w:rPr>
            </w:pPr>
            <w:r>
              <w:rPr>
                <w:rFonts w:hint="default" w:ascii="Times New Roman" w:hAnsi="Times New Roman" w:eastAsia="宋体" w:cs="Times New Roman"/>
                <w:b/>
                <w:bCs/>
                <w:sz w:val="21"/>
                <w:szCs w:val="21"/>
                <w:u w:val="none" w:color="auto"/>
                <w:lang w:val="en-US" w:eastAsia="zh-CN"/>
              </w:rPr>
              <w:t>表1-</w:t>
            </w:r>
            <w:r>
              <w:rPr>
                <w:rFonts w:hint="eastAsia" w:ascii="Times New Roman" w:cs="Times New Roman"/>
                <w:b/>
                <w:bCs/>
                <w:sz w:val="21"/>
                <w:szCs w:val="21"/>
                <w:u w:val="none" w:color="auto"/>
                <w:lang w:val="en-US" w:eastAsia="zh-CN"/>
              </w:rPr>
              <w:t>4</w:t>
            </w:r>
            <w:r>
              <w:rPr>
                <w:rFonts w:hint="eastAsia" w:ascii="Times New Roman" w:hAnsi="Times New Roman" w:eastAsia="宋体" w:cs="Times New Roman"/>
                <w:b/>
                <w:bCs/>
                <w:sz w:val="21"/>
                <w:szCs w:val="21"/>
                <w:u w:val="none" w:color="auto"/>
                <w:lang w:val="en-US" w:eastAsia="zh-CN"/>
              </w:rPr>
              <w:t xml:space="preserve"> </w:t>
            </w:r>
            <w:r>
              <w:rPr>
                <w:rFonts w:hint="eastAsia" w:ascii="Times New Roman" w:hAnsi="Times New Roman" w:cs="Times New Roman"/>
                <w:b/>
                <w:bCs/>
                <w:sz w:val="21"/>
                <w:szCs w:val="21"/>
                <w:u w:val="none" w:color="auto"/>
                <w:lang w:val="en-US" w:eastAsia="zh-CN"/>
              </w:rPr>
              <w:t>项目与湖南省长江经济带发展负面清单实施细则（试行，2022年版）》符合性分析</w:t>
            </w:r>
            <w:r>
              <w:rPr>
                <w:b/>
                <w:bCs/>
                <w:sz w:val="21"/>
                <w:szCs w:val="21"/>
                <w:u w:val="none" w:color="auto"/>
              </w:rPr>
              <w:t>表</w:t>
            </w:r>
          </w:p>
          <w:tbl>
            <w:tblPr>
              <w:tblStyle w:val="27"/>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5487"/>
              <w:gridCol w:w="1878"/>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序号</w:t>
                  </w:r>
                </w:p>
              </w:tc>
              <w:tc>
                <w:tcPr>
                  <w:tcW w:w="548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技术规范内容</w:t>
                  </w:r>
                </w:p>
              </w:tc>
              <w:tc>
                <w:tcPr>
                  <w:tcW w:w="187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本项目情况</w:t>
                  </w:r>
                </w:p>
              </w:tc>
              <w:tc>
                <w:tcPr>
                  <w:tcW w:w="856"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第三条</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禁止建设不符合全国和省级港口布局规划以及港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家、省港口岸线使用的管理规定办理港口岸线使用手续。未取得岸线使用批准文件或者岸线使用意见的，不得开工建设。禁止建设不符合《长江干线过江通道布局规划》的过长江通道项目</w:t>
                  </w:r>
                </w:p>
              </w:tc>
              <w:tc>
                <w:tcPr>
                  <w:tcW w:w="187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本项目不属于码头项目</w:t>
                  </w:r>
                </w:p>
              </w:tc>
              <w:tc>
                <w:tcPr>
                  <w:tcW w:w="856"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第四条</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第四条 禁止在自然保护区核心区、缓冲区的岸线和河段范围内投资建设以下项目：（一）高尔夫球场开发、房地产开发、索道建设、会所建设等项目；（二）光伏发电、风力发电、火力发电建设项目；（三）社会资金进行商业性探矿勘查，以及不属于国家紧缺矿种资源的基础地质调查和矿产远景调查等公益性工作的设施建设；（四）野生动物驯养繁殖、展览基地建设项目；（五）污染环境、破坏自然资源或自然景观的建设设施；（六）对自然保护区主要保护对象产生重大影响、改变自然生态系统完整性、原真性、破坏自然景观的设施；（七）其他不符合自然保护区主体功能定位和国家禁止的设施。</w:t>
                  </w:r>
                </w:p>
              </w:tc>
              <w:tc>
                <w:tcPr>
                  <w:tcW w:w="1878"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本项目范围不涉及生态红线、饮用水源保护区及各类自然保护区范围等</w:t>
                  </w:r>
                </w:p>
              </w:tc>
              <w:tc>
                <w:tcPr>
                  <w:tcW w:w="856"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第五条 </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机场、铁路、公路、水利、航运、围堰等公益性基础设施的选址选线应多方案优化比选，尽量避让相关自然保护区域、野生动物迁徙洄游通道；无法避让的，应当采取修建野生动物通道、过鱼设施等措施，消除或者减少对野生动物的不利影响。</w:t>
                  </w:r>
                </w:p>
              </w:tc>
              <w:tc>
                <w:tcPr>
                  <w:tcW w:w="187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本项目不涉及上述区域</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第六条</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 国家级风景名胜区的核心景区内、不得新建、扩建下列项目、设施或者建筑物：</w:t>
                  </w:r>
                </w:p>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（一） 各类开发区；（二） 索道、缆车、铁路、水库、高等级公路等重大建设工程项目；（三） 宾馆、招待所、培训中心、疗养院等住宿疗养设施；（四）大型文化、体育和游乐设施；（五） 其他与核心景区资源、生态和景观保护无关的项目、设施或者建筑物。已经建设的，应当按照风景名胜区规划，逐步迁出。</w:t>
                  </w:r>
                </w:p>
              </w:tc>
              <w:tc>
                <w:tcPr>
                  <w:tcW w:w="187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本项目不涉及上述内容</w:t>
                  </w:r>
                </w:p>
              </w:tc>
              <w:tc>
                <w:tcPr>
                  <w:tcW w:w="856"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第七条 </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饮用水水源一级保护区内禁止新建、扩建与供水设施和保护水源无关的建设项目；禁止向水域排放污水，已设置的排污口必须拆除；不得设置与供水需要无关的码头，禁止停靠船舶；禁止堆置和存放工业废渣、城市垃圾、粪便和其它废弃物；禁止设置油库；禁止从事种植、放养禽畜、网箱养殖活动。</w:t>
                  </w:r>
                </w:p>
              </w:tc>
              <w:tc>
                <w:tcPr>
                  <w:tcW w:w="1878" w:type="dxa"/>
                  <w:vMerge w:val="restart"/>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本项目不涉及饮用水源保护区</w:t>
                  </w:r>
                </w:p>
              </w:tc>
              <w:tc>
                <w:tcPr>
                  <w:tcW w:w="856" w:type="dxa"/>
                  <w:vMerge w:val="restart"/>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第八条 </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饮用水水源二级保护区内禁止新建、扩建向水体排放污染物的投资建设项目。改建项目必须削减污染物排放量；原有排污口必须削减污水排放量，保证保护区内水质满足规定的水质标准；禁止设立装卸垃圾、粪便、油类和有毒物品的码头。</w:t>
                  </w:r>
                </w:p>
              </w:tc>
              <w:tc>
                <w:tcPr>
                  <w:tcW w:w="1878" w:type="dxa"/>
                  <w:vMerge w:val="continue"/>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p>
              </w:tc>
              <w:tc>
                <w:tcPr>
                  <w:tcW w:w="856" w:type="dxa"/>
                  <w:vMerge w:val="continue"/>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第九条</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 禁止在水产种质资源保护区内新建排污口、从事围湖造田造地等投资建设项目。</w:t>
                  </w:r>
                </w:p>
              </w:tc>
              <w:tc>
                <w:tcPr>
                  <w:tcW w:w="1878"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本项目不涉及上述内容</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第十条 </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禁止在国家湿地公园范围内开(围)垦湿地、挖沙、采矿、采石、取土、修坟以及生产性放牧等，《中华人民共和国防洪法》规定的紧急防汛期采取的紧急措施除外。</w:t>
                  </w:r>
                </w:p>
              </w:tc>
              <w:tc>
                <w:tcPr>
                  <w:tcW w:w="1878" w:type="dxa"/>
                  <w:vMerge w:val="restart"/>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w:t>
                  </w:r>
                  <w:r>
                    <w:rPr>
                      <w:rFonts w:hint="default" w:ascii="Times New Roman" w:hAnsi="Times New Roman" w:eastAsia="宋体" w:cs="Times New Roman"/>
                      <w:color w:val="000000"/>
                      <w:sz w:val="21"/>
                      <w:szCs w:val="21"/>
                      <w:u w:val="none" w:color="auto"/>
                      <w:vertAlign w:val="baseline"/>
                      <w:lang w:val="en-US" w:eastAsia="zh-CN"/>
                    </w:rPr>
                    <w:t>国家湿地公园范围</w:t>
                  </w:r>
                </w:p>
              </w:tc>
              <w:tc>
                <w:tcPr>
                  <w:tcW w:w="856" w:type="dxa"/>
                  <w:vMerge w:val="restart"/>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第十一条</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禁止在国家湿地公园范围内从事房地产、度假村、高尔夫球场、风力发电、光伏发电等任何不符合主体功能定位的建设项目和开发活动。</w:t>
                  </w:r>
                </w:p>
              </w:tc>
              <w:tc>
                <w:tcPr>
                  <w:tcW w:w="1878" w:type="dxa"/>
                  <w:vMerge w:val="continue"/>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p>
              </w:tc>
              <w:tc>
                <w:tcPr>
                  <w:tcW w:w="856" w:type="dxa"/>
                  <w:vMerge w:val="continue"/>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第十三条</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禁止在岸线保护区内投资建设除保障防洪安全、河势稳定、供水安全以及保护生态环境、已建重要枢纽工程以外的项目。禁止在岸线保留区内投资建设除保障防洪安全、河势稳定、供水安全、航道稳定以及保护生态环境以外的项目。</w:t>
                  </w:r>
                </w:p>
              </w:tc>
              <w:tc>
                <w:tcPr>
                  <w:tcW w:w="1878" w:type="dxa"/>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本项目不涉及上述内容</w:t>
                  </w:r>
                </w:p>
              </w:tc>
              <w:tc>
                <w:tcPr>
                  <w:tcW w:w="856" w:type="dxa"/>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第十四条</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禁止在《全国重要江河湖泊水功能区划》划定的河段保护区、保留区内投资建设不利于水资源及自然生态保护的项目。</w:t>
                  </w:r>
                </w:p>
              </w:tc>
              <w:tc>
                <w:tcPr>
                  <w:tcW w:w="1878" w:type="dxa"/>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本项目不涉及上述内容</w:t>
                  </w:r>
                </w:p>
              </w:tc>
              <w:tc>
                <w:tcPr>
                  <w:tcW w:w="856" w:type="dxa"/>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第十五条 </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1878"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w:t>
                  </w:r>
                  <w:r>
                    <w:rPr>
                      <w:rFonts w:hint="default" w:ascii="Times New Roman" w:hAnsi="Times New Roman" w:eastAsia="宋体" w:cs="Times New Roman"/>
                      <w:color w:val="000000"/>
                      <w:sz w:val="21"/>
                      <w:szCs w:val="21"/>
                      <w:u w:val="none" w:color="auto"/>
                      <w:vertAlign w:val="baseline"/>
                      <w:lang w:val="en-US" w:eastAsia="zh-CN"/>
                    </w:rPr>
                    <w:t>生态保护红线和永久基本农田</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第十六条 </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国家能源、交通、水利、军事设施等重点建设项目，以及省级高速公路、连接深度贫困地区直接为该地区服务的省级公路和深度贫困地区、集中连片特困地区、国家扶贫开发工作重点县省级以下基础设施、易地扶贫搬迁、民生发展等建设项目，涉及农用地转用或征收土地的，必须经国务院批准。</w:t>
                  </w:r>
                </w:p>
              </w:tc>
              <w:tc>
                <w:tcPr>
                  <w:tcW w:w="1878"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本项目不涉及上述内容</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第十七条 </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生态保护红线原则上按禁止开发区域的要求进行管理。严禁不符合主体功能定位的各类开发活动，严禁任意改变用途。因国家重大基础设施、重大民生保障项目建设等需要调整的，按有关程序报批。因国家重大战略资源勘查需要，在不影响主体功能定位的前提下，经依法批准后予以安排勘查项目。</w:t>
                  </w:r>
                </w:p>
              </w:tc>
              <w:tc>
                <w:tcPr>
                  <w:tcW w:w="1878"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w:t>
                  </w:r>
                  <w:r>
                    <w:rPr>
                      <w:rFonts w:hint="default" w:ascii="Times New Roman" w:hAnsi="Times New Roman" w:eastAsia="宋体" w:cs="Times New Roman"/>
                      <w:color w:val="000000"/>
                      <w:sz w:val="21"/>
                      <w:szCs w:val="21"/>
                      <w:u w:val="none" w:color="auto"/>
                      <w:vertAlign w:val="baseline"/>
                      <w:lang w:val="en-US" w:eastAsia="zh-CN"/>
                    </w:rPr>
                    <w:t>生态保护红线</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第十八条</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 禁止在长江干支流（长江干流湖南段、湘资沅澧四水干流及洞庭湖）岸线1公里范围（指长江干支流岸线边界（即水利部门河道管理范围边界）向陆域纵深1公里）内新建、扩建化工园区和化工项目。禁止在合规园区（详见附录）外新建、扩建钢铁、石化、化工、焦化、建材、有色等高污染项目。鼓励长江干支流岸线1公里范围内化工企业搬入合规园区。</w:t>
                  </w:r>
                </w:p>
              </w:tc>
              <w:tc>
                <w:tcPr>
                  <w:tcW w:w="1878"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本项目不涉及上述内容</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第十九条</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 禁止新建、扩建不符合国家石化、现代煤化工等产业布局规划的项目。</w:t>
                  </w:r>
                </w:p>
              </w:tc>
              <w:tc>
                <w:tcPr>
                  <w:tcW w:w="1878"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本项目不涉及上述内容</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第二十条 </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新建乙烯、对二甲苯（PX）、二苯基甲烷二异氰酸酯（MDI）等石化项目由省政府投资主管部门按照国家批准的石化产业规划布局方案核准。未列入国家批准的相关规划的新建乙烯、对二甲苯（PX）、二苯基甲烷二异氰酸酯（MDI）项目，禁止建设</w:t>
                  </w:r>
                </w:p>
              </w:tc>
              <w:tc>
                <w:tcPr>
                  <w:tcW w:w="1878"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本项目不涉及上述内容</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第二十一条 </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新建煤制烯烃、煤制对二甲苯（PX）等煤化工项目，按程序核准。新建年产超过100万吨的煤制甲醇项目，由省政府投资主管部门核准。其余项目禁止建设。</w:t>
                  </w:r>
                </w:p>
              </w:tc>
              <w:tc>
                <w:tcPr>
                  <w:tcW w:w="1878"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本项目不涉及上述内容</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第二十二条 </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禁止新建、扩建法律法规和相关政策明令禁止的落后产能项目。</w:t>
                  </w:r>
                </w:p>
              </w:tc>
              <w:tc>
                <w:tcPr>
                  <w:tcW w:w="187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本项目不属于</w:t>
                  </w:r>
                  <w:r>
                    <w:rPr>
                      <w:rFonts w:hint="default" w:ascii="Times New Roman" w:hAnsi="Times New Roman" w:eastAsia="宋体" w:cs="Times New Roman"/>
                      <w:color w:val="000000"/>
                      <w:sz w:val="21"/>
                      <w:szCs w:val="21"/>
                      <w:u w:val="none" w:color="auto"/>
                      <w:vertAlign w:val="baseline"/>
                      <w:lang w:val="en-US" w:eastAsia="zh-CN"/>
                    </w:rPr>
                    <w:t>法律法规和相关政策明令禁止的落后产能项目</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第二十三条 </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对不符合要求的落后产能项目，依法依规退出；对最新版《产业结构调整指导目录》中限制类的新建项目，禁止投资；对淘汰类项目，禁止投资。国家级重点生态功能区，要严格执行国家重点生态功能区产业准入负面清单。</w:t>
                  </w:r>
                </w:p>
              </w:tc>
              <w:tc>
                <w:tcPr>
                  <w:tcW w:w="1878"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本项目为鼓励类项目，符合国家产业政策</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 xml:space="preserve">第二十四条 </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禁止新建、扩建不符合国家产能置换要求的严重过剩产能行业（钢铁、水泥、电解铝、平板玻璃、船舶等行业）的项目。</w:t>
                  </w:r>
                </w:p>
              </w:tc>
              <w:tc>
                <w:tcPr>
                  <w:tcW w:w="1878" w:type="dxa"/>
                  <w:vMerge w:val="restart"/>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本项目不属于</w:t>
                  </w:r>
                  <w:r>
                    <w:rPr>
                      <w:rFonts w:hint="default" w:ascii="Times New Roman" w:hAnsi="Times New Roman" w:eastAsia="宋体" w:cs="Times New Roman"/>
                      <w:color w:val="000000"/>
                      <w:sz w:val="21"/>
                      <w:szCs w:val="21"/>
                      <w:u w:val="none" w:color="auto"/>
                      <w:vertAlign w:val="baseline"/>
                      <w:lang w:val="en-US" w:eastAsia="zh-CN"/>
                    </w:rPr>
                    <w:t>严重过剩产能行业</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第二十五条</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各地方、各部门不得以任何名义、任何方式办理产能严重过剩行业新增产能项目的建设审批手续，对确有必要新建的，必须严格执行产能置换实施办法，实施减量或等量置换，依法依规办理有关手续。</w:t>
                  </w:r>
                </w:p>
              </w:tc>
              <w:tc>
                <w:tcPr>
                  <w:tcW w:w="1878" w:type="dxa"/>
                  <w:vMerge w:val="continue"/>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17" w:type="dxa"/>
                  <w:noWrap w:val="0"/>
                  <w:vAlign w:val="center"/>
                </w:tcPr>
                <w:p>
                  <w:pPr>
                    <w:numPr>
                      <w:ilvl w:val="0"/>
                      <w:numId w:val="0"/>
                    </w:numPr>
                    <w:bidi w:val="0"/>
                    <w:spacing w:line="240" w:lineRule="auto"/>
                    <w:jc w:val="center"/>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第二十六条</w:t>
                  </w:r>
                </w:p>
              </w:tc>
              <w:tc>
                <w:tcPr>
                  <w:tcW w:w="5487" w:type="dxa"/>
                  <w:noWrap w:val="0"/>
                  <w:vAlign w:val="center"/>
                </w:tcPr>
                <w:p>
                  <w:pPr>
                    <w:numPr>
                      <w:ilvl w:val="0"/>
                      <w:numId w:val="0"/>
                    </w:numPr>
                    <w:bidi w:val="0"/>
                    <w:spacing w:line="240" w:lineRule="auto"/>
                    <w:jc w:val="both"/>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vertAlign w:val="baseline"/>
                      <w:lang w:val="en-US" w:eastAsia="zh-CN"/>
                    </w:rPr>
                    <w:t>高污染项目应严格按照环境保护综合名录等有关要求执行。</w:t>
                  </w:r>
                </w:p>
              </w:tc>
              <w:tc>
                <w:tcPr>
                  <w:tcW w:w="1878"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本项目不属于</w:t>
                  </w:r>
                  <w:r>
                    <w:rPr>
                      <w:rFonts w:hint="default" w:ascii="Times New Roman" w:hAnsi="Times New Roman" w:eastAsia="宋体" w:cs="Times New Roman"/>
                      <w:color w:val="000000"/>
                      <w:sz w:val="21"/>
                      <w:szCs w:val="21"/>
                      <w:u w:val="none" w:color="auto"/>
                      <w:vertAlign w:val="baseline"/>
                      <w:lang w:val="en-US" w:eastAsia="zh-CN"/>
                    </w:rPr>
                    <w:t>高污染项目</w:t>
                  </w:r>
                </w:p>
              </w:tc>
              <w:tc>
                <w:tcPr>
                  <w:tcW w:w="856" w:type="dxa"/>
                  <w:noWrap w:val="0"/>
                  <w:vAlign w:val="center"/>
                </w:tcPr>
                <w:p>
                  <w:pPr>
                    <w:numPr>
                      <w:ilvl w:val="0"/>
                      <w:numId w:val="0"/>
                    </w:numPr>
                    <w:bidi w:val="0"/>
                    <w:spacing w:line="240" w:lineRule="auto"/>
                    <w:jc w:val="center"/>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符合</w:t>
                  </w:r>
                </w:p>
              </w:tc>
            </w:tr>
          </w:tbl>
          <w:p>
            <w:pPr>
              <w:bidi w:val="0"/>
              <w:ind w:firstLine="480" w:firstLineChars="200"/>
              <w:outlineLvl w:val="9"/>
              <w:rPr>
                <w:rFonts w:hint="eastAsia" w:ascii="Times New Roman" w:hAnsi="Times New Roman" w:eastAsia="宋体" w:cs="Times New Roman"/>
                <w:sz w:val="24"/>
                <w:szCs w:val="24"/>
                <w:u w:val="none" w:color="auto"/>
                <w:lang w:val="en-US" w:eastAsia="zh-CN"/>
              </w:rPr>
            </w:pPr>
            <w:r>
              <w:rPr>
                <w:rFonts w:hint="eastAsia" w:eastAsia="宋体" w:cs="Times New Roman"/>
                <w:sz w:val="24"/>
                <w:szCs w:val="24"/>
                <w:u w:val="none" w:color="auto"/>
                <w:lang w:val="en-US" w:eastAsia="zh-CN"/>
              </w:rPr>
              <w:t>由上表可知，本项目与《</w:t>
            </w:r>
            <w:r>
              <w:rPr>
                <w:rFonts w:hint="default" w:ascii="Times New Roman" w:hAnsi="Times New Roman" w:eastAsia="宋体" w:cs="Times New Roman"/>
                <w:sz w:val="24"/>
                <w:szCs w:val="24"/>
                <w:u w:val="none" w:color="auto"/>
                <w:lang w:val="en-US" w:eastAsia="zh-CN"/>
              </w:rPr>
              <w:t>湖南省长江经济带发展负面清单实施细则（试行，2022年版）》</w:t>
            </w:r>
            <w:r>
              <w:rPr>
                <w:rFonts w:hint="eastAsia" w:ascii="Times New Roman" w:hAnsi="Times New Roman" w:eastAsia="宋体" w:cs="Times New Roman"/>
                <w:sz w:val="24"/>
                <w:szCs w:val="24"/>
                <w:u w:val="none" w:color="auto"/>
                <w:lang w:val="en-US" w:eastAsia="zh-CN"/>
              </w:rPr>
              <w:t>相符。</w:t>
            </w:r>
          </w:p>
          <w:p>
            <w:pPr>
              <w:keepNext w:val="0"/>
              <w:keepLines w:val="0"/>
              <w:pageBreakBefore w:val="0"/>
              <w:widowControl w:val="0"/>
              <w:tabs>
                <w:tab w:val="left" w:pos="1800"/>
              </w:tabs>
              <w:kinsoku/>
              <w:wordWrap/>
              <w:overflowPunct/>
              <w:topLinePunct w:val="0"/>
              <w:autoSpaceDE/>
              <w:autoSpaceDN/>
              <w:bidi w:val="0"/>
              <w:adjustRightInd w:val="0"/>
              <w:snapToGrid w:val="0"/>
              <w:spacing w:before="157" w:beforeLines="50" w:line="360" w:lineRule="auto"/>
              <w:ind w:right="0" w:rightChars="0"/>
              <w:textAlignment w:val="auto"/>
              <w:outlineLvl w:val="2"/>
              <w:rPr>
                <w:rFonts w:hint="eastAsia" w:ascii="Times New Roman" w:hAnsi="Times New Roman" w:eastAsia="宋体" w:cs="Times New Roman"/>
                <w:b/>
                <w:bCs/>
                <w:sz w:val="24"/>
                <w:u w:val="none" w:color="auto"/>
                <w:lang w:val="en-US" w:eastAsia="zh-CN"/>
              </w:rPr>
            </w:pPr>
            <w:bookmarkStart w:id="7" w:name="_Toc5048"/>
            <w:bookmarkStart w:id="8" w:name="_Toc3206"/>
            <w:bookmarkStart w:id="9" w:name="_Toc8217"/>
            <w:r>
              <w:rPr>
                <w:rFonts w:hint="eastAsia" w:ascii="Times New Roman" w:hAnsi="Times New Roman" w:eastAsia="宋体" w:cs="Times New Roman"/>
                <w:b/>
                <w:bCs/>
                <w:sz w:val="24"/>
                <w:szCs w:val="24"/>
                <w:u w:val="none" w:color="auto"/>
                <w:lang w:val="en-US" w:eastAsia="zh-CN"/>
              </w:rPr>
              <w:t>1.</w:t>
            </w:r>
            <w:bookmarkEnd w:id="7"/>
            <w:bookmarkEnd w:id="8"/>
            <w:r>
              <w:rPr>
                <w:rFonts w:hint="eastAsia" w:ascii="Times New Roman" w:hAnsi="Times New Roman" w:eastAsia="宋体" w:cs="Times New Roman"/>
                <w:b/>
                <w:bCs/>
                <w:sz w:val="24"/>
                <w:szCs w:val="24"/>
                <w:u w:val="none" w:color="auto"/>
                <w:lang w:val="en-US" w:eastAsia="zh-CN"/>
              </w:rPr>
              <w:t>5与《湖南省“十四五”生态环境保护规划》（湘政办发〔2021〕61号）的符合性分析</w:t>
            </w:r>
            <w:bookmarkEnd w:id="9"/>
          </w:p>
          <w:p>
            <w:pPr>
              <w:pStyle w:val="33"/>
              <w:jc w:val="center"/>
              <w:rPr>
                <w:rFonts w:hint="default" w:ascii="Times New Roman" w:hAnsi="Times New Roman" w:eastAsia="宋体" w:cs="Times New Roman"/>
                <w:b/>
                <w:bCs/>
                <w:sz w:val="21"/>
                <w:szCs w:val="21"/>
                <w:u w:val="none" w:color="auto"/>
                <w:lang w:val="en-US" w:eastAsia="zh-CN"/>
              </w:rPr>
            </w:pPr>
            <w:r>
              <w:rPr>
                <w:rFonts w:hint="eastAsia" w:ascii="Times New Roman" w:hAnsi="Times New Roman" w:eastAsia="宋体" w:cs="Times New Roman"/>
                <w:b/>
                <w:bCs/>
                <w:sz w:val="21"/>
                <w:szCs w:val="21"/>
                <w:u w:val="none" w:color="auto"/>
                <w:lang w:val="en-US" w:eastAsia="zh-CN"/>
              </w:rPr>
              <w:t>表1-5《湖南省“十四五”生态环境保护规划》（节选）</w:t>
            </w:r>
          </w:p>
          <w:tbl>
            <w:tblPr>
              <w:tblStyle w:val="27"/>
              <w:tblW w:w="46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5"/>
              <w:gridCol w:w="1754"/>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8" w:type="pct"/>
                  <w:noWrap w:val="0"/>
                  <w:vAlign w:val="center"/>
                </w:tcPr>
                <w:p>
                  <w:pPr>
                    <w:pStyle w:val="78"/>
                    <w:widowControl w:val="0"/>
                    <w:rPr>
                      <w:color w:val="auto"/>
                      <w:highlight w:val="none"/>
                    </w:rPr>
                  </w:pPr>
                  <w:r>
                    <w:rPr>
                      <w:rFonts w:hint="eastAsia"/>
                      <w:color w:val="auto"/>
                      <w:highlight w:val="none"/>
                    </w:rPr>
                    <w:t>与本项目有关要求</w:t>
                  </w:r>
                </w:p>
              </w:tc>
              <w:tc>
                <w:tcPr>
                  <w:tcW w:w="1015" w:type="pct"/>
                  <w:noWrap w:val="0"/>
                  <w:vAlign w:val="center"/>
                </w:tcPr>
                <w:p>
                  <w:pPr>
                    <w:pStyle w:val="78"/>
                    <w:widowControl w:val="0"/>
                    <w:jc w:val="center"/>
                    <w:rPr>
                      <w:color w:val="auto"/>
                      <w:highlight w:val="none"/>
                    </w:rPr>
                  </w:pPr>
                  <w:r>
                    <w:rPr>
                      <w:rFonts w:hint="eastAsia"/>
                      <w:color w:val="auto"/>
                      <w:highlight w:val="none"/>
                    </w:rPr>
                    <w:t>本项目情况</w:t>
                  </w:r>
                </w:p>
              </w:tc>
              <w:tc>
                <w:tcPr>
                  <w:tcW w:w="496" w:type="pct"/>
                  <w:noWrap w:val="0"/>
                  <w:vAlign w:val="center"/>
                </w:tcPr>
                <w:p>
                  <w:pPr>
                    <w:pStyle w:val="78"/>
                    <w:widowControl w:val="0"/>
                    <w:jc w:val="center"/>
                    <w:rPr>
                      <w:color w:val="auto"/>
                      <w:highlight w:val="none"/>
                    </w:rPr>
                  </w:pPr>
                  <w:r>
                    <w:rPr>
                      <w:rFonts w:hint="eastAsia"/>
                      <w:color w:val="auto"/>
                      <w:highlight w:val="none"/>
                    </w:rPr>
                    <w:t>符合分析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8" w:type="pct"/>
                  <w:noWrap w:val="0"/>
                  <w:vAlign w:val="top"/>
                </w:tcPr>
                <w:p>
                  <w:pPr>
                    <w:pStyle w:val="78"/>
                    <w:widowControl w:val="0"/>
                    <w:rPr>
                      <w:color w:val="auto"/>
                      <w:highlight w:val="none"/>
                    </w:rPr>
                  </w:pPr>
                  <w:r>
                    <w:rPr>
                      <w:rFonts w:hint="eastAsia"/>
                      <w:b/>
                      <w:bCs/>
                      <w:color w:val="auto"/>
                      <w:highlight w:val="none"/>
                    </w:rPr>
                    <w:t>严格生态环境分区引导。</w:t>
                  </w:r>
                  <w:r>
                    <w:rPr>
                      <w:rFonts w:hint="eastAsia"/>
                      <w:color w:val="auto"/>
                      <w:highlight w:val="none"/>
                    </w:rPr>
                    <w:t>严格落实湖南省“三线一单”生态环境总体管控要求，将生态保护红线、环境质量底线、资源利用上线和生态环境准入清单作为硬约束落实到环境管控单元，根据生态环境功能、自然资源禀赋、经济与社会发展实际，对环境管控单元实施差异化生态环境准入管理。加强“三线一单”与国土空间规划的衔接，区域资源开发、产业布局和结构调整、城镇建设、重大项目选址应以“三线一单”确定的环境管控单元及生态环境准入清单作为重要依据，加强省级以上产业园区生态环境准入管理。推进“三线一单”与排污许可、环评审批、环境监测、环境执法等数据系统共享，细化“三线一单”数据支撑体系及分区管控要求。</w:t>
                  </w:r>
                </w:p>
              </w:tc>
              <w:tc>
                <w:tcPr>
                  <w:tcW w:w="1015" w:type="pct"/>
                  <w:noWrap w:val="0"/>
                  <w:vAlign w:val="center"/>
                </w:tcPr>
                <w:p>
                  <w:pPr>
                    <w:pStyle w:val="78"/>
                    <w:widowControl w:val="0"/>
                    <w:jc w:val="center"/>
                    <w:rPr>
                      <w:color w:val="auto"/>
                      <w:highlight w:val="none"/>
                    </w:rPr>
                  </w:pPr>
                  <w:r>
                    <w:rPr>
                      <w:rFonts w:hint="eastAsia"/>
                      <w:color w:val="auto"/>
                      <w:highlight w:val="none"/>
                    </w:rPr>
                    <w:t>本项目的建设符合符合</w:t>
                  </w:r>
                  <w:r>
                    <w:rPr>
                      <w:rFonts w:hint="eastAsia"/>
                      <w:color w:val="auto"/>
                      <w:highlight w:val="none"/>
                      <w:lang w:val="en-US" w:eastAsia="zh-CN"/>
                    </w:rPr>
                    <w:t>衡阳</w:t>
                  </w:r>
                  <w:r>
                    <w:rPr>
                      <w:rFonts w:hint="eastAsia"/>
                      <w:color w:val="auto"/>
                      <w:highlight w:val="none"/>
                    </w:rPr>
                    <w:t>“三线一单”生态环境管控要求</w:t>
                  </w:r>
                </w:p>
              </w:tc>
              <w:tc>
                <w:tcPr>
                  <w:tcW w:w="496" w:type="pct"/>
                  <w:noWrap w:val="0"/>
                  <w:vAlign w:val="center"/>
                </w:tcPr>
                <w:p>
                  <w:pPr>
                    <w:pStyle w:val="78"/>
                    <w:widowControl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8" w:type="pct"/>
                  <w:noWrap w:val="0"/>
                  <w:vAlign w:val="top"/>
                </w:tcPr>
                <w:p>
                  <w:pPr>
                    <w:pStyle w:val="78"/>
                    <w:widowControl w:val="0"/>
                    <w:rPr>
                      <w:color w:val="auto"/>
                      <w:highlight w:val="none"/>
                    </w:rPr>
                  </w:pPr>
                  <w:r>
                    <w:rPr>
                      <w:rFonts w:hint="eastAsia"/>
                      <w:b/>
                      <w:bCs/>
                      <w:color w:val="auto"/>
                      <w:highlight w:val="none"/>
                    </w:rPr>
                    <w:t>加强规划环境影响评价。</w:t>
                  </w:r>
                  <w:r>
                    <w:rPr>
                      <w:rFonts w:hint="eastAsia"/>
                      <w:color w:val="auto"/>
                      <w:highlight w:val="none"/>
                    </w:rPr>
                    <w:t>严格执行以环评制度为主体的生态环境源头预防制度，以国土空间规划、区域规划、行业发展规划引导经济社会发展，全面推进重点区域、重点流域、重点行业规划环评。规划编制要充分考虑底线约束、空间管制、总量管控和生态环境准入，统筹区域空间布局与生态安全格局。严格审查涉“两高”行业的有关综合性规划和工业、能源等专项规划，严格控制“两高”行业发展规模，优化规划布局、产业结构与实施时序。加强规划环评对建设项目环评工作的指导和约束，推动规划环评成果落实。</w:t>
                  </w:r>
                </w:p>
              </w:tc>
              <w:tc>
                <w:tcPr>
                  <w:tcW w:w="1015" w:type="pct"/>
                  <w:noWrap w:val="0"/>
                  <w:vAlign w:val="center"/>
                </w:tcPr>
                <w:p>
                  <w:pPr>
                    <w:pStyle w:val="78"/>
                    <w:widowControl w:val="0"/>
                    <w:jc w:val="center"/>
                    <w:rPr>
                      <w:color w:val="auto"/>
                      <w:highlight w:val="none"/>
                    </w:rPr>
                  </w:pPr>
                  <w:r>
                    <w:rPr>
                      <w:rFonts w:hint="eastAsia"/>
                      <w:color w:val="auto"/>
                      <w:highlight w:val="none"/>
                    </w:rPr>
                    <w:t>本项目严格执行以环评制度为主体的生态环境源头预防制度，本环评的编制充分考虑了底线约束、空间管制、总量管控和生态环境准入，统筹区域空间布局与生态安全格局。本项目不涉及“两高”行业。</w:t>
                  </w:r>
                </w:p>
              </w:tc>
              <w:tc>
                <w:tcPr>
                  <w:tcW w:w="496" w:type="pct"/>
                  <w:noWrap w:val="0"/>
                  <w:vAlign w:val="center"/>
                </w:tcPr>
                <w:p>
                  <w:pPr>
                    <w:pStyle w:val="78"/>
                    <w:widowControl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8" w:type="pct"/>
                  <w:noWrap w:val="0"/>
                  <w:vAlign w:val="top"/>
                </w:tcPr>
                <w:p>
                  <w:pPr>
                    <w:pStyle w:val="78"/>
                    <w:widowControl w:val="0"/>
                    <w:rPr>
                      <w:color w:val="auto"/>
                      <w:highlight w:val="none"/>
                    </w:rPr>
                  </w:pPr>
                  <w:r>
                    <w:rPr>
                      <w:rFonts w:hint="eastAsia"/>
                      <w:color w:val="auto"/>
                      <w:highlight w:val="none"/>
                      <w:shd w:val="clear" w:color="auto" w:fill="FFFFFF"/>
                    </w:rPr>
                    <w:t>以企业和工业聚集区为重点，推进工业园区污水处理设施分类管理、分期升级改造，实施省级及以上工业园区专项整治行动，实现省级及以上工业园区污水管网全覆盖、污水全收集、污水集中处理设施稳定达标运行、进出水水质在线监控并联网正常，规范设置园区集中污水处理设施排污口，建立园区水环境管理“一园一档”。加强涉重金属行业企业废水治理，推进重点行业氨氮和总磷排放总量控制。</w:t>
                  </w:r>
                </w:p>
              </w:tc>
              <w:tc>
                <w:tcPr>
                  <w:tcW w:w="1015" w:type="pct"/>
                  <w:noWrap w:val="0"/>
                  <w:vAlign w:val="center"/>
                </w:tcPr>
                <w:p>
                  <w:pPr>
                    <w:pStyle w:val="78"/>
                    <w:widowControl w:val="0"/>
                    <w:jc w:val="center"/>
                    <w:rPr>
                      <w:color w:val="auto"/>
                      <w:highlight w:val="none"/>
                    </w:rPr>
                  </w:pPr>
                  <w:r>
                    <w:rPr>
                      <w:rFonts w:hint="eastAsia"/>
                      <w:color w:val="auto"/>
                      <w:highlight w:val="none"/>
                    </w:rPr>
                    <w:t>本项目</w:t>
                  </w:r>
                  <w:r>
                    <w:rPr>
                      <w:rFonts w:hint="eastAsia"/>
                      <w:color w:val="auto"/>
                      <w:highlight w:val="none"/>
                      <w:lang w:val="en-US" w:eastAsia="zh-CN"/>
                    </w:rPr>
                    <w:t>不在工业园区内</w:t>
                  </w:r>
                  <w:r>
                    <w:rPr>
                      <w:rFonts w:hint="eastAsia"/>
                      <w:color w:val="auto"/>
                      <w:highlight w:val="none"/>
                      <w:lang w:bidi="zh-CN"/>
                    </w:rPr>
                    <w:t>。</w:t>
                  </w:r>
                </w:p>
              </w:tc>
              <w:tc>
                <w:tcPr>
                  <w:tcW w:w="496" w:type="pct"/>
                  <w:noWrap w:val="0"/>
                  <w:vAlign w:val="center"/>
                </w:tcPr>
                <w:p>
                  <w:pPr>
                    <w:pStyle w:val="78"/>
                    <w:widowControl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8" w:type="pct"/>
                  <w:noWrap w:val="0"/>
                  <w:vAlign w:val="top"/>
                </w:tcPr>
                <w:p>
                  <w:pPr>
                    <w:pStyle w:val="78"/>
                    <w:widowControl w:val="0"/>
                    <w:rPr>
                      <w:color w:val="auto"/>
                      <w:highlight w:val="none"/>
                    </w:rPr>
                  </w:pPr>
                  <w:r>
                    <w:rPr>
                      <w:rStyle w:val="29"/>
                      <w:rFonts w:hint="eastAsia"/>
                      <w:color w:val="auto"/>
                      <w:highlight w:val="none"/>
                      <w:shd w:val="clear" w:color="auto" w:fill="FFFFFF"/>
                    </w:rPr>
                    <w:t>加强长江干支流系统治理</w:t>
                  </w:r>
                  <w:r>
                    <w:rPr>
                      <w:rFonts w:hint="eastAsia"/>
                      <w:color w:val="auto"/>
                      <w:highlight w:val="none"/>
                      <w:shd w:val="clear" w:color="auto" w:fill="FFFFFF"/>
                    </w:rPr>
                    <w:t>。按照《湖南省沿江化工企业搬迁改造实施方案》要求，沿江岸线</w:t>
                  </w:r>
                  <w:r>
                    <w:rPr>
                      <w:color w:val="auto"/>
                      <w:highlight w:val="none"/>
                      <w:shd w:val="clear" w:color="auto" w:fill="FFFFFF"/>
                    </w:rPr>
                    <w:t>1</w:t>
                  </w:r>
                  <w:r>
                    <w:rPr>
                      <w:rFonts w:hint="eastAsia"/>
                      <w:color w:val="auto"/>
                      <w:highlight w:val="none"/>
                      <w:shd w:val="clear" w:color="auto" w:fill="FFFFFF"/>
                    </w:rPr>
                    <w:t>公里范围内严禁新建、扩建化工园区、化工生产项目；严禁现有合规化工园区在沿江岸线</w:t>
                  </w:r>
                  <w:r>
                    <w:rPr>
                      <w:color w:val="auto"/>
                      <w:highlight w:val="none"/>
                      <w:shd w:val="clear" w:color="auto" w:fill="FFFFFF"/>
                    </w:rPr>
                    <w:t>1</w:t>
                  </w:r>
                  <w:r>
                    <w:rPr>
                      <w:rFonts w:hint="eastAsia"/>
                      <w:color w:val="auto"/>
                      <w:highlight w:val="none"/>
                      <w:shd w:val="clear" w:color="auto" w:fill="FFFFFF"/>
                    </w:rPr>
                    <w:t>公里范围内靠江扩建；安全环保达标的化工生产企业因生产需要可向背江一面逐步搬迁，</w:t>
                  </w:r>
                  <w:r>
                    <w:rPr>
                      <w:color w:val="auto"/>
                      <w:highlight w:val="none"/>
                      <w:shd w:val="clear" w:color="auto" w:fill="FFFFFF"/>
                    </w:rPr>
                    <w:t>2025</w:t>
                  </w:r>
                  <w:r>
                    <w:rPr>
                      <w:rFonts w:hint="eastAsia"/>
                      <w:color w:val="auto"/>
                      <w:highlight w:val="none"/>
                      <w:shd w:val="clear" w:color="auto" w:fill="FFFFFF"/>
                    </w:rPr>
                    <w:t>年底前完成沿江化工企业搬迁改造任务。全面加强入河排污口排查整治与监管，</w:t>
                  </w:r>
                  <w:r>
                    <w:rPr>
                      <w:color w:val="auto"/>
                      <w:highlight w:val="none"/>
                      <w:shd w:val="clear" w:color="auto" w:fill="FFFFFF"/>
                    </w:rPr>
                    <w:t>2023</w:t>
                  </w:r>
                  <w:r>
                    <w:rPr>
                      <w:rFonts w:hint="eastAsia"/>
                      <w:color w:val="auto"/>
                      <w:highlight w:val="none"/>
                      <w:shd w:val="clear" w:color="auto" w:fill="FFFFFF"/>
                    </w:rPr>
                    <w:t>年完成长江干流湖南段、湘资沅澧干流及重要支流入河排污口排查，建立入河排污口名录，初步建成统一的流域排污口信息管理系统，</w:t>
                  </w:r>
                  <w:r>
                    <w:rPr>
                      <w:color w:val="auto"/>
                      <w:highlight w:val="none"/>
                      <w:shd w:val="clear" w:color="auto" w:fill="FFFFFF"/>
                    </w:rPr>
                    <w:t>2025</w:t>
                  </w:r>
                  <w:r>
                    <w:rPr>
                      <w:rFonts w:hint="eastAsia"/>
                      <w:color w:val="auto"/>
                      <w:highlight w:val="none"/>
                      <w:shd w:val="clear" w:color="auto" w:fill="FFFFFF"/>
                    </w:rPr>
                    <w:t>年完成全流域排污口排查，建成流域排污口信息管理系统。完成入河排污口区域分区体系建设，明确禁止设置、限制设置区域范围，有效规范和管控入河排污口。</w:t>
                  </w:r>
                </w:p>
              </w:tc>
              <w:tc>
                <w:tcPr>
                  <w:tcW w:w="1015" w:type="pct"/>
                  <w:noWrap w:val="0"/>
                  <w:vAlign w:val="center"/>
                </w:tcPr>
                <w:p>
                  <w:pPr>
                    <w:pStyle w:val="78"/>
                    <w:widowControl w:val="0"/>
                    <w:jc w:val="center"/>
                    <w:rPr>
                      <w:color w:val="auto"/>
                      <w:highlight w:val="none"/>
                    </w:rPr>
                  </w:pPr>
                  <w:r>
                    <w:rPr>
                      <w:rFonts w:hint="eastAsia"/>
                      <w:color w:val="auto"/>
                      <w:highlight w:val="none"/>
                      <w:lang w:bidi="zh-CN"/>
                    </w:rPr>
                    <w:t>本项目属于</w:t>
                  </w:r>
                  <w:r>
                    <w:rPr>
                      <w:rFonts w:hint="eastAsia"/>
                      <w:color w:val="auto"/>
                      <w:highlight w:val="none"/>
                      <w:lang w:val="en-US" w:bidi="zh-CN"/>
                    </w:rPr>
                    <w:t>为除险加固工程，</w:t>
                  </w:r>
                  <w:r>
                    <w:rPr>
                      <w:rFonts w:hint="eastAsia"/>
                      <w:color w:val="auto"/>
                      <w:highlight w:val="none"/>
                    </w:rPr>
                    <w:t>不涉及化工行业，不设置入河排污口。</w:t>
                  </w:r>
                </w:p>
              </w:tc>
              <w:tc>
                <w:tcPr>
                  <w:tcW w:w="496" w:type="pct"/>
                  <w:noWrap w:val="0"/>
                  <w:vAlign w:val="center"/>
                </w:tcPr>
                <w:p>
                  <w:pPr>
                    <w:pStyle w:val="78"/>
                    <w:widowControl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8" w:type="pct"/>
                  <w:noWrap w:val="0"/>
                  <w:vAlign w:val="top"/>
                </w:tcPr>
                <w:p>
                  <w:pPr>
                    <w:pStyle w:val="78"/>
                    <w:widowControl w:val="0"/>
                    <w:rPr>
                      <w:rStyle w:val="29"/>
                      <w:color w:val="auto"/>
                      <w:highlight w:val="none"/>
                      <w:shd w:val="clear" w:color="auto" w:fill="FFFFFF"/>
                    </w:rPr>
                  </w:pPr>
                  <w:r>
                    <w:rPr>
                      <w:rStyle w:val="29"/>
                      <w:rFonts w:hint="eastAsia"/>
                      <w:color w:val="auto"/>
                      <w:highlight w:val="none"/>
                      <w:shd w:val="clear" w:color="auto" w:fill="FFFFFF"/>
                    </w:rPr>
                    <w:t>强化重点行业</w:t>
                  </w:r>
                  <w:r>
                    <w:rPr>
                      <w:rStyle w:val="29"/>
                      <w:color w:val="auto"/>
                      <w:highlight w:val="none"/>
                      <w:shd w:val="clear" w:color="auto" w:fill="FFFFFF"/>
                    </w:rPr>
                    <w:t>NOx</w:t>
                  </w:r>
                  <w:r>
                    <w:rPr>
                      <w:rStyle w:val="29"/>
                      <w:rFonts w:hint="eastAsia"/>
                      <w:color w:val="auto"/>
                      <w:highlight w:val="none"/>
                      <w:shd w:val="clear" w:color="auto" w:fill="FFFFFF"/>
                    </w:rPr>
                    <w:t>深度治理。</w:t>
                  </w:r>
                  <w:r>
                    <w:rPr>
                      <w:rFonts w:hint="eastAsia"/>
                      <w:color w:val="auto"/>
                      <w:highlight w:val="none"/>
                      <w:shd w:val="clear" w:color="auto" w:fill="FFFFFF"/>
                    </w:rPr>
                    <w:t>推进烧结砖瓦行业治理设施升级改造，淘汰“双碱法”脱硫除尘一体化技术，到</w:t>
                  </w:r>
                  <w:r>
                    <w:rPr>
                      <w:color w:val="auto"/>
                      <w:highlight w:val="none"/>
                      <w:shd w:val="clear" w:color="auto" w:fill="FFFFFF"/>
                    </w:rPr>
                    <w:t>2025</w:t>
                  </w:r>
                  <w:r>
                    <w:rPr>
                      <w:rFonts w:hint="eastAsia"/>
                      <w:color w:val="auto"/>
                      <w:highlight w:val="none"/>
                      <w:shd w:val="clear" w:color="auto" w:fill="FFFFFF"/>
                    </w:rPr>
                    <w:t>年，烧结砖瓦企业完成高效脱硫除尘改造。推进水泥熟料生产企业采用分级燃烧等技术，配备高效除尘和脱硝设施，实施氮氧化物深度治理，到</w:t>
                  </w:r>
                  <w:r>
                    <w:rPr>
                      <w:color w:val="auto"/>
                      <w:highlight w:val="none"/>
                      <w:shd w:val="clear" w:color="auto" w:fill="FFFFFF"/>
                    </w:rPr>
                    <w:t>2023</w:t>
                  </w:r>
                  <w:r>
                    <w:rPr>
                      <w:rFonts w:hint="eastAsia"/>
                      <w:color w:val="auto"/>
                      <w:highlight w:val="none"/>
                      <w:shd w:val="clear" w:color="auto" w:fill="FFFFFF"/>
                    </w:rPr>
                    <w:t>年，</w:t>
                  </w:r>
                  <w:r>
                    <w:rPr>
                      <w:color w:val="auto"/>
                      <w:highlight w:val="none"/>
                      <w:shd w:val="clear" w:color="auto" w:fill="FFFFFF"/>
                    </w:rPr>
                    <w:t>NOx</w:t>
                  </w:r>
                  <w:r>
                    <w:rPr>
                      <w:rFonts w:hint="eastAsia"/>
                      <w:color w:val="auto"/>
                      <w:highlight w:val="none"/>
                      <w:shd w:val="clear" w:color="auto" w:fill="FFFFFF"/>
                    </w:rPr>
                    <w:t>排放浓度控制在</w:t>
                  </w:r>
                  <w:r>
                    <w:rPr>
                      <w:color w:val="auto"/>
                      <w:highlight w:val="none"/>
                      <w:shd w:val="clear" w:color="auto" w:fill="FFFFFF"/>
                    </w:rPr>
                    <w:t>100</w:t>
                  </w:r>
                  <w:r>
                    <w:rPr>
                      <w:rFonts w:hint="eastAsia"/>
                      <w:color w:val="auto"/>
                      <w:highlight w:val="none"/>
                      <w:shd w:val="clear" w:color="auto" w:fill="FFFFFF"/>
                    </w:rPr>
                    <w:t>毫克</w:t>
                  </w:r>
                  <w:r>
                    <w:rPr>
                      <w:color w:val="auto"/>
                      <w:highlight w:val="none"/>
                      <w:shd w:val="clear" w:color="auto" w:fill="FFFFFF"/>
                    </w:rPr>
                    <w:t>/</w:t>
                  </w:r>
                  <w:r>
                    <w:rPr>
                      <w:rFonts w:hint="eastAsia"/>
                      <w:color w:val="auto"/>
                      <w:highlight w:val="none"/>
                      <w:shd w:val="clear" w:color="auto" w:fill="FFFFFF"/>
                    </w:rPr>
                    <w:t>立方米以下。有序推进钢铁行业超低排放改造，到</w:t>
                  </w:r>
                  <w:r>
                    <w:rPr>
                      <w:color w:val="auto"/>
                      <w:highlight w:val="none"/>
                      <w:shd w:val="clear" w:color="auto" w:fill="FFFFFF"/>
                    </w:rPr>
                    <w:t>2023</w:t>
                  </w:r>
                  <w:r>
                    <w:rPr>
                      <w:rFonts w:hint="eastAsia"/>
                      <w:color w:val="auto"/>
                      <w:highlight w:val="none"/>
                      <w:shd w:val="clear" w:color="auto" w:fill="FFFFFF"/>
                    </w:rPr>
                    <w:t>年底，全省钢铁企业超低排放改造取得明显进展，到</w:t>
                  </w:r>
                  <w:r>
                    <w:rPr>
                      <w:color w:val="auto"/>
                      <w:highlight w:val="none"/>
                      <w:shd w:val="clear" w:color="auto" w:fill="FFFFFF"/>
                    </w:rPr>
                    <w:t>2025</w:t>
                  </w:r>
                  <w:r>
                    <w:rPr>
                      <w:rFonts w:hint="eastAsia"/>
                      <w:color w:val="auto"/>
                      <w:highlight w:val="none"/>
                      <w:shd w:val="clear" w:color="auto" w:fill="FFFFFF"/>
                    </w:rPr>
                    <w:t>年底，钢铁企业全面完成超低排放改造。推进玻璃、陶瓷、铸造、有色等行业污染深度治理。加强自备燃煤机组污染治理设施运行管控，确保按照超低排放运行。焦化、水泥、砖瓦、石灰、耐火材料、有色金属冶炼等行业，严格控制无组织排放。重点涉气排放企业逐步取消烟气旁路，因安全原因无法取消的，安装在线监管系统。开展燃气锅炉低氮改造。</w:t>
                  </w:r>
                </w:p>
              </w:tc>
              <w:tc>
                <w:tcPr>
                  <w:tcW w:w="1015" w:type="pct"/>
                  <w:noWrap w:val="0"/>
                  <w:vAlign w:val="center"/>
                </w:tcPr>
                <w:p>
                  <w:pPr>
                    <w:pStyle w:val="78"/>
                    <w:widowControl w:val="0"/>
                    <w:jc w:val="center"/>
                    <w:rPr>
                      <w:color w:val="auto"/>
                      <w:highlight w:val="none"/>
                    </w:rPr>
                  </w:pPr>
                  <w:r>
                    <w:rPr>
                      <w:rFonts w:hint="eastAsia"/>
                      <w:color w:val="auto"/>
                      <w:highlight w:val="none"/>
                    </w:rPr>
                    <w:t>本项目不涉及锅炉。</w:t>
                  </w:r>
                </w:p>
              </w:tc>
              <w:tc>
                <w:tcPr>
                  <w:tcW w:w="496" w:type="pct"/>
                  <w:noWrap w:val="0"/>
                  <w:vAlign w:val="center"/>
                </w:tcPr>
                <w:p>
                  <w:pPr>
                    <w:pStyle w:val="78"/>
                    <w:widowControl w:val="0"/>
                    <w:jc w:val="cente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8" w:type="pct"/>
                  <w:noWrap w:val="0"/>
                  <w:vAlign w:val="top"/>
                </w:tcPr>
                <w:p>
                  <w:pPr>
                    <w:pStyle w:val="78"/>
                    <w:widowControl w:val="0"/>
                    <w:rPr>
                      <w:rStyle w:val="29"/>
                      <w:color w:val="auto"/>
                      <w:highlight w:val="none"/>
                      <w:shd w:val="clear" w:color="auto" w:fill="FFFFFF"/>
                    </w:rPr>
                  </w:pPr>
                  <w:r>
                    <w:rPr>
                      <w:rStyle w:val="29"/>
                      <w:rFonts w:hint="eastAsia"/>
                      <w:color w:val="auto"/>
                      <w:highlight w:val="none"/>
                      <w:shd w:val="clear" w:color="auto" w:fill="FFFFFF"/>
                    </w:rPr>
                    <w:t>推进一般工业固体废物综合利用</w:t>
                  </w:r>
                  <w:r>
                    <w:rPr>
                      <w:rFonts w:hint="eastAsia"/>
                      <w:color w:val="auto"/>
                      <w:highlight w:val="none"/>
                      <w:shd w:val="clear" w:color="auto" w:fill="FFFFFF"/>
                    </w:rPr>
                    <w:t>。鼓励县级以上地方人民政府统筹或联合规划建设一般工业固体废物集中处置设施，支持资源化利用新技术、新设备、新产品的研发与应用；在环境风险可控下，充分利用工业窑炉、水泥窑等设施消纳采选尾矿、粉煤灰、炉渣、冶炼废渣、脱硫石膏等大宗工业固体废物；构建以水泥、建材、冶金等行业为核心的工业固体废物综合利用系统；推动工业固体废物资源综合利用示范基地（园区）、示范企业、示范项目建设，到</w:t>
                  </w:r>
                  <w:r>
                    <w:rPr>
                      <w:color w:val="auto"/>
                      <w:highlight w:val="none"/>
                      <w:shd w:val="clear" w:color="auto" w:fill="FFFFFF"/>
                    </w:rPr>
                    <w:t xml:space="preserve"> 2025 </w:t>
                  </w:r>
                  <w:r>
                    <w:rPr>
                      <w:rFonts w:hint="eastAsia"/>
                      <w:color w:val="auto"/>
                      <w:highlight w:val="none"/>
                      <w:shd w:val="clear" w:color="auto" w:fill="FFFFFF"/>
                    </w:rPr>
                    <w:t>年，全省一般工业固体废物资源综合利用率达到</w:t>
                  </w:r>
                  <w:r>
                    <w:rPr>
                      <w:color w:val="auto"/>
                      <w:highlight w:val="none"/>
                      <w:shd w:val="clear" w:color="auto" w:fill="FFFFFF"/>
                    </w:rPr>
                    <w:t>80%</w:t>
                  </w:r>
                  <w:r>
                    <w:rPr>
                      <w:rFonts w:hint="eastAsia"/>
                      <w:color w:val="auto"/>
                      <w:highlight w:val="none"/>
                      <w:shd w:val="clear" w:color="auto" w:fill="FFFFFF"/>
                    </w:rPr>
                    <w:t>。</w:t>
                  </w:r>
                </w:p>
              </w:tc>
              <w:tc>
                <w:tcPr>
                  <w:tcW w:w="1015" w:type="pct"/>
                  <w:noWrap w:val="0"/>
                  <w:vAlign w:val="center"/>
                </w:tcPr>
                <w:p>
                  <w:pPr>
                    <w:pStyle w:val="78"/>
                    <w:widowControl w:val="0"/>
                    <w:jc w:val="center"/>
                    <w:rPr>
                      <w:color w:val="auto"/>
                      <w:highlight w:val="none"/>
                    </w:rPr>
                  </w:pPr>
                  <w:r>
                    <w:rPr>
                      <w:rFonts w:hint="eastAsia"/>
                      <w:color w:val="auto"/>
                      <w:highlight w:val="none"/>
                    </w:rPr>
                    <w:t>本项目</w:t>
                  </w:r>
                  <w:r>
                    <w:rPr>
                      <w:rFonts w:hint="eastAsia"/>
                      <w:color w:val="auto"/>
                      <w:highlight w:val="none"/>
                      <w:lang w:val="en-US" w:eastAsia="zh-CN"/>
                    </w:rPr>
                    <w:t>生活垃圾交由环卫部门处理；废弃的建筑材料送到指定地点处置，工程弃渣交由渣土厂统一处理；项目固废均能得到合理处置</w:t>
                  </w:r>
                  <w:r>
                    <w:rPr>
                      <w:rFonts w:hint="eastAsia"/>
                      <w:color w:val="auto"/>
                      <w:highlight w:val="none"/>
                    </w:rPr>
                    <w:t>。</w:t>
                  </w:r>
                </w:p>
              </w:tc>
              <w:tc>
                <w:tcPr>
                  <w:tcW w:w="496" w:type="pct"/>
                  <w:noWrap w:val="0"/>
                  <w:vAlign w:val="center"/>
                </w:tcPr>
                <w:p>
                  <w:pPr>
                    <w:pStyle w:val="78"/>
                    <w:widowControl w:val="0"/>
                    <w:jc w:val="center"/>
                    <w:rPr>
                      <w:color w:val="auto"/>
                      <w:highlight w:val="none"/>
                    </w:rPr>
                  </w:pPr>
                  <w:r>
                    <w:rPr>
                      <w:rFonts w:hint="eastAsia"/>
                      <w:color w:val="auto"/>
                      <w:highlight w:val="none"/>
                    </w:rPr>
                    <w:t>符合</w:t>
                  </w:r>
                </w:p>
              </w:tc>
            </w:tr>
          </w:tbl>
          <w:p>
            <w:pPr>
              <w:bidi w:val="0"/>
              <w:ind w:firstLine="480" w:firstLineChars="200"/>
              <w:outlineLvl w:val="9"/>
              <w:rPr>
                <w:rFonts w:hint="eastAsia" w:ascii="Times New Roman" w:hAnsi="Times New Roman" w:eastAsia="宋体" w:cs="Times New Roman"/>
                <w:color w:val="auto"/>
                <w:u w:val="none"/>
                <w:lang w:eastAsia="zh-CN"/>
              </w:rPr>
            </w:pPr>
          </w:p>
        </w:tc>
      </w:tr>
    </w:tbl>
    <w:p>
      <w:pPr>
        <w:keepNext w:val="0"/>
        <w:keepLines w:val="0"/>
        <w:pageBreakBefore w:val="0"/>
        <w:widowControl w:val="0"/>
        <w:kinsoku/>
        <w:wordWrap/>
        <w:overflowPunct/>
        <w:topLinePunct w:val="0"/>
        <w:autoSpaceDE/>
        <w:autoSpaceDN/>
        <w:bidi w:val="0"/>
        <w:adjustRightInd/>
        <w:snapToGrid/>
        <w:spacing w:line="240" w:lineRule="exact"/>
        <w:ind w:firstLine="306" w:firstLineChars="0"/>
        <w:textAlignment w:val="auto"/>
        <w:outlineLvl w:val="0"/>
        <w:rPr>
          <w:rFonts w:hint="eastAsia"/>
          <w:b/>
          <w:bCs/>
          <w:color w:val="auto"/>
          <w:sz w:val="30"/>
          <w:szCs w:val="30"/>
        </w:rPr>
        <w:sectPr>
          <w:footerReference r:id="rId8" w:type="default"/>
          <w:pgSz w:w="11906" w:h="16838"/>
          <w:pgMar w:top="1077" w:right="1077" w:bottom="1077" w:left="1077" w:header="851" w:footer="510" w:gutter="0"/>
          <w:pgBorders>
            <w:top w:val="none" w:sz="0" w:space="0"/>
            <w:left w:val="none" w:sz="0" w:space="0"/>
            <w:bottom w:val="none" w:sz="0" w:space="0"/>
            <w:right w:val="none" w:sz="0" w:space="0"/>
          </w:pgBorders>
          <w:pgNumType w:fmt="decimal" w:start="1"/>
          <w:cols w:space="425" w:num="1"/>
          <w:docGrid w:type="lines" w:linePitch="312" w:charSpace="0"/>
        </w:sectPr>
      </w:pPr>
    </w:p>
    <w:p>
      <w:pPr>
        <w:bidi w:val="0"/>
        <w:jc w:val="center"/>
        <w:outlineLvl w:val="0"/>
        <w:rPr>
          <w:rFonts w:hint="eastAsia" w:eastAsia="宋体"/>
          <w:color w:val="auto"/>
          <w:vertAlign w:val="baseline"/>
          <w:lang w:eastAsia="zh-CN"/>
        </w:rPr>
      </w:pPr>
      <w:bookmarkStart w:id="10" w:name="_Toc24116"/>
      <w:bookmarkStart w:id="11" w:name="_Toc19936"/>
      <w:bookmarkStart w:id="12" w:name="_Toc28737"/>
      <w:bookmarkStart w:id="13" w:name="_Toc1028"/>
      <w:r>
        <w:rPr>
          <w:rFonts w:hint="eastAsia"/>
          <w:b/>
          <w:bCs/>
          <w:color w:val="auto"/>
          <w:sz w:val="30"/>
          <w:szCs w:val="30"/>
        </w:rPr>
        <w:t>二、</w:t>
      </w:r>
      <w:bookmarkEnd w:id="10"/>
      <w:bookmarkEnd w:id="11"/>
      <w:r>
        <w:rPr>
          <w:rFonts w:hint="eastAsia"/>
          <w:b/>
          <w:bCs/>
          <w:color w:val="auto"/>
          <w:sz w:val="30"/>
          <w:szCs w:val="30"/>
        </w:rPr>
        <w:t>建设</w:t>
      </w:r>
      <w:r>
        <w:rPr>
          <w:rFonts w:hint="eastAsia"/>
          <w:b/>
          <w:bCs/>
          <w:color w:val="auto"/>
          <w:sz w:val="30"/>
          <w:szCs w:val="30"/>
          <w:lang w:val="en-US" w:eastAsia="zh-CN"/>
        </w:rPr>
        <w:t>内容</w:t>
      </w:r>
      <w:bookmarkEnd w:id="12"/>
      <w:bookmarkEnd w:id="13"/>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405"/>
        <w:gridCol w:w="9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203" w:type="pct"/>
            <w:tcBorders>
              <w:tl2br w:val="nil"/>
              <w:tr2bl w:val="nil"/>
            </w:tcBorders>
            <w:vAlign w:val="center"/>
          </w:tcPr>
          <w:p>
            <w:pPr>
              <w:bidi w:val="0"/>
              <w:jc w:val="center"/>
              <w:outlineLvl w:val="9"/>
              <w:rPr>
                <w:rFonts w:hint="default" w:eastAsia="宋体"/>
                <w:color w:val="auto"/>
                <w:u w:val="none" w:color="auto"/>
                <w:vertAlign w:val="baseline"/>
                <w:lang w:val="en-US" w:eastAsia="zh-CN"/>
              </w:rPr>
            </w:pPr>
            <w:r>
              <w:rPr>
                <w:rFonts w:hint="eastAsia"/>
                <w:color w:val="auto"/>
                <w:u w:val="none" w:color="auto"/>
                <w:vertAlign w:val="baseline"/>
                <w:lang w:val="en-US" w:eastAsia="zh-CN"/>
              </w:rPr>
              <w:t>地理位置</w:t>
            </w:r>
          </w:p>
        </w:tc>
        <w:tc>
          <w:tcPr>
            <w:tcW w:w="4796" w:type="pct"/>
            <w:tcBorders>
              <w:tl2br w:val="nil"/>
              <w:tr2bl w:val="nil"/>
            </w:tcBorders>
            <w:vAlign w:val="center"/>
          </w:tcPr>
          <w:p>
            <w:pPr>
              <w:bidi w:val="0"/>
              <w:ind w:firstLine="480" w:firstLineChars="200"/>
              <w:jc w:val="both"/>
              <w:outlineLvl w:val="9"/>
              <w:rPr>
                <w:rFonts w:hint="default" w:eastAsia="宋体"/>
                <w:color w:val="auto"/>
                <w:szCs w:val="22"/>
                <w:u w:val="none" w:color="auto"/>
                <w:lang w:val="en-US" w:eastAsia="zh-CN"/>
              </w:rPr>
            </w:pPr>
            <w:r>
              <w:rPr>
                <w:rFonts w:hint="default"/>
                <w:color w:val="auto"/>
                <w:szCs w:val="22"/>
                <w:u w:val="none" w:color="auto"/>
                <w:lang w:val="en-US"/>
              </w:rPr>
              <w:t>杨柳水闸位于湘江一级支流白河中下游，地处湖南祁东县鸟江镇杨柳村，距祁东县城23km，距衡阳市78km，</w:t>
            </w:r>
            <w:r>
              <w:rPr>
                <w:rFonts w:hint="eastAsia"/>
                <w:color w:val="auto"/>
                <w:szCs w:val="22"/>
                <w:u w:val="none" w:color="auto"/>
                <w:lang w:val="en-US" w:eastAsia="zh-CN"/>
              </w:rPr>
              <w:t>工程地理位置中心坐标：</w:t>
            </w:r>
            <w:r>
              <w:rPr>
                <w:rFonts w:hint="eastAsia"/>
                <w:u w:val="none" w:color="auto"/>
                <w:lang w:val="en-US" w:eastAsia="zh-CN"/>
              </w:rPr>
              <w:t>E：122</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13</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14.428</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w:t>
            </w:r>
            <w:r>
              <w:rPr>
                <w:rFonts w:hint="eastAsia" w:cs="Times New Roman"/>
                <w:color w:val="auto"/>
                <w:u w:val="none" w:color="auto"/>
                <w:lang w:val="en-US" w:eastAsia="zh-CN"/>
              </w:rPr>
              <w:t>26</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37</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25.426</w:t>
            </w:r>
            <w:r>
              <w:rPr>
                <w:rFonts w:hint="default" w:ascii="Times New Roman" w:hAnsi="Times New Roman" w:cs="Times New Roman"/>
                <w:color w:val="auto"/>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2880" w:hRule="atLeast"/>
        </w:trPr>
        <w:tc>
          <w:tcPr>
            <w:tcW w:w="203" w:type="pct"/>
            <w:tcBorders>
              <w:tl2br w:val="nil"/>
              <w:tr2bl w:val="nil"/>
            </w:tcBorders>
            <w:vAlign w:val="center"/>
          </w:tcPr>
          <w:p>
            <w:pPr>
              <w:bidi w:val="0"/>
              <w:jc w:val="center"/>
              <w:outlineLvl w:val="9"/>
              <w:rPr>
                <w:rFonts w:hint="default" w:eastAsia="宋体"/>
                <w:color w:val="auto"/>
                <w:u w:val="none" w:color="auto"/>
                <w:vertAlign w:val="baseline"/>
                <w:lang w:val="en-US" w:eastAsia="zh-CN"/>
              </w:rPr>
            </w:pPr>
            <w:r>
              <w:rPr>
                <w:rFonts w:hint="eastAsia"/>
                <w:color w:val="auto"/>
                <w:u w:val="none" w:color="auto"/>
                <w:vertAlign w:val="baseline"/>
                <w:lang w:val="en-US" w:eastAsia="zh-CN"/>
              </w:rPr>
              <w:t>项目组成及规模</w:t>
            </w:r>
          </w:p>
        </w:tc>
        <w:tc>
          <w:tcPr>
            <w:tcW w:w="4796" w:type="pct"/>
            <w:tcBorders>
              <w:tl2br w:val="nil"/>
              <w:tr2bl w:val="nil"/>
            </w:tcBorders>
          </w:tcPr>
          <w:p>
            <w:pPr>
              <w:spacing w:line="360" w:lineRule="auto"/>
              <w:rPr>
                <w:rFonts w:hint="eastAsia" w:ascii="Times New Roman" w:hAnsi="Times New Roman" w:eastAsia="宋体" w:cs="Times New Roman"/>
                <w:b/>
                <w:color w:val="auto"/>
                <w:u w:val="none" w:color="auto"/>
                <w:lang w:val="en-US" w:eastAsia="zh-CN"/>
              </w:rPr>
            </w:pPr>
            <w:r>
              <w:rPr>
                <w:rFonts w:hint="eastAsia" w:cs="Times New Roman"/>
                <w:b/>
                <w:color w:val="auto"/>
                <w:u w:val="none" w:color="auto"/>
                <w:lang w:val="en-US" w:eastAsia="zh-CN"/>
              </w:rPr>
              <w:t>2.1</w:t>
            </w:r>
            <w:r>
              <w:rPr>
                <w:rFonts w:hint="default" w:ascii="Times New Roman" w:hAnsi="Times New Roman" w:cs="Times New Roman"/>
                <w:b/>
                <w:color w:val="auto"/>
                <w:u w:val="none" w:color="auto"/>
              </w:rPr>
              <w:t>项目</w:t>
            </w:r>
            <w:r>
              <w:rPr>
                <w:rFonts w:hint="eastAsia" w:cs="Times New Roman"/>
                <w:b/>
                <w:color w:val="auto"/>
                <w:u w:val="none" w:color="auto"/>
                <w:lang w:val="en-US" w:eastAsia="zh-CN"/>
              </w:rPr>
              <w:t>背景</w:t>
            </w:r>
          </w:p>
          <w:p>
            <w:pPr>
              <w:bidi w:val="0"/>
              <w:ind w:firstLine="482" w:firstLineChars="200"/>
              <w:outlineLvl w:val="9"/>
              <w:rPr>
                <w:rFonts w:hint="default" w:ascii="Times New Roman" w:hAnsi="Times New Roman" w:eastAsia="宋体" w:cs="Times New Roman"/>
                <w:b/>
                <w:bCs/>
                <w:color w:val="auto"/>
                <w:u w:val="none" w:color="auto"/>
                <w:lang w:val="en-US" w:eastAsia="zh-CN"/>
              </w:rPr>
            </w:pPr>
            <w:r>
              <w:rPr>
                <w:rFonts w:hint="eastAsia" w:cs="Times New Roman"/>
                <w:b/>
                <w:bCs/>
                <w:color w:val="auto"/>
                <w:u w:val="none" w:color="auto"/>
                <w:lang w:val="en-US" w:eastAsia="zh-CN"/>
              </w:rPr>
              <w:t>1、基本情况</w:t>
            </w:r>
          </w:p>
          <w:p>
            <w:pPr>
              <w:bidi w:val="0"/>
              <w:ind w:firstLine="480" w:firstLineChars="200"/>
              <w:outlineLvl w:val="9"/>
              <w:rPr>
                <w:rFonts w:hint="default" w:ascii="Times New Roman" w:hAnsi="Times New Roman" w:cs="Times New Roman"/>
                <w:color w:val="auto"/>
                <w:u w:val="none" w:color="auto"/>
                <w:lang w:val="zh-CN"/>
              </w:rPr>
            </w:pPr>
            <w:r>
              <w:rPr>
                <w:rFonts w:hint="default" w:ascii="Times New Roman" w:hAnsi="Times New Roman" w:cs="Times New Roman"/>
                <w:color w:val="auto"/>
                <w:u w:val="none" w:color="auto"/>
                <w:lang w:val="zh-CN"/>
              </w:rPr>
              <w:t>杨柳水闸位于湘江一级支流白河中下游，地处湖南祁东县鸟江镇杨柳村，距祁东县城23km，距衡阳市 78km，是一座以灌溉为主，兼顾发电、防洪等综合利用水闸。杨柳水闸设计灌溉面积为 6.0 万亩，总库容 1136 万 m</w:t>
            </w:r>
            <w:r>
              <w:rPr>
                <w:rFonts w:hint="default" w:ascii="Times New Roman" w:hAnsi="Times New Roman" w:cs="Times New Roman"/>
                <w:color w:val="auto"/>
                <w:u w:val="none" w:color="auto"/>
                <w:vertAlign w:val="superscript"/>
                <w:lang w:val="zh-CN"/>
              </w:rPr>
              <w:t>3</w:t>
            </w:r>
            <w:r>
              <w:rPr>
                <w:rFonts w:hint="default" w:ascii="Times New Roman" w:hAnsi="Times New Roman" w:cs="Times New Roman"/>
                <w:color w:val="auto"/>
                <w:u w:val="none" w:color="auto"/>
                <w:lang w:val="zh-CN"/>
              </w:rPr>
              <w:t>，校核洪水过闸流量 1431m</w:t>
            </w:r>
            <w:r>
              <w:rPr>
                <w:rFonts w:hint="default" w:ascii="Times New Roman" w:hAnsi="Times New Roman" w:cs="Times New Roman"/>
                <w:color w:val="auto"/>
                <w:u w:val="none" w:color="auto"/>
                <w:vertAlign w:val="superscript"/>
                <w:lang w:val="zh-CN"/>
              </w:rPr>
              <w:t>3</w:t>
            </w:r>
            <w:r>
              <w:rPr>
                <w:rFonts w:hint="default" w:ascii="Times New Roman" w:hAnsi="Times New Roman" w:cs="Times New Roman"/>
                <w:color w:val="auto"/>
                <w:u w:val="none" w:color="auto"/>
                <w:lang w:val="zh-CN"/>
              </w:rPr>
              <w:t>/s。水闸工程对促进当地工农业生产的发展和保护人民生命财产安全都起着重要的作用。</w:t>
            </w:r>
          </w:p>
          <w:p>
            <w:pPr>
              <w:bidi w:val="0"/>
              <w:ind w:firstLine="480" w:firstLineChars="200"/>
              <w:outlineLvl w:val="9"/>
              <w:rPr>
                <w:rFonts w:hint="default" w:ascii="Times New Roman" w:hAnsi="Times New Roman" w:cs="Times New Roman"/>
                <w:color w:val="auto"/>
                <w:u w:val="none" w:color="auto"/>
                <w:lang w:val="zh-CN"/>
              </w:rPr>
            </w:pPr>
            <w:r>
              <w:rPr>
                <w:rFonts w:hint="default" w:ascii="Times New Roman" w:hAnsi="Times New Roman" w:cs="Times New Roman"/>
                <w:color w:val="auto"/>
                <w:u w:val="none" w:color="auto"/>
                <w:lang w:val="zh-CN"/>
              </w:rPr>
              <w:t>杨柳水闸距河口 11km，控制流域面积 546km</w:t>
            </w:r>
            <w:r>
              <w:rPr>
                <w:rFonts w:hint="default" w:ascii="Times New Roman" w:hAnsi="Times New Roman" w:cs="Times New Roman"/>
                <w:color w:val="auto"/>
                <w:u w:val="none" w:color="auto"/>
                <w:vertAlign w:val="superscript"/>
                <w:lang w:val="zh-CN"/>
              </w:rPr>
              <w:t>2</w:t>
            </w:r>
            <w:r>
              <w:rPr>
                <w:rFonts w:hint="default" w:ascii="Times New Roman" w:hAnsi="Times New Roman" w:cs="Times New Roman"/>
                <w:color w:val="auto"/>
                <w:u w:val="none" w:color="auto"/>
                <w:lang w:val="zh-CN"/>
              </w:rPr>
              <w:t>。多年平均流量 10.2m</w:t>
            </w:r>
            <w:r>
              <w:rPr>
                <w:rFonts w:hint="default" w:ascii="Times New Roman" w:hAnsi="Times New Roman" w:cs="Times New Roman"/>
                <w:color w:val="auto"/>
                <w:u w:val="none" w:color="auto"/>
                <w:vertAlign w:val="superscript"/>
                <w:lang w:val="zh-CN"/>
              </w:rPr>
              <w:t>3</w:t>
            </w:r>
            <w:r>
              <w:rPr>
                <w:rFonts w:hint="default" w:ascii="Times New Roman" w:hAnsi="Times New Roman" w:cs="Times New Roman"/>
                <w:color w:val="auto"/>
                <w:u w:val="none" w:color="auto"/>
                <w:lang w:val="zh-CN"/>
              </w:rPr>
              <w:t>/s。闸址区地震基本烈度位于小于Ⅵ度区，属场地稳定地块。</w:t>
            </w:r>
          </w:p>
          <w:p>
            <w:pPr>
              <w:bidi w:val="0"/>
              <w:ind w:firstLine="480" w:firstLineChars="200"/>
              <w:outlineLvl w:val="9"/>
              <w:rPr>
                <w:rFonts w:hint="default" w:ascii="Times New Roman" w:hAnsi="Times New Roman" w:cs="Times New Roman"/>
                <w:color w:val="auto"/>
                <w:u w:val="none" w:color="auto"/>
                <w:lang w:val="zh-CN"/>
              </w:rPr>
            </w:pPr>
            <w:r>
              <w:rPr>
                <w:rFonts w:hint="default" w:ascii="Times New Roman" w:hAnsi="Times New Roman" w:cs="Times New Roman"/>
                <w:color w:val="auto"/>
                <w:u w:val="none" w:color="auto"/>
                <w:lang w:val="zh-CN"/>
              </w:rPr>
              <w:t>杨柳水闸 1965 年开始兴建，1966 年建成，水闸上游正常水位 76.65m，闸顶高程 76.65m，溢流堰堰顶高程 75.15m。</w:t>
            </w:r>
          </w:p>
          <w:p>
            <w:pPr>
              <w:bidi w:val="0"/>
              <w:ind w:firstLine="480" w:firstLineChars="200"/>
              <w:outlineLvl w:val="9"/>
              <w:rPr>
                <w:rFonts w:hint="default" w:ascii="Times New Roman" w:hAnsi="Times New Roman" w:cs="Times New Roman"/>
                <w:color w:val="auto"/>
                <w:u w:val="none" w:color="auto"/>
                <w:lang w:val="zh-CN"/>
              </w:rPr>
            </w:pPr>
            <w:r>
              <w:rPr>
                <w:rFonts w:hint="eastAsia"/>
                <w:color w:val="auto"/>
                <w:u w:val="none" w:color="auto"/>
              </w:rPr>
              <w:t>杨柳水闸工程主要建筑物泄洪闸坝、灌溉渠道进水闸、电站厂房、消能设施、上下游防洪堤、左右岸电灌站(闸上游)，管理房及进站道路等组成</w:t>
            </w:r>
            <w:r>
              <w:rPr>
                <w:rFonts w:hint="default" w:ascii="Times New Roman" w:hAnsi="Times New Roman" w:cs="Times New Roman"/>
                <w:color w:val="auto"/>
                <w:u w:val="none" w:color="auto"/>
                <w:lang w:val="zh-CN"/>
              </w:rPr>
              <w:t>。</w:t>
            </w:r>
          </w:p>
          <w:p>
            <w:pPr>
              <w:bidi w:val="0"/>
              <w:ind w:firstLine="480" w:firstLineChars="200"/>
              <w:outlineLvl w:val="9"/>
              <w:rPr>
                <w:color w:val="auto"/>
                <w:u w:val="none" w:color="auto"/>
              </w:rPr>
            </w:pPr>
            <w:r>
              <w:rPr>
                <w:color w:val="auto"/>
                <w:u w:val="none" w:color="auto"/>
              </w:rPr>
              <w:t>湘潭</w:t>
            </w:r>
            <w:r>
              <w:rPr>
                <w:rFonts w:hint="eastAsia"/>
                <w:color w:val="auto"/>
                <w:u w:val="none" w:color="auto"/>
              </w:rPr>
              <w:t>县城镇</w:t>
            </w:r>
            <w:r>
              <w:rPr>
                <w:color w:val="auto"/>
                <w:u w:val="none" w:color="auto"/>
              </w:rPr>
              <w:t>人口约为</w:t>
            </w:r>
            <w:r>
              <w:rPr>
                <w:rFonts w:hint="eastAsia"/>
                <w:color w:val="auto"/>
                <w:u w:val="none" w:color="auto"/>
              </w:rPr>
              <w:t>40</w:t>
            </w:r>
            <w:r>
              <w:rPr>
                <w:color w:val="auto"/>
                <w:u w:val="none" w:color="auto"/>
              </w:rPr>
              <w:t>万人</w:t>
            </w:r>
            <w:r>
              <w:rPr>
                <w:rFonts w:hint="eastAsia"/>
                <w:color w:val="auto"/>
                <w:u w:val="none" w:color="auto"/>
              </w:rPr>
              <w:t>，</w:t>
            </w:r>
            <w:r>
              <w:rPr>
                <w:color w:val="auto"/>
                <w:u w:val="none" w:color="auto"/>
              </w:rPr>
              <w:t>根据《防洪标准（GB50201-2014）》及《城市防洪工程设计规范》（GB/T50805-2012），城市</w:t>
            </w:r>
            <w:r>
              <w:rPr>
                <w:rFonts w:hint="eastAsia"/>
                <w:color w:val="auto"/>
                <w:u w:val="none" w:color="auto"/>
              </w:rPr>
              <w:t>防洪工程</w:t>
            </w:r>
            <w:r>
              <w:rPr>
                <w:color w:val="auto"/>
                <w:u w:val="none" w:color="auto"/>
              </w:rPr>
              <w:t>等</w:t>
            </w:r>
            <w:r>
              <w:rPr>
                <w:rFonts w:hint="eastAsia"/>
                <w:color w:val="auto"/>
                <w:u w:val="none" w:color="auto"/>
              </w:rPr>
              <w:t>别为</w:t>
            </w:r>
            <w:r>
              <w:rPr>
                <w:color w:val="auto"/>
                <w:u w:val="none" w:color="auto"/>
              </w:rPr>
              <w:t>Ⅲ</w:t>
            </w:r>
            <w:r>
              <w:rPr>
                <w:rFonts w:hint="eastAsia"/>
                <w:color w:val="auto"/>
                <w:u w:val="none" w:color="auto"/>
              </w:rPr>
              <w:t>等，对应的防洪标准为≥50且＜100年一遇；根据湘江流域综合规划（水利部长江水利委员会 2019.08）确定湘潭市主城区防洪标准为100年一遇，堤防工程等别为2级；根据《湖南省湘潭市城市水利规划》（2016~2030）规划湘潭县滨江堤防洪标准为100年一遇，堤防工程等别为2级；故本次确定</w:t>
            </w:r>
            <w:r>
              <w:rPr>
                <w:rFonts w:hint="eastAsia"/>
                <w:color w:val="auto"/>
                <w:u w:val="none" w:color="auto"/>
                <w:lang w:eastAsia="zh-CN"/>
              </w:rPr>
              <w:t>祁东县杨柳水闸除险加固工程</w:t>
            </w:r>
            <w:r>
              <w:rPr>
                <w:rFonts w:hint="eastAsia"/>
                <w:color w:val="auto"/>
                <w:u w:val="none" w:color="auto"/>
              </w:rPr>
              <w:t>防洪标准为100年一遇，堤防工程级别为2级；</w:t>
            </w:r>
            <w:r>
              <w:rPr>
                <w:color w:val="auto"/>
                <w:u w:val="none" w:color="auto"/>
              </w:rPr>
              <w:t>涵闸按山洪设计，标准为20年一遇。</w:t>
            </w:r>
          </w:p>
          <w:p>
            <w:pPr>
              <w:bidi w:val="0"/>
              <w:ind w:firstLine="480" w:firstLineChars="200"/>
              <w:outlineLvl w:val="9"/>
              <w:rPr>
                <w:rFonts w:hint="eastAsia"/>
                <w:color w:val="auto"/>
                <w:u w:val="none" w:color="auto"/>
              </w:rPr>
            </w:pPr>
            <w:r>
              <w:rPr>
                <w:rFonts w:hint="eastAsia"/>
                <w:color w:val="auto"/>
                <w:u w:val="none" w:color="auto"/>
              </w:rPr>
              <w:t>目前杨柳水闸管理站隶属于祁东县七碗电灌站管理所，水闸闸门老化，结构形式不能满足自动翻倒要求，上游漂浮物较多导致启闭十分困难水闸，基础渗漏严重，边坡不稳定，闸室砌石间胶凝材料缺失等多种隐患。</w:t>
            </w:r>
          </w:p>
          <w:p>
            <w:pPr>
              <w:bidi w:val="0"/>
              <w:ind w:firstLine="480" w:firstLineChars="200"/>
              <w:outlineLvl w:val="9"/>
              <w:rPr>
                <w:rFonts w:hint="eastAsia"/>
                <w:color w:val="auto"/>
                <w:u w:val="none" w:color="auto"/>
              </w:rPr>
            </w:pPr>
            <w:r>
              <w:rPr>
                <w:rFonts w:hint="eastAsia"/>
                <w:color w:val="auto"/>
                <w:u w:val="none" w:color="auto"/>
              </w:rPr>
              <w:t>针对杨柳水闸存在的主要问题，从工程蓄水灌溉及防洪安全等要求出发，对杨柳水闸进行全面的改造建设，本次拟定工程措施如下：</w:t>
            </w:r>
          </w:p>
          <w:p>
            <w:pPr>
              <w:bidi w:val="0"/>
              <w:ind w:firstLine="480" w:firstLineChars="200"/>
              <w:outlineLvl w:val="9"/>
              <w:rPr>
                <w:rFonts w:hint="eastAsia"/>
                <w:color w:val="auto"/>
                <w:u w:val="none" w:color="auto"/>
              </w:rPr>
            </w:pPr>
            <w:r>
              <w:rPr>
                <w:rFonts w:hint="eastAsia"/>
                <w:color w:val="auto"/>
                <w:u w:val="none" w:color="auto"/>
              </w:rPr>
              <w:t>a）闸室拆除重建，新建平板钢闸门；</w:t>
            </w:r>
          </w:p>
          <w:p>
            <w:pPr>
              <w:bidi w:val="0"/>
              <w:ind w:firstLine="480" w:firstLineChars="200"/>
              <w:outlineLvl w:val="9"/>
              <w:rPr>
                <w:rFonts w:hint="eastAsia"/>
                <w:color w:val="auto"/>
                <w:u w:val="none" w:color="auto"/>
              </w:rPr>
            </w:pPr>
            <w:r>
              <w:rPr>
                <w:rFonts w:hint="eastAsia"/>
                <w:color w:val="auto"/>
                <w:u w:val="none" w:color="auto"/>
              </w:rPr>
              <w:t>b）对水闸基础进行帷幕灌浆防渗，固结灌浆加固；</w:t>
            </w:r>
          </w:p>
          <w:p>
            <w:pPr>
              <w:bidi w:val="0"/>
              <w:ind w:firstLine="480" w:firstLineChars="200"/>
              <w:outlineLvl w:val="9"/>
              <w:rPr>
                <w:rFonts w:hint="eastAsia"/>
                <w:color w:val="auto"/>
                <w:u w:val="none" w:color="auto"/>
              </w:rPr>
            </w:pPr>
            <w:r>
              <w:rPr>
                <w:rFonts w:hint="eastAsia"/>
                <w:color w:val="auto"/>
                <w:u w:val="none" w:color="auto"/>
              </w:rPr>
              <w:t>c）水闸下游新建消能设施；</w:t>
            </w:r>
          </w:p>
          <w:p>
            <w:pPr>
              <w:bidi w:val="0"/>
              <w:ind w:firstLine="480" w:firstLineChars="200"/>
              <w:outlineLvl w:val="9"/>
              <w:rPr>
                <w:rFonts w:hint="eastAsia"/>
                <w:color w:val="auto"/>
                <w:u w:val="none" w:color="auto"/>
              </w:rPr>
            </w:pPr>
            <w:r>
              <w:rPr>
                <w:rFonts w:hint="eastAsia"/>
                <w:color w:val="auto"/>
                <w:u w:val="none" w:color="auto"/>
              </w:rPr>
              <w:t>d）拆除水闸原人行桥并重建工作桥；</w:t>
            </w:r>
          </w:p>
          <w:p>
            <w:pPr>
              <w:bidi w:val="0"/>
              <w:ind w:firstLine="480" w:firstLineChars="200"/>
              <w:outlineLvl w:val="9"/>
              <w:rPr>
                <w:rFonts w:hint="eastAsia"/>
                <w:color w:val="auto"/>
                <w:u w:val="none" w:color="auto"/>
              </w:rPr>
            </w:pPr>
            <w:r>
              <w:rPr>
                <w:rFonts w:hint="eastAsia"/>
                <w:color w:val="auto"/>
                <w:u w:val="none" w:color="auto"/>
              </w:rPr>
              <w:t>e）对水闸上下游岸坡进行治理；</w:t>
            </w:r>
          </w:p>
          <w:p>
            <w:pPr>
              <w:bidi w:val="0"/>
              <w:ind w:firstLine="480" w:firstLineChars="200"/>
              <w:outlineLvl w:val="9"/>
              <w:rPr>
                <w:rFonts w:hint="eastAsia"/>
                <w:color w:val="auto"/>
                <w:u w:val="none" w:color="auto"/>
              </w:rPr>
            </w:pPr>
            <w:r>
              <w:rPr>
                <w:rFonts w:hint="eastAsia"/>
                <w:color w:val="auto"/>
                <w:u w:val="none" w:color="auto"/>
              </w:rPr>
              <w:t>f）对水闸管理房进行维修处理、防汛仓库拆除重建；</w:t>
            </w:r>
          </w:p>
          <w:p>
            <w:pPr>
              <w:bidi w:val="0"/>
              <w:ind w:firstLine="480" w:firstLineChars="200"/>
              <w:outlineLvl w:val="9"/>
              <w:rPr>
                <w:rFonts w:hint="eastAsia" w:cs="Times New Roman"/>
                <w:b/>
                <w:bCs/>
                <w:color w:val="auto"/>
                <w:u w:val="none" w:color="auto"/>
                <w:lang w:val="en-US" w:eastAsia="zh-CN"/>
              </w:rPr>
            </w:pPr>
            <w:r>
              <w:rPr>
                <w:rFonts w:hint="eastAsia"/>
                <w:color w:val="auto"/>
                <w:u w:val="none" w:color="auto"/>
              </w:rPr>
              <w:t>g）新建水闸安全监测设施，改造防汛公路。</w:t>
            </w:r>
          </w:p>
          <w:p>
            <w:pPr>
              <w:bidi w:val="0"/>
              <w:ind w:firstLine="482" w:firstLineChars="200"/>
              <w:outlineLvl w:val="9"/>
              <w:rPr>
                <w:rFonts w:hint="default" w:ascii="Times New Roman" w:hAnsi="Times New Roman" w:cs="Times New Roman"/>
                <w:color w:val="auto"/>
                <w:u w:val="none" w:color="auto"/>
                <w:lang w:val="zh-CN"/>
              </w:rPr>
            </w:pPr>
            <w:r>
              <w:rPr>
                <w:rFonts w:hint="eastAsia" w:cs="Times New Roman"/>
                <w:b/>
                <w:bCs/>
                <w:color w:val="auto"/>
                <w:u w:val="none" w:color="auto"/>
                <w:lang w:val="en-US" w:eastAsia="zh-CN"/>
              </w:rPr>
              <w:t>2</w:t>
            </w:r>
            <w:r>
              <w:rPr>
                <w:rFonts w:hint="default" w:ascii="Times New Roman" w:hAnsi="Times New Roman" w:cs="Times New Roman"/>
                <w:b/>
                <w:bCs/>
                <w:color w:val="auto"/>
                <w:u w:val="none" w:color="auto"/>
                <w:lang w:val="zh-CN"/>
              </w:rPr>
              <w:t>、</w:t>
            </w:r>
            <w:r>
              <w:rPr>
                <w:rFonts w:hint="eastAsia" w:cs="Times New Roman"/>
                <w:b/>
                <w:bCs/>
                <w:color w:val="auto"/>
                <w:u w:val="none" w:color="auto"/>
                <w:lang w:val="en-US" w:eastAsia="zh-CN"/>
              </w:rPr>
              <w:t>建设</w:t>
            </w:r>
            <w:r>
              <w:rPr>
                <w:rFonts w:hint="default" w:ascii="Times New Roman" w:hAnsi="Times New Roman" w:cs="Times New Roman"/>
                <w:b/>
                <w:bCs/>
                <w:color w:val="auto"/>
                <w:u w:val="none" w:color="auto"/>
                <w:lang w:val="zh-CN"/>
              </w:rPr>
              <w:t>的必要性</w:t>
            </w:r>
          </w:p>
          <w:p>
            <w:pPr>
              <w:bidi w:val="0"/>
              <w:ind w:firstLine="480" w:firstLineChars="200"/>
              <w:outlineLvl w:val="9"/>
              <w:rPr>
                <w:rFonts w:hint="default" w:ascii="Times New Roman" w:hAnsi="Times New Roman" w:cs="Times New Roman"/>
                <w:color w:val="auto"/>
                <w:u w:val="none" w:color="auto"/>
                <w:lang w:val="zh-CN"/>
              </w:rPr>
            </w:pPr>
            <w:r>
              <w:rPr>
                <w:rFonts w:hint="default" w:ascii="Times New Roman" w:hAnsi="Times New Roman" w:cs="Times New Roman"/>
                <w:color w:val="auto"/>
                <w:u w:val="none" w:color="auto"/>
                <w:lang w:val="zh-CN"/>
              </w:rPr>
              <w:t>杨柳水闸工程系七碗灌区组成部分，灌区灌溉粮市、鸟江、归阳三镇 35 个行政村（社区），设计灌溉 6 万亩，目前灌区受益面积 3.1 万亩，旱涝保收面积1.56 万亩，灌区受益人口 7.21 万人，水闸装机 3×160kW。社会效益与经济效益都是可观的。由于工程运行多年，已是四类闸，其运用指标达不到设计标准，工程存在严重损坏经除险加固后才能达到正常运行，故杨柳水闸加固除险工程十分必要。</w:t>
            </w:r>
          </w:p>
          <w:p>
            <w:pPr>
              <w:bidi w:val="0"/>
              <w:ind w:firstLine="480" w:firstLineChars="200"/>
              <w:outlineLvl w:val="9"/>
              <w:rPr>
                <w:rFonts w:hint="eastAsia" w:ascii="Times New Roman" w:hAnsi="Times New Roman" w:cs="Times New Roman"/>
                <w:color w:val="auto"/>
                <w:u w:val="none" w:color="auto"/>
                <w:lang w:eastAsia="zh-CN"/>
              </w:rPr>
            </w:pPr>
            <w:r>
              <w:rPr>
                <w:rFonts w:hint="eastAsia"/>
                <w:bCs/>
                <w:color w:val="auto"/>
                <w:kern w:val="0"/>
                <w:sz w:val="24"/>
                <w:u w:val="none" w:color="auto"/>
              </w:rPr>
              <w:t>根据《中华人民共和国环境保护法》、《中华人民共和国环境影响评价法》及《建设项目环境保护管理条例》等相关要求，本项目应进行环境影响评价，</w:t>
            </w:r>
            <w:r>
              <w:rPr>
                <w:rFonts w:hint="eastAsia"/>
                <w:bCs/>
                <w:color w:val="auto"/>
                <w:kern w:val="0"/>
                <w:sz w:val="24"/>
                <w:u w:val="none" w:color="auto"/>
                <w:lang w:val="en-US" w:eastAsia="zh-CN"/>
              </w:rPr>
              <w:t>根据</w:t>
            </w:r>
            <w:r>
              <w:rPr>
                <w:rFonts w:hint="eastAsia"/>
                <w:bCs/>
                <w:color w:val="auto"/>
                <w:kern w:val="0"/>
                <w:sz w:val="24"/>
                <w:u w:val="none" w:color="auto"/>
              </w:rPr>
              <w:t>《建设项目环境影响评价分类管理名录》（</w:t>
            </w:r>
            <w:r>
              <w:rPr>
                <w:rFonts w:hint="eastAsia"/>
                <w:bCs/>
                <w:color w:val="auto"/>
                <w:kern w:val="0"/>
                <w:sz w:val="24"/>
                <w:u w:val="none" w:color="auto"/>
                <w:lang w:val="en-US" w:eastAsia="zh-CN"/>
              </w:rPr>
              <w:t>2021版</w:t>
            </w:r>
            <w:r>
              <w:rPr>
                <w:rFonts w:hint="eastAsia"/>
                <w:bCs/>
                <w:color w:val="auto"/>
                <w:kern w:val="0"/>
                <w:sz w:val="24"/>
                <w:u w:val="none" w:color="auto"/>
              </w:rPr>
              <w:t>），</w:t>
            </w:r>
            <w:r>
              <w:rPr>
                <w:rFonts w:hint="default" w:ascii="Times New Roman" w:hAnsi="Times New Roman" w:cs="Times New Roman"/>
                <w:color w:val="auto"/>
                <w:sz w:val="24"/>
                <w:u w:val="none" w:color="auto"/>
              </w:rPr>
              <w:t>本项目属于分类管理名录</w:t>
            </w:r>
            <w:r>
              <w:rPr>
                <w:rFonts w:hint="eastAsia" w:cs="Times New Roman"/>
                <w:color w:val="auto"/>
                <w:sz w:val="24"/>
                <w:u w:val="none" w:color="auto"/>
                <w:lang w:eastAsia="zh-CN"/>
              </w:rPr>
              <w:t>“</w:t>
            </w:r>
            <w:r>
              <w:rPr>
                <w:rFonts w:hint="eastAsia" w:cs="Times New Roman"/>
                <w:color w:val="auto"/>
                <w:u w:val="none" w:color="auto"/>
                <w:lang w:val="en-US" w:eastAsia="zh-CN"/>
              </w:rPr>
              <w:t>五</w:t>
            </w:r>
            <w:r>
              <w:rPr>
                <w:rFonts w:hint="default" w:ascii="Times New Roman" w:hAnsi="Times New Roman" w:eastAsia="宋体" w:cs="Times New Roman"/>
                <w:color w:val="auto"/>
                <w:u w:val="none" w:color="auto"/>
                <w:lang w:val="en-US" w:eastAsia="zh-CN"/>
              </w:rPr>
              <w:t>十</w:t>
            </w:r>
            <w:r>
              <w:rPr>
                <w:rFonts w:hint="eastAsia" w:cs="Times New Roman"/>
                <w:color w:val="auto"/>
                <w:u w:val="none" w:color="auto"/>
                <w:lang w:val="en-US" w:eastAsia="zh-CN"/>
              </w:rPr>
              <w:t>一</w:t>
            </w:r>
            <w:r>
              <w:rPr>
                <w:rFonts w:hint="default"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水利</w:t>
            </w:r>
            <w:r>
              <w:rPr>
                <w:rFonts w:hint="eastAsia" w:ascii="Times New Roman" w:hAnsi="Times New Roman" w:cs="Times New Roman"/>
                <w:color w:val="auto"/>
                <w:sz w:val="24"/>
                <w:u w:val="none" w:color="auto"/>
                <w:lang w:eastAsia="zh-CN"/>
              </w:rPr>
              <w:t>”</w:t>
            </w:r>
            <w:r>
              <w:rPr>
                <w:rFonts w:hint="eastAsia" w:cs="Times New Roman"/>
                <w:color w:val="auto"/>
                <w:u w:val="none" w:color="auto"/>
                <w:lang w:val="en-US" w:eastAsia="zh-CN"/>
              </w:rPr>
              <w:t>中的“127.防洪除涝工程-其他”</w:t>
            </w:r>
            <w:r>
              <w:rPr>
                <w:rFonts w:hint="default" w:ascii="Times New Roman" w:hAnsi="Times New Roman" w:cs="Times New Roman"/>
                <w:color w:val="auto"/>
                <w:sz w:val="24"/>
                <w:u w:val="none" w:color="auto"/>
              </w:rPr>
              <w:t>项目，应当编制环境影响报告表。</w:t>
            </w:r>
            <w:r>
              <w:rPr>
                <w:rFonts w:hint="eastAsia" w:cs="Times New Roman"/>
                <w:color w:val="auto"/>
                <w:sz w:val="24"/>
                <w:u w:val="none" w:color="auto"/>
                <w:lang w:val="en-US" w:eastAsia="zh-CN"/>
              </w:rPr>
              <w:t>祁东县七碗电癯站管理所</w:t>
            </w:r>
            <w:r>
              <w:rPr>
                <w:rFonts w:hint="default" w:ascii="Times New Roman" w:hAnsi="Times New Roman" w:cs="Times New Roman"/>
                <w:color w:val="auto"/>
                <w:sz w:val="24"/>
                <w:u w:val="none" w:color="auto"/>
              </w:rPr>
              <w:t>特委托</w:t>
            </w:r>
            <w:r>
              <w:rPr>
                <w:rFonts w:hint="eastAsia" w:cs="Times New Roman"/>
                <w:color w:val="auto"/>
                <w:sz w:val="24"/>
                <w:u w:val="none" w:color="auto"/>
                <w:lang w:val="en-US" w:eastAsia="zh-CN"/>
              </w:rPr>
              <w:t>湖南中璟太禹环保科技有限公司</w:t>
            </w:r>
            <w:r>
              <w:rPr>
                <w:rFonts w:hint="eastAsia" w:ascii="Times New Roman" w:hAnsi="Times New Roman" w:cs="Times New Roman"/>
                <w:color w:val="auto"/>
                <w:sz w:val="24"/>
                <w:u w:val="none" w:color="auto"/>
                <w:lang w:val="en-US" w:eastAsia="zh-CN"/>
              </w:rPr>
              <w:t>承</w:t>
            </w:r>
            <w:r>
              <w:rPr>
                <w:rFonts w:hint="default" w:ascii="Times New Roman" w:hAnsi="Times New Roman" w:cs="Times New Roman"/>
                <w:color w:val="auto"/>
                <w:sz w:val="24"/>
                <w:u w:val="none" w:color="auto"/>
              </w:rPr>
              <w:t>担该项目环境影响报告表的编制工作。为此，我公司环评技术人员在现场踏勘、环境状况调查、资料收集以及分析工程内容等工作基础上，编制出了本项目环境影响报告表</w:t>
            </w:r>
            <w:r>
              <w:rPr>
                <w:rFonts w:hint="eastAsia" w:cs="Times New Roman"/>
                <w:color w:val="auto"/>
                <w:sz w:val="24"/>
                <w:u w:val="none" w:color="auto"/>
                <w:lang w:eastAsia="zh-CN"/>
              </w:rPr>
              <w:t>，</w:t>
            </w:r>
            <w:r>
              <w:rPr>
                <w:rFonts w:hint="eastAsia" w:cs="Times New Roman"/>
                <w:color w:val="auto"/>
                <w:sz w:val="24"/>
                <w:u w:val="none" w:color="auto"/>
                <w:lang w:val="en-US" w:eastAsia="zh-CN"/>
              </w:rPr>
              <w:t>供建设单位上报审批</w:t>
            </w:r>
            <w:r>
              <w:rPr>
                <w:rFonts w:hint="default" w:ascii="Times New Roman" w:hAnsi="Times New Roman" w:cs="Times New Roman"/>
                <w:color w:val="auto"/>
                <w:sz w:val="24"/>
                <w:u w:val="none" w:color="auto"/>
              </w:rPr>
              <w:t>。</w:t>
            </w:r>
          </w:p>
          <w:p>
            <w:pPr>
              <w:spacing w:line="360" w:lineRule="auto"/>
              <w:rPr>
                <w:rFonts w:hint="eastAsia" w:ascii="Times New Roman" w:hAnsi="Times New Roman" w:eastAsia="宋体" w:cs="Times New Roman"/>
                <w:b/>
                <w:color w:val="auto"/>
                <w:u w:val="none" w:color="auto"/>
                <w:lang w:eastAsia="zh-CN"/>
              </w:rPr>
            </w:pPr>
            <w:r>
              <w:rPr>
                <w:rFonts w:hint="eastAsia" w:cs="Times New Roman"/>
                <w:b/>
                <w:color w:val="auto"/>
                <w:u w:val="none" w:color="auto"/>
                <w:lang w:val="en-US" w:eastAsia="zh-CN"/>
              </w:rPr>
              <w:t>2.2</w:t>
            </w:r>
            <w:r>
              <w:rPr>
                <w:rFonts w:hint="default" w:ascii="Times New Roman" w:hAnsi="Times New Roman" w:cs="Times New Roman"/>
                <w:b/>
                <w:color w:val="auto"/>
                <w:u w:val="none" w:color="auto"/>
              </w:rPr>
              <w:t>项目</w:t>
            </w:r>
            <w:r>
              <w:rPr>
                <w:rFonts w:hint="eastAsia" w:cs="Times New Roman"/>
                <w:b/>
                <w:color w:val="auto"/>
                <w:u w:val="none" w:color="auto"/>
                <w:lang w:val="en-US" w:eastAsia="zh-CN"/>
              </w:rPr>
              <w:t>概况</w:t>
            </w:r>
          </w:p>
          <w:p>
            <w:pPr>
              <w:bidi w:val="0"/>
              <w:ind w:firstLine="480" w:firstLineChars="200"/>
              <w:outlineLvl w:val="9"/>
              <w:rPr>
                <w:rFonts w:hint="default" w:ascii="Times New Roman" w:hAnsi="Times New Roman" w:cs="Times New Roman"/>
                <w:color w:val="auto"/>
                <w:u w:val="none" w:color="auto"/>
                <w:lang w:val="zh-CN"/>
              </w:rPr>
            </w:pPr>
            <w:r>
              <w:rPr>
                <w:rFonts w:hint="default" w:ascii="Times New Roman" w:hAnsi="Times New Roman" w:cs="Times New Roman"/>
                <w:color w:val="auto"/>
                <w:u w:val="none" w:color="auto"/>
                <w:lang w:val="zh-CN"/>
              </w:rPr>
              <w:t>项目名称：</w:t>
            </w:r>
            <w:r>
              <w:rPr>
                <w:rFonts w:hint="eastAsia" w:cs="Times New Roman"/>
                <w:color w:val="auto"/>
                <w:u w:val="none" w:color="auto"/>
                <w:lang w:val="en-US" w:eastAsia="zh-CN"/>
              </w:rPr>
              <w:t>祁东县杨柳水闸除险加固工程</w:t>
            </w:r>
            <w:r>
              <w:rPr>
                <w:rFonts w:hint="default" w:ascii="Times New Roman" w:hAnsi="Times New Roman" w:cs="Times New Roman"/>
                <w:color w:val="auto"/>
                <w:u w:val="none" w:color="auto"/>
                <w:lang w:val="zh-CN"/>
              </w:rPr>
              <w:t>；</w:t>
            </w:r>
          </w:p>
          <w:p>
            <w:pPr>
              <w:bidi w:val="0"/>
              <w:ind w:firstLine="480" w:firstLineChars="200"/>
              <w:outlineLvl w:val="9"/>
              <w:rPr>
                <w:rFonts w:hint="default" w:ascii="Times New Roman" w:hAnsi="Times New Roman" w:cs="Times New Roman"/>
                <w:color w:val="auto"/>
                <w:u w:val="none" w:color="auto"/>
                <w:lang w:val="zh-CN"/>
              </w:rPr>
            </w:pPr>
            <w:r>
              <w:rPr>
                <w:rFonts w:hint="default" w:ascii="Times New Roman" w:hAnsi="Times New Roman" w:cs="Times New Roman"/>
                <w:color w:val="auto"/>
                <w:u w:val="none" w:color="auto"/>
                <w:lang w:val="zh-CN"/>
              </w:rPr>
              <w:t>建设单位：</w:t>
            </w:r>
            <w:r>
              <w:rPr>
                <w:rFonts w:hint="eastAsia" w:cs="Times New Roman"/>
                <w:color w:val="auto"/>
                <w:u w:val="none" w:color="auto"/>
                <w:lang w:val="zh-CN"/>
              </w:rPr>
              <w:t>祁东县七碗电癯站管理所</w:t>
            </w:r>
            <w:r>
              <w:rPr>
                <w:rFonts w:hint="default" w:ascii="Times New Roman" w:hAnsi="Times New Roman" w:cs="Times New Roman"/>
                <w:color w:val="auto"/>
                <w:u w:val="none" w:color="auto"/>
                <w:lang w:val="zh-CN"/>
              </w:rPr>
              <w:t>；</w:t>
            </w:r>
          </w:p>
          <w:p>
            <w:pPr>
              <w:bidi w:val="0"/>
              <w:ind w:firstLine="480" w:firstLineChars="200"/>
              <w:outlineLvl w:val="9"/>
              <w:rPr>
                <w:rFonts w:hint="default" w:ascii="Times New Roman" w:hAnsi="Times New Roman" w:cs="Times New Roman"/>
                <w:color w:val="auto"/>
                <w:u w:val="none" w:color="auto"/>
                <w:lang w:val="zh-CN"/>
              </w:rPr>
            </w:pPr>
            <w:r>
              <w:rPr>
                <w:rFonts w:hint="default" w:ascii="Times New Roman" w:hAnsi="Times New Roman" w:cs="Times New Roman"/>
                <w:color w:val="auto"/>
                <w:u w:val="none" w:color="auto"/>
                <w:lang w:val="zh-CN"/>
              </w:rPr>
              <w:t>建设地点：湖南祁东县鸟江镇杨柳村；</w:t>
            </w:r>
          </w:p>
          <w:p>
            <w:pPr>
              <w:bidi w:val="0"/>
              <w:ind w:firstLine="480" w:firstLineChars="200"/>
              <w:outlineLvl w:val="9"/>
              <w:rPr>
                <w:rFonts w:hint="default" w:ascii="Times New Roman" w:hAnsi="Times New Roman" w:cs="Times New Roman"/>
                <w:color w:val="auto"/>
                <w:u w:val="none" w:color="auto"/>
                <w:lang w:val="zh-CN"/>
              </w:rPr>
            </w:pPr>
            <w:r>
              <w:rPr>
                <w:rFonts w:hint="default" w:ascii="Times New Roman" w:hAnsi="Times New Roman" w:cs="Times New Roman"/>
                <w:color w:val="auto"/>
                <w:u w:val="none" w:color="auto"/>
                <w:lang w:val="zh-CN"/>
              </w:rPr>
              <w:t>建设性质：</w:t>
            </w:r>
            <w:r>
              <w:rPr>
                <w:rFonts w:hint="eastAsia" w:cs="Times New Roman"/>
                <w:color w:val="auto"/>
                <w:u w:val="none" w:color="auto"/>
                <w:lang w:val="en-US" w:eastAsia="zh-CN"/>
              </w:rPr>
              <w:t>改建</w:t>
            </w:r>
            <w:r>
              <w:rPr>
                <w:rFonts w:hint="default" w:ascii="Times New Roman" w:hAnsi="Times New Roman" w:cs="Times New Roman"/>
                <w:color w:val="auto"/>
                <w:u w:val="none" w:color="auto"/>
                <w:lang w:val="zh-CN"/>
              </w:rPr>
              <w:t>；</w:t>
            </w:r>
          </w:p>
          <w:p>
            <w:pPr>
              <w:bidi w:val="0"/>
              <w:ind w:firstLine="480" w:firstLineChars="200"/>
              <w:outlineLvl w:val="9"/>
              <w:rPr>
                <w:rFonts w:hint="eastAsia" w:cs="Times New Roman"/>
                <w:color w:val="auto"/>
                <w:u w:val="none" w:color="auto"/>
                <w:lang w:val="en-US" w:eastAsia="zh-CN"/>
              </w:rPr>
            </w:pPr>
            <w:r>
              <w:rPr>
                <w:rFonts w:hint="eastAsia" w:cs="Times New Roman"/>
                <w:color w:val="auto"/>
                <w:u w:val="none" w:color="auto"/>
                <w:lang w:val="en-US" w:eastAsia="zh-CN"/>
              </w:rPr>
              <w:t>主要建设内容：①</w:t>
            </w:r>
            <w:r>
              <w:rPr>
                <w:rFonts w:hint="eastAsia"/>
                <w:color w:val="auto"/>
                <w:u w:val="none" w:color="auto"/>
              </w:rPr>
              <w:t>闸室拆除重建，新建平板钢闸门；</w:t>
            </w:r>
            <w:r>
              <w:rPr>
                <w:rFonts w:hint="eastAsia" w:cs="Times New Roman"/>
                <w:color w:val="auto"/>
                <w:u w:val="none" w:color="auto"/>
                <w:lang w:val="en-US" w:eastAsia="zh-CN"/>
              </w:rPr>
              <w:t>②</w:t>
            </w:r>
            <w:r>
              <w:rPr>
                <w:rFonts w:hint="eastAsia"/>
                <w:color w:val="auto"/>
                <w:u w:val="none" w:color="auto"/>
              </w:rPr>
              <w:t>对水闸基础进行帷幕灌浆防渗，固结灌浆加固</w:t>
            </w:r>
            <w:r>
              <w:rPr>
                <w:rFonts w:hint="eastAsia" w:cs="Times New Roman"/>
                <w:color w:val="auto"/>
                <w:u w:val="none" w:color="auto"/>
                <w:lang w:val="en-US" w:eastAsia="zh-CN"/>
              </w:rPr>
              <w:t>；③</w:t>
            </w:r>
            <w:r>
              <w:rPr>
                <w:rFonts w:hint="eastAsia"/>
                <w:color w:val="auto"/>
                <w:u w:val="none" w:color="auto"/>
              </w:rPr>
              <w:t>水闸下游新建消能设施</w:t>
            </w:r>
            <w:r>
              <w:rPr>
                <w:rFonts w:hint="eastAsia" w:cs="Times New Roman"/>
                <w:color w:val="auto"/>
                <w:u w:val="none" w:color="auto"/>
                <w:lang w:val="en-US" w:eastAsia="zh-CN"/>
              </w:rPr>
              <w:t>；④</w:t>
            </w:r>
            <w:r>
              <w:rPr>
                <w:rFonts w:hint="eastAsia"/>
                <w:color w:val="auto"/>
                <w:u w:val="none" w:color="auto"/>
              </w:rPr>
              <w:t>拆除水闸原人行桥并重建工作桥</w:t>
            </w:r>
            <w:r>
              <w:rPr>
                <w:rFonts w:hint="eastAsia" w:cs="Times New Roman"/>
                <w:color w:val="auto"/>
                <w:u w:val="none" w:color="auto"/>
                <w:lang w:val="en-US" w:eastAsia="zh-CN"/>
              </w:rPr>
              <w:t>；</w:t>
            </w:r>
            <w:r>
              <w:rPr>
                <w:rFonts w:hint="eastAsia" w:ascii="宋体" w:hAnsi="宋体" w:eastAsia="宋体" w:cs="宋体"/>
                <w:color w:val="auto"/>
                <w:u w:val="none" w:color="auto"/>
                <w:lang w:val="en-US" w:eastAsia="zh-CN"/>
              </w:rPr>
              <w:t>⑤</w:t>
            </w:r>
            <w:r>
              <w:rPr>
                <w:rFonts w:hint="eastAsia"/>
                <w:color w:val="auto"/>
                <w:u w:val="none" w:color="auto"/>
              </w:rPr>
              <w:t>对水闸上下游岸坡进行治理</w:t>
            </w:r>
            <w:r>
              <w:rPr>
                <w:rFonts w:hint="eastAsia"/>
                <w:color w:val="auto"/>
                <w:u w:val="none" w:color="auto"/>
                <w:lang w:eastAsia="zh-CN"/>
              </w:rPr>
              <w:t>；</w:t>
            </w:r>
            <w:r>
              <w:rPr>
                <w:rFonts w:hint="eastAsia" w:ascii="宋体" w:hAnsi="宋体" w:eastAsia="宋体" w:cs="宋体"/>
                <w:color w:val="auto"/>
                <w:u w:val="none" w:color="auto"/>
                <w:lang w:eastAsia="zh-CN"/>
              </w:rPr>
              <w:t>⑥</w:t>
            </w:r>
            <w:r>
              <w:rPr>
                <w:rFonts w:hint="eastAsia"/>
                <w:color w:val="auto"/>
                <w:u w:val="none" w:color="auto"/>
              </w:rPr>
              <w:t>对水闸管理房进行维修处理、防汛仓库拆除重建</w:t>
            </w:r>
            <w:r>
              <w:rPr>
                <w:rFonts w:hint="eastAsia"/>
                <w:color w:val="auto"/>
                <w:u w:val="none" w:color="auto"/>
                <w:lang w:eastAsia="zh-CN"/>
              </w:rPr>
              <w:t>；</w:t>
            </w:r>
            <w:r>
              <w:rPr>
                <w:rFonts w:hint="eastAsia" w:ascii="宋体" w:hAnsi="宋体" w:eastAsia="宋体" w:cs="宋体"/>
                <w:color w:val="auto"/>
                <w:u w:val="none" w:color="auto"/>
                <w:lang w:eastAsia="zh-CN"/>
              </w:rPr>
              <w:t>⑦</w:t>
            </w:r>
            <w:r>
              <w:rPr>
                <w:rFonts w:hint="eastAsia"/>
                <w:color w:val="auto"/>
                <w:u w:val="none" w:color="auto"/>
              </w:rPr>
              <w:t>新建水闸安全监测设施，改造防汛公路</w:t>
            </w:r>
            <w:r>
              <w:rPr>
                <w:rFonts w:hint="eastAsia"/>
                <w:color w:val="auto"/>
                <w:u w:val="none" w:color="auto"/>
                <w:lang w:eastAsia="zh-CN"/>
              </w:rPr>
              <w:t>。</w:t>
            </w:r>
            <w:r>
              <w:rPr>
                <w:rFonts w:hint="eastAsia" w:cs="Times New Roman"/>
                <w:color w:val="auto"/>
                <w:u w:val="none" w:color="auto"/>
                <w:lang w:val="en-US" w:eastAsia="zh-CN"/>
              </w:rPr>
              <w:t>本项目不涉及河道清淤等涉水工程。</w:t>
            </w:r>
          </w:p>
          <w:p>
            <w:pPr>
              <w:bidi w:val="0"/>
              <w:ind w:firstLine="480" w:firstLineChars="200"/>
              <w:outlineLvl w:val="9"/>
              <w:rPr>
                <w:rFonts w:hint="default" w:ascii="Times New Roman" w:hAnsi="Times New Roman" w:cs="Times New Roman"/>
                <w:color w:val="auto"/>
                <w:u w:val="none" w:color="auto"/>
                <w:lang w:val="zh-CN"/>
              </w:rPr>
            </w:pPr>
            <w:r>
              <w:rPr>
                <w:rFonts w:hint="eastAsia" w:cs="Times New Roman"/>
                <w:color w:val="auto"/>
                <w:u w:val="none" w:color="auto"/>
                <w:lang w:val="en-US" w:eastAsia="zh-CN"/>
              </w:rPr>
              <w:t>治理总长度：</w:t>
            </w:r>
            <w:r>
              <w:rPr>
                <w:rFonts w:hint="eastAsia"/>
                <w:color w:val="auto"/>
                <w:u w:val="none" w:color="auto"/>
              </w:rPr>
              <w:t>4.918</w:t>
            </w:r>
            <w:r>
              <w:rPr>
                <w:rFonts w:hint="default" w:ascii="Times New Roman" w:hAnsi="Times New Roman" w:eastAsia="宋体" w:cs="Times New Roman"/>
                <w:color w:val="auto"/>
                <w:u w:val="none" w:color="auto"/>
                <w:lang w:val="en-US" w:eastAsia="zh-CN"/>
              </w:rPr>
              <w:t>km</w:t>
            </w:r>
            <w:r>
              <w:rPr>
                <w:rFonts w:hint="eastAsia" w:cs="Times New Roman"/>
                <w:color w:val="auto"/>
                <w:u w:val="none" w:color="auto"/>
                <w:lang w:val="en-US" w:eastAsia="zh-CN"/>
              </w:rPr>
              <w:t>；</w:t>
            </w:r>
          </w:p>
          <w:p>
            <w:pPr>
              <w:bidi w:val="0"/>
              <w:ind w:firstLine="480" w:firstLineChars="200"/>
              <w:outlineLvl w:val="9"/>
              <w:rPr>
                <w:rFonts w:hint="default" w:ascii="Times New Roman" w:hAnsi="Times New Roman" w:cs="Times New Roman"/>
                <w:color w:val="auto"/>
                <w:u w:val="none" w:color="auto"/>
                <w:lang w:val="zh-CN"/>
              </w:rPr>
            </w:pPr>
            <w:r>
              <w:rPr>
                <w:rFonts w:hint="default" w:ascii="Times New Roman" w:hAnsi="Times New Roman" w:cs="Times New Roman"/>
                <w:color w:val="auto"/>
                <w:u w:val="none" w:color="auto"/>
                <w:lang w:val="zh-CN"/>
              </w:rPr>
              <w:t>项目投资：总投资</w:t>
            </w:r>
            <w:r>
              <w:rPr>
                <w:rFonts w:hint="eastAsia" w:cs="Times New Roman"/>
                <w:color w:val="auto"/>
                <w:u w:val="none" w:color="auto"/>
                <w:lang w:val="en-US" w:eastAsia="zh-CN"/>
              </w:rPr>
              <w:t>2302.62</w:t>
            </w:r>
            <w:r>
              <w:rPr>
                <w:rFonts w:hint="default" w:ascii="Times New Roman" w:hAnsi="Times New Roman" w:cs="Times New Roman"/>
                <w:color w:val="auto"/>
                <w:u w:val="none" w:color="auto"/>
                <w:lang w:val="zh-CN"/>
              </w:rPr>
              <w:t>万元，其中环保投资</w:t>
            </w:r>
            <w:r>
              <w:rPr>
                <w:rFonts w:hint="eastAsia" w:cs="Times New Roman"/>
                <w:color w:val="auto"/>
                <w:u w:val="none" w:color="auto"/>
                <w:lang w:val="en-US" w:eastAsia="zh-CN"/>
              </w:rPr>
              <w:t>150</w:t>
            </w:r>
            <w:r>
              <w:rPr>
                <w:rFonts w:hint="default" w:ascii="Times New Roman" w:hAnsi="Times New Roman" w:cs="Times New Roman"/>
                <w:color w:val="auto"/>
                <w:u w:val="none" w:color="auto"/>
                <w:lang w:val="zh-CN"/>
              </w:rPr>
              <w:t>万元，环保投资占总投资比例</w:t>
            </w:r>
            <w:r>
              <w:rPr>
                <w:rFonts w:hint="eastAsia" w:cs="Times New Roman"/>
                <w:color w:val="auto"/>
                <w:u w:val="none" w:color="auto"/>
                <w:lang w:val="en-US" w:eastAsia="zh-CN"/>
              </w:rPr>
              <w:t>6.5</w:t>
            </w:r>
            <w:r>
              <w:rPr>
                <w:rFonts w:hint="default" w:ascii="Times New Roman" w:hAnsi="Times New Roman" w:cs="Times New Roman"/>
                <w:color w:val="auto"/>
                <w:u w:val="none" w:color="auto"/>
                <w:lang w:val="zh-CN"/>
              </w:rPr>
              <w:t>%；</w:t>
            </w:r>
          </w:p>
          <w:p>
            <w:pPr>
              <w:bidi w:val="0"/>
              <w:ind w:firstLine="480" w:firstLineChars="200"/>
              <w:outlineLvl w:val="9"/>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施工工期：2024年6月~2024年12月。</w:t>
            </w:r>
          </w:p>
          <w:p>
            <w:pPr>
              <w:spacing w:line="360" w:lineRule="auto"/>
              <w:rPr>
                <w:rFonts w:hint="eastAsia" w:ascii="Times New Roman" w:hAnsi="Times New Roman" w:eastAsia="宋体" w:cs="Times New Roman"/>
                <w:b/>
                <w:color w:val="auto"/>
                <w:u w:val="none" w:color="auto"/>
                <w:lang w:eastAsia="zh-CN"/>
              </w:rPr>
            </w:pPr>
            <w:r>
              <w:rPr>
                <w:rFonts w:hint="eastAsia" w:cs="Times New Roman"/>
                <w:b/>
                <w:color w:val="auto"/>
                <w:u w:val="none" w:color="auto"/>
                <w:lang w:val="en-US" w:eastAsia="zh-CN"/>
              </w:rPr>
              <w:t>2.3</w:t>
            </w:r>
            <w:r>
              <w:rPr>
                <w:rFonts w:hint="default" w:ascii="Times New Roman" w:hAnsi="Times New Roman" w:cs="Times New Roman"/>
                <w:b/>
                <w:color w:val="auto"/>
                <w:u w:val="none" w:color="auto"/>
              </w:rPr>
              <w:t>项目</w:t>
            </w:r>
            <w:r>
              <w:rPr>
                <w:rFonts w:hint="eastAsia" w:cs="Times New Roman"/>
                <w:b/>
                <w:color w:val="auto"/>
                <w:u w:val="none" w:color="auto"/>
                <w:lang w:val="en-US" w:eastAsia="zh-CN"/>
              </w:rPr>
              <w:t>组成</w:t>
            </w:r>
          </w:p>
          <w:p>
            <w:pPr>
              <w:bidi w:val="0"/>
              <w:ind w:firstLine="480" w:firstLineChars="200"/>
              <w:outlineLvl w:val="9"/>
              <w:rPr>
                <w:rFonts w:hint="eastAsia" w:ascii="Times New Roman" w:hAnsi="Times New Roman" w:cs="Times New Roman"/>
                <w:color w:val="auto"/>
                <w:u w:val="none" w:color="auto"/>
                <w:lang w:eastAsia="zh-CN"/>
              </w:rPr>
            </w:pPr>
            <w:r>
              <w:rPr>
                <w:rFonts w:hint="default" w:ascii="Times New Roman" w:hAnsi="Times New Roman" w:cs="Times New Roman"/>
                <w:color w:val="auto"/>
                <w:u w:val="none" w:color="auto"/>
                <w:lang w:val="zh-CN"/>
              </w:rPr>
              <w:t>项目</w:t>
            </w:r>
            <w:r>
              <w:rPr>
                <w:rFonts w:hint="eastAsia" w:cs="Times New Roman"/>
                <w:color w:val="auto"/>
                <w:u w:val="none" w:color="auto"/>
                <w:lang w:val="en-US" w:eastAsia="zh-CN"/>
              </w:rPr>
              <w:t>组成详见</w:t>
            </w:r>
            <w:r>
              <w:rPr>
                <w:rFonts w:hint="eastAsia" w:ascii="Times New Roman" w:hAnsi="Times New Roman" w:eastAsia="宋体" w:cs="Times New Roman"/>
                <w:color w:val="auto"/>
                <w:u w:val="none" w:color="auto"/>
                <w:lang w:val="en-US" w:eastAsia="zh-CN"/>
              </w:rPr>
              <w:t>下表</w:t>
            </w:r>
            <w:r>
              <w:rPr>
                <w:rFonts w:hint="default" w:ascii="Times New Roman" w:hAnsi="Times New Roman" w:cs="Times New Roman"/>
                <w:color w:val="auto"/>
                <w:u w:val="none" w:color="auto"/>
                <w:lang w:val="zh-CN"/>
              </w:rPr>
              <w:t>。</w:t>
            </w:r>
          </w:p>
          <w:p>
            <w:pPr>
              <w:bidi w:val="0"/>
              <w:jc w:val="center"/>
              <w:outlineLvl w:val="9"/>
              <w:rPr>
                <w:rFonts w:hint="eastAsia" w:ascii="Times New Roman" w:hAnsi="Times New Roman" w:cs="Times New Roman"/>
                <w:color w:val="auto"/>
                <w:u w:val="none" w:color="auto"/>
                <w:lang w:eastAsia="zh-CN"/>
              </w:rPr>
            </w:pPr>
            <w:r>
              <w:rPr>
                <w:rFonts w:hint="default" w:ascii="Times New Roman" w:hAnsi="Times New Roman" w:cs="Times New Roman"/>
                <w:b/>
                <w:color w:val="auto"/>
                <w:sz w:val="24"/>
                <w:szCs w:val="24"/>
                <w:u w:val="none" w:color="auto"/>
              </w:rPr>
              <w:t>表</w:t>
            </w:r>
            <w:r>
              <w:rPr>
                <w:rFonts w:hint="eastAsia" w:cs="Times New Roman"/>
                <w:b/>
                <w:color w:val="auto"/>
                <w:sz w:val="24"/>
                <w:szCs w:val="24"/>
                <w:u w:val="none" w:color="auto"/>
                <w:lang w:val="en-US" w:eastAsia="zh-CN"/>
              </w:rPr>
              <w:t>2</w:t>
            </w:r>
            <w:r>
              <w:rPr>
                <w:rFonts w:hint="default" w:ascii="Times New Roman" w:hAnsi="Times New Roman" w:cs="Times New Roman"/>
                <w:b/>
                <w:color w:val="auto"/>
                <w:sz w:val="24"/>
                <w:szCs w:val="24"/>
                <w:u w:val="none" w:color="auto"/>
              </w:rPr>
              <w:t>-</w:t>
            </w:r>
            <w:r>
              <w:rPr>
                <w:rFonts w:hint="eastAsia" w:cs="Times New Roman"/>
                <w:b/>
                <w:color w:val="auto"/>
                <w:sz w:val="24"/>
                <w:szCs w:val="24"/>
                <w:u w:val="none" w:color="auto"/>
                <w:lang w:val="en-US" w:eastAsia="zh-CN"/>
              </w:rPr>
              <w:t>2</w:t>
            </w:r>
            <w:r>
              <w:rPr>
                <w:rFonts w:hint="default" w:ascii="Times New Roman" w:hAnsi="Times New Roman" w:cs="Times New Roman"/>
                <w:b/>
                <w:color w:val="auto"/>
                <w:sz w:val="24"/>
                <w:szCs w:val="24"/>
                <w:u w:val="none" w:color="auto"/>
              </w:rPr>
              <w:t xml:space="preserve">  项目</w:t>
            </w:r>
            <w:r>
              <w:rPr>
                <w:rFonts w:hint="eastAsia" w:cs="Times New Roman"/>
                <w:b/>
                <w:color w:val="auto"/>
                <w:sz w:val="24"/>
                <w:szCs w:val="24"/>
                <w:u w:val="none" w:color="auto"/>
                <w:lang w:val="en-US" w:eastAsia="zh-CN"/>
              </w:rPr>
              <w:t>组成</w:t>
            </w:r>
            <w:r>
              <w:rPr>
                <w:rFonts w:hint="default" w:ascii="Times New Roman" w:hAnsi="Times New Roman" w:cs="Times New Roman"/>
                <w:b/>
                <w:color w:val="auto"/>
                <w:sz w:val="24"/>
                <w:szCs w:val="24"/>
                <w:u w:val="none" w:color="auto"/>
              </w:rPr>
              <w:t>一览表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454"/>
              <w:gridCol w:w="834"/>
              <w:gridCol w:w="7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120" w:leftChars="-50" w:right="-120" w:rightChars="-50"/>
                    <w:jc w:val="center"/>
                    <w:textAlignment w:val="auto"/>
                    <w:rPr>
                      <w:rFonts w:hint="default"/>
                      <w:color w:val="auto"/>
                      <w:sz w:val="21"/>
                      <w:szCs w:val="21"/>
                      <w:u w:val="none" w:color="auto"/>
                    </w:rPr>
                  </w:pPr>
                  <w:r>
                    <w:rPr>
                      <w:rFonts w:hint="default"/>
                      <w:color w:val="auto"/>
                      <w:sz w:val="21"/>
                      <w:szCs w:val="21"/>
                      <w:u w:val="none" w:color="auto"/>
                    </w:rPr>
                    <w:t>工程类别</w:t>
                  </w:r>
                </w:p>
              </w:tc>
              <w:tc>
                <w:tcPr>
                  <w:tcW w:w="6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rPr>
                  </w:pPr>
                  <w:r>
                    <w:rPr>
                      <w:rFonts w:hint="default"/>
                      <w:color w:val="auto"/>
                      <w:sz w:val="21"/>
                      <w:szCs w:val="21"/>
                      <w:u w:val="none" w:color="auto"/>
                      <w:lang w:val="en-US" w:eastAsia="zh-CN"/>
                    </w:rPr>
                    <w:t>项目</w:t>
                  </w:r>
                  <w:r>
                    <w:rPr>
                      <w:rFonts w:hint="default"/>
                      <w:color w:val="auto"/>
                      <w:sz w:val="21"/>
                      <w:szCs w:val="21"/>
                      <w:u w:val="none" w:color="auto"/>
                    </w:rPr>
                    <w:t>名称</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rPr>
                  </w:pPr>
                  <w:r>
                    <w:rPr>
                      <w:rFonts w:hint="default"/>
                      <w:color w:val="auto"/>
                      <w:sz w:val="21"/>
                      <w:szCs w:val="21"/>
                      <w:u w:val="none" w:color="auto"/>
                    </w:rPr>
                    <w:t>建设内容与规模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default"/>
                      <w:color w:val="auto"/>
                      <w:sz w:val="21"/>
                      <w:szCs w:val="21"/>
                      <w:u w:val="none" w:color="auto"/>
                      <w:lang w:val="en-US" w:eastAsia="zh-CN"/>
                    </w:rPr>
                    <w:t>主体工程</w:t>
                  </w:r>
                </w:p>
              </w:tc>
              <w:tc>
                <w:tcPr>
                  <w:tcW w:w="6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水闸工程</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default"/>
                      <w:color w:val="auto"/>
                      <w:sz w:val="21"/>
                      <w:szCs w:val="21"/>
                      <w:u w:val="none" w:color="auto"/>
                      <w:lang w:val="en-US" w:eastAsia="zh-CN"/>
                    </w:rPr>
                    <w:t>①闸室拆除重建，新建平板钢闸门；②对水闸基础进行帷幕灌浆防渗，固结灌浆加固；③水闸下游新建消能设施；④拆除水闸原人行桥并重建工作桥；⑤对水闸上下游岸坡进行治理；⑥对水闸管理房进行维修处理、防汛仓库拆除重建；⑦新建水闸安全监测设施，改造防汛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临时工程</w:t>
                  </w:r>
                </w:p>
              </w:tc>
              <w:tc>
                <w:tcPr>
                  <w:tcW w:w="6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施工交通</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default"/>
                      <w:color w:val="auto"/>
                      <w:sz w:val="21"/>
                      <w:szCs w:val="21"/>
                      <w:u w:val="none" w:color="auto"/>
                      <w:lang w:val="en-US" w:eastAsia="zh-CN"/>
                    </w:rPr>
                    <w:t>工程对外交通主要通过公路，工程区已建有纵横交错的公路网，均可通汽车，对外交通较为方便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eastAsia"/>
                      <w:color w:val="auto"/>
                      <w:sz w:val="21"/>
                      <w:szCs w:val="21"/>
                      <w:u w:val="none" w:color="auto"/>
                      <w:lang w:val="en-US" w:eastAsia="zh-CN"/>
                    </w:rPr>
                  </w:pPr>
                </w:p>
              </w:tc>
              <w:tc>
                <w:tcPr>
                  <w:tcW w:w="6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取土场</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工程区内无可取土料场，议选择归阳镇振兴东路南侧临河处施工现场托运</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或购买；块石料场，工程区内无可用块石料，选用祁东县灵官镇石榴仙采石场（灰岩）和爱立采石场（灰岩）石料，平均运距 43km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eastAsia"/>
                      <w:color w:val="auto"/>
                      <w:sz w:val="21"/>
                      <w:szCs w:val="21"/>
                      <w:u w:val="none" w:color="auto"/>
                      <w:lang w:val="en-US" w:eastAsia="zh-CN"/>
                    </w:rPr>
                  </w:pPr>
                </w:p>
              </w:tc>
              <w:tc>
                <w:tcPr>
                  <w:tcW w:w="6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弃土场</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default"/>
                      <w:color w:val="auto"/>
                      <w:sz w:val="21"/>
                      <w:szCs w:val="21"/>
                      <w:u w:val="none" w:color="auto"/>
                      <w:lang w:val="en-US" w:eastAsia="zh-CN"/>
                    </w:rPr>
                    <w:t>本</w:t>
                  </w:r>
                  <w:r>
                    <w:rPr>
                      <w:rFonts w:hint="eastAsia"/>
                      <w:color w:val="auto"/>
                      <w:sz w:val="21"/>
                      <w:szCs w:val="21"/>
                      <w:u w:val="none" w:color="auto"/>
                      <w:lang w:val="en-US" w:eastAsia="zh-CN"/>
                    </w:rPr>
                    <w:t>工程不设弃土场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eastAsia"/>
                      <w:color w:val="auto"/>
                      <w:sz w:val="21"/>
                      <w:szCs w:val="21"/>
                      <w:u w:val="none" w:color="auto"/>
                      <w:lang w:val="en-US" w:eastAsia="zh-CN"/>
                    </w:rPr>
                  </w:pPr>
                </w:p>
              </w:tc>
              <w:tc>
                <w:tcPr>
                  <w:tcW w:w="6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施工生活区</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本工程不设施工营地，施工人员餐饮依托附近民房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公用工程</w:t>
                  </w:r>
                </w:p>
              </w:tc>
              <w:tc>
                <w:tcPr>
                  <w:tcW w:w="6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供水</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default"/>
                      <w:color w:val="auto"/>
                      <w:sz w:val="21"/>
                      <w:szCs w:val="21"/>
                      <w:u w:val="none" w:color="auto"/>
                      <w:lang w:val="en-US" w:eastAsia="zh-CN"/>
                    </w:rPr>
                    <w:t>施工用水采用IS100-80-125水泵2台，备用2台，从河道直接抽取，生活用水就近接自来水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21"/>
                      <w:szCs w:val="21"/>
                      <w:u w:val="none" w:color="auto"/>
                      <w:lang w:val="en-US" w:eastAsia="zh-CN"/>
                    </w:rPr>
                  </w:pPr>
                </w:p>
              </w:tc>
              <w:tc>
                <w:tcPr>
                  <w:tcW w:w="6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供电</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default"/>
                      <w:color w:val="auto"/>
                      <w:sz w:val="21"/>
                      <w:szCs w:val="21"/>
                      <w:u w:val="none" w:color="auto"/>
                      <w:lang w:val="en-US" w:eastAsia="zh-CN"/>
                    </w:rPr>
                    <w:t>施工现场附近有高压线路，可临时拉线以供施工用电，电源电压等级380/220V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环保工程</w:t>
                  </w:r>
                </w:p>
              </w:tc>
              <w:tc>
                <w:tcPr>
                  <w:tcW w:w="24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施工期</w:t>
                  </w:r>
                </w:p>
              </w:tc>
              <w:tc>
                <w:tcPr>
                  <w:tcW w:w="4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废气</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default"/>
                      <w:color w:val="auto"/>
                      <w:sz w:val="21"/>
                      <w:szCs w:val="21"/>
                      <w:u w:val="none" w:color="auto"/>
                      <w:lang w:val="en-US" w:eastAsia="zh-CN"/>
                    </w:rPr>
                    <w:t>施工设置围挡；对道路进行洒水降尘；加强运输车辆管理，如限载、限速</w:t>
                  </w:r>
                  <w:r>
                    <w:rPr>
                      <w:rFonts w:hint="eastAsia"/>
                      <w:color w:val="auto"/>
                      <w:sz w:val="21"/>
                      <w:szCs w:val="21"/>
                      <w:u w:val="none" w:color="auto"/>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21"/>
                      <w:szCs w:val="21"/>
                      <w:u w:val="none" w:color="auto"/>
                      <w:lang w:val="en-US" w:eastAsia="zh-CN"/>
                    </w:rPr>
                  </w:pPr>
                </w:p>
              </w:tc>
              <w:tc>
                <w:tcPr>
                  <w:tcW w:w="24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eastAsia"/>
                      <w:color w:val="auto"/>
                      <w:sz w:val="21"/>
                      <w:szCs w:val="21"/>
                      <w:u w:val="none" w:color="auto"/>
                      <w:lang w:val="en-US" w:eastAsia="zh-CN"/>
                    </w:rPr>
                  </w:pPr>
                </w:p>
              </w:tc>
              <w:tc>
                <w:tcPr>
                  <w:tcW w:w="4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废水</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default"/>
                      <w:color w:val="auto"/>
                      <w:sz w:val="21"/>
                      <w:szCs w:val="21"/>
                      <w:u w:val="none" w:color="auto"/>
                      <w:lang w:val="en-US" w:eastAsia="zh-CN"/>
                    </w:rPr>
                    <w:t>施工期设置沉淀池、截排水沟，施工废水</w:t>
                  </w:r>
                  <w:r>
                    <w:rPr>
                      <w:rFonts w:hint="eastAsia"/>
                      <w:color w:val="auto"/>
                      <w:sz w:val="21"/>
                      <w:szCs w:val="21"/>
                      <w:u w:val="none" w:color="auto"/>
                      <w:lang w:val="en-US" w:eastAsia="zh-CN"/>
                    </w:rPr>
                    <w:t>经</w:t>
                  </w:r>
                  <w:r>
                    <w:rPr>
                      <w:rFonts w:hint="default"/>
                      <w:color w:val="auto"/>
                      <w:sz w:val="21"/>
                      <w:szCs w:val="21"/>
                      <w:u w:val="none" w:color="auto"/>
                      <w:lang w:val="en-US" w:eastAsia="zh-CN"/>
                    </w:rPr>
                    <w:t>沉淀池处理后回用；生活污水依托周边居民现有的设施处理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21"/>
                      <w:szCs w:val="21"/>
                      <w:u w:val="none" w:color="auto"/>
                      <w:lang w:val="en-US" w:eastAsia="zh-CN"/>
                    </w:rPr>
                  </w:pPr>
                </w:p>
              </w:tc>
              <w:tc>
                <w:tcPr>
                  <w:tcW w:w="24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eastAsia"/>
                      <w:color w:val="auto"/>
                      <w:sz w:val="21"/>
                      <w:szCs w:val="21"/>
                      <w:u w:val="none" w:color="auto"/>
                      <w:lang w:val="en-US" w:eastAsia="zh-CN"/>
                    </w:rPr>
                  </w:pPr>
                </w:p>
              </w:tc>
              <w:tc>
                <w:tcPr>
                  <w:tcW w:w="4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21"/>
                      <w:szCs w:val="21"/>
                      <w:u w:val="none" w:color="auto"/>
                      <w:lang w:val="en-US" w:eastAsia="zh-CN"/>
                    </w:rPr>
                  </w:pPr>
                  <w:r>
                    <w:rPr>
                      <w:rFonts w:hint="default"/>
                      <w:color w:val="auto"/>
                      <w:sz w:val="21"/>
                      <w:szCs w:val="21"/>
                      <w:u w:val="none" w:color="auto"/>
                    </w:rPr>
                    <w:t>噪声</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default"/>
                      <w:color w:val="auto"/>
                      <w:sz w:val="21"/>
                      <w:szCs w:val="21"/>
                      <w:u w:val="none" w:color="auto"/>
                      <w:lang w:val="en-US" w:eastAsia="zh-CN"/>
                    </w:rPr>
                    <w:t>加强机动车运输管理，合理控制道路车流量和车速和车辆鸣号，避免车辆拥挤，并设置限速、禁鸣等标志，合理安排施工时间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21"/>
                      <w:szCs w:val="21"/>
                      <w:u w:val="none" w:color="auto"/>
                      <w:lang w:val="en-US" w:eastAsia="zh-CN"/>
                    </w:rPr>
                  </w:pPr>
                </w:p>
              </w:tc>
              <w:tc>
                <w:tcPr>
                  <w:tcW w:w="24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eastAsia"/>
                      <w:color w:val="auto"/>
                      <w:sz w:val="21"/>
                      <w:szCs w:val="21"/>
                      <w:u w:val="none" w:color="auto"/>
                      <w:lang w:val="en-US" w:eastAsia="zh-CN"/>
                    </w:rPr>
                  </w:pPr>
                </w:p>
              </w:tc>
              <w:tc>
                <w:tcPr>
                  <w:tcW w:w="4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固废</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default"/>
                      <w:color w:val="auto"/>
                      <w:sz w:val="21"/>
                      <w:szCs w:val="21"/>
                      <w:u w:val="none" w:color="auto"/>
                      <w:lang w:val="en-US" w:eastAsia="zh-CN"/>
                    </w:rPr>
                    <w:t>土石方按照水土保持方案要求</w:t>
                  </w:r>
                  <w:r>
                    <w:rPr>
                      <w:rFonts w:hint="eastAsia"/>
                      <w:color w:val="auto"/>
                      <w:sz w:val="21"/>
                      <w:szCs w:val="21"/>
                      <w:u w:val="none" w:color="auto"/>
                      <w:lang w:val="en-US" w:eastAsia="zh-CN"/>
                    </w:rPr>
                    <w:t>及时清运至指定地；</w:t>
                  </w:r>
                  <w:r>
                    <w:rPr>
                      <w:rFonts w:hint="default"/>
                      <w:color w:val="auto"/>
                      <w:sz w:val="21"/>
                      <w:szCs w:val="21"/>
                      <w:u w:val="none" w:color="auto"/>
                      <w:lang w:val="en-US" w:eastAsia="zh-CN"/>
                    </w:rPr>
                    <w:t>生活垃圾设置垃圾收集桶交由环卫部门处理</w:t>
                  </w:r>
                  <w:r>
                    <w:rPr>
                      <w:rFonts w:hint="eastAsia"/>
                      <w:color w:val="auto"/>
                      <w:sz w:val="21"/>
                      <w:szCs w:val="21"/>
                      <w:u w:val="none" w:color="auto"/>
                      <w:lang w:val="en-US" w:eastAsia="zh-CN"/>
                    </w:rPr>
                    <w:t>；</w:t>
                  </w:r>
                  <w:r>
                    <w:rPr>
                      <w:rFonts w:hint="default" w:eastAsia="宋体"/>
                      <w:color w:val="auto"/>
                      <w:sz w:val="21"/>
                      <w:szCs w:val="21"/>
                      <w:u w:val="none" w:color="auto"/>
                      <w:lang w:val="en-US" w:eastAsia="zh-CN"/>
                    </w:rPr>
                    <w:t>建筑垃圾分类收集回收，不能回收的运至指定建筑垃圾填埋场填埋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21"/>
                      <w:szCs w:val="21"/>
                      <w:u w:val="none" w:color="auto"/>
                      <w:lang w:val="en-US" w:eastAsia="zh-CN"/>
                    </w:rPr>
                  </w:pPr>
                </w:p>
              </w:tc>
              <w:tc>
                <w:tcPr>
                  <w:tcW w:w="24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eastAsia"/>
                      <w:color w:val="auto"/>
                      <w:sz w:val="21"/>
                      <w:szCs w:val="21"/>
                      <w:u w:val="none" w:color="auto"/>
                      <w:lang w:val="en-US" w:eastAsia="zh-CN"/>
                    </w:rPr>
                  </w:pPr>
                </w:p>
              </w:tc>
              <w:tc>
                <w:tcPr>
                  <w:tcW w:w="4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2" w:leftChars="-30" w:right="-72" w:rightChars="-3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水土保持</w:t>
                  </w:r>
                </w:p>
              </w:tc>
              <w:tc>
                <w:tcPr>
                  <w:tcW w:w="38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sz w:val="21"/>
                      <w:szCs w:val="21"/>
                      <w:u w:val="none" w:color="auto"/>
                      <w:lang w:val="en-US" w:eastAsia="zh-CN"/>
                    </w:rPr>
                  </w:pPr>
                  <w:r>
                    <w:rPr>
                      <w:rFonts w:hint="default"/>
                      <w:color w:val="auto"/>
                      <w:sz w:val="21"/>
                      <w:szCs w:val="21"/>
                      <w:u w:val="none" w:color="auto"/>
                      <w:lang w:val="en-US" w:eastAsia="zh-CN"/>
                    </w:rPr>
                    <w:t>施工期结束后及时对临时占地进行复垦或植被恢复</w:t>
                  </w:r>
                  <w:r>
                    <w:rPr>
                      <w:rFonts w:hint="eastAsia"/>
                      <w:color w:val="auto"/>
                      <w:sz w:val="21"/>
                      <w:szCs w:val="21"/>
                      <w:u w:val="none" w:color="auto"/>
                      <w:lang w:val="en-US" w:eastAsia="zh-CN"/>
                    </w:rPr>
                    <w:t>；严格执行各项水土保持措施，严格控制施工范围，禁止破坏项目占地外的植被</w:t>
                  </w:r>
                </w:p>
              </w:tc>
            </w:tr>
          </w:tbl>
          <w:p>
            <w:pPr>
              <w:bidi w:val="0"/>
              <w:outlineLvl w:val="9"/>
              <w:rPr>
                <w:rFonts w:hint="default" w:ascii="Times New Roman" w:hAnsi="Times New Roman" w:cs="Times New Roman"/>
                <w:color w:val="auto"/>
                <w:u w:val="none" w:color="auto"/>
                <w:lang w:val="en-US" w:eastAsia="zh-CN"/>
              </w:rPr>
            </w:pPr>
            <w:r>
              <w:rPr>
                <w:rFonts w:hint="eastAsia"/>
                <w:b/>
                <w:color w:val="auto"/>
                <w:u w:val="none" w:color="auto"/>
                <w:lang w:val="en-US" w:eastAsia="zh-CN"/>
              </w:rPr>
              <w:t>2.4施工期主要设备</w:t>
            </w:r>
          </w:p>
          <w:p>
            <w:pPr>
              <w:bidi w:val="0"/>
              <w:jc w:val="center"/>
              <w:outlineLvl w:val="9"/>
              <w:rPr>
                <w:rFonts w:hint="default" w:cs="Times New Roman"/>
                <w:b/>
                <w:bCs/>
                <w:color w:val="auto"/>
                <w:u w:val="none" w:color="auto"/>
                <w:lang w:val="en-US" w:eastAsia="zh-CN"/>
              </w:rPr>
            </w:pPr>
            <w:r>
              <w:rPr>
                <w:rFonts w:hint="eastAsia"/>
                <w:b/>
                <w:color w:val="auto"/>
                <w:u w:val="none" w:color="auto"/>
                <w:lang w:val="en-US" w:eastAsia="zh-CN"/>
              </w:rPr>
              <w:t xml:space="preserve">表2-3  </w:t>
            </w:r>
            <w:r>
              <w:rPr>
                <w:rFonts w:hint="eastAsia" w:cs="Times New Roman"/>
                <w:b/>
                <w:bCs/>
                <w:color w:val="auto"/>
                <w:u w:val="none" w:color="auto"/>
                <w:lang w:val="en-US" w:eastAsia="zh-CN"/>
              </w:rPr>
              <w:t>施工期主要设备一览表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5"/>
              <w:gridCol w:w="3437"/>
              <w:gridCol w:w="2020"/>
              <w:gridCol w:w="1309"/>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blHeader/>
                <w:jc w:val="center"/>
              </w:trPr>
              <w:tc>
                <w:tcPr>
                  <w:tcW w:w="1232" w:type="dxa"/>
                  <w:tcBorders>
                    <w:tl2br w:val="nil"/>
                    <w:tr2bl w:val="nil"/>
                  </w:tcBorders>
                  <w:vAlign w:val="center"/>
                </w:tcPr>
                <w:p>
                  <w:pPr>
                    <w:pStyle w:val="73"/>
                    <w:spacing w:line="240" w:lineRule="auto"/>
                    <w:ind w:firstLine="0" w:firstLineChars="0"/>
                    <w:rPr>
                      <w:color w:val="auto"/>
                      <w:u w:val="none" w:color="auto"/>
                    </w:rPr>
                  </w:pPr>
                  <w:r>
                    <w:rPr>
                      <w:color w:val="auto"/>
                      <w:u w:val="none" w:color="auto"/>
                    </w:rPr>
                    <w:t>序号</w:t>
                  </w:r>
                </w:p>
              </w:tc>
              <w:tc>
                <w:tcPr>
                  <w:tcW w:w="3430" w:type="dxa"/>
                  <w:tcBorders>
                    <w:tl2br w:val="nil"/>
                    <w:tr2bl w:val="nil"/>
                  </w:tcBorders>
                  <w:vAlign w:val="center"/>
                </w:tcPr>
                <w:p>
                  <w:pPr>
                    <w:pStyle w:val="73"/>
                    <w:spacing w:line="240" w:lineRule="auto"/>
                    <w:ind w:firstLine="0" w:firstLineChars="0"/>
                    <w:rPr>
                      <w:color w:val="auto"/>
                      <w:u w:val="none" w:color="auto"/>
                    </w:rPr>
                  </w:pPr>
                  <w:r>
                    <w:rPr>
                      <w:color w:val="auto"/>
                      <w:u w:val="none" w:color="auto"/>
                    </w:rPr>
                    <w:t>设备名称</w:t>
                  </w:r>
                </w:p>
              </w:tc>
              <w:tc>
                <w:tcPr>
                  <w:tcW w:w="2016" w:type="dxa"/>
                  <w:tcBorders>
                    <w:tl2br w:val="nil"/>
                    <w:tr2bl w:val="nil"/>
                  </w:tcBorders>
                  <w:vAlign w:val="center"/>
                </w:tcPr>
                <w:p>
                  <w:pPr>
                    <w:pStyle w:val="73"/>
                    <w:spacing w:line="240" w:lineRule="auto"/>
                    <w:rPr>
                      <w:color w:val="auto"/>
                      <w:u w:val="none" w:color="auto"/>
                    </w:rPr>
                  </w:pPr>
                  <w:r>
                    <w:rPr>
                      <w:color w:val="auto"/>
                      <w:u w:val="none" w:color="auto"/>
                    </w:rPr>
                    <w:t>规格</w:t>
                  </w:r>
                </w:p>
              </w:tc>
              <w:tc>
                <w:tcPr>
                  <w:tcW w:w="1306" w:type="dxa"/>
                  <w:tcBorders>
                    <w:tl2br w:val="nil"/>
                    <w:tr2bl w:val="nil"/>
                  </w:tcBorders>
                  <w:vAlign w:val="center"/>
                </w:tcPr>
                <w:p>
                  <w:pPr>
                    <w:pStyle w:val="73"/>
                    <w:spacing w:line="240" w:lineRule="auto"/>
                    <w:rPr>
                      <w:color w:val="auto"/>
                      <w:u w:val="none" w:color="auto"/>
                    </w:rPr>
                  </w:pPr>
                  <w:r>
                    <w:rPr>
                      <w:color w:val="auto"/>
                      <w:u w:val="none" w:color="auto"/>
                    </w:rPr>
                    <w:t>单位</w:t>
                  </w:r>
                </w:p>
              </w:tc>
              <w:tc>
                <w:tcPr>
                  <w:tcW w:w="1328" w:type="dxa"/>
                  <w:tcBorders>
                    <w:tl2br w:val="nil"/>
                    <w:tr2bl w:val="nil"/>
                  </w:tcBorders>
                  <w:vAlign w:val="center"/>
                </w:tcPr>
                <w:p>
                  <w:pPr>
                    <w:pStyle w:val="73"/>
                    <w:spacing w:line="240" w:lineRule="auto"/>
                    <w:rPr>
                      <w:color w:val="auto"/>
                      <w:u w:val="none" w:color="auto"/>
                    </w:rPr>
                  </w:pPr>
                  <w:r>
                    <w:rPr>
                      <w:color w:val="auto"/>
                      <w:u w:val="none" w:color="auto"/>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rPr>
                      <w:color w:val="auto"/>
                      <w:u w:val="none" w:color="auto"/>
                    </w:rPr>
                  </w:pPr>
                  <w:r>
                    <w:rPr>
                      <w:color w:val="auto"/>
                      <w:u w:val="none" w:color="auto"/>
                    </w:rPr>
                    <w:t>1</w:t>
                  </w:r>
                </w:p>
              </w:tc>
              <w:tc>
                <w:tcPr>
                  <w:tcW w:w="3430" w:type="dxa"/>
                  <w:tcBorders>
                    <w:tl2br w:val="nil"/>
                    <w:tr2bl w:val="nil"/>
                  </w:tcBorders>
                  <w:vAlign w:val="center"/>
                </w:tcPr>
                <w:p>
                  <w:pPr>
                    <w:pStyle w:val="73"/>
                    <w:spacing w:line="240" w:lineRule="auto"/>
                    <w:rPr>
                      <w:color w:val="auto"/>
                      <w:u w:val="none" w:color="auto"/>
                    </w:rPr>
                  </w:pPr>
                  <w:r>
                    <w:rPr>
                      <w:color w:val="auto"/>
                      <w:u w:val="none" w:color="auto"/>
                    </w:rPr>
                    <w:t>挖掘机</w:t>
                  </w:r>
                </w:p>
              </w:tc>
              <w:tc>
                <w:tcPr>
                  <w:tcW w:w="2016" w:type="dxa"/>
                  <w:tcBorders>
                    <w:tl2br w:val="nil"/>
                    <w:tr2bl w:val="nil"/>
                  </w:tcBorders>
                  <w:vAlign w:val="center"/>
                </w:tcPr>
                <w:p>
                  <w:pPr>
                    <w:pStyle w:val="73"/>
                    <w:spacing w:line="240" w:lineRule="auto"/>
                    <w:rPr>
                      <w:color w:val="auto"/>
                      <w:u w:val="none" w:color="auto"/>
                    </w:rPr>
                  </w:pPr>
                  <w:r>
                    <w:rPr>
                      <w:color w:val="auto"/>
                      <w:u w:val="none" w:color="auto"/>
                    </w:rPr>
                    <w:t>1m</w:t>
                  </w:r>
                  <w:r>
                    <w:rPr>
                      <w:color w:val="auto"/>
                      <w:u w:val="none" w:color="auto"/>
                      <w:vertAlign w:val="superscript"/>
                    </w:rPr>
                    <w:t>3</w:t>
                  </w:r>
                </w:p>
              </w:tc>
              <w:tc>
                <w:tcPr>
                  <w:tcW w:w="1306" w:type="dxa"/>
                  <w:tcBorders>
                    <w:tl2br w:val="nil"/>
                    <w:tr2bl w:val="nil"/>
                  </w:tcBorders>
                  <w:vAlign w:val="center"/>
                </w:tcPr>
                <w:p>
                  <w:pPr>
                    <w:pStyle w:val="73"/>
                    <w:spacing w:line="240" w:lineRule="auto"/>
                    <w:rPr>
                      <w:color w:val="auto"/>
                      <w:u w:val="none" w:color="auto"/>
                    </w:rPr>
                  </w:pPr>
                  <w:r>
                    <w:rPr>
                      <w:color w:val="auto"/>
                      <w:u w:val="none" w:color="auto"/>
                    </w:rPr>
                    <w:t>台</w:t>
                  </w:r>
                </w:p>
              </w:tc>
              <w:tc>
                <w:tcPr>
                  <w:tcW w:w="1328" w:type="dxa"/>
                  <w:tcBorders>
                    <w:tl2br w:val="nil"/>
                    <w:tr2bl w:val="nil"/>
                  </w:tcBorders>
                  <w:vAlign w:val="center"/>
                </w:tcPr>
                <w:p>
                  <w:pPr>
                    <w:pStyle w:val="73"/>
                    <w:spacing w:line="240" w:lineRule="auto"/>
                    <w:rPr>
                      <w:rFonts w:hint="eastAsia" w:eastAsia="宋体"/>
                      <w:color w:val="auto"/>
                      <w:u w:val="none" w:color="auto"/>
                      <w:lang w:eastAsia="zh-CN"/>
                    </w:rPr>
                  </w:pPr>
                  <w:r>
                    <w:rPr>
                      <w:rFonts w:hint="eastAsia"/>
                      <w:color w:val="auto"/>
                      <w:u w:val="none" w:color="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rPr>
                      <w:color w:val="auto"/>
                      <w:u w:val="none" w:color="auto"/>
                    </w:rPr>
                  </w:pPr>
                  <w:r>
                    <w:rPr>
                      <w:color w:val="auto"/>
                      <w:u w:val="none" w:color="auto"/>
                    </w:rPr>
                    <w:t>2</w:t>
                  </w:r>
                </w:p>
              </w:tc>
              <w:tc>
                <w:tcPr>
                  <w:tcW w:w="3430" w:type="dxa"/>
                  <w:tcBorders>
                    <w:tl2br w:val="nil"/>
                    <w:tr2bl w:val="nil"/>
                  </w:tcBorders>
                  <w:vAlign w:val="center"/>
                </w:tcPr>
                <w:p>
                  <w:pPr>
                    <w:pStyle w:val="73"/>
                    <w:spacing w:line="240" w:lineRule="auto"/>
                    <w:rPr>
                      <w:color w:val="auto"/>
                      <w:u w:val="none" w:color="auto"/>
                    </w:rPr>
                  </w:pPr>
                  <w:r>
                    <w:rPr>
                      <w:color w:val="auto"/>
                      <w:u w:val="none" w:color="auto"/>
                    </w:rPr>
                    <w:t>自卸汽车</w:t>
                  </w:r>
                </w:p>
              </w:tc>
              <w:tc>
                <w:tcPr>
                  <w:tcW w:w="2016" w:type="dxa"/>
                  <w:tcBorders>
                    <w:tl2br w:val="nil"/>
                    <w:tr2bl w:val="nil"/>
                  </w:tcBorders>
                  <w:vAlign w:val="center"/>
                </w:tcPr>
                <w:p>
                  <w:pPr>
                    <w:pStyle w:val="73"/>
                    <w:spacing w:line="240" w:lineRule="auto"/>
                    <w:rPr>
                      <w:color w:val="auto"/>
                      <w:u w:val="none" w:color="auto"/>
                    </w:rPr>
                  </w:pPr>
                  <w:r>
                    <w:rPr>
                      <w:color w:val="auto"/>
                      <w:u w:val="none" w:color="auto"/>
                    </w:rPr>
                    <w:t>8t</w:t>
                  </w:r>
                </w:p>
              </w:tc>
              <w:tc>
                <w:tcPr>
                  <w:tcW w:w="1306" w:type="dxa"/>
                  <w:tcBorders>
                    <w:tl2br w:val="nil"/>
                    <w:tr2bl w:val="nil"/>
                  </w:tcBorders>
                  <w:vAlign w:val="center"/>
                </w:tcPr>
                <w:p>
                  <w:pPr>
                    <w:pStyle w:val="73"/>
                    <w:spacing w:line="240" w:lineRule="auto"/>
                    <w:rPr>
                      <w:color w:val="auto"/>
                      <w:u w:val="none" w:color="auto"/>
                    </w:rPr>
                  </w:pPr>
                  <w:r>
                    <w:rPr>
                      <w:rFonts w:hint="eastAsia"/>
                      <w:color w:val="auto"/>
                      <w:u w:val="none" w:color="auto"/>
                      <w:lang w:val="en-US" w:eastAsia="zh-CN"/>
                    </w:rPr>
                    <w:t>辆</w:t>
                  </w:r>
                </w:p>
              </w:tc>
              <w:tc>
                <w:tcPr>
                  <w:tcW w:w="1328" w:type="dxa"/>
                  <w:tcBorders>
                    <w:tl2br w:val="nil"/>
                    <w:tr2bl w:val="nil"/>
                  </w:tcBorders>
                  <w:vAlign w:val="center"/>
                </w:tcPr>
                <w:p>
                  <w:pPr>
                    <w:pStyle w:val="73"/>
                    <w:spacing w:line="240" w:lineRule="auto"/>
                    <w:rPr>
                      <w:rFonts w:hint="eastAsia" w:eastAsia="宋体"/>
                      <w:color w:val="auto"/>
                      <w:u w:val="none" w:color="auto"/>
                      <w:lang w:eastAsia="zh-CN"/>
                    </w:rPr>
                  </w:pPr>
                  <w:r>
                    <w:rPr>
                      <w:rFonts w:hint="eastAsia"/>
                      <w:color w:val="auto"/>
                      <w:u w:val="none" w:color="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rPr>
                      <w:color w:val="auto"/>
                      <w:u w:val="none" w:color="auto"/>
                    </w:rPr>
                  </w:pPr>
                  <w:r>
                    <w:rPr>
                      <w:color w:val="auto"/>
                      <w:u w:val="none" w:color="auto"/>
                    </w:rPr>
                    <w:t>3</w:t>
                  </w:r>
                </w:p>
              </w:tc>
              <w:tc>
                <w:tcPr>
                  <w:tcW w:w="3430" w:type="dxa"/>
                  <w:tcBorders>
                    <w:tl2br w:val="nil"/>
                    <w:tr2bl w:val="nil"/>
                  </w:tcBorders>
                  <w:vAlign w:val="center"/>
                </w:tcPr>
                <w:p>
                  <w:pPr>
                    <w:pStyle w:val="73"/>
                    <w:spacing w:line="240" w:lineRule="auto"/>
                    <w:rPr>
                      <w:rFonts w:hint="default" w:eastAsia="宋体"/>
                      <w:color w:val="auto"/>
                      <w:u w:val="none" w:color="auto"/>
                      <w:lang w:val="en-US" w:eastAsia="zh-CN"/>
                    </w:rPr>
                  </w:pPr>
                  <w:r>
                    <w:rPr>
                      <w:rFonts w:hint="eastAsia"/>
                      <w:color w:val="auto"/>
                      <w:u w:val="none" w:color="auto"/>
                      <w:lang w:val="en-US" w:eastAsia="zh-CN"/>
                    </w:rPr>
                    <w:t>载重轮车</w:t>
                  </w:r>
                </w:p>
              </w:tc>
              <w:tc>
                <w:tcPr>
                  <w:tcW w:w="2016" w:type="dxa"/>
                  <w:tcBorders>
                    <w:tl2br w:val="nil"/>
                    <w:tr2bl w:val="nil"/>
                  </w:tcBorders>
                  <w:vAlign w:val="center"/>
                </w:tcPr>
                <w:p>
                  <w:pPr>
                    <w:pStyle w:val="73"/>
                    <w:spacing w:line="240" w:lineRule="auto"/>
                    <w:rPr>
                      <w:rFonts w:hint="eastAsia" w:eastAsia="宋体"/>
                      <w:color w:val="auto"/>
                      <w:u w:val="none" w:color="auto"/>
                      <w:lang w:val="en-US" w:eastAsia="zh-CN"/>
                    </w:rPr>
                  </w:pPr>
                  <w:r>
                    <w:rPr>
                      <w:rFonts w:hint="eastAsia"/>
                      <w:color w:val="auto"/>
                      <w:u w:val="none" w:color="auto"/>
                      <w:lang w:val="en-US" w:eastAsia="zh-CN"/>
                    </w:rPr>
                    <w:t>/</w:t>
                  </w:r>
                </w:p>
              </w:tc>
              <w:tc>
                <w:tcPr>
                  <w:tcW w:w="1306" w:type="dxa"/>
                  <w:tcBorders>
                    <w:tl2br w:val="nil"/>
                    <w:tr2bl w:val="nil"/>
                  </w:tcBorders>
                  <w:vAlign w:val="center"/>
                </w:tcPr>
                <w:p>
                  <w:pPr>
                    <w:pStyle w:val="73"/>
                    <w:spacing w:line="240" w:lineRule="auto"/>
                    <w:rPr>
                      <w:rFonts w:hint="eastAsia" w:eastAsia="宋体"/>
                      <w:color w:val="auto"/>
                      <w:u w:val="none" w:color="auto"/>
                      <w:lang w:val="en-US" w:eastAsia="zh-CN"/>
                    </w:rPr>
                  </w:pPr>
                  <w:r>
                    <w:rPr>
                      <w:rFonts w:hint="eastAsia"/>
                      <w:color w:val="auto"/>
                      <w:u w:val="none" w:color="auto"/>
                      <w:lang w:val="en-US" w:eastAsia="zh-CN"/>
                    </w:rPr>
                    <w:t>辆</w:t>
                  </w:r>
                </w:p>
              </w:tc>
              <w:tc>
                <w:tcPr>
                  <w:tcW w:w="1328" w:type="dxa"/>
                  <w:tcBorders>
                    <w:tl2br w:val="nil"/>
                    <w:tr2bl w:val="nil"/>
                  </w:tcBorders>
                  <w:vAlign w:val="center"/>
                </w:tcPr>
                <w:p>
                  <w:pPr>
                    <w:pStyle w:val="73"/>
                    <w:spacing w:line="240" w:lineRule="auto"/>
                    <w:rPr>
                      <w:rFonts w:hint="default"/>
                      <w:color w:val="auto"/>
                      <w:u w:val="none" w:color="auto"/>
                      <w:lang w:val="en-US" w:eastAsia="zh-CN"/>
                    </w:rPr>
                  </w:pPr>
                  <w:r>
                    <w:rPr>
                      <w:rFonts w:hint="eastAsia"/>
                      <w:color w:val="auto"/>
                      <w:u w:val="none" w:color="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rPr>
                      <w:color w:val="auto"/>
                      <w:u w:val="none" w:color="auto"/>
                    </w:rPr>
                  </w:pPr>
                  <w:r>
                    <w:rPr>
                      <w:rFonts w:hint="eastAsia"/>
                      <w:color w:val="auto"/>
                      <w:u w:val="none" w:color="auto"/>
                      <w:lang w:val="en-US" w:eastAsia="zh-CN"/>
                    </w:rPr>
                    <w:t>4</w:t>
                  </w:r>
                </w:p>
              </w:tc>
              <w:tc>
                <w:tcPr>
                  <w:tcW w:w="3430" w:type="dxa"/>
                  <w:tcBorders>
                    <w:tl2br w:val="nil"/>
                    <w:tr2bl w:val="nil"/>
                  </w:tcBorders>
                  <w:vAlign w:val="center"/>
                </w:tcPr>
                <w:p>
                  <w:pPr>
                    <w:pStyle w:val="73"/>
                    <w:spacing w:line="240" w:lineRule="auto"/>
                    <w:rPr>
                      <w:color w:val="auto"/>
                      <w:u w:val="none" w:color="auto"/>
                    </w:rPr>
                  </w:pPr>
                  <w:r>
                    <w:rPr>
                      <w:color w:val="auto"/>
                      <w:u w:val="none" w:color="auto"/>
                    </w:rPr>
                    <w:t>推土机</w:t>
                  </w:r>
                </w:p>
              </w:tc>
              <w:tc>
                <w:tcPr>
                  <w:tcW w:w="2016" w:type="dxa"/>
                  <w:tcBorders>
                    <w:tl2br w:val="nil"/>
                    <w:tr2bl w:val="nil"/>
                  </w:tcBorders>
                  <w:vAlign w:val="center"/>
                </w:tcPr>
                <w:p>
                  <w:pPr>
                    <w:pStyle w:val="73"/>
                    <w:spacing w:line="240" w:lineRule="auto"/>
                    <w:rPr>
                      <w:color w:val="auto"/>
                      <w:u w:val="none" w:color="auto"/>
                    </w:rPr>
                  </w:pPr>
                  <w:r>
                    <w:rPr>
                      <w:rFonts w:hint="eastAsia"/>
                      <w:color w:val="auto"/>
                      <w:u w:val="none" w:color="auto"/>
                      <w:lang w:val="en-US" w:eastAsia="zh-CN"/>
                    </w:rPr>
                    <w:t>120</w:t>
                  </w:r>
                  <w:r>
                    <w:rPr>
                      <w:color w:val="auto"/>
                      <w:u w:val="none" w:color="auto"/>
                    </w:rPr>
                    <w:t>w</w:t>
                  </w:r>
                </w:p>
              </w:tc>
              <w:tc>
                <w:tcPr>
                  <w:tcW w:w="1306" w:type="dxa"/>
                  <w:tcBorders>
                    <w:tl2br w:val="nil"/>
                    <w:tr2bl w:val="nil"/>
                  </w:tcBorders>
                  <w:vAlign w:val="center"/>
                </w:tcPr>
                <w:p>
                  <w:pPr>
                    <w:pStyle w:val="73"/>
                    <w:spacing w:line="240" w:lineRule="auto"/>
                    <w:rPr>
                      <w:color w:val="auto"/>
                      <w:u w:val="none" w:color="auto"/>
                    </w:rPr>
                  </w:pPr>
                  <w:r>
                    <w:rPr>
                      <w:color w:val="auto"/>
                      <w:u w:val="none" w:color="auto"/>
                    </w:rPr>
                    <w:t>台</w:t>
                  </w:r>
                </w:p>
              </w:tc>
              <w:tc>
                <w:tcPr>
                  <w:tcW w:w="1328" w:type="dxa"/>
                  <w:tcBorders>
                    <w:tl2br w:val="nil"/>
                    <w:tr2bl w:val="nil"/>
                  </w:tcBorders>
                  <w:vAlign w:val="center"/>
                </w:tcPr>
                <w:p>
                  <w:pPr>
                    <w:pStyle w:val="73"/>
                    <w:spacing w:line="240" w:lineRule="auto"/>
                    <w:rPr>
                      <w:rFonts w:hint="eastAsia" w:eastAsia="宋体"/>
                      <w:color w:val="auto"/>
                      <w:u w:val="none" w:color="auto"/>
                      <w:lang w:eastAsia="zh-CN"/>
                    </w:rPr>
                  </w:pPr>
                  <w:r>
                    <w:rPr>
                      <w:rFonts w:hint="eastAsia"/>
                      <w:color w:val="auto"/>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ind w:firstLine="0" w:firstLineChars="0"/>
                    <w:rPr>
                      <w:color w:val="auto"/>
                      <w:u w:val="none" w:color="auto"/>
                    </w:rPr>
                  </w:pPr>
                  <w:r>
                    <w:rPr>
                      <w:rFonts w:hint="eastAsia"/>
                      <w:color w:val="auto"/>
                      <w:u w:val="none" w:color="auto"/>
                      <w:lang w:val="en-US" w:eastAsia="zh-CN"/>
                    </w:rPr>
                    <w:t>5</w:t>
                  </w:r>
                </w:p>
              </w:tc>
              <w:tc>
                <w:tcPr>
                  <w:tcW w:w="3430" w:type="dxa"/>
                  <w:tcBorders>
                    <w:tl2br w:val="nil"/>
                    <w:tr2bl w:val="nil"/>
                  </w:tcBorders>
                  <w:vAlign w:val="center"/>
                </w:tcPr>
                <w:p>
                  <w:pPr>
                    <w:keepNext w:val="0"/>
                    <w:keepLines w:val="0"/>
                    <w:widowControl/>
                    <w:suppressLineNumbers w:val="0"/>
                    <w:jc w:val="center"/>
                    <w:rPr>
                      <w:color w:val="auto"/>
                      <w:u w:val="none" w:color="auto"/>
                    </w:rPr>
                  </w:pPr>
                  <w:r>
                    <w:rPr>
                      <w:rFonts w:hint="eastAsia" w:ascii="宋体" w:hAnsi="宋体" w:eastAsia="宋体" w:cs="宋体"/>
                      <w:color w:val="000000"/>
                      <w:kern w:val="0"/>
                      <w:sz w:val="20"/>
                      <w:szCs w:val="20"/>
                      <w:lang w:val="en-US" w:eastAsia="zh-CN" w:bidi="ar"/>
                    </w:rPr>
                    <w:t>风镐</w:t>
                  </w:r>
                </w:p>
              </w:tc>
              <w:tc>
                <w:tcPr>
                  <w:tcW w:w="2016" w:type="dxa"/>
                  <w:tcBorders>
                    <w:tl2br w:val="nil"/>
                    <w:tr2bl w:val="nil"/>
                  </w:tcBorders>
                  <w:vAlign w:val="center"/>
                </w:tcPr>
                <w:p>
                  <w:pPr>
                    <w:pStyle w:val="73"/>
                    <w:spacing w:line="240" w:lineRule="auto"/>
                    <w:rPr>
                      <w:rFonts w:hint="default"/>
                      <w:color w:val="auto"/>
                      <w:u w:val="none" w:color="auto"/>
                      <w:lang w:val="en-US" w:eastAsia="zh-CN"/>
                    </w:rPr>
                  </w:pPr>
                  <w:r>
                    <w:rPr>
                      <w:rFonts w:hint="eastAsia"/>
                      <w:color w:val="auto"/>
                      <w:u w:val="none" w:color="auto"/>
                      <w:lang w:val="en-US" w:eastAsia="zh-CN"/>
                    </w:rPr>
                    <w:t>/</w:t>
                  </w:r>
                </w:p>
              </w:tc>
              <w:tc>
                <w:tcPr>
                  <w:tcW w:w="1306" w:type="dxa"/>
                  <w:tcBorders>
                    <w:tl2br w:val="nil"/>
                    <w:tr2bl w:val="nil"/>
                  </w:tcBorders>
                  <w:vAlign w:val="center"/>
                </w:tcPr>
                <w:p>
                  <w:pPr>
                    <w:pStyle w:val="73"/>
                    <w:spacing w:line="240" w:lineRule="auto"/>
                    <w:rPr>
                      <w:rFonts w:hint="eastAsia" w:eastAsia="宋体"/>
                      <w:color w:val="auto"/>
                      <w:u w:val="none" w:color="auto"/>
                      <w:lang w:val="en-US" w:eastAsia="zh-CN"/>
                    </w:rPr>
                  </w:pPr>
                  <w:r>
                    <w:rPr>
                      <w:rFonts w:hint="eastAsia"/>
                      <w:color w:val="auto"/>
                      <w:u w:val="none" w:color="auto"/>
                      <w:lang w:val="en-US" w:eastAsia="zh-CN"/>
                    </w:rPr>
                    <w:t>台</w:t>
                  </w:r>
                </w:p>
              </w:tc>
              <w:tc>
                <w:tcPr>
                  <w:tcW w:w="1328" w:type="dxa"/>
                  <w:tcBorders>
                    <w:tl2br w:val="nil"/>
                    <w:tr2bl w:val="nil"/>
                  </w:tcBorders>
                  <w:vAlign w:val="center"/>
                </w:tcPr>
                <w:p>
                  <w:pPr>
                    <w:pStyle w:val="73"/>
                    <w:spacing w:line="240" w:lineRule="auto"/>
                    <w:rPr>
                      <w:rFonts w:hint="default"/>
                      <w:color w:val="auto"/>
                      <w:u w:val="none" w:color="auto"/>
                      <w:lang w:val="en-US" w:eastAsia="zh-CN"/>
                    </w:rPr>
                  </w:pPr>
                  <w:r>
                    <w:rPr>
                      <w:rFonts w:hint="eastAsia"/>
                      <w:color w:val="auto"/>
                      <w:u w:val="none" w:color="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ind w:firstLine="0" w:firstLineChars="0"/>
                    <w:rPr>
                      <w:rFonts w:hint="eastAsia" w:eastAsia="宋体"/>
                      <w:color w:val="auto"/>
                      <w:u w:val="none" w:color="auto"/>
                      <w:lang w:eastAsia="zh-CN"/>
                    </w:rPr>
                  </w:pPr>
                  <w:r>
                    <w:rPr>
                      <w:rFonts w:hint="eastAsia"/>
                      <w:color w:val="auto"/>
                      <w:u w:val="none" w:color="auto"/>
                      <w:lang w:val="en-US" w:eastAsia="zh-CN"/>
                    </w:rPr>
                    <w:t>6</w:t>
                  </w:r>
                </w:p>
              </w:tc>
              <w:tc>
                <w:tcPr>
                  <w:tcW w:w="3430" w:type="dxa"/>
                  <w:tcBorders>
                    <w:tl2br w:val="nil"/>
                    <w:tr2bl w:val="nil"/>
                  </w:tcBorders>
                  <w:vAlign w:val="center"/>
                </w:tcPr>
                <w:p>
                  <w:pPr>
                    <w:pStyle w:val="73"/>
                    <w:spacing w:line="240" w:lineRule="auto"/>
                    <w:rPr>
                      <w:rFonts w:hint="eastAsia" w:eastAsia="宋体"/>
                      <w:color w:val="auto"/>
                      <w:u w:val="none" w:color="auto"/>
                      <w:lang w:eastAsia="zh-CN"/>
                    </w:rPr>
                  </w:pPr>
                  <w:r>
                    <w:rPr>
                      <w:rFonts w:hint="eastAsia"/>
                      <w:color w:val="auto"/>
                      <w:u w:val="none" w:color="auto"/>
                      <w:lang w:val="en-US" w:eastAsia="zh-CN"/>
                    </w:rPr>
                    <w:t>手风钻</w:t>
                  </w:r>
                </w:p>
              </w:tc>
              <w:tc>
                <w:tcPr>
                  <w:tcW w:w="2016" w:type="dxa"/>
                  <w:tcBorders>
                    <w:tl2br w:val="nil"/>
                    <w:tr2bl w:val="nil"/>
                  </w:tcBorders>
                  <w:vAlign w:val="center"/>
                </w:tcPr>
                <w:p>
                  <w:pPr>
                    <w:pStyle w:val="73"/>
                    <w:spacing w:line="240" w:lineRule="auto"/>
                    <w:rPr>
                      <w:rFonts w:hint="default" w:eastAsia="宋体"/>
                      <w:color w:val="auto"/>
                      <w:u w:val="none" w:color="auto"/>
                      <w:lang w:val="en-US" w:eastAsia="zh-CN"/>
                    </w:rPr>
                  </w:pPr>
                  <w:r>
                    <w:rPr>
                      <w:rFonts w:hint="eastAsia"/>
                      <w:color w:val="auto"/>
                      <w:u w:val="none" w:color="auto"/>
                      <w:lang w:val="en-US" w:eastAsia="zh-CN"/>
                    </w:rPr>
                    <w:t>Y28型</w:t>
                  </w:r>
                </w:p>
              </w:tc>
              <w:tc>
                <w:tcPr>
                  <w:tcW w:w="1306" w:type="dxa"/>
                  <w:tcBorders>
                    <w:tl2br w:val="nil"/>
                    <w:tr2bl w:val="nil"/>
                  </w:tcBorders>
                  <w:vAlign w:val="center"/>
                </w:tcPr>
                <w:p>
                  <w:pPr>
                    <w:pStyle w:val="73"/>
                    <w:spacing w:line="240" w:lineRule="auto"/>
                    <w:rPr>
                      <w:rFonts w:hint="default" w:eastAsia="宋体"/>
                      <w:color w:val="auto"/>
                      <w:u w:val="none" w:color="auto"/>
                      <w:lang w:val="en-US" w:eastAsia="zh-CN"/>
                    </w:rPr>
                  </w:pPr>
                  <w:r>
                    <w:rPr>
                      <w:rFonts w:hint="eastAsia"/>
                      <w:color w:val="auto"/>
                      <w:u w:val="none" w:color="auto"/>
                      <w:lang w:val="en-US" w:eastAsia="zh-CN"/>
                    </w:rPr>
                    <w:t>把</w:t>
                  </w:r>
                </w:p>
              </w:tc>
              <w:tc>
                <w:tcPr>
                  <w:tcW w:w="1328" w:type="dxa"/>
                  <w:tcBorders>
                    <w:tl2br w:val="nil"/>
                    <w:tr2bl w:val="nil"/>
                  </w:tcBorders>
                  <w:vAlign w:val="center"/>
                </w:tcPr>
                <w:p>
                  <w:pPr>
                    <w:pStyle w:val="73"/>
                    <w:spacing w:line="240" w:lineRule="auto"/>
                    <w:rPr>
                      <w:rFonts w:hint="eastAsia" w:eastAsia="宋体"/>
                      <w:color w:val="auto"/>
                      <w:u w:val="none" w:color="auto"/>
                      <w:lang w:val="en-US" w:eastAsia="zh-CN"/>
                    </w:rPr>
                  </w:pPr>
                  <w:r>
                    <w:rPr>
                      <w:rFonts w:hint="eastAsia"/>
                      <w:color w:val="auto"/>
                      <w:u w:val="none" w:color="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ind w:firstLine="0" w:firstLineChars="0"/>
                    <w:rPr>
                      <w:rFonts w:hint="eastAsia" w:eastAsia="宋体"/>
                      <w:color w:val="auto"/>
                      <w:u w:val="none" w:color="auto"/>
                      <w:lang w:eastAsia="zh-CN"/>
                    </w:rPr>
                  </w:pPr>
                  <w:r>
                    <w:rPr>
                      <w:rFonts w:hint="eastAsia"/>
                      <w:color w:val="auto"/>
                      <w:u w:val="none" w:color="auto"/>
                      <w:lang w:val="en-US" w:eastAsia="zh-CN"/>
                    </w:rPr>
                    <w:t>7</w:t>
                  </w:r>
                </w:p>
              </w:tc>
              <w:tc>
                <w:tcPr>
                  <w:tcW w:w="3430" w:type="dxa"/>
                  <w:tcBorders>
                    <w:tl2br w:val="nil"/>
                    <w:tr2bl w:val="nil"/>
                  </w:tcBorders>
                  <w:vAlign w:val="center"/>
                </w:tcPr>
                <w:p>
                  <w:pPr>
                    <w:pStyle w:val="73"/>
                    <w:spacing w:line="240" w:lineRule="auto"/>
                    <w:rPr>
                      <w:color w:val="auto"/>
                      <w:u w:val="none" w:color="auto"/>
                    </w:rPr>
                  </w:pPr>
                  <w:r>
                    <w:rPr>
                      <w:color w:val="auto"/>
                      <w:u w:val="none" w:color="auto"/>
                    </w:rPr>
                    <w:t>蛙式打夯机</w:t>
                  </w:r>
                </w:p>
              </w:tc>
              <w:tc>
                <w:tcPr>
                  <w:tcW w:w="2016" w:type="dxa"/>
                  <w:tcBorders>
                    <w:tl2br w:val="nil"/>
                    <w:tr2bl w:val="nil"/>
                  </w:tcBorders>
                  <w:vAlign w:val="center"/>
                </w:tcPr>
                <w:p>
                  <w:pPr>
                    <w:pStyle w:val="73"/>
                    <w:spacing w:line="240" w:lineRule="auto"/>
                    <w:rPr>
                      <w:color w:val="auto"/>
                      <w:u w:val="none" w:color="auto"/>
                    </w:rPr>
                  </w:pPr>
                  <w:r>
                    <w:rPr>
                      <w:color w:val="auto"/>
                      <w:u w:val="none" w:color="auto"/>
                    </w:rPr>
                    <w:t>2.8W</w:t>
                  </w:r>
                </w:p>
              </w:tc>
              <w:tc>
                <w:tcPr>
                  <w:tcW w:w="1306" w:type="dxa"/>
                  <w:tcBorders>
                    <w:tl2br w:val="nil"/>
                    <w:tr2bl w:val="nil"/>
                  </w:tcBorders>
                  <w:vAlign w:val="center"/>
                </w:tcPr>
                <w:p>
                  <w:pPr>
                    <w:pStyle w:val="73"/>
                    <w:spacing w:line="240" w:lineRule="auto"/>
                    <w:rPr>
                      <w:color w:val="auto"/>
                      <w:u w:val="none" w:color="auto"/>
                    </w:rPr>
                  </w:pPr>
                  <w:r>
                    <w:rPr>
                      <w:color w:val="auto"/>
                      <w:u w:val="none" w:color="auto"/>
                    </w:rPr>
                    <w:t>台</w:t>
                  </w:r>
                </w:p>
              </w:tc>
              <w:tc>
                <w:tcPr>
                  <w:tcW w:w="1328" w:type="dxa"/>
                  <w:tcBorders>
                    <w:tl2br w:val="nil"/>
                    <w:tr2bl w:val="nil"/>
                  </w:tcBorders>
                  <w:vAlign w:val="center"/>
                </w:tcPr>
                <w:p>
                  <w:pPr>
                    <w:pStyle w:val="73"/>
                    <w:spacing w:line="240" w:lineRule="auto"/>
                    <w:rPr>
                      <w:rFonts w:hint="eastAsia" w:eastAsia="宋体"/>
                      <w:color w:val="auto"/>
                      <w:u w:val="none" w:color="auto"/>
                      <w:lang w:eastAsia="zh-CN"/>
                    </w:rPr>
                  </w:pPr>
                  <w:r>
                    <w:rPr>
                      <w:rFonts w:hint="eastAsia"/>
                      <w:color w:val="auto"/>
                      <w:u w:val="none" w:color="auto"/>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ind w:firstLine="0" w:firstLineChars="0"/>
                    <w:rPr>
                      <w:rFonts w:hint="eastAsia" w:eastAsia="宋体"/>
                      <w:color w:val="auto"/>
                      <w:u w:val="none" w:color="auto"/>
                      <w:lang w:eastAsia="zh-CN"/>
                    </w:rPr>
                  </w:pPr>
                  <w:r>
                    <w:rPr>
                      <w:rFonts w:hint="eastAsia"/>
                      <w:color w:val="auto"/>
                      <w:u w:val="none" w:color="auto"/>
                      <w:lang w:val="en-US" w:eastAsia="zh-CN"/>
                    </w:rPr>
                    <w:t>8</w:t>
                  </w:r>
                </w:p>
              </w:tc>
              <w:tc>
                <w:tcPr>
                  <w:tcW w:w="3430" w:type="dxa"/>
                  <w:tcBorders>
                    <w:tl2br w:val="nil"/>
                    <w:tr2bl w:val="nil"/>
                  </w:tcBorders>
                  <w:vAlign w:val="center"/>
                </w:tcPr>
                <w:p>
                  <w:pPr>
                    <w:pStyle w:val="73"/>
                    <w:spacing w:line="240" w:lineRule="auto"/>
                    <w:rPr>
                      <w:color w:val="auto"/>
                      <w:u w:val="none" w:color="auto"/>
                    </w:rPr>
                  </w:pPr>
                  <w:r>
                    <w:rPr>
                      <w:color w:val="auto"/>
                      <w:u w:val="none" w:color="auto"/>
                    </w:rPr>
                    <w:t>洒水车</w:t>
                  </w:r>
                </w:p>
              </w:tc>
              <w:tc>
                <w:tcPr>
                  <w:tcW w:w="2016" w:type="dxa"/>
                  <w:tcBorders>
                    <w:tl2br w:val="nil"/>
                    <w:tr2bl w:val="nil"/>
                  </w:tcBorders>
                  <w:vAlign w:val="center"/>
                </w:tcPr>
                <w:p>
                  <w:pPr>
                    <w:pStyle w:val="73"/>
                    <w:spacing w:line="240" w:lineRule="auto"/>
                    <w:rPr>
                      <w:rFonts w:hint="eastAsia" w:eastAsia="宋体"/>
                      <w:color w:val="auto"/>
                      <w:u w:val="none" w:color="auto"/>
                      <w:lang w:val="en-US" w:eastAsia="zh-CN"/>
                    </w:rPr>
                  </w:pPr>
                  <w:r>
                    <w:rPr>
                      <w:rFonts w:hint="eastAsia"/>
                      <w:color w:val="auto"/>
                      <w:u w:val="none" w:color="auto"/>
                      <w:lang w:val="en-US" w:eastAsia="zh-CN"/>
                    </w:rPr>
                    <w:t>/</w:t>
                  </w:r>
                </w:p>
              </w:tc>
              <w:tc>
                <w:tcPr>
                  <w:tcW w:w="1306" w:type="dxa"/>
                  <w:tcBorders>
                    <w:tl2br w:val="nil"/>
                    <w:tr2bl w:val="nil"/>
                  </w:tcBorders>
                  <w:vAlign w:val="center"/>
                </w:tcPr>
                <w:p>
                  <w:pPr>
                    <w:pStyle w:val="73"/>
                    <w:spacing w:line="240" w:lineRule="auto"/>
                    <w:rPr>
                      <w:color w:val="auto"/>
                      <w:u w:val="none" w:color="auto"/>
                    </w:rPr>
                  </w:pPr>
                  <w:r>
                    <w:rPr>
                      <w:color w:val="auto"/>
                      <w:u w:val="none" w:color="auto"/>
                    </w:rPr>
                    <w:t>台</w:t>
                  </w:r>
                </w:p>
              </w:tc>
              <w:tc>
                <w:tcPr>
                  <w:tcW w:w="1328" w:type="dxa"/>
                  <w:tcBorders>
                    <w:tl2br w:val="nil"/>
                    <w:tr2bl w:val="nil"/>
                  </w:tcBorders>
                  <w:vAlign w:val="center"/>
                </w:tcPr>
                <w:p>
                  <w:pPr>
                    <w:pStyle w:val="73"/>
                    <w:spacing w:line="240" w:lineRule="auto"/>
                    <w:rPr>
                      <w:color w:val="auto"/>
                      <w:u w:val="none" w:color="auto"/>
                    </w:rPr>
                  </w:pPr>
                  <w:r>
                    <w:rPr>
                      <w:color w:val="auto"/>
                      <w:u w:val="none" w:color="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ind w:firstLine="0" w:firstLineChars="0"/>
                    <w:rPr>
                      <w:rFonts w:hint="eastAsia" w:eastAsia="宋体"/>
                      <w:color w:val="auto"/>
                      <w:u w:val="none" w:color="auto"/>
                      <w:lang w:eastAsia="zh-CN"/>
                    </w:rPr>
                  </w:pPr>
                  <w:r>
                    <w:rPr>
                      <w:rFonts w:hint="eastAsia"/>
                      <w:color w:val="auto"/>
                      <w:u w:val="none" w:color="auto"/>
                      <w:lang w:val="en-US" w:eastAsia="zh-CN"/>
                    </w:rPr>
                    <w:t>9</w:t>
                  </w:r>
                </w:p>
              </w:tc>
              <w:tc>
                <w:tcPr>
                  <w:tcW w:w="3430" w:type="dxa"/>
                  <w:tcBorders>
                    <w:tl2br w:val="nil"/>
                    <w:tr2bl w:val="nil"/>
                  </w:tcBorders>
                  <w:vAlign w:val="center"/>
                </w:tcPr>
                <w:p>
                  <w:pPr>
                    <w:pStyle w:val="73"/>
                    <w:spacing w:line="240" w:lineRule="auto"/>
                    <w:rPr>
                      <w:color w:val="auto"/>
                      <w:u w:val="none" w:color="auto"/>
                    </w:rPr>
                  </w:pPr>
                  <w:r>
                    <w:rPr>
                      <w:color w:val="auto"/>
                      <w:u w:val="none" w:color="auto"/>
                    </w:rPr>
                    <w:t>水泵</w:t>
                  </w:r>
                </w:p>
              </w:tc>
              <w:tc>
                <w:tcPr>
                  <w:tcW w:w="2016" w:type="dxa"/>
                  <w:tcBorders>
                    <w:tl2br w:val="nil"/>
                    <w:tr2bl w:val="nil"/>
                  </w:tcBorders>
                  <w:vAlign w:val="center"/>
                </w:tcPr>
                <w:p>
                  <w:pPr>
                    <w:pStyle w:val="73"/>
                    <w:spacing w:line="240" w:lineRule="auto"/>
                    <w:rPr>
                      <w:color w:val="auto"/>
                      <w:u w:val="none" w:color="auto"/>
                    </w:rPr>
                  </w:pPr>
                  <w:r>
                    <w:rPr>
                      <w:color w:val="auto"/>
                      <w:u w:val="none" w:color="auto"/>
                    </w:rPr>
                    <w:t>IS65-50-80A</w:t>
                  </w:r>
                </w:p>
              </w:tc>
              <w:tc>
                <w:tcPr>
                  <w:tcW w:w="1306" w:type="dxa"/>
                  <w:tcBorders>
                    <w:tl2br w:val="nil"/>
                    <w:tr2bl w:val="nil"/>
                  </w:tcBorders>
                  <w:vAlign w:val="center"/>
                </w:tcPr>
                <w:p>
                  <w:pPr>
                    <w:pStyle w:val="73"/>
                    <w:spacing w:line="240" w:lineRule="auto"/>
                    <w:rPr>
                      <w:color w:val="auto"/>
                      <w:u w:val="none" w:color="auto"/>
                    </w:rPr>
                  </w:pPr>
                  <w:r>
                    <w:rPr>
                      <w:color w:val="auto"/>
                      <w:u w:val="none" w:color="auto"/>
                    </w:rPr>
                    <w:t>台</w:t>
                  </w:r>
                </w:p>
              </w:tc>
              <w:tc>
                <w:tcPr>
                  <w:tcW w:w="1328" w:type="dxa"/>
                  <w:tcBorders>
                    <w:tl2br w:val="nil"/>
                    <w:tr2bl w:val="nil"/>
                  </w:tcBorders>
                  <w:vAlign w:val="center"/>
                </w:tcPr>
                <w:p>
                  <w:pPr>
                    <w:pStyle w:val="73"/>
                    <w:spacing w:line="240" w:lineRule="auto"/>
                    <w:rPr>
                      <w:color w:val="auto"/>
                      <w:u w:val="none" w:color="auto"/>
                    </w:rPr>
                  </w:pPr>
                  <w:r>
                    <w:rPr>
                      <w:rFonts w:hint="eastAsia"/>
                      <w:color w:val="auto"/>
                      <w:u w:val="none" w:color="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ind w:firstLine="0" w:firstLineChars="0"/>
                    <w:rPr>
                      <w:rFonts w:hint="eastAsia" w:eastAsia="宋体"/>
                      <w:color w:val="auto"/>
                      <w:u w:val="none" w:color="auto"/>
                      <w:lang w:eastAsia="zh-CN"/>
                    </w:rPr>
                  </w:pPr>
                  <w:r>
                    <w:rPr>
                      <w:color w:val="auto"/>
                      <w:u w:val="none" w:color="auto"/>
                    </w:rPr>
                    <w:t>1</w:t>
                  </w:r>
                  <w:r>
                    <w:rPr>
                      <w:rFonts w:hint="eastAsia"/>
                      <w:color w:val="auto"/>
                      <w:u w:val="none" w:color="auto"/>
                      <w:lang w:val="en-US" w:eastAsia="zh-CN"/>
                    </w:rPr>
                    <w:t>0</w:t>
                  </w:r>
                </w:p>
              </w:tc>
              <w:tc>
                <w:tcPr>
                  <w:tcW w:w="3430" w:type="dxa"/>
                  <w:tcBorders>
                    <w:tl2br w:val="nil"/>
                    <w:tr2bl w:val="nil"/>
                  </w:tcBorders>
                  <w:vAlign w:val="center"/>
                </w:tcPr>
                <w:p>
                  <w:pPr>
                    <w:pStyle w:val="73"/>
                    <w:spacing w:line="240" w:lineRule="auto"/>
                    <w:rPr>
                      <w:color w:val="auto"/>
                      <w:u w:val="none" w:color="auto"/>
                    </w:rPr>
                  </w:pPr>
                  <w:r>
                    <w:rPr>
                      <w:color w:val="auto"/>
                      <w:u w:val="none" w:color="auto"/>
                    </w:rPr>
                    <w:t>内燃压路机</w:t>
                  </w:r>
                </w:p>
              </w:tc>
              <w:tc>
                <w:tcPr>
                  <w:tcW w:w="2016" w:type="dxa"/>
                  <w:tcBorders>
                    <w:tl2br w:val="nil"/>
                    <w:tr2bl w:val="nil"/>
                  </w:tcBorders>
                  <w:vAlign w:val="center"/>
                </w:tcPr>
                <w:p>
                  <w:pPr>
                    <w:pStyle w:val="73"/>
                    <w:spacing w:line="240" w:lineRule="auto"/>
                    <w:rPr>
                      <w:color w:val="auto"/>
                      <w:u w:val="none" w:color="auto"/>
                    </w:rPr>
                  </w:pPr>
                  <w:r>
                    <w:rPr>
                      <w:color w:val="auto"/>
                      <w:u w:val="none" w:color="auto"/>
                    </w:rPr>
                    <w:t>12-15t</w:t>
                  </w:r>
                </w:p>
              </w:tc>
              <w:tc>
                <w:tcPr>
                  <w:tcW w:w="1306" w:type="dxa"/>
                  <w:tcBorders>
                    <w:tl2br w:val="nil"/>
                    <w:tr2bl w:val="nil"/>
                  </w:tcBorders>
                  <w:vAlign w:val="center"/>
                </w:tcPr>
                <w:p>
                  <w:pPr>
                    <w:pStyle w:val="73"/>
                    <w:spacing w:line="240" w:lineRule="auto"/>
                    <w:rPr>
                      <w:color w:val="auto"/>
                      <w:u w:val="none" w:color="auto"/>
                    </w:rPr>
                  </w:pPr>
                  <w:r>
                    <w:rPr>
                      <w:color w:val="auto"/>
                      <w:u w:val="none" w:color="auto"/>
                    </w:rPr>
                    <w:t>台</w:t>
                  </w:r>
                </w:p>
              </w:tc>
              <w:tc>
                <w:tcPr>
                  <w:tcW w:w="1328" w:type="dxa"/>
                  <w:tcBorders>
                    <w:tl2br w:val="nil"/>
                    <w:tr2bl w:val="nil"/>
                  </w:tcBorders>
                  <w:vAlign w:val="center"/>
                </w:tcPr>
                <w:p>
                  <w:pPr>
                    <w:pStyle w:val="73"/>
                    <w:spacing w:line="240" w:lineRule="auto"/>
                    <w:rPr>
                      <w:color w:val="auto"/>
                      <w:u w:val="none" w:color="auto"/>
                    </w:rPr>
                  </w:pPr>
                  <w:r>
                    <w:rPr>
                      <w:color w:val="auto"/>
                      <w:u w:val="none" w:color="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ind w:firstLine="0" w:firstLineChars="0"/>
                    <w:rPr>
                      <w:rFonts w:hint="eastAsia" w:eastAsia="宋体"/>
                      <w:color w:val="auto"/>
                      <w:u w:val="none" w:color="auto"/>
                      <w:lang w:eastAsia="zh-CN"/>
                    </w:rPr>
                  </w:pPr>
                  <w:r>
                    <w:rPr>
                      <w:color w:val="auto"/>
                      <w:u w:val="none" w:color="auto"/>
                    </w:rPr>
                    <w:t>1</w:t>
                  </w:r>
                  <w:r>
                    <w:rPr>
                      <w:rFonts w:hint="eastAsia"/>
                      <w:color w:val="auto"/>
                      <w:u w:val="none" w:color="auto"/>
                      <w:lang w:val="en-US" w:eastAsia="zh-CN"/>
                    </w:rPr>
                    <w:t>1</w:t>
                  </w:r>
                </w:p>
              </w:tc>
              <w:tc>
                <w:tcPr>
                  <w:tcW w:w="3430" w:type="dxa"/>
                  <w:tcBorders>
                    <w:tl2br w:val="nil"/>
                    <w:tr2bl w:val="nil"/>
                  </w:tcBorders>
                  <w:vAlign w:val="center"/>
                </w:tcPr>
                <w:p>
                  <w:pPr>
                    <w:pStyle w:val="73"/>
                    <w:spacing w:line="240" w:lineRule="auto"/>
                    <w:rPr>
                      <w:color w:val="auto"/>
                      <w:u w:val="none" w:color="auto"/>
                    </w:rPr>
                  </w:pPr>
                  <w:r>
                    <w:rPr>
                      <w:color w:val="auto"/>
                      <w:u w:val="none" w:color="auto"/>
                    </w:rPr>
                    <w:t>电动移动式空压机</w:t>
                  </w:r>
                </w:p>
              </w:tc>
              <w:tc>
                <w:tcPr>
                  <w:tcW w:w="2016" w:type="dxa"/>
                  <w:tcBorders>
                    <w:tl2br w:val="nil"/>
                    <w:tr2bl w:val="nil"/>
                  </w:tcBorders>
                  <w:vAlign w:val="center"/>
                </w:tcPr>
                <w:p>
                  <w:pPr>
                    <w:pStyle w:val="73"/>
                    <w:spacing w:line="240" w:lineRule="auto"/>
                    <w:rPr>
                      <w:color w:val="auto"/>
                      <w:u w:val="none" w:color="auto"/>
                    </w:rPr>
                  </w:pPr>
                  <w:r>
                    <w:rPr>
                      <w:color w:val="auto"/>
                      <w:u w:val="none" w:color="auto"/>
                    </w:rPr>
                    <w:t>6m</w:t>
                  </w:r>
                  <w:r>
                    <w:rPr>
                      <w:color w:val="auto"/>
                      <w:u w:val="none" w:color="auto"/>
                      <w:vertAlign w:val="superscript"/>
                    </w:rPr>
                    <w:t>3</w:t>
                  </w:r>
                  <w:r>
                    <w:rPr>
                      <w:color w:val="auto"/>
                      <w:u w:val="none" w:color="auto"/>
                    </w:rPr>
                    <w:t>/min</w:t>
                  </w:r>
                </w:p>
              </w:tc>
              <w:tc>
                <w:tcPr>
                  <w:tcW w:w="1306" w:type="dxa"/>
                  <w:tcBorders>
                    <w:tl2br w:val="nil"/>
                    <w:tr2bl w:val="nil"/>
                  </w:tcBorders>
                  <w:vAlign w:val="center"/>
                </w:tcPr>
                <w:p>
                  <w:pPr>
                    <w:pStyle w:val="73"/>
                    <w:spacing w:line="240" w:lineRule="auto"/>
                    <w:rPr>
                      <w:color w:val="auto"/>
                      <w:u w:val="none" w:color="auto"/>
                    </w:rPr>
                  </w:pPr>
                  <w:r>
                    <w:rPr>
                      <w:color w:val="auto"/>
                      <w:u w:val="none" w:color="auto"/>
                    </w:rPr>
                    <w:t>台</w:t>
                  </w:r>
                </w:p>
              </w:tc>
              <w:tc>
                <w:tcPr>
                  <w:tcW w:w="1328" w:type="dxa"/>
                  <w:tcBorders>
                    <w:tl2br w:val="nil"/>
                    <w:tr2bl w:val="nil"/>
                  </w:tcBorders>
                  <w:vAlign w:val="center"/>
                </w:tcPr>
                <w:p>
                  <w:pPr>
                    <w:pStyle w:val="73"/>
                    <w:spacing w:line="240" w:lineRule="auto"/>
                    <w:rPr>
                      <w:color w:val="auto"/>
                      <w:u w:val="none" w:color="auto"/>
                    </w:rPr>
                  </w:pPr>
                  <w:r>
                    <w:rPr>
                      <w:color w:val="auto"/>
                      <w:u w:val="none" w:color="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ind w:firstLine="0" w:firstLineChars="0"/>
                    <w:rPr>
                      <w:rFonts w:hint="eastAsia" w:eastAsia="宋体"/>
                      <w:color w:val="auto"/>
                      <w:u w:val="none" w:color="auto"/>
                      <w:lang w:eastAsia="zh-CN"/>
                    </w:rPr>
                  </w:pPr>
                  <w:r>
                    <w:rPr>
                      <w:rFonts w:hint="eastAsia"/>
                      <w:color w:val="auto"/>
                      <w:u w:val="none" w:color="auto"/>
                      <w:lang w:val="en-US" w:eastAsia="zh-CN"/>
                    </w:rPr>
                    <w:t>12</w:t>
                  </w:r>
                </w:p>
              </w:tc>
              <w:tc>
                <w:tcPr>
                  <w:tcW w:w="3430" w:type="dxa"/>
                  <w:tcBorders>
                    <w:tl2br w:val="nil"/>
                    <w:tr2bl w:val="nil"/>
                  </w:tcBorders>
                  <w:vAlign w:val="center"/>
                </w:tcPr>
                <w:p>
                  <w:pPr>
                    <w:pStyle w:val="73"/>
                    <w:spacing w:line="240" w:lineRule="auto"/>
                    <w:rPr>
                      <w:color w:val="auto"/>
                      <w:u w:val="none" w:color="auto"/>
                    </w:rPr>
                  </w:pPr>
                  <w:r>
                    <w:rPr>
                      <w:color w:val="auto"/>
                      <w:u w:val="none" w:color="auto"/>
                    </w:rPr>
                    <w:t>交流电焊机</w:t>
                  </w:r>
                </w:p>
              </w:tc>
              <w:tc>
                <w:tcPr>
                  <w:tcW w:w="2016" w:type="dxa"/>
                  <w:tcBorders>
                    <w:tl2br w:val="nil"/>
                    <w:tr2bl w:val="nil"/>
                  </w:tcBorders>
                  <w:vAlign w:val="center"/>
                </w:tcPr>
                <w:p>
                  <w:pPr>
                    <w:pStyle w:val="73"/>
                    <w:spacing w:line="240" w:lineRule="auto"/>
                    <w:rPr>
                      <w:color w:val="auto"/>
                      <w:u w:val="none" w:color="auto"/>
                    </w:rPr>
                  </w:pPr>
                  <w:r>
                    <w:rPr>
                      <w:color w:val="auto"/>
                      <w:u w:val="none" w:color="auto"/>
                    </w:rPr>
                    <w:t>25kVA</w:t>
                  </w:r>
                </w:p>
              </w:tc>
              <w:tc>
                <w:tcPr>
                  <w:tcW w:w="1306" w:type="dxa"/>
                  <w:tcBorders>
                    <w:tl2br w:val="nil"/>
                    <w:tr2bl w:val="nil"/>
                  </w:tcBorders>
                  <w:vAlign w:val="center"/>
                </w:tcPr>
                <w:p>
                  <w:pPr>
                    <w:pStyle w:val="73"/>
                    <w:spacing w:line="240" w:lineRule="auto"/>
                    <w:rPr>
                      <w:color w:val="auto"/>
                      <w:u w:val="none" w:color="auto"/>
                    </w:rPr>
                  </w:pPr>
                  <w:r>
                    <w:rPr>
                      <w:color w:val="auto"/>
                      <w:u w:val="none" w:color="auto"/>
                    </w:rPr>
                    <w:t>台</w:t>
                  </w:r>
                </w:p>
              </w:tc>
              <w:tc>
                <w:tcPr>
                  <w:tcW w:w="1328" w:type="dxa"/>
                  <w:tcBorders>
                    <w:tl2br w:val="nil"/>
                    <w:tr2bl w:val="nil"/>
                  </w:tcBorders>
                  <w:vAlign w:val="center"/>
                </w:tcPr>
                <w:p>
                  <w:pPr>
                    <w:pStyle w:val="73"/>
                    <w:spacing w:line="240" w:lineRule="auto"/>
                    <w:rPr>
                      <w:color w:val="auto"/>
                      <w:u w:val="none" w:color="auto"/>
                    </w:rPr>
                  </w:pPr>
                  <w:r>
                    <w:rPr>
                      <w:color w:val="auto"/>
                      <w:u w:val="none" w:color="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ind w:firstLine="0" w:firstLineChars="0"/>
                    <w:rPr>
                      <w:rFonts w:hint="eastAsia" w:eastAsia="宋体"/>
                      <w:color w:val="auto"/>
                      <w:u w:val="none" w:color="auto"/>
                      <w:lang w:eastAsia="zh-CN"/>
                    </w:rPr>
                  </w:pPr>
                  <w:r>
                    <w:rPr>
                      <w:rFonts w:hint="eastAsia"/>
                      <w:color w:val="auto"/>
                      <w:u w:val="none" w:color="auto"/>
                      <w:lang w:val="en-US" w:eastAsia="zh-CN"/>
                    </w:rPr>
                    <w:t>13</w:t>
                  </w:r>
                </w:p>
              </w:tc>
              <w:tc>
                <w:tcPr>
                  <w:tcW w:w="3430" w:type="dxa"/>
                  <w:tcBorders>
                    <w:tl2br w:val="nil"/>
                    <w:tr2bl w:val="nil"/>
                  </w:tcBorders>
                  <w:vAlign w:val="center"/>
                </w:tcPr>
                <w:p>
                  <w:pPr>
                    <w:pStyle w:val="73"/>
                    <w:spacing w:line="240" w:lineRule="auto"/>
                    <w:rPr>
                      <w:color w:val="auto"/>
                      <w:u w:val="none" w:color="auto"/>
                    </w:rPr>
                  </w:pPr>
                  <w:r>
                    <w:rPr>
                      <w:color w:val="auto"/>
                      <w:u w:val="none" w:color="auto"/>
                    </w:rPr>
                    <w:t>水泵</w:t>
                  </w:r>
                </w:p>
              </w:tc>
              <w:tc>
                <w:tcPr>
                  <w:tcW w:w="2016" w:type="dxa"/>
                  <w:tcBorders>
                    <w:tl2br w:val="nil"/>
                    <w:tr2bl w:val="nil"/>
                  </w:tcBorders>
                  <w:vAlign w:val="center"/>
                </w:tcPr>
                <w:p>
                  <w:pPr>
                    <w:pStyle w:val="73"/>
                    <w:spacing w:line="240" w:lineRule="auto"/>
                    <w:rPr>
                      <w:color w:val="auto"/>
                      <w:u w:val="none" w:color="auto"/>
                    </w:rPr>
                  </w:pPr>
                  <w:r>
                    <w:rPr>
                      <w:color w:val="auto"/>
                      <w:u w:val="none" w:color="auto"/>
                    </w:rPr>
                    <w:t>IS100-80-125</w:t>
                  </w:r>
                </w:p>
              </w:tc>
              <w:tc>
                <w:tcPr>
                  <w:tcW w:w="1306" w:type="dxa"/>
                  <w:tcBorders>
                    <w:tl2br w:val="nil"/>
                    <w:tr2bl w:val="nil"/>
                  </w:tcBorders>
                  <w:vAlign w:val="center"/>
                </w:tcPr>
                <w:p>
                  <w:pPr>
                    <w:pStyle w:val="73"/>
                    <w:spacing w:line="240" w:lineRule="auto"/>
                    <w:rPr>
                      <w:color w:val="auto"/>
                      <w:u w:val="none" w:color="auto"/>
                    </w:rPr>
                  </w:pPr>
                  <w:r>
                    <w:rPr>
                      <w:color w:val="auto"/>
                      <w:u w:val="none" w:color="auto"/>
                    </w:rPr>
                    <w:t>台</w:t>
                  </w:r>
                </w:p>
              </w:tc>
              <w:tc>
                <w:tcPr>
                  <w:tcW w:w="1328" w:type="dxa"/>
                  <w:tcBorders>
                    <w:tl2br w:val="nil"/>
                    <w:tr2bl w:val="nil"/>
                  </w:tcBorders>
                  <w:vAlign w:val="center"/>
                </w:tcPr>
                <w:p>
                  <w:pPr>
                    <w:pStyle w:val="73"/>
                    <w:spacing w:line="240" w:lineRule="auto"/>
                    <w:rPr>
                      <w:color w:val="auto"/>
                      <w:u w:val="none" w:color="auto"/>
                    </w:rPr>
                  </w:pPr>
                  <w:r>
                    <w:rPr>
                      <w:color w:val="auto"/>
                      <w:u w:val="none" w:color="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rPr>
                      <w:rFonts w:hint="default" w:eastAsia="宋体"/>
                      <w:color w:val="auto"/>
                      <w:u w:val="none" w:color="auto"/>
                      <w:lang w:val="en-US" w:eastAsia="zh-CN"/>
                    </w:rPr>
                  </w:pPr>
                  <w:r>
                    <w:rPr>
                      <w:rFonts w:hint="eastAsia"/>
                      <w:color w:val="auto"/>
                      <w:u w:val="none" w:color="auto"/>
                      <w:lang w:val="en-US" w:eastAsia="zh-CN"/>
                    </w:rPr>
                    <w:t>14</w:t>
                  </w:r>
                </w:p>
              </w:tc>
              <w:tc>
                <w:tcPr>
                  <w:tcW w:w="3430" w:type="dxa"/>
                  <w:tcBorders>
                    <w:tl2br w:val="nil"/>
                    <w:tr2bl w:val="nil"/>
                  </w:tcBorders>
                  <w:vAlign w:val="center"/>
                </w:tcPr>
                <w:p>
                  <w:pPr>
                    <w:pStyle w:val="73"/>
                    <w:spacing w:line="240" w:lineRule="auto"/>
                    <w:rPr>
                      <w:color w:val="auto"/>
                      <w:u w:val="none" w:color="auto"/>
                    </w:rPr>
                  </w:pPr>
                  <w:r>
                    <w:rPr>
                      <w:rFonts w:hint="eastAsia"/>
                      <w:color w:val="auto"/>
                      <w:u w:val="none" w:color="auto"/>
                      <w:lang w:val="en-US" w:eastAsia="zh-CN"/>
                    </w:rPr>
                    <w:t>泥浆</w:t>
                  </w:r>
                  <w:r>
                    <w:rPr>
                      <w:color w:val="auto"/>
                      <w:u w:val="none" w:color="auto"/>
                      <w:lang w:val="zh-CN"/>
                    </w:rPr>
                    <w:t>泵</w:t>
                  </w:r>
                </w:p>
              </w:tc>
              <w:tc>
                <w:tcPr>
                  <w:tcW w:w="2016" w:type="dxa"/>
                  <w:tcBorders>
                    <w:tl2br w:val="nil"/>
                    <w:tr2bl w:val="nil"/>
                  </w:tcBorders>
                  <w:vAlign w:val="center"/>
                </w:tcPr>
                <w:p>
                  <w:pPr>
                    <w:pStyle w:val="73"/>
                    <w:spacing w:line="240" w:lineRule="auto"/>
                    <w:rPr>
                      <w:color w:val="auto"/>
                      <w:u w:val="none" w:color="auto"/>
                    </w:rPr>
                  </w:pPr>
                  <w:r>
                    <w:rPr>
                      <w:color w:val="auto"/>
                      <w:u w:val="none" w:color="auto"/>
                    </w:rPr>
                    <w:t>BW250/50</w:t>
                  </w:r>
                </w:p>
              </w:tc>
              <w:tc>
                <w:tcPr>
                  <w:tcW w:w="1306" w:type="dxa"/>
                  <w:tcBorders>
                    <w:tl2br w:val="nil"/>
                    <w:tr2bl w:val="nil"/>
                  </w:tcBorders>
                  <w:vAlign w:val="center"/>
                </w:tcPr>
                <w:p>
                  <w:pPr>
                    <w:pStyle w:val="73"/>
                    <w:spacing w:line="240" w:lineRule="auto"/>
                    <w:rPr>
                      <w:color w:val="auto"/>
                      <w:u w:val="none" w:color="auto"/>
                    </w:rPr>
                  </w:pPr>
                  <w:r>
                    <w:rPr>
                      <w:color w:val="auto"/>
                      <w:u w:val="none" w:color="auto"/>
                      <w:lang w:val="zh-CN"/>
                    </w:rPr>
                    <w:t>台</w:t>
                  </w:r>
                </w:p>
              </w:tc>
              <w:tc>
                <w:tcPr>
                  <w:tcW w:w="1328" w:type="dxa"/>
                  <w:tcBorders>
                    <w:tl2br w:val="nil"/>
                    <w:tr2bl w:val="nil"/>
                  </w:tcBorders>
                  <w:vAlign w:val="center"/>
                </w:tcPr>
                <w:p>
                  <w:pPr>
                    <w:pStyle w:val="73"/>
                    <w:spacing w:line="240" w:lineRule="auto"/>
                    <w:rPr>
                      <w:color w:val="auto"/>
                      <w:u w:val="none" w:color="auto"/>
                    </w:rPr>
                  </w:pPr>
                  <w:r>
                    <w:rPr>
                      <w:color w:val="auto"/>
                      <w:u w:val="none" w:color="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rPr>
                      <w:rFonts w:hint="default" w:eastAsia="宋体"/>
                      <w:color w:val="auto"/>
                      <w:u w:val="none" w:color="auto"/>
                      <w:lang w:val="en-US" w:eastAsia="zh-CN"/>
                    </w:rPr>
                  </w:pPr>
                  <w:r>
                    <w:rPr>
                      <w:rFonts w:hint="eastAsia"/>
                      <w:color w:val="auto"/>
                      <w:u w:val="none" w:color="auto"/>
                      <w:lang w:val="en-US" w:eastAsia="zh-CN"/>
                    </w:rPr>
                    <w:t>15</w:t>
                  </w:r>
                </w:p>
              </w:tc>
              <w:tc>
                <w:tcPr>
                  <w:tcW w:w="3430" w:type="dxa"/>
                  <w:tcBorders>
                    <w:tl2br w:val="nil"/>
                    <w:tr2bl w:val="nil"/>
                  </w:tcBorders>
                  <w:vAlign w:val="center"/>
                </w:tcPr>
                <w:p>
                  <w:pPr>
                    <w:pStyle w:val="73"/>
                    <w:spacing w:line="240" w:lineRule="auto"/>
                    <w:rPr>
                      <w:rFonts w:hint="eastAsia" w:eastAsia="宋体"/>
                      <w:color w:val="auto"/>
                      <w:u w:val="none" w:color="auto"/>
                      <w:lang w:eastAsia="zh-CN"/>
                    </w:rPr>
                  </w:pPr>
                  <w:r>
                    <w:rPr>
                      <w:rFonts w:hint="eastAsia"/>
                      <w:color w:val="auto"/>
                      <w:u w:val="none" w:color="auto"/>
                      <w:lang w:val="en-US" w:eastAsia="zh-CN"/>
                    </w:rPr>
                    <w:t>汽车吊</w:t>
                  </w:r>
                </w:p>
              </w:tc>
              <w:tc>
                <w:tcPr>
                  <w:tcW w:w="2016" w:type="dxa"/>
                  <w:tcBorders>
                    <w:tl2br w:val="nil"/>
                    <w:tr2bl w:val="nil"/>
                  </w:tcBorders>
                  <w:vAlign w:val="center"/>
                </w:tcPr>
                <w:p>
                  <w:pPr>
                    <w:pStyle w:val="73"/>
                    <w:spacing w:line="240" w:lineRule="auto"/>
                    <w:rPr>
                      <w:rFonts w:hint="default" w:eastAsia="宋体"/>
                      <w:color w:val="auto"/>
                      <w:u w:val="none" w:color="auto"/>
                      <w:lang w:val="en-US" w:eastAsia="zh-CN"/>
                    </w:rPr>
                  </w:pPr>
                  <w:r>
                    <w:rPr>
                      <w:rFonts w:hint="eastAsia"/>
                      <w:color w:val="auto"/>
                      <w:u w:val="none" w:color="auto"/>
                      <w:lang w:val="en-US" w:eastAsia="zh-CN"/>
                    </w:rPr>
                    <w:t>30t</w:t>
                  </w:r>
                </w:p>
              </w:tc>
              <w:tc>
                <w:tcPr>
                  <w:tcW w:w="1306" w:type="dxa"/>
                  <w:tcBorders>
                    <w:tl2br w:val="nil"/>
                    <w:tr2bl w:val="nil"/>
                  </w:tcBorders>
                  <w:vAlign w:val="center"/>
                </w:tcPr>
                <w:p>
                  <w:pPr>
                    <w:pStyle w:val="73"/>
                    <w:spacing w:line="240" w:lineRule="auto"/>
                    <w:rPr>
                      <w:color w:val="auto"/>
                      <w:u w:val="none" w:color="auto"/>
                    </w:rPr>
                  </w:pPr>
                  <w:r>
                    <w:rPr>
                      <w:color w:val="auto"/>
                      <w:u w:val="none" w:color="auto"/>
                      <w:lang w:val="zh-CN"/>
                    </w:rPr>
                    <w:t>台</w:t>
                  </w:r>
                </w:p>
              </w:tc>
              <w:tc>
                <w:tcPr>
                  <w:tcW w:w="1328" w:type="dxa"/>
                  <w:tcBorders>
                    <w:tl2br w:val="nil"/>
                    <w:tr2bl w:val="nil"/>
                  </w:tcBorders>
                  <w:vAlign w:val="center"/>
                </w:tcPr>
                <w:p>
                  <w:pPr>
                    <w:pStyle w:val="73"/>
                    <w:spacing w:line="240" w:lineRule="auto"/>
                    <w:rPr>
                      <w:color w:val="auto"/>
                      <w:u w:val="none" w:color="auto"/>
                    </w:rPr>
                  </w:pPr>
                  <w:r>
                    <w:rPr>
                      <w:color w:val="auto"/>
                      <w:u w:val="none" w:color="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232" w:type="dxa"/>
                  <w:tcBorders>
                    <w:tl2br w:val="nil"/>
                    <w:tr2bl w:val="nil"/>
                  </w:tcBorders>
                  <w:vAlign w:val="center"/>
                </w:tcPr>
                <w:p>
                  <w:pPr>
                    <w:pStyle w:val="73"/>
                    <w:spacing w:line="240" w:lineRule="auto"/>
                    <w:rPr>
                      <w:rFonts w:hint="default"/>
                      <w:color w:val="auto"/>
                      <w:u w:val="none" w:color="auto"/>
                      <w:lang w:val="en-US" w:eastAsia="zh-CN"/>
                    </w:rPr>
                  </w:pPr>
                  <w:r>
                    <w:rPr>
                      <w:rFonts w:hint="eastAsia"/>
                      <w:color w:val="auto"/>
                      <w:u w:val="none" w:color="auto"/>
                      <w:lang w:val="en-US" w:eastAsia="zh-CN"/>
                    </w:rPr>
                    <w:t>16</w:t>
                  </w:r>
                </w:p>
              </w:tc>
              <w:tc>
                <w:tcPr>
                  <w:tcW w:w="3430" w:type="dxa"/>
                  <w:tcBorders>
                    <w:tl2br w:val="nil"/>
                    <w:tr2bl w:val="nil"/>
                  </w:tcBorders>
                  <w:vAlign w:val="center"/>
                </w:tcPr>
                <w:p>
                  <w:pPr>
                    <w:pStyle w:val="73"/>
                    <w:spacing w:line="240" w:lineRule="auto"/>
                    <w:rPr>
                      <w:rFonts w:hint="default"/>
                      <w:color w:val="auto"/>
                      <w:u w:val="none" w:color="auto"/>
                      <w:lang w:val="en-US" w:eastAsia="zh-CN"/>
                    </w:rPr>
                  </w:pPr>
                  <w:r>
                    <w:rPr>
                      <w:rFonts w:hint="eastAsia"/>
                      <w:color w:val="auto"/>
                      <w:u w:val="none" w:color="auto"/>
                      <w:lang w:val="en-US" w:eastAsia="zh-CN"/>
                    </w:rPr>
                    <w:t>空压机</w:t>
                  </w:r>
                </w:p>
              </w:tc>
              <w:tc>
                <w:tcPr>
                  <w:tcW w:w="2016" w:type="dxa"/>
                  <w:tcBorders>
                    <w:tl2br w:val="nil"/>
                    <w:tr2bl w:val="nil"/>
                  </w:tcBorders>
                  <w:vAlign w:val="center"/>
                </w:tcPr>
                <w:p>
                  <w:pPr>
                    <w:pStyle w:val="73"/>
                    <w:spacing w:line="240" w:lineRule="auto"/>
                    <w:rPr>
                      <w:rFonts w:hint="default"/>
                      <w:color w:val="auto"/>
                      <w:u w:val="none" w:color="auto"/>
                      <w:vertAlign w:val="baseline"/>
                      <w:lang w:val="en-US" w:eastAsia="zh-CN"/>
                    </w:rPr>
                  </w:pPr>
                  <w:r>
                    <w:rPr>
                      <w:rFonts w:hint="eastAsia"/>
                      <w:color w:val="auto"/>
                      <w:u w:val="none" w:color="auto"/>
                      <w:lang w:val="en-US" w:eastAsia="zh-CN"/>
                    </w:rPr>
                    <w:t>3m</w:t>
                  </w:r>
                  <w:r>
                    <w:rPr>
                      <w:rFonts w:hint="eastAsia"/>
                      <w:color w:val="auto"/>
                      <w:u w:val="none" w:color="auto"/>
                      <w:vertAlign w:val="superscript"/>
                      <w:lang w:val="en-US" w:eastAsia="zh-CN"/>
                    </w:rPr>
                    <w:t>3</w:t>
                  </w:r>
                  <w:r>
                    <w:rPr>
                      <w:rFonts w:hint="eastAsia"/>
                      <w:color w:val="auto"/>
                      <w:u w:val="none" w:color="auto"/>
                      <w:vertAlign w:val="baseline"/>
                      <w:lang w:val="en-US" w:eastAsia="zh-CN"/>
                    </w:rPr>
                    <w:t>/min</w:t>
                  </w:r>
                </w:p>
              </w:tc>
              <w:tc>
                <w:tcPr>
                  <w:tcW w:w="1306" w:type="dxa"/>
                  <w:tcBorders>
                    <w:tl2br w:val="nil"/>
                    <w:tr2bl w:val="nil"/>
                  </w:tcBorders>
                  <w:vAlign w:val="center"/>
                </w:tcPr>
                <w:p>
                  <w:pPr>
                    <w:pStyle w:val="73"/>
                    <w:spacing w:line="240" w:lineRule="auto"/>
                    <w:rPr>
                      <w:rFonts w:hint="eastAsia" w:eastAsia="宋体"/>
                      <w:color w:val="auto"/>
                      <w:u w:val="none" w:color="auto"/>
                      <w:lang w:val="en-US" w:eastAsia="zh-CN"/>
                    </w:rPr>
                  </w:pPr>
                  <w:r>
                    <w:rPr>
                      <w:rFonts w:hint="eastAsia"/>
                      <w:color w:val="auto"/>
                      <w:u w:val="none" w:color="auto"/>
                      <w:lang w:val="en-US" w:eastAsia="zh-CN"/>
                    </w:rPr>
                    <w:t>台</w:t>
                  </w:r>
                </w:p>
              </w:tc>
              <w:tc>
                <w:tcPr>
                  <w:tcW w:w="1328" w:type="dxa"/>
                  <w:tcBorders>
                    <w:tl2br w:val="nil"/>
                    <w:tr2bl w:val="nil"/>
                  </w:tcBorders>
                  <w:vAlign w:val="center"/>
                </w:tcPr>
                <w:p>
                  <w:pPr>
                    <w:pStyle w:val="73"/>
                    <w:spacing w:line="240" w:lineRule="auto"/>
                    <w:rPr>
                      <w:rFonts w:hint="eastAsia" w:eastAsia="宋体"/>
                      <w:color w:val="auto"/>
                      <w:u w:val="none" w:color="auto"/>
                      <w:lang w:val="en-US" w:eastAsia="zh-CN"/>
                    </w:rPr>
                  </w:pPr>
                  <w:r>
                    <w:rPr>
                      <w:rFonts w:hint="eastAsia"/>
                      <w:color w:val="auto"/>
                      <w:u w:val="none" w:color="auto"/>
                      <w:lang w:val="en-US" w:eastAsia="zh-CN"/>
                    </w:rPr>
                    <w:t>2</w:t>
                  </w:r>
                </w:p>
              </w:tc>
            </w:tr>
          </w:tbl>
          <w:p>
            <w:pPr>
              <w:bidi w:val="0"/>
              <w:outlineLvl w:val="9"/>
              <w:rPr>
                <w:rFonts w:hint="default" w:cs="Times New Roman"/>
                <w:b/>
                <w:bCs/>
                <w:color w:val="auto"/>
                <w:u w:val="none" w:color="auto"/>
                <w:lang w:val="en-US" w:eastAsia="zh-CN"/>
              </w:rPr>
            </w:pPr>
            <w:r>
              <w:rPr>
                <w:rFonts w:hint="eastAsia" w:cs="Times New Roman"/>
                <w:b/>
                <w:bCs/>
                <w:color w:val="auto"/>
                <w:u w:val="none" w:color="auto"/>
                <w:lang w:val="en-US" w:eastAsia="zh-CN"/>
              </w:rPr>
              <w:t>2.5施工临时占地情况</w:t>
            </w:r>
          </w:p>
          <w:p>
            <w:pPr>
              <w:bidi w:val="0"/>
              <w:spacing w:line="240" w:lineRule="auto"/>
              <w:jc w:val="center"/>
              <w:outlineLvl w:val="9"/>
              <w:rPr>
                <w:rFonts w:hint="default" w:eastAsia="宋体"/>
                <w:color w:val="auto"/>
                <w:u w:val="none" w:color="auto"/>
                <w:vertAlign w:val="baseline"/>
                <w:lang w:val="en-US" w:eastAsia="zh-CN"/>
              </w:rPr>
            </w:pPr>
            <w:r>
              <w:rPr>
                <w:rFonts w:hint="eastAsia" w:eastAsia="宋体"/>
                <w:b/>
                <w:bCs/>
                <w:color w:val="auto"/>
                <w:u w:val="none" w:color="auto"/>
                <w:vertAlign w:val="baseline"/>
                <w:lang w:val="en-US" w:eastAsia="zh-CN"/>
              </w:rPr>
              <w:t>表2-</w:t>
            </w:r>
            <w:r>
              <w:rPr>
                <w:rFonts w:hint="eastAsia"/>
                <w:b/>
                <w:bCs/>
                <w:color w:val="auto"/>
                <w:u w:val="none" w:color="auto"/>
                <w:vertAlign w:val="baseline"/>
                <w:lang w:val="en-US" w:eastAsia="zh-CN"/>
              </w:rPr>
              <w:t>4</w:t>
            </w:r>
            <w:r>
              <w:rPr>
                <w:rFonts w:hint="eastAsia" w:eastAsia="宋体"/>
                <w:b/>
                <w:bCs/>
                <w:color w:val="auto"/>
                <w:u w:val="none" w:color="auto"/>
                <w:vertAlign w:val="baseline"/>
                <w:lang w:val="en-US" w:eastAsia="zh-CN"/>
              </w:rPr>
              <w:t xml:space="preserve">  </w:t>
            </w:r>
            <w:r>
              <w:rPr>
                <w:b/>
                <w:bCs/>
                <w:color w:val="auto"/>
                <w:u w:val="none" w:color="auto"/>
              </w:rPr>
              <w:t>工程扰动地表面积表</w:t>
            </w:r>
          </w:p>
          <w:tbl>
            <w:tblPr>
              <w:tblStyle w:val="26"/>
              <w:tblW w:w="45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1"/>
              <w:gridCol w:w="5333"/>
              <w:gridCol w:w="1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jc w:val="center"/>
              </w:trPr>
              <w:tc>
                <w:tcPr>
                  <w:tcW w:w="998" w:type="pct"/>
                  <w:tcBorders>
                    <w:tl2br w:val="nil"/>
                    <w:tr2bl w:val="nil"/>
                  </w:tcBorders>
                  <w:shd w:val="clear" w:color="auto" w:fill="auto"/>
                  <w:noWrap/>
                  <w:vAlign w:val="center"/>
                </w:tcPr>
                <w:p>
                  <w:pPr>
                    <w:pStyle w:val="68"/>
                    <w:ind w:firstLine="0" w:firstLineChars="0"/>
                    <w:rPr>
                      <w:color w:val="auto"/>
                      <w:u w:val="none" w:color="auto"/>
                    </w:rPr>
                  </w:pPr>
                  <w:r>
                    <w:rPr>
                      <w:rFonts w:hint="eastAsia"/>
                      <w:color w:val="auto"/>
                      <w:u w:val="none" w:color="auto"/>
                    </w:rPr>
                    <w:t>项目分区</w:t>
                  </w:r>
                </w:p>
              </w:tc>
              <w:tc>
                <w:tcPr>
                  <w:tcW w:w="3168" w:type="pct"/>
                  <w:tcBorders>
                    <w:tl2br w:val="nil"/>
                    <w:tr2bl w:val="nil"/>
                  </w:tcBorders>
                  <w:shd w:val="clear" w:color="auto" w:fill="auto"/>
                  <w:noWrap/>
                  <w:vAlign w:val="center"/>
                </w:tcPr>
                <w:p>
                  <w:pPr>
                    <w:pStyle w:val="68"/>
                    <w:ind w:firstLine="0" w:firstLineChars="0"/>
                    <w:rPr>
                      <w:rFonts w:hint="eastAsia" w:eastAsia="宋体"/>
                      <w:color w:val="auto"/>
                      <w:u w:val="none" w:color="auto"/>
                      <w:lang w:eastAsia="zh-CN"/>
                    </w:rPr>
                  </w:pPr>
                  <w:r>
                    <w:rPr>
                      <w:rFonts w:hint="eastAsia"/>
                      <w:color w:val="auto"/>
                      <w:u w:val="none" w:color="auto"/>
                    </w:rPr>
                    <w:t>占地类型及面积</w:t>
                  </w:r>
                  <w:r>
                    <w:rPr>
                      <w:u w:val="none" w:color="auto"/>
                    </w:rPr>
                    <w:t>m</w:t>
                  </w:r>
                  <w:r>
                    <w:rPr>
                      <w:rFonts w:hint="eastAsia"/>
                      <w:u w:val="none" w:color="auto"/>
                      <w:vertAlign w:val="superscript"/>
                      <w:lang w:val="en-US" w:eastAsia="zh-CN"/>
                    </w:rPr>
                    <w:t>2</w:t>
                  </w:r>
                </w:p>
              </w:tc>
              <w:tc>
                <w:tcPr>
                  <w:tcW w:w="832" w:type="pct"/>
                  <w:tcBorders>
                    <w:tl2br w:val="nil"/>
                    <w:tr2bl w:val="nil"/>
                  </w:tcBorders>
                  <w:shd w:val="clear" w:color="auto" w:fill="auto"/>
                  <w:noWrap/>
                  <w:vAlign w:val="center"/>
                </w:tcPr>
                <w:p>
                  <w:pPr>
                    <w:pStyle w:val="68"/>
                    <w:ind w:firstLine="0" w:firstLineChars="0"/>
                    <w:rPr>
                      <w:color w:val="auto"/>
                      <w:u w:val="none" w:color="auto"/>
                    </w:rPr>
                  </w:pPr>
                  <w:r>
                    <w:rPr>
                      <w:rFonts w:hint="eastAsia"/>
                      <w:color w:val="auto"/>
                      <w:u w:val="none" w:color="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998" w:type="pct"/>
                  <w:tcBorders>
                    <w:tl2br w:val="nil"/>
                    <w:tr2bl w:val="nil"/>
                  </w:tcBorders>
                  <w:shd w:val="clear" w:color="auto" w:fill="auto"/>
                  <w:noWrap/>
                  <w:vAlign w:val="center"/>
                </w:tcPr>
                <w:p>
                  <w:pPr>
                    <w:pStyle w:val="68"/>
                    <w:ind w:firstLine="0" w:firstLineChars="0"/>
                    <w:rPr>
                      <w:rFonts w:hint="default" w:eastAsia="宋体"/>
                      <w:color w:val="auto"/>
                      <w:u w:val="none" w:color="auto"/>
                      <w:lang w:val="en-US" w:eastAsia="zh-CN"/>
                    </w:rPr>
                  </w:pPr>
                  <w:r>
                    <w:rPr>
                      <w:rFonts w:hint="eastAsia"/>
                      <w:color w:val="auto"/>
                      <w:u w:val="none" w:color="auto"/>
                      <w:lang w:val="en-US" w:eastAsia="zh-CN"/>
                    </w:rPr>
                    <w:t>施工临时设施</w:t>
                  </w:r>
                </w:p>
              </w:tc>
              <w:tc>
                <w:tcPr>
                  <w:tcW w:w="3168" w:type="pct"/>
                  <w:tcBorders>
                    <w:tl2br w:val="nil"/>
                    <w:tr2bl w:val="nil"/>
                  </w:tcBorders>
                  <w:shd w:val="clear" w:color="auto" w:fill="auto"/>
                  <w:noWrap/>
                  <w:vAlign w:val="center"/>
                </w:tcPr>
                <w:p>
                  <w:pPr>
                    <w:pStyle w:val="68"/>
                    <w:ind w:firstLine="0" w:firstLineChars="0"/>
                    <w:rPr>
                      <w:rFonts w:hint="default" w:eastAsia="宋体"/>
                      <w:color w:val="auto"/>
                      <w:u w:val="none" w:color="auto"/>
                      <w:lang w:val="en-US" w:eastAsia="zh-CN"/>
                    </w:rPr>
                  </w:pPr>
                  <w:r>
                    <w:rPr>
                      <w:rFonts w:hint="eastAsia"/>
                      <w:color w:val="auto"/>
                      <w:u w:val="none" w:color="auto"/>
                      <w:lang w:val="en-US" w:eastAsia="zh-CN"/>
                    </w:rPr>
                    <w:t>2500</w:t>
                  </w:r>
                </w:p>
              </w:tc>
              <w:tc>
                <w:tcPr>
                  <w:tcW w:w="832" w:type="pct"/>
                  <w:tcBorders>
                    <w:tl2br w:val="nil"/>
                    <w:tr2bl w:val="nil"/>
                  </w:tcBorders>
                  <w:shd w:val="clear" w:color="auto" w:fill="auto"/>
                  <w:noWrap/>
                  <w:vAlign w:val="center"/>
                </w:tcPr>
                <w:p>
                  <w:pPr>
                    <w:pStyle w:val="68"/>
                    <w:ind w:firstLine="0" w:firstLineChars="0"/>
                    <w:rPr>
                      <w:rFonts w:hint="eastAsia" w:eastAsia="宋体"/>
                      <w:color w:val="auto"/>
                      <w:u w:val="none" w:color="auto"/>
                      <w:lang w:val="en-US" w:eastAsia="zh-CN"/>
                    </w:rPr>
                  </w:pPr>
                  <w:r>
                    <w:rPr>
                      <w:rFonts w:hint="eastAsia"/>
                      <w:color w:val="auto"/>
                      <w:u w:val="none" w:color="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998" w:type="pct"/>
                  <w:tcBorders>
                    <w:tl2br w:val="nil"/>
                    <w:tr2bl w:val="nil"/>
                  </w:tcBorders>
                  <w:shd w:val="clear" w:color="auto" w:fill="auto"/>
                  <w:noWrap/>
                  <w:vAlign w:val="center"/>
                </w:tcPr>
                <w:p>
                  <w:pPr>
                    <w:pStyle w:val="68"/>
                    <w:ind w:firstLine="0" w:firstLineChars="0"/>
                    <w:rPr>
                      <w:rFonts w:hint="default"/>
                      <w:color w:val="auto"/>
                      <w:u w:val="none" w:color="auto"/>
                      <w:lang w:val="en-US" w:eastAsia="zh-CN"/>
                    </w:rPr>
                  </w:pPr>
                  <w:r>
                    <w:rPr>
                      <w:rFonts w:hint="eastAsia"/>
                      <w:color w:val="auto"/>
                      <w:u w:val="none" w:color="auto"/>
                      <w:lang w:val="en-US" w:eastAsia="zh-CN"/>
                    </w:rPr>
                    <w:t>施工道路</w:t>
                  </w:r>
                </w:p>
              </w:tc>
              <w:tc>
                <w:tcPr>
                  <w:tcW w:w="3168" w:type="pct"/>
                  <w:tcBorders>
                    <w:tl2br w:val="nil"/>
                    <w:tr2bl w:val="nil"/>
                  </w:tcBorders>
                  <w:shd w:val="clear" w:color="auto" w:fill="auto"/>
                  <w:noWrap/>
                  <w:vAlign w:val="center"/>
                </w:tcPr>
                <w:p>
                  <w:pPr>
                    <w:pStyle w:val="68"/>
                    <w:ind w:firstLine="0" w:firstLineChars="0"/>
                    <w:rPr>
                      <w:rFonts w:hint="default"/>
                      <w:color w:val="auto"/>
                      <w:u w:val="none" w:color="auto"/>
                      <w:lang w:val="en-US" w:eastAsia="zh-CN"/>
                    </w:rPr>
                  </w:pPr>
                  <w:r>
                    <w:rPr>
                      <w:rFonts w:hint="eastAsia"/>
                      <w:color w:val="auto"/>
                      <w:u w:val="none" w:color="auto"/>
                      <w:lang w:val="en-US" w:eastAsia="zh-CN"/>
                    </w:rPr>
                    <w:t>1800</w:t>
                  </w:r>
                </w:p>
              </w:tc>
              <w:tc>
                <w:tcPr>
                  <w:tcW w:w="832" w:type="pct"/>
                  <w:tcBorders>
                    <w:tl2br w:val="nil"/>
                    <w:tr2bl w:val="nil"/>
                  </w:tcBorders>
                  <w:shd w:val="clear" w:color="auto" w:fill="auto"/>
                  <w:noWrap/>
                  <w:vAlign w:val="center"/>
                </w:tcPr>
                <w:p>
                  <w:pPr>
                    <w:pStyle w:val="68"/>
                    <w:ind w:firstLine="0" w:firstLineChars="0"/>
                    <w:rPr>
                      <w:rFonts w:hint="eastAsia" w:eastAsia="宋体"/>
                      <w:color w:val="auto"/>
                      <w:u w:val="none" w:color="auto"/>
                      <w:lang w:val="en-US" w:eastAsia="zh-CN"/>
                    </w:rPr>
                  </w:pPr>
                  <w:r>
                    <w:rPr>
                      <w:rFonts w:hint="eastAsia"/>
                      <w:color w:val="auto"/>
                      <w:u w:val="none" w:color="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998" w:type="pct"/>
                  <w:tcBorders>
                    <w:tl2br w:val="nil"/>
                    <w:tr2bl w:val="nil"/>
                  </w:tcBorders>
                  <w:shd w:val="clear" w:color="auto" w:fill="auto"/>
                  <w:noWrap/>
                  <w:vAlign w:val="center"/>
                </w:tcPr>
                <w:p>
                  <w:pPr>
                    <w:pStyle w:val="68"/>
                    <w:ind w:firstLine="0" w:firstLineChars="0"/>
                    <w:rPr>
                      <w:color w:val="auto"/>
                      <w:u w:val="none" w:color="auto"/>
                    </w:rPr>
                  </w:pPr>
                  <w:r>
                    <w:rPr>
                      <w:rFonts w:hint="eastAsia"/>
                      <w:color w:val="auto"/>
                      <w:u w:val="none" w:color="auto"/>
                    </w:rPr>
                    <w:t>合计</w:t>
                  </w:r>
                </w:p>
              </w:tc>
              <w:tc>
                <w:tcPr>
                  <w:tcW w:w="3168" w:type="pct"/>
                  <w:tcBorders>
                    <w:tl2br w:val="nil"/>
                    <w:tr2bl w:val="nil"/>
                  </w:tcBorders>
                  <w:shd w:val="clear" w:color="auto" w:fill="auto"/>
                  <w:noWrap/>
                  <w:vAlign w:val="center"/>
                </w:tcPr>
                <w:p>
                  <w:pPr>
                    <w:pStyle w:val="68"/>
                    <w:ind w:firstLine="0" w:firstLineChars="0"/>
                    <w:jc w:val="center"/>
                    <w:rPr>
                      <w:rFonts w:hint="default" w:eastAsia="宋体"/>
                      <w:color w:val="auto"/>
                      <w:u w:val="none" w:color="auto"/>
                      <w:lang w:val="en-US" w:eastAsia="zh-CN"/>
                    </w:rPr>
                  </w:pPr>
                  <w:r>
                    <w:rPr>
                      <w:rFonts w:hint="eastAsia"/>
                      <w:color w:val="auto"/>
                      <w:u w:val="none" w:color="auto"/>
                      <w:lang w:val="en-US" w:eastAsia="zh-CN"/>
                    </w:rPr>
                    <w:t>4300</w:t>
                  </w:r>
                </w:p>
              </w:tc>
              <w:tc>
                <w:tcPr>
                  <w:tcW w:w="832" w:type="pct"/>
                  <w:tcBorders>
                    <w:tl2br w:val="nil"/>
                    <w:tr2bl w:val="nil"/>
                  </w:tcBorders>
                  <w:shd w:val="clear" w:color="auto" w:fill="auto"/>
                  <w:noWrap/>
                  <w:vAlign w:val="center"/>
                </w:tcPr>
                <w:p>
                  <w:pPr>
                    <w:pStyle w:val="68"/>
                    <w:ind w:firstLine="0" w:firstLineChars="0"/>
                    <w:rPr>
                      <w:rFonts w:hint="eastAsia" w:eastAsia="宋体"/>
                      <w:color w:val="auto"/>
                      <w:u w:val="none" w:color="auto"/>
                      <w:lang w:val="en-US" w:eastAsia="zh-CN"/>
                    </w:rPr>
                  </w:pPr>
                  <w:r>
                    <w:rPr>
                      <w:rFonts w:hint="eastAsia"/>
                      <w:color w:val="auto"/>
                      <w:u w:val="none" w:color="auto"/>
                      <w:lang w:val="en-US" w:eastAsia="zh-CN"/>
                    </w:rPr>
                    <w:t>-</w:t>
                  </w:r>
                </w:p>
              </w:tc>
            </w:tr>
          </w:tbl>
          <w:p>
            <w:pPr>
              <w:numPr>
                <w:ilvl w:val="0"/>
                <w:numId w:val="0"/>
              </w:numPr>
              <w:bidi w:val="0"/>
              <w:ind w:firstLine="480" w:firstLineChars="200"/>
              <w:outlineLvl w:val="9"/>
              <w:rPr>
                <w:rFonts w:hint="default" w:eastAsia="宋体"/>
                <w:color w:val="auto"/>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203" w:type="pct"/>
            <w:tcBorders>
              <w:tl2br w:val="nil"/>
              <w:tr2bl w:val="nil"/>
            </w:tcBorders>
            <w:vAlign w:val="center"/>
          </w:tcPr>
          <w:p>
            <w:pPr>
              <w:bidi w:val="0"/>
              <w:jc w:val="center"/>
              <w:outlineLvl w:val="9"/>
              <w:rPr>
                <w:rFonts w:hint="eastAsia"/>
                <w:color w:val="auto"/>
                <w:u w:val="none" w:color="auto"/>
                <w:vertAlign w:val="baseline"/>
                <w:lang w:val="en-US" w:eastAsia="zh-CN"/>
              </w:rPr>
            </w:pPr>
            <w:r>
              <w:rPr>
                <w:rFonts w:hint="eastAsia"/>
                <w:color w:val="auto"/>
                <w:u w:val="none" w:color="auto"/>
                <w:vertAlign w:val="baseline"/>
                <w:lang w:val="en-US" w:eastAsia="zh-CN"/>
              </w:rPr>
              <w:t>总平面及现场布置</w:t>
            </w:r>
          </w:p>
        </w:tc>
        <w:tc>
          <w:tcPr>
            <w:tcW w:w="4796" w:type="pct"/>
            <w:tcBorders>
              <w:tl2br w:val="nil"/>
              <w:tr2bl w:val="nil"/>
            </w:tcBorders>
          </w:tcPr>
          <w:p>
            <w:pPr>
              <w:bidi w:val="0"/>
              <w:outlineLvl w:val="9"/>
              <w:rPr>
                <w:rFonts w:hint="default"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2</w:t>
            </w:r>
            <w:r>
              <w:rPr>
                <w:rFonts w:hint="eastAsia" w:ascii="Times New Roman" w:hAnsi="Times New Roman" w:cs="Times New Roman"/>
                <w:b/>
                <w:bCs/>
                <w:color w:val="auto"/>
                <w:u w:val="none" w:color="auto"/>
                <w:lang w:val="en-US" w:eastAsia="zh-CN"/>
              </w:rPr>
              <w:t>.6</w:t>
            </w:r>
            <w:r>
              <w:rPr>
                <w:rFonts w:hint="eastAsia" w:cs="Times New Roman"/>
                <w:b/>
                <w:bCs/>
                <w:color w:val="auto"/>
                <w:u w:val="none" w:color="auto"/>
                <w:lang w:val="en-US" w:eastAsia="zh-CN"/>
              </w:rPr>
              <w:t>工程布局情况</w:t>
            </w:r>
          </w:p>
          <w:p>
            <w:pPr>
              <w:bidi w:val="0"/>
              <w:ind w:firstLine="480" w:firstLineChars="200"/>
              <w:outlineLvl w:val="9"/>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水闸闸室采用“山”型结构型式，顺水流方向长11m，宽76.6m，共8孔，单孔净宽为8m，设7个中墩，2个边墩，中墩、边墩厚度均为1.4m；闸室沿顺水流方向分成5联，分缝处采用紫铜止水；闸室底板高程43.20m，厚2.5m，底板上下游各设深1.0m、宽1.0m齿槽；闸墩下游侧布置5m宽工作桥，工作桥桥面高程为49.50m，闸墩顶高程为48.90m；闸墩顶部设排架和启闭机房，排架断面尺寸为0.5m×0.6m，启闭机房尺寸为宽3.7m×长76.6m；闸室两岸均布置辅助用房并设配电间，辅助用房尺寸为宽7m×长7.14m；工作桥、启闭台、排架和二期砼采用C30砼，闸室底板、闸墩采用C25砼，垫层采用C20砼。</w:t>
            </w:r>
          </w:p>
          <w:p>
            <w:pPr>
              <w:bidi w:val="0"/>
              <w:ind w:firstLine="480" w:firstLineChars="200"/>
              <w:outlineLvl w:val="9"/>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闸室上游设C25砼铺盖，长20m，厚0.8m，顶高程为42.50m，下设0.1m厚C20砼垫层。 消力池总长为25m，其中斜坡段长8m，坡比为1:4，水平段长17m；池深为1.5m；消力池采用C25钢筋砼结构，底板厚度1.0m，下设0.1m厚C20砼垫层及0.3m厚砂石反滤层，末端底板设φ50排水孔，间距1.5m，梅花型布置；消力池后接35m长海漫和8m长抛石防冲槽，海漫前10m为水平段采用M10浆砌石结构，后25m坡比1:100采用干砌石结构，厚度均为0.5m。</w:t>
            </w:r>
          </w:p>
          <w:p>
            <w:pPr>
              <w:bidi w:val="0"/>
              <w:ind w:firstLine="480" w:firstLineChars="200"/>
              <w:outlineLvl w:val="9"/>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上游右岸翼墙采用扶壁式断面，C25钢筋砼结构，采用直线与圆弧相结合的布置方式，直线段长15m，圆弧段半径5m，经圆弧后转角90°，翼墙高度为7.4m，翼墙顶高程为48.90m；底板厚度为1m，宽度为6.3m，墙板厚度0.8m；扶壁厚度0.5m，间距4.5m；下游两岸翼墙采用扶壁式断面，C25钢筋砼结构，采用直线布置方式，直线段长26m，翼墙高度为8.7m，翼墙顶高程为48.90m；底板厚度为1m，宽度为8.3m，墙板厚度0.8m；扶壁厚度1m，间距5m。</w:t>
            </w:r>
          </w:p>
          <w:p>
            <w:pPr>
              <w:bidi w:val="0"/>
              <w:ind w:firstLine="480" w:firstLineChars="200"/>
              <w:outlineLvl w:val="9"/>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左岸灌溉取水闸重建。闸室顺水流方向长8m，宽6.4m，共1孔，两侧设有闸墩；闸室底板高程为45.50m，厚1m，底板上下游各设深1.0m、宽1.0m齿槽；闸墩顶高程为48.90m，厚度为1.2m；闸墩顶部设有排架和启闭机房，排架断面尺寸为0.5m×0.6m。灌溉引水渠进行改造长55.5m，宽5m-30m，底板高程42.50-45.50m，对引水渠底板进行清淤护砌，清淤厚度为0.5m，引水渠两岸采用M10浆砌石挡墙护砌，挡墙采用重力式挡墙，挡墙顶部高程为47.50m，顶部宽0.5m，填土侧坡比1:0.5，挡墙高2.5-4.0m。二期砼采用C30砼，闸室底板、闸墩、启闭台、排架、引水渠护砌采用C25砼，垫层采用C20砼。 左岸排水低涵重建，进口段护砌5m，采用砼底板和浆砌石挡墙护砌；渠底箱涵段长47.7m，孔口尺寸2m×1.1m，箱涵壁厚0.4m，采用C25钢筋砼；出口明渠段矩形槽长30m，断面尺寸宽2m×高2.3-2.8m，采用0.4m厚C25钢筋砼衬砌，排水出口设置消力池，总长7m，其中斜坡段长2m，坡比为1:4，水平段长5m；池深为0.5m；消力池采用C25钢筋砼结构，底板厚度0.5m，下设0.1m厚C20砼垫层末端底板设φ50排水孔，间距1.5m，梅花型布置。</w:t>
            </w:r>
          </w:p>
          <w:p>
            <w:pPr>
              <w:bidi w:val="0"/>
              <w:ind w:firstLine="482" w:firstLineChars="200"/>
              <w:outlineLvl w:val="9"/>
              <w:rPr>
                <w:rFonts w:hint="eastAsia" w:cs="Times New Roman"/>
                <w:b/>
                <w:bCs/>
                <w:color w:val="auto"/>
                <w:u w:val="none" w:color="auto"/>
                <w:lang w:val="en-US" w:eastAsia="zh-CN"/>
              </w:rPr>
            </w:pPr>
            <w:r>
              <w:rPr>
                <w:rFonts w:hint="eastAsia" w:cs="Times New Roman"/>
                <w:b/>
                <w:bCs/>
                <w:color w:val="auto"/>
                <w:u w:val="none" w:color="auto"/>
                <w:lang w:val="en-US" w:eastAsia="zh-CN"/>
              </w:rPr>
              <w:t>闸肩、闸基及绕闸防渗处理</w:t>
            </w:r>
          </w:p>
          <w:p>
            <w:pPr>
              <w:bidi w:val="0"/>
              <w:ind w:firstLine="480" w:firstLineChars="200"/>
              <w:outlineLvl w:val="9"/>
              <w:rPr>
                <w:rFonts w:hint="eastAsia" w:eastAsia="宋体" w:cs="Times New Roman"/>
                <w:color w:val="auto"/>
                <w:u w:val="none" w:color="auto"/>
                <w:lang w:val="en-US" w:eastAsia="zh-CN"/>
              </w:rPr>
            </w:pPr>
            <w:r>
              <w:rPr>
                <w:rFonts w:hint="eastAsia"/>
                <w:color w:val="auto"/>
                <w:u w:val="none" w:color="auto"/>
              </w:rPr>
              <w:t>对上游左岸300m、右岸250m，下游左岸200m、右岸200m进行护岸护坡；上游左岸临水侧采用4.3m高M10浆砌石挡墙护岸，墙顶高程46.50m，以上采用坡比为1:2草皮护坡；上游右岸临水侧采用2m高M10浆砌石挡墙固脚，墙顶高程43.70m，以上坡比为1:2，0.12m厚C25现浇砼护坡护至上游右岸高程46.50m；高程46.50m至平台高程47.50m以及平台以上至岸顶采用草皮护坡；下游左岸桩号0+000-0+055临水侧采用4.15m高M10浆砌石挡墙固脚至平台高程45.50m，以上采用坡比为1:2，0.12m厚C25砼护坡护至高程47.50m，以上至岸顶采用草皮护坡；桩号0+055-0+200临水侧采用2.8-2.9m高M10浆砌石挡墙固脚，护至平台高程44.50m，以上采用坡比为1:2，0.12m厚C25现浇砼护坡护至高程47.50m，以上至岸顶采用草皮护坡；下游右岸桩号0+000-0+100临水侧采用4.15m高M10浆砌石挡墙固脚至平台高程45.50m，以上采用坡比为1:2，0.12m厚C25现浇砼护坡护至高程47.50m，以上至岸顶采用草皮护坡；桩号0+100-0+200临水侧采用2m高M10浆砌石挡墙固脚，墙顶高程43.70m，以上采用坡比为1:2，0.12m厚C25砼护坡护至高程47.50m，以上至岸顶采用草皮护坡。</w:t>
            </w:r>
          </w:p>
          <w:p>
            <w:pPr>
              <w:bidi w:val="0"/>
              <w:ind w:firstLine="482" w:firstLineChars="200"/>
              <w:outlineLvl w:val="9"/>
              <w:rPr>
                <w:rFonts w:hint="default" w:eastAsia="宋体" w:cs="Times New Roman"/>
                <w:b/>
                <w:bCs/>
                <w:color w:val="auto"/>
                <w:u w:val="none" w:color="auto"/>
                <w:lang w:val="en-US" w:eastAsia="zh-CN"/>
              </w:rPr>
            </w:pPr>
            <w:r>
              <w:rPr>
                <w:rFonts w:hint="eastAsia" w:cs="Times New Roman"/>
                <w:b/>
                <w:bCs/>
                <w:color w:val="auto"/>
                <w:u w:val="none" w:color="auto"/>
                <w:lang w:val="en-US" w:eastAsia="zh-CN"/>
              </w:rPr>
              <w:t>水闸重建工程</w:t>
            </w:r>
          </w:p>
          <w:p>
            <w:pPr>
              <w:bidi w:val="0"/>
              <w:ind w:firstLine="480" w:firstLineChars="200"/>
              <w:outlineLvl w:val="9"/>
              <w:rPr>
                <w:rFonts w:hint="eastAsia" w:cs="Times New Roman"/>
                <w:color w:val="auto"/>
                <w:u w:val="none" w:color="auto"/>
                <w:lang w:val="en-US" w:eastAsia="zh-CN"/>
              </w:rPr>
            </w:pPr>
            <w:r>
              <w:rPr>
                <w:rFonts w:hint="eastAsia"/>
                <w:color w:val="auto"/>
                <w:u w:val="none" w:color="auto"/>
              </w:rPr>
              <w:t>取水闸重建，重建的厚的灌溉取水闸为1孔，孔口宽4.0m，底板高程45.50m，闸墩厚1.2m；顺水流方向（闸室前沿至下游）为：C25钢筋砼闸底板长8m，底板厚1m；泄洪闸消力池的深度取0.5m，池斜坡段长2m，底板坡比1:4.0，水平段长5m，底板厚度0.5m，采用C25钢筋砼。本次取水闸底板底部高程44.50m，闸室基础为砂卵砾石层。</w:t>
            </w:r>
          </w:p>
          <w:p>
            <w:pPr>
              <w:bidi w:val="0"/>
              <w:ind w:firstLine="482" w:firstLineChars="200"/>
              <w:outlineLvl w:val="9"/>
              <w:rPr>
                <w:rFonts w:hint="default" w:cs="Times New Roman"/>
                <w:b/>
                <w:bCs/>
                <w:color w:val="auto"/>
                <w:u w:val="none" w:color="auto"/>
                <w:lang w:val="en-US" w:eastAsia="zh-CN"/>
              </w:rPr>
            </w:pPr>
            <w:r>
              <w:rPr>
                <w:rFonts w:hint="eastAsia"/>
                <w:b/>
                <w:bCs/>
                <w:color w:val="auto"/>
                <w:u w:val="none" w:color="auto"/>
              </w:rPr>
              <w:t>防汛公路改造</w:t>
            </w:r>
          </w:p>
          <w:p>
            <w:pPr>
              <w:bidi w:val="0"/>
              <w:ind w:firstLine="480" w:firstLineChars="200"/>
              <w:outlineLvl w:val="9"/>
              <w:rPr>
                <w:rFonts w:hint="eastAsia" w:cs="Times New Roman"/>
                <w:color w:val="auto"/>
                <w:u w:val="none" w:color="auto"/>
                <w:lang w:val="en-US" w:eastAsia="zh-CN"/>
              </w:rPr>
            </w:pPr>
            <w:r>
              <w:rPr>
                <w:rFonts w:hint="eastAsia" w:cs="Times New Roman"/>
                <w:color w:val="auto"/>
                <w:u w:val="none" w:color="auto"/>
                <w:lang w:val="en-US" w:eastAsia="zh-CN"/>
              </w:rPr>
              <w:t>闸防汛公路全长1.0km，防汛公路路面设计宽度4.5m，两侧路肩宽0.25m，路面采用200mm厚C30砼铺筑，下铺150mm厚水泥砂砾稳定层，路基则对原路面稍作修坡和局部加宽填高后即可，对于局部回填路基要求采用石碴填筑，碾压密实。</w:t>
            </w:r>
          </w:p>
          <w:p>
            <w:pPr>
              <w:bidi w:val="0"/>
              <w:ind w:firstLine="482" w:firstLineChars="200"/>
              <w:outlineLvl w:val="9"/>
              <w:rPr>
                <w:rFonts w:hint="default" w:cs="Times New Roman"/>
                <w:b/>
                <w:bCs/>
                <w:color w:val="auto"/>
                <w:u w:val="none" w:color="auto"/>
                <w:lang w:val="en-US" w:eastAsia="zh-CN"/>
              </w:rPr>
            </w:pPr>
            <w:r>
              <w:rPr>
                <w:rFonts w:hint="eastAsia" w:cs="Times New Roman"/>
                <w:b/>
                <w:bCs/>
                <w:color w:val="auto"/>
                <w:u w:val="none" w:color="auto"/>
                <w:lang w:val="en-US" w:eastAsia="zh-CN"/>
              </w:rPr>
              <w:t>监测设施设计</w:t>
            </w:r>
          </w:p>
          <w:p>
            <w:pPr>
              <w:bidi w:val="0"/>
              <w:ind w:firstLine="480" w:firstLineChars="200"/>
              <w:outlineLvl w:val="9"/>
              <w:rPr>
                <w:rFonts w:hint="eastAsia"/>
                <w:color w:val="auto"/>
                <w:u w:val="none" w:color="auto"/>
              </w:rPr>
            </w:pPr>
            <w:r>
              <w:rPr>
                <w:rFonts w:hint="eastAsia"/>
                <w:color w:val="auto"/>
                <w:u w:val="none" w:color="auto"/>
              </w:rPr>
              <w:t>水闸新增观测设施，主要观测项目有：水位、流量、沉降、位移、扬压力等。主要观测仪器设备有：经纬仪、水准仪、流速仪、水位计、渗压计等。</w:t>
            </w:r>
          </w:p>
          <w:p>
            <w:pPr>
              <w:bidi w:val="0"/>
              <w:ind w:firstLine="482" w:firstLineChars="200"/>
              <w:outlineLvl w:val="9"/>
              <w:rPr>
                <w:rFonts w:hint="default" w:cs="Times New Roman"/>
                <w:b/>
                <w:bCs/>
                <w:color w:val="auto"/>
                <w:u w:val="none" w:color="auto"/>
                <w:lang w:val="en-US" w:eastAsia="zh-CN"/>
              </w:rPr>
            </w:pPr>
            <w:r>
              <w:rPr>
                <w:rFonts w:hint="eastAsia" w:cs="Times New Roman"/>
                <w:b/>
                <w:bCs/>
                <w:color w:val="auto"/>
                <w:u w:val="none" w:color="auto"/>
                <w:lang w:val="en-US" w:eastAsia="zh-CN"/>
              </w:rPr>
              <w:t>管理用房设计</w:t>
            </w:r>
          </w:p>
          <w:p>
            <w:pPr>
              <w:bidi w:val="0"/>
              <w:ind w:firstLine="480" w:firstLineChars="200"/>
              <w:outlineLvl w:val="9"/>
              <w:rPr>
                <w:rFonts w:hint="default" w:eastAsia="宋体"/>
                <w:color w:val="auto"/>
                <w:szCs w:val="22"/>
                <w:u w:val="none" w:color="auto"/>
                <w:lang w:val="en-US" w:eastAsia="zh-CN"/>
              </w:rPr>
            </w:pPr>
            <w:r>
              <w:rPr>
                <w:rFonts w:hint="eastAsia"/>
                <w:color w:val="auto"/>
                <w:u w:val="none" w:color="auto"/>
              </w:rPr>
              <w:t>管理用房300m</w:t>
            </w:r>
            <w:r>
              <w:rPr>
                <w:rFonts w:hint="eastAsia"/>
                <w:color w:val="auto"/>
                <w:u w:val="none" w:color="auto"/>
                <w:vertAlign w:val="superscript"/>
              </w:rPr>
              <w:t>2</w:t>
            </w:r>
            <w:r>
              <w:rPr>
                <w:rFonts w:hint="eastAsia"/>
                <w:color w:val="auto"/>
                <w:u w:val="none" w:color="auto"/>
              </w:rPr>
              <w:t>，防汛物资仓库300m</w:t>
            </w:r>
            <w:r>
              <w:rPr>
                <w:rFonts w:hint="eastAsia"/>
                <w:color w:val="auto"/>
                <w:u w:val="none" w:color="auto"/>
                <w:vertAlign w:val="superscript"/>
              </w:rPr>
              <w:t>2</w:t>
            </w:r>
            <w:r>
              <w:rPr>
                <w:color w:val="auto"/>
                <w:u w:val="non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203" w:type="pct"/>
            <w:tcBorders>
              <w:tl2br w:val="nil"/>
              <w:tr2bl w:val="nil"/>
            </w:tcBorders>
            <w:vAlign w:val="center"/>
          </w:tcPr>
          <w:p>
            <w:pPr>
              <w:bidi w:val="0"/>
              <w:jc w:val="center"/>
              <w:outlineLvl w:val="9"/>
              <w:rPr>
                <w:rFonts w:hint="default" w:eastAsia="宋体"/>
                <w:color w:val="auto"/>
                <w:u w:val="none" w:color="auto"/>
                <w:vertAlign w:val="baseline"/>
                <w:lang w:val="en-US" w:eastAsia="zh-CN"/>
              </w:rPr>
            </w:pPr>
            <w:r>
              <w:rPr>
                <w:rFonts w:hint="eastAsia"/>
                <w:color w:val="auto"/>
                <w:u w:val="none" w:color="auto"/>
                <w:vertAlign w:val="baseline"/>
                <w:lang w:val="en-US" w:eastAsia="zh-CN"/>
              </w:rPr>
              <w:t>施工方案</w:t>
            </w:r>
          </w:p>
        </w:tc>
        <w:tc>
          <w:tcPr>
            <w:tcW w:w="4796" w:type="pct"/>
            <w:tcBorders>
              <w:tl2br w:val="nil"/>
              <w:tr2bl w:val="nil"/>
            </w:tcBorders>
          </w:tcPr>
          <w:p>
            <w:pPr>
              <w:bidi w:val="0"/>
              <w:outlineLvl w:val="9"/>
              <w:rPr>
                <w:rFonts w:hint="default"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2</w:t>
            </w:r>
            <w:r>
              <w:rPr>
                <w:rFonts w:hint="eastAsia" w:ascii="Times New Roman" w:hAnsi="Times New Roman" w:cs="Times New Roman"/>
                <w:b/>
                <w:bCs/>
                <w:color w:val="auto"/>
                <w:u w:val="none" w:color="auto"/>
                <w:lang w:val="en-US" w:eastAsia="zh-CN"/>
              </w:rPr>
              <w:t>.6</w:t>
            </w:r>
            <w:r>
              <w:rPr>
                <w:rFonts w:hint="eastAsia" w:cs="Times New Roman"/>
                <w:b/>
                <w:bCs/>
                <w:color w:val="auto"/>
                <w:u w:val="none" w:color="auto"/>
                <w:lang w:val="en-US" w:eastAsia="zh-CN"/>
              </w:rPr>
              <w:t>施工条件</w:t>
            </w:r>
          </w:p>
          <w:p>
            <w:pPr>
              <w:ind w:firstLine="480"/>
              <w:rPr>
                <w:rFonts w:hint="default" w:cs="Times New Roman"/>
                <w:b w:val="0"/>
                <w:bCs w:val="0"/>
                <w:color w:val="auto"/>
                <w:u w:val="none" w:color="auto"/>
                <w:lang w:val="en-US" w:eastAsia="zh-CN"/>
              </w:rPr>
            </w:pPr>
            <w:r>
              <w:rPr>
                <w:rFonts w:hint="eastAsia" w:cs="Times New Roman"/>
                <w:b w:val="0"/>
                <w:bCs w:val="0"/>
                <w:color w:val="auto"/>
                <w:u w:val="none" w:color="auto"/>
                <w:lang w:val="en-US" w:eastAsia="zh-CN"/>
              </w:rPr>
              <w:t>（1）交通条件</w:t>
            </w:r>
          </w:p>
          <w:p>
            <w:pPr>
              <w:ind w:firstLine="480"/>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祁东县交通十分便利，乡镇、村通公路率均达到 100%，为工程建筑材料、机械设备输送提供了良好的交通保障。两岸河道基本有防汛公路与外界相连，施工材料、机械设备可直接运抵工程区。</w:t>
            </w:r>
          </w:p>
          <w:p>
            <w:pPr>
              <w:ind w:firstLine="480"/>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（2）水、电、通讯等设施以及建材供应</w:t>
            </w:r>
          </w:p>
          <w:p>
            <w:pPr>
              <w:ind w:firstLine="480"/>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工程所需水泥、钢筋、油料均可在县城或乡镇相应物资部门就近购买。</w:t>
            </w:r>
          </w:p>
          <w:p>
            <w:pPr>
              <w:ind w:firstLine="480"/>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工程区位于白河河道两岸，水质良好，施工生产用水可直接从河中抽取；施工期间生活及办公用房租用工地附近农房，生活用水来源一般为家用浅层水井或自来水，水质清澈，能满足生活用水需求。</w:t>
            </w:r>
          </w:p>
          <w:p>
            <w:pPr>
              <w:ind w:firstLine="480"/>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工程区内均由当地电网供电，工程附近即有线路通过，能满足工程需要。</w:t>
            </w:r>
          </w:p>
          <w:p>
            <w:pPr>
              <w:ind w:firstLine="480"/>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施工期间通讯可直接利用已形成的通讯网络，不另设置通讯系统。</w:t>
            </w:r>
          </w:p>
          <w:p>
            <w:pPr>
              <w:bidi w:val="0"/>
              <w:outlineLvl w:val="9"/>
              <w:rPr>
                <w:rFonts w:hint="default"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2</w:t>
            </w:r>
            <w:r>
              <w:rPr>
                <w:rFonts w:hint="eastAsia" w:ascii="Times New Roman" w:hAnsi="Times New Roman" w:cs="Times New Roman"/>
                <w:b/>
                <w:bCs/>
                <w:color w:val="auto"/>
                <w:u w:val="none" w:color="auto"/>
                <w:lang w:val="en-US" w:eastAsia="zh-CN"/>
              </w:rPr>
              <w:t>.</w:t>
            </w:r>
            <w:r>
              <w:rPr>
                <w:rFonts w:hint="eastAsia" w:cs="Times New Roman"/>
                <w:b/>
                <w:bCs/>
                <w:color w:val="auto"/>
                <w:u w:val="none" w:color="auto"/>
                <w:lang w:val="en-US" w:eastAsia="zh-CN"/>
              </w:rPr>
              <w:t>7主体工程施工</w:t>
            </w:r>
          </w:p>
          <w:p>
            <w:pPr>
              <w:ind w:firstLine="480"/>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本次重建水闸主体工程主要有：</w:t>
            </w:r>
          </w:p>
          <w:p>
            <w:pPr>
              <w:ind w:firstLine="480"/>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1）平板提升闸门部分（包括平面钢闸门、闸墩、闸室、启闭房、工作桥等）；2）左、右岸非溢流坝；3）重建灌溉取水闸重建，闸门选用钢闸门；4）左岸排水低涵重建；5）上下游河道清理疏挖和岸坡护砌等；6）钢筋混凝土扶壁式岸墙及翼墙修建；7）消力池与海漫，防冲槽部分。</w:t>
            </w:r>
          </w:p>
          <w:p>
            <w:pPr>
              <w:ind w:firstLine="480"/>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2.7.1 土方开挖</w:t>
            </w:r>
          </w:p>
          <w:p>
            <w:pPr>
              <w:ind w:firstLine="480"/>
              <w:rPr>
                <w:rFonts w:hint="eastAsia" w:cs="Times New Roman"/>
                <w:b w:val="0"/>
                <w:bCs w:val="0"/>
                <w:color w:val="auto"/>
                <w:u w:val="none" w:color="auto"/>
                <w:lang w:val="en-US" w:eastAsia="zh-CN"/>
              </w:rPr>
            </w:pPr>
            <w:r>
              <w:rPr>
                <w:rFonts w:hint="eastAsia" w:cs="Times New Roman"/>
                <w:b w:val="0"/>
                <w:bCs w:val="0"/>
                <w:color w:val="auto"/>
                <w:u w:val="none" w:color="auto"/>
                <w:lang w:val="en-US" w:eastAsia="zh-CN"/>
              </w:rPr>
              <w:t>土方开挖包括基坑砂卵石开挖、岸坡坡面开挖和河道清理疏挖，坡面土方开挖为削坡开挖，主要是坡面清理，由推土机推挖，部分较陡坡面由人工消坡开挖。基坑砂卵石和河道疏挖由反铲挖装，自卸汽车运输。开挖料部分用于围堰填筑，其余运至渣土部门指定地点。</w:t>
            </w:r>
          </w:p>
          <w:p>
            <w:pPr>
              <w:ind w:firstLine="480"/>
              <w:rPr>
                <w:rFonts w:hint="default" w:eastAsia="宋体"/>
                <w:color w:val="auto"/>
                <w:u w:val="none" w:color="auto"/>
                <w:lang w:val="en-US" w:eastAsia="zh-CN"/>
              </w:rPr>
            </w:pPr>
            <w:r>
              <w:rPr>
                <w:rFonts w:hint="eastAsia"/>
                <w:color w:val="auto"/>
                <w:u w:val="none" w:color="auto"/>
                <w:lang w:val="en-US" w:eastAsia="zh-CN"/>
              </w:rPr>
              <w:t>2.7.2原闸坝拆除</w:t>
            </w:r>
          </w:p>
          <w:p>
            <w:pPr>
              <w:ind w:firstLine="480"/>
              <w:rPr>
                <w:color w:val="auto"/>
                <w:u w:val="none" w:color="auto"/>
              </w:rPr>
            </w:pPr>
            <w:r>
              <w:rPr>
                <w:rFonts w:hint="eastAsia"/>
                <w:color w:val="auto"/>
                <w:u w:val="none" w:color="auto"/>
              </w:rPr>
              <w:t>本项目拆除工程包括浆砌石拆除、混凝土及钢筋混凝土拆除、闸门、启闭机及电气设备拆除、闸底板、消力池的拆除等。</w:t>
            </w:r>
          </w:p>
          <w:p>
            <w:pPr>
              <w:ind w:firstLine="480"/>
              <w:rPr>
                <w:color w:val="auto"/>
                <w:u w:val="none" w:color="auto"/>
              </w:rPr>
            </w:pPr>
            <w:r>
              <w:rPr>
                <w:color w:val="auto"/>
                <w:u w:val="none" w:color="auto"/>
              </w:rPr>
              <w:t>施工流程</w:t>
            </w:r>
            <w:r>
              <w:rPr>
                <w:rFonts w:hint="eastAsia"/>
                <w:color w:val="auto"/>
                <w:u w:val="none" w:color="auto"/>
                <w:lang w:eastAsia="zh-CN"/>
              </w:rPr>
              <w:t>：</w:t>
            </w:r>
            <w:r>
              <w:rPr>
                <w:color w:val="auto"/>
                <w:u w:val="none" w:color="auto"/>
              </w:rPr>
              <w:t>施工准备---造孔---下喷射装置---制浆---灌浆（旋动提升）---终孔处理（冲洗、静压灌浆）---验收。</w:t>
            </w:r>
          </w:p>
          <w:p>
            <w:pPr>
              <w:ind w:firstLine="480"/>
              <w:rPr>
                <w:rFonts w:hint="eastAsia"/>
                <w:color w:val="auto"/>
                <w:u w:val="none" w:color="auto"/>
              </w:rPr>
            </w:pPr>
            <w:r>
              <w:rPr>
                <w:rFonts w:hint="eastAsia"/>
                <w:color w:val="auto"/>
                <w:u w:val="none" w:color="auto"/>
              </w:rPr>
              <w:t>1）拆除前的准备</w:t>
            </w:r>
          </w:p>
          <w:p>
            <w:pPr>
              <w:ind w:firstLine="480"/>
              <w:rPr>
                <w:rFonts w:hint="eastAsia"/>
                <w:color w:val="auto"/>
                <w:u w:val="none" w:color="auto"/>
              </w:rPr>
            </w:pPr>
            <w:r>
              <w:rPr>
                <w:rFonts w:hint="eastAsia"/>
                <w:color w:val="auto"/>
                <w:u w:val="none" w:color="auto"/>
              </w:rPr>
              <w:t>（1）拆除前组织工程施工、安全员及参与拆除的施工作业人员，认真熟悉拆除施工方案，指令统一，组织技术交底。</w:t>
            </w:r>
          </w:p>
          <w:p>
            <w:pPr>
              <w:ind w:firstLine="480"/>
              <w:rPr>
                <w:rFonts w:hint="eastAsia"/>
                <w:color w:val="auto"/>
                <w:u w:val="none" w:color="auto"/>
              </w:rPr>
            </w:pPr>
            <w:r>
              <w:rPr>
                <w:rFonts w:hint="eastAsia"/>
                <w:color w:val="auto"/>
                <w:u w:val="none" w:color="auto"/>
              </w:rPr>
              <w:t>（2）拆除前对施工现场进行封闭，严禁非施工人员进入施工现场，确保拆除工作安全。</w:t>
            </w:r>
          </w:p>
          <w:p>
            <w:pPr>
              <w:ind w:firstLine="480"/>
              <w:rPr>
                <w:rFonts w:hint="eastAsia"/>
                <w:color w:val="auto"/>
                <w:u w:val="none" w:color="auto"/>
              </w:rPr>
            </w:pPr>
            <w:r>
              <w:rPr>
                <w:rFonts w:hint="eastAsia"/>
                <w:color w:val="auto"/>
                <w:u w:val="none" w:color="auto"/>
              </w:rPr>
              <w:t>（3）对所有参加拆除的施工人员进行技术交底。督促施工人员严格按照操作规程进行施工，遵循“由上至下，由一侧向另一侧施工”的原则。</w:t>
            </w:r>
          </w:p>
          <w:p>
            <w:pPr>
              <w:ind w:firstLine="480"/>
              <w:rPr>
                <w:rFonts w:hint="eastAsia"/>
                <w:color w:val="auto"/>
                <w:u w:val="none" w:color="auto"/>
              </w:rPr>
            </w:pPr>
            <w:r>
              <w:rPr>
                <w:rFonts w:hint="eastAsia"/>
                <w:color w:val="auto"/>
                <w:u w:val="none" w:color="auto"/>
              </w:rPr>
              <w:t>（4）施工人员必须正确穿戴安全防护用品。配戴安全帽，严格按照安全操作规程进行施工作业，并设立警示标志。施工时必须站到安全的地点</w:t>
            </w:r>
          </w:p>
          <w:p>
            <w:pPr>
              <w:ind w:firstLine="480"/>
              <w:rPr>
                <w:rFonts w:hint="eastAsia"/>
                <w:color w:val="auto"/>
                <w:u w:val="none" w:color="auto"/>
              </w:rPr>
            </w:pPr>
            <w:r>
              <w:rPr>
                <w:rFonts w:hint="eastAsia"/>
                <w:color w:val="auto"/>
                <w:u w:val="none" w:color="auto"/>
              </w:rPr>
              <w:t>（5）在周边明显位置挂安全指示牌、温馨提示牌和建筑工程安全规程要求。</w:t>
            </w:r>
          </w:p>
          <w:p>
            <w:pPr>
              <w:ind w:firstLine="480"/>
              <w:rPr>
                <w:rFonts w:hint="eastAsia" w:cs="Times New Roman"/>
                <w:b w:val="0"/>
                <w:bCs w:val="0"/>
                <w:color w:val="auto"/>
                <w:u w:val="none" w:color="auto"/>
                <w:lang w:val="en-US" w:eastAsia="zh-CN"/>
              </w:rPr>
            </w:pPr>
            <w:r>
              <w:rPr>
                <w:rFonts w:hint="eastAsia"/>
                <w:color w:val="auto"/>
                <w:u w:val="none" w:color="auto"/>
              </w:rPr>
              <w:t>（6）对所投入的机械、机具进行全面检查、维修、使各种设备、机具性能良好，满足拆除工程施工要求。</w:t>
            </w:r>
          </w:p>
          <w:p>
            <w:pPr>
              <w:bidi w:val="0"/>
              <w:ind w:firstLine="480" w:firstLineChars="200"/>
              <w:jc w:val="left"/>
              <w:rPr>
                <w:rFonts w:hint="eastAsia"/>
                <w:color w:val="auto"/>
                <w:u w:val="none" w:color="auto"/>
              </w:rPr>
            </w:pPr>
            <w:r>
              <w:rPr>
                <w:rFonts w:hint="eastAsia"/>
                <w:color w:val="auto"/>
                <w:u w:val="none" w:color="auto"/>
              </w:rPr>
              <w:t>2）浆砌石的拆除</w:t>
            </w:r>
          </w:p>
          <w:p>
            <w:pPr>
              <w:bidi w:val="0"/>
              <w:ind w:firstLine="480" w:firstLineChars="200"/>
              <w:jc w:val="left"/>
              <w:rPr>
                <w:rFonts w:hint="eastAsia"/>
                <w:color w:val="auto"/>
                <w:u w:val="none" w:color="auto"/>
              </w:rPr>
            </w:pPr>
            <w:r>
              <w:rPr>
                <w:rFonts w:hint="eastAsia"/>
                <w:color w:val="auto"/>
                <w:u w:val="none" w:color="auto"/>
              </w:rPr>
              <w:t>该部位采用破碎锤破碎、挖掘机分类、装车 8 吨自卸车根据块石情况分类堆放。拆除时严格遵循自上而下的原则进行，对于难以施工的浆砌石护坡、护底采用风镐凿松，然后人工撬、凿、翻挖，再人工抬运，堆至指定地点堆放。</w:t>
            </w:r>
          </w:p>
          <w:p>
            <w:pPr>
              <w:bidi w:val="0"/>
              <w:ind w:firstLine="480" w:firstLineChars="200"/>
              <w:jc w:val="left"/>
              <w:rPr>
                <w:rFonts w:hint="eastAsia"/>
                <w:color w:val="auto"/>
                <w:u w:val="none" w:color="auto"/>
              </w:rPr>
            </w:pPr>
            <w:r>
              <w:rPr>
                <w:rFonts w:hint="eastAsia"/>
                <w:color w:val="auto"/>
                <w:u w:val="none" w:color="auto"/>
              </w:rPr>
              <w:t>3）混凝土及钢筋的拆除</w:t>
            </w:r>
          </w:p>
          <w:p>
            <w:pPr>
              <w:bidi w:val="0"/>
              <w:ind w:firstLine="480" w:firstLineChars="200"/>
              <w:jc w:val="left"/>
              <w:rPr>
                <w:rFonts w:hint="eastAsia"/>
                <w:color w:val="auto"/>
                <w:u w:val="none" w:color="auto"/>
              </w:rPr>
            </w:pPr>
            <w:r>
              <w:rPr>
                <w:rFonts w:hint="eastAsia"/>
                <w:color w:val="auto"/>
                <w:u w:val="none" w:color="auto"/>
              </w:rPr>
              <w:t>拆除时，防止相邻部位发生坍塌，严格按照自上而下的的拆除顺序进行，不得立体交叉拆除作业，采用挖机配置破碎锤进行施工，将破碎后的大块混凝土在地面进行二次破碎，并取出结构钢筋同时将破碎后的混凝土块装车运至指定的地点。</w:t>
            </w:r>
          </w:p>
          <w:p>
            <w:pPr>
              <w:bidi w:val="0"/>
              <w:ind w:firstLine="480" w:firstLineChars="200"/>
              <w:jc w:val="left"/>
              <w:rPr>
                <w:rFonts w:hint="eastAsia"/>
                <w:color w:val="auto"/>
                <w:u w:val="none" w:color="auto"/>
              </w:rPr>
            </w:pPr>
            <w:r>
              <w:rPr>
                <w:rFonts w:hint="eastAsia"/>
                <w:color w:val="auto"/>
                <w:u w:val="none" w:color="auto"/>
              </w:rPr>
              <w:t>4）闸门、启闭机及电气设备拆除</w:t>
            </w:r>
          </w:p>
          <w:p>
            <w:pPr>
              <w:bidi w:val="0"/>
              <w:ind w:firstLine="480" w:firstLineChars="200"/>
              <w:jc w:val="left"/>
              <w:rPr>
                <w:rFonts w:hint="eastAsia"/>
                <w:color w:val="auto"/>
                <w:u w:val="none" w:color="auto"/>
              </w:rPr>
            </w:pPr>
            <w:r>
              <w:rPr>
                <w:rFonts w:hint="eastAsia"/>
                <w:color w:val="auto"/>
                <w:u w:val="none" w:color="auto"/>
              </w:rPr>
              <w:t>先行拆除启闭机及电气设备，采用人工及机械配合的方式进行。最后拆除闸门，在闸门上选择适当吊点，用 25t 汽车吊一次性吊出门槽。闸门起吊时要注意均衡起吊，防止卡槽，防止闸门掉落。闸门、启闭机及电气设备等应注意保证完好不受损坏，运至监理人指定地点堆放。</w:t>
            </w:r>
          </w:p>
          <w:p>
            <w:pPr>
              <w:bidi w:val="0"/>
              <w:ind w:firstLine="480" w:firstLineChars="200"/>
              <w:jc w:val="left"/>
              <w:rPr>
                <w:rFonts w:hint="eastAsia"/>
                <w:color w:val="auto"/>
                <w:u w:val="none" w:color="auto"/>
              </w:rPr>
            </w:pPr>
            <w:r>
              <w:rPr>
                <w:rFonts w:hint="eastAsia"/>
                <w:color w:val="auto"/>
                <w:u w:val="none" w:color="auto"/>
              </w:rPr>
              <w:t>5）闸底板、消力池的拆除</w:t>
            </w:r>
          </w:p>
          <w:p>
            <w:pPr>
              <w:bidi w:val="0"/>
              <w:ind w:firstLine="480" w:firstLineChars="200"/>
              <w:jc w:val="left"/>
              <w:rPr>
                <w:rFonts w:hint="eastAsia"/>
                <w:color w:val="auto"/>
                <w:u w:val="none" w:color="auto"/>
              </w:rPr>
            </w:pPr>
            <w:r>
              <w:rPr>
                <w:rFonts w:hint="eastAsia"/>
                <w:color w:val="auto"/>
                <w:u w:val="none" w:color="auto"/>
              </w:rPr>
              <w:t>底板、消力池拆除采用挖掘机配振冲风镐进行破坏性破碎拆除，局部采用空压机风镐配合人工进行拆除。</w:t>
            </w:r>
          </w:p>
          <w:p>
            <w:pPr>
              <w:bidi w:val="0"/>
              <w:ind w:firstLine="480" w:firstLineChars="200"/>
              <w:jc w:val="left"/>
              <w:rPr>
                <w:rFonts w:hint="eastAsia"/>
                <w:color w:val="auto"/>
                <w:u w:val="none" w:color="auto"/>
              </w:rPr>
            </w:pPr>
            <w:r>
              <w:rPr>
                <w:rFonts w:hint="eastAsia"/>
                <w:color w:val="auto"/>
                <w:u w:val="none" w:color="auto"/>
              </w:rPr>
              <w:t>6）乱石清理、碎渣清理</w:t>
            </w:r>
          </w:p>
          <w:p>
            <w:pPr>
              <w:bidi w:val="0"/>
              <w:ind w:firstLine="480" w:firstLineChars="200"/>
              <w:jc w:val="left"/>
              <w:rPr>
                <w:color w:val="auto"/>
                <w:u w:val="none" w:color="auto"/>
              </w:rPr>
            </w:pPr>
            <w:r>
              <w:rPr>
                <w:rFonts w:hint="eastAsia"/>
                <w:color w:val="auto"/>
                <w:u w:val="none" w:color="auto"/>
              </w:rPr>
              <w:t>底板及两侧石砌挡墙等拆除后，组织专门队伍将老闸范围内残余碎石及拆除过程中掉落的碎碴清理干净。</w:t>
            </w:r>
          </w:p>
          <w:p>
            <w:pPr>
              <w:bidi w:val="0"/>
              <w:ind w:firstLine="480" w:firstLineChars="200"/>
              <w:jc w:val="left"/>
              <w:rPr>
                <w:rFonts w:hint="eastAsia"/>
                <w:color w:val="auto"/>
                <w:u w:val="none" w:color="auto"/>
              </w:rPr>
            </w:pPr>
            <w:r>
              <w:rPr>
                <w:rFonts w:hint="eastAsia"/>
                <w:color w:val="auto"/>
                <w:u w:val="none" w:color="auto"/>
              </w:rPr>
              <w:t>本项目采取随拆随运方式。拆下的碎石、砼马上运至建设单位指定堆放地堆弃，可用块石按建设单位要求堆放。</w:t>
            </w:r>
          </w:p>
          <w:p>
            <w:pPr>
              <w:bidi w:val="0"/>
              <w:ind w:firstLine="480" w:firstLineChars="200"/>
              <w:jc w:val="left"/>
              <w:rPr>
                <w:rFonts w:hint="default" w:eastAsia="宋体"/>
                <w:color w:val="auto"/>
                <w:u w:val="none" w:color="auto"/>
                <w:lang w:val="en-US" w:eastAsia="zh-CN"/>
              </w:rPr>
            </w:pPr>
            <w:r>
              <w:rPr>
                <w:rFonts w:hint="eastAsia"/>
                <w:color w:val="auto"/>
                <w:u w:val="none" w:color="auto"/>
                <w:lang w:val="en-US" w:eastAsia="zh-CN"/>
              </w:rPr>
              <w:t>2.7.3混凝土浇筑</w:t>
            </w:r>
          </w:p>
          <w:p>
            <w:pPr>
              <w:bidi w:val="0"/>
              <w:ind w:firstLine="480" w:firstLineChars="200"/>
              <w:jc w:val="left"/>
              <w:rPr>
                <w:rFonts w:hint="eastAsia"/>
                <w:color w:val="auto"/>
                <w:u w:val="none" w:color="auto"/>
              </w:rPr>
            </w:pPr>
            <w:r>
              <w:rPr>
                <w:rFonts w:hint="eastAsia"/>
                <w:color w:val="auto"/>
                <w:u w:val="none" w:color="auto"/>
              </w:rPr>
              <w:t>现浇混凝土主要为闸室底板、闸墩、消力池、工作桥、翼墙、护坡、护坦和启闭机房等处，人工装模和制安钢筋。混凝土采用商品砼，商品砼由搅拌运输车从搅拌站至浇筑现场，并通过砼输送臂架式泵车输送入仓。前期工程砼浇筑：主要有闸室底板、闸墩、下游消力池、护坦及翼墙砼浇筑。将砼直接送入仓面，人工平仓，插入式振捣器振捣密实。个别零星少方量砼浇筑区，采用人工斗车输送砼，人工插入振捣器振捣密实。</w:t>
            </w:r>
          </w:p>
          <w:p>
            <w:pPr>
              <w:bidi w:val="0"/>
              <w:ind w:firstLine="480" w:firstLineChars="200"/>
              <w:jc w:val="left"/>
              <w:rPr>
                <w:rFonts w:hint="eastAsia"/>
                <w:color w:val="auto"/>
                <w:u w:val="none" w:color="auto"/>
              </w:rPr>
            </w:pPr>
            <w:r>
              <w:rPr>
                <w:rFonts w:hint="eastAsia"/>
                <w:color w:val="auto"/>
                <w:u w:val="none" w:color="auto"/>
              </w:rPr>
              <w:t>后期工程砼浇筑：主要有闸室上部结构、工作桥上部结构砼浇筑。闸室上部结构及启闭台砼，由砼输送泵垂直运输直接入仓，人工平仓，插入式振捣器密实。</w:t>
            </w:r>
          </w:p>
          <w:p>
            <w:pPr>
              <w:bidi w:val="0"/>
              <w:ind w:firstLine="480" w:firstLineChars="200"/>
              <w:jc w:val="left"/>
              <w:rPr>
                <w:rFonts w:hint="default"/>
                <w:b w:val="0"/>
                <w:bCs w:val="0"/>
                <w:color w:val="auto"/>
                <w:u w:val="none" w:color="auto"/>
                <w:lang w:val="en-US" w:eastAsia="zh-CN"/>
              </w:rPr>
            </w:pPr>
            <w:r>
              <w:rPr>
                <w:rFonts w:hint="eastAsia"/>
                <w:color w:val="auto"/>
                <w:u w:val="none" w:color="auto"/>
                <w:lang w:val="en-US" w:eastAsia="zh-CN"/>
              </w:rPr>
              <w:t>2.7.4堤防土方填筑施工</w:t>
            </w:r>
          </w:p>
          <w:p>
            <w:pPr>
              <w:bidi w:val="0"/>
              <w:ind w:firstLine="480" w:firstLineChars="200"/>
              <w:jc w:val="left"/>
              <w:rPr>
                <w:rFonts w:hint="eastAsia"/>
                <w:color w:val="auto"/>
                <w:u w:val="none" w:color="auto"/>
              </w:rPr>
            </w:pPr>
            <w:r>
              <w:rPr>
                <w:rFonts w:hint="eastAsia"/>
                <w:b w:val="0"/>
                <w:bCs w:val="0"/>
                <w:color w:val="auto"/>
                <w:u w:val="none" w:color="auto"/>
                <w:lang w:val="en-US" w:eastAsia="zh-CN"/>
              </w:rPr>
              <w:t>为保证新老堤紧密结合，填筑前要将结合面堤坡的草皮、树根、腐殖土以及杂物清除干净，清基厚度 0.3m 并将堤坡开挖成锯齿状。土料填筑需分层进行，层厚 30cm，采用机械从料场挖运土料，机械分层压实。对于清基土方适合回填的土料集中堆放，其余的土料可运至指定位置堆放。</w:t>
            </w:r>
          </w:p>
          <w:p>
            <w:pPr>
              <w:bidi w:val="0"/>
              <w:ind w:firstLine="480" w:firstLineChars="200"/>
              <w:jc w:val="left"/>
              <w:rPr>
                <w:rFonts w:hint="eastAsia"/>
                <w:b w:val="0"/>
                <w:bCs w:val="0"/>
                <w:color w:val="auto"/>
                <w:u w:val="none" w:color="auto"/>
                <w:lang w:val="en-US" w:eastAsia="zh-CN"/>
              </w:rPr>
            </w:pPr>
            <w:r>
              <w:rPr>
                <w:rFonts w:hint="eastAsia"/>
                <w:b w:val="0"/>
                <w:bCs w:val="0"/>
                <w:color w:val="auto"/>
                <w:u w:val="none" w:color="auto"/>
                <w:lang w:val="en-US" w:eastAsia="zh-CN"/>
              </w:rPr>
              <w:t>1）筑堤土料要求</w:t>
            </w:r>
          </w:p>
          <w:p>
            <w:pPr>
              <w:bidi w:val="0"/>
              <w:ind w:firstLine="480" w:firstLineChars="200"/>
              <w:jc w:val="left"/>
              <w:rPr>
                <w:rFonts w:hint="eastAsia"/>
                <w:b w:val="0"/>
                <w:bCs w:val="0"/>
                <w:color w:val="auto"/>
                <w:u w:val="none" w:color="auto"/>
                <w:lang w:val="en-US" w:eastAsia="zh-CN"/>
              </w:rPr>
            </w:pPr>
            <w:r>
              <w:rPr>
                <w:rFonts w:hint="eastAsia"/>
                <w:b w:val="0"/>
                <w:bCs w:val="0"/>
                <w:color w:val="auto"/>
                <w:u w:val="none" w:color="auto"/>
                <w:lang w:val="en-US" w:eastAsia="zh-CN"/>
              </w:rPr>
              <w:t>均质土堤宜选用亚粘土，粘粒含量宜为 15%～30%，塑性指数宜为 10～20，且不得含植物根茎、砖瓦垃圾等杂质；填筑土料含水率与最优含水率的允许偏差为±3%。</w:t>
            </w:r>
          </w:p>
          <w:p>
            <w:pPr>
              <w:bidi w:val="0"/>
              <w:ind w:firstLine="480" w:firstLineChars="200"/>
              <w:jc w:val="left"/>
              <w:rPr>
                <w:rFonts w:hint="eastAsia"/>
                <w:b w:val="0"/>
                <w:bCs w:val="0"/>
                <w:color w:val="auto"/>
                <w:u w:val="none" w:color="auto"/>
                <w:lang w:val="en-US" w:eastAsia="zh-CN"/>
              </w:rPr>
            </w:pPr>
            <w:r>
              <w:rPr>
                <w:rFonts w:hint="eastAsia"/>
                <w:b w:val="0"/>
                <w:bCs w:val="0"/>
                <w:color w:val="auto"/>
                <w:u w:val="none" w:color="auto"/>
                <w:lang w:val="en-US" w:eastAsia="zh-CN"/>
              </w:rPr>
              <w:t>2）填筑作业应符合下列要求</w:t>
            </w:r>
          </w:p>
          <w:p>
            <w:pPr>
              <w:bidi w:val="0"/>
              <w:ind w:firstLine="480" w:firstLineChars="200"/>
              <w:jc w:val="left"/>
              <w:rPr>
                <w:rFonts w:hint="eastAsia"/>
                <w:b w:val="0"/>
                <w:bCs w:val="0"/>
                <w:color w:val="auto"/>
                <w:u w:val="none" w:color="auto"/>
                <w:lang w:val="en-US" w:eastAsia="zh-CN"/>
              </w:rPr>
            </w:pPr>
            <w:r>
              <w:rPr>
                <w:rFonts w:hint="eastAsia"/>
                <w:b w:val="0"/>
                <w:bCs w:val="0"/>
                <w:color w:val="auto"/>
                <w:u w:val="none" w:color="auto"/>
                <w:lang w:val="en-US" w:eastAsia="zh-CN"/>
              </w:rPr>
              <w:t>（1）大堤堤身填筑时应按水平分层从低处开始逐层填筑，不得顺坡铺填。分层作业面的最小长度不得小于 100m。作业面应分层统一铺土，统一碾压，严禁出现界沟；</w:t>
            </w:r>
          </w:p>
          <w:p>
            <w:pPr>
              <w:bidi w:val="0"/>
              <w:ind w:firstLine="480" w:firstLineChars="200"/>
              <w:jc w:val="left"/>
              <w:rPr>
                <w:rFonts w:hint="eastAsia"/>
                <w:b w:val="0"/>
                <w:bCs w:val="0"/>
                <w:color w:val="auto"/>
                <w:u w:val="none" w:color="auto"/>
                <w:lang w:val="en-US" w:eastAsia="zh-CN"/>
              </w:rPr>
            </w:pPr>
            <w:r>
              <w:rPr>
                <w:rFonts w:hint="eastAsia"/>
                <w:b w:val="0"/>
                <w:bCs w:val="0"/>
                <w:color w:val="auto"/>
                <w:u w:val="none" w:color="auto"/>
                <w:lang w:val="en-US" w:eastAsia="zh-CN"/>
              </w:rPr>
              <w:t>（2）相邻施工段的作业面宜均衡上升，若段与段之间不可避免出现高差时，应以 1：3～1：5 的斜坡面相接。</w:t>
            </w:r>
          </w:p>
          <w:p>
            <w:pPr>
              <w:bidi w:val="0"/>
              <w:ind w:firstLine="480" w:firstLineChars="200"/>
              <w:jc w:val="left"/>
              <w:rPr>
                <w:rFonts w:hint="eastAsia"/>
                <w:b w:val="0"/>
                <w:bCs w:val="0"/>
                <w:color w:val="auto"/>
                <w:u w:val="none" w:color="auto"/>
                <w:lang w:val="en-US" w:eastAsia="zh-CN"/>
              </w:rPr>
            </w:pPr>
            <w:r>
              <w:rPr>
                <w:rFonts w:hint="eastAsia"/>
                <w:b w:val="0"/>
                <w:bCs w:val="0"/>
                <w:color w:val="auto"/>
                <w:u w:val="none" w:color="auto"/>
                <w:lang w:val="en-US" w:eastAsia="zh-CN"/>
              </w:rPr>
              <w:t>3）铺料作业应符合下列要求</w:t>
            </w:r>
          </w:p>
          <w:p>
            <w:pPr>
              <w:bidi w:val="0"/>
              <w:ind w:firstLine="480" w:firstLineChars="200"/>
              <w:jc w:val="left"/>
              <w:rPr>
                <w:rFonts w:hint="eastAsia"/>
                <w:color w:val="auto"/>
                <w:u w:val="none" w:color="auto"/>
              </w:rPr>
            </w:pPr>
            <w:r>
              <w:rPr>
                <w:rFonts w:hint="eastAsia"/>
                <w:b w:val="0"/>
                <w:bCs w:val="0"/>
                <w:color w:val="auto"/>
                <w:u w:val="none" w:color="auto"/>
                <w:lang w:val="en-US" w:eastAsia="zh-CN"/>
              </w:rPr>
              <w:t>（1）应按设计要求将土料铺至规定部位，严禁将砂（砾）料或其他透水材料与粘性土料混杂，填筑土料中的杂质应予清除；</w:t>
            </w:r>
            <w:r>
              <w:rPr>
                <w:rFonts w:hint="eastAsia"/>
                <w:color w:val="auto"/>
                <w:u w:val="none" w:color="auto"/>
              </w:rPr>
              <w:t>。</w:t>
            </w:r>
          </w:p>
          <w:p>
            <w:pPr>
              <w:bidi w:val="0"/>
              <w:ind w:firstLine="480" w:firstLineChars="200"/>
              <w:jc w:val="left"/>
              <w:rPr>
                <w:rFonts w:hint="eastAsia"/>
                <w:color w:val="auto"/>
                <w:u w:val="none" w:color="auto"/>
                <w:lang w:val="en-US" w:eastAsia="zh-CN"/>
              </w:rPr>
            </w:pPr>
            <w:r>
              <w:rPr>
                <w:rFonts w:hint="eastAsia"/>
                <w:color w:val="auto"/>
                <w:u w:val="none" w:color="auto"/>
                <w:lang w:val="en-US" w:eastAsia="zh-CN"/>
              </w:rPr>
              <w:t>（2）采用轻中型机械碾压时，一次铺料厚度为 30cm，土块直径不应大于 10cm。</w:t>
            </w:r>
          </w:p>
          <w:p>
            <w:pPr>
              <w:bidi w:val="0"/>
              <w:ind w:firstLine="480" w:firstLineChars="200"/>
              <w:jc w:val="left"/>
              <w:rPr>
                <w:rFonts w:hint="eastAsia"/>
                <w:color w:val="auto"/>
                <w:u w:val="none" w:color="auto"/>
                <w:lang w:val="en-US" w:eastAsia="zh-CN"/>
              </w:rPr>
            </w:pPr>
            <w:r>
              <w:rPr>
                <w:rFonts w:hint="eastAsia"/>
                <w:color w:val="auto"/>
                <w:u w:val="none" w:color="auto"/>
                <w:lang w:val="en-US" w:eastAsia="zh-CN"/>
              </w:rPr>
              <w:t>4）压实作业应符合下列要求：</w:t>
            </w:r>
          </w:p>
          <w:p>
            <w:pPr>
              <w:bidi w:val="0"/>
              <w:ind w:firstLine="480" w:firstLineChars="200"/>
              <w:jc w:val="left"/>
              <w:rPr>
                <w:rFonts w:hint="eastAsia"/>
                <w:color w:val="auto"/>
                <w:u w:val="none" w:color="auto"/>
                <w:lang w:val="en-US" w:eastAsia="zh-CN"/>
              </w:rPr>
            </w:pPr>
            <w:r>
              <w:rPr>
                <w:rFonts w:hint="eastAsia"/>
                <w:color w:val="auto"/>
                <w:u w:val="none" w:color="auto"/>
                <w:lang w:val="en-US" w:eastAsia="zh-CN"/>
              </w:rPr>
              <w:t>上下层的分段接缝位置应错开；</w:t>
            </w:r>
          </w:p>
          <w:p>
            <w:pPr>
              <w:bidi w:val="0"/>
              <w:ind w:firstLine="480" w:firstLineChars="200"/>
              <w:jc w:val="left"/>
              <w:rPr>
                <w:rFonts w:hint="eastAsia"/>
                <w:color w:val="auto"/>
                <w:u w:val="none" w:color="auto"/>
                <w:lang w:val="en-US" w:eastAsia="zh-CN"/>
              </w:rPr>
            </w:pPr>
            <w:r>
              <w:rPr>
                <w:rFonts w:hint="eastAsia"/>
                <w:color w:val="auto"/>
                <w:u w:val="none" w:color="auto"/>
                <w:lang w:val="en-US" w:eastAsia="zh-CN"/>
              </w:rPr>
              <w:t>5）碾压施工应符合下列要求：</w:t>
            </w:r>
          </w:p>
          <w:p>
            <w:pPr>
              <w:bidi w:val="0"/>
              <w:ind w:firstLine="480" w:firstLineChars="200"/>
              <w:jc w:val="left"/>
              <w:rPr>
                <w:rFonts w:hint="eastAsia"/>
                <w:color w:val="auto"/>
                <w:u w:val="none" w:color="auto"/>
                <w:lang w:val="en-US" w:eastAsia="zh-CN"/>
              </w:rPr>
            </w:pPr>
            <w:r>
              <w:rPr>
                <w:rFonts w:hint="eastAsia"/>
                <w:color w:val="auto"/>
                <w:u w:val="none" w:color="auto"/>
                <w:lang w:val="en-US" w:eastAsia="zh-CN"/>
              </w:rPr>
              <w:t>（1）碾压机械行走方向应平行于堤轴线；</w:t>
            </w:r>
          </w:p>
          <w:p>
            <w:pPr>
              <w:bidi w:val="0"/>
              <w:ind w:firstLine="480" w:firstLineChars="200"/>
              <w:jc w:val="left"/>
              <w:rPr>
                <w:rFonts w:hint="eastAsia"/>
                <w:color w:val="auto"/>
                <w:u w:val="none" w:color="auto"/>
                <w:lang w:val="en-US" w:eastAsia="zh-CN"/>
              </w:rPr>
            </w:pPr>
            <w:r>
              <w:rPr>
                <w:rFonts w:hint="eastAsia"/>
                <w:color w:val="auto"/>
                <w:u w:val="none" w:color="auto"/>
                <w:lang w:val="en-US" w:eastAsia="zh-CN"/>
              </w:rPr>
              <w:t>（2）分段、分片碾压，相邻作业面的搭接碾压宽度，平行堤轴线方向不应小于 0.5m，垂直堤轴线方向不应小于 3m；</w:t>
            </w:r>
          </w:p>
          <w:p>
            <w:pPr>
              <w:bidi w:val="0"/>
              <w:ind w:firstLine="480" w:firstLineChars="200"/>
              <w:jc w:val="left"/>
              <w:rPr>
                <w:rFonts w:hint="eastAsia"/>
                <w:color w:val="auto"/>
                <w:u w:val="none" w:color="auto"/>
                <w:lang w:val="en-US" w:eastAsia="zh-CN"/>
              </w:rPr>
            </w:pPr>
            <w:r>
              <w:rPr>
                <w:rFonts w:hint="eastAsia"/>
                <w:color w:val="auto"/>
                <w:u w:val="none" w:color="auto"/>
                <w:lang w:val="en-US" w:eastAsia="zh-CN"/>
              </w:rPr>
              <w:t>（3）机械碾压应控制行车速度，以不超过下列规定为宜：平碾为 2km/h，振动碾为 2km/h，铲运机为 2 档；</w:t>
            </w:r>
          </w:p>
          <w:p>
            <w:pPr>
              <w:bidi w:val="0"/>
              <w:ind w:firstLine="480" w:firstLineChars="200"/>
              <w:jc w:val="left"/>
              <w:rPr>
                <w:rFonts w:hint="eastAsia"/>
                <w:color w:val="auto"/>
                <w:u w:val="none" w:color="auto"/>
                <w:lang w:val="en-US" w:eastAsia="zh-CN"/>
              </w:rPr>
            </w:pPr>
            <w:r>
              <w:rPr>
                <w:rFonts w:hint="eastAsia"/>
                <w:color w:val="auto"/>
                <w:u w:val="none" w:color="auto"/>
                <w:lang w:val="en-US" w:eastAsia="zh-CN"/>
              </w:rPr>
              <w:t>（4）机械碾压不到位的部位，应辅以夯具夯实。</w:t>
            </w:r>
          </w:p>
          <w:p>
            <w:pPr>
              <w:bidi w:val="0"/>
              <w:ind w:firstLine="480" w:firstLineChars="200"/>
              <w:jc w:val="left"/>
              <w:rPr>
                <w:rFonts w:hint="eastAsia"/>
                <w:color w:val="auto"/>
                <w:u w:val="none" w:color="auto"/>
              </w:rPr>
            </w:pPr>
            <w:r>
              <w:rPr>
                <w:rFonts w:hint="eastAsia"/>
                <w:color w:val="auto"/>
                <w:u w:val="none" w:color="auto"/>
                <w:lang w:val="en-US" w:eastAsia="zh-CN"/>
              </w:rPr>
              <w:t>5）填筑标准应符合下列要求（必须同时满足）：大堤填筑标准按压实度确定，压实度应不小于 0.93。</w:t>
            </w:r>
          </w:p>
          <w:p>
            <w:pPr>
              <w:bidi w:val="0"/>
              <w:ind w:firstLine="480" w:firstLineChars="200"/>
              <w:jc w:val="left"/>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2.7.5砂卵石垫层铺设</w:t>
            </w:r>
          </w:p>
          <w:p>
            <w:pPr>
              <w:bidi w:val="0"/>
              <w:ind w:firstLine="480" w:firstLineChars="200"/>
              <w:jc w:val="left"/>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砂石垫层铺设所需砂砾石料采用 8t 自卸汽车运至工地，手推胶轮车运至施工作业面进行铺设施工，铺设材料粒径要求搭配均匀并充填密实，人工采用简易工具平整夯实。</w:t>
            </w:r>
          </w:p>
          <w:p>
            <w:pPr>
              <w:bidi w:val="0"/>
              <w:ind w:firstLine="480" w:firstLineChars="200"/>
              <w:outlineLvl w:val="9"/>
              <w:rPr>
                <w:rFonts w:hint="default"/>
                <w:color w:val="auto"/>
                <w:u w:val="none" w:color="auto"/>
                <w:lang w:val="en-US" w:eastAsia="zh-CN"/>
              </w:rPr>
            </w:pPr>
            <w:r>
              <w:rPr>
                <w:rFonts w:hint="eastAsia"/>
                <w:color w:val="auto"/>
                <w:u w:val="none" w:color="auto"/>
                <w:lang w:val="en-US" w:eastAsia="zh-CN"/>
              </w:rPr>
              <w:t>2.7.6浆砌石和干砌石砌筑</w:t>
            </w:r>
          </w:p>
          <w:p>
            <w:pPr>
              <w:bidi w:val="0"/>
              <w:ind w:firstLine="480" w:firstLineChars="200"/>
              <w:outlineLvl w:val="9"/>
              <w:rPr>
                <w:rFonts w:hint="eastAsia"/>
                <w:color w:val="auto"/>
                <w:u w:val="none" w:color="auto"/>
                <w:lang w:val="en-US" w:eastAsia="zh-CN"/>
              </w:rPr>
            </w:pPr>
            <w:r>
              <w:rPr>
                <w:rFonts w:hint="eastAsia"/>
                <w:color w:val="auto"/>
                <w:u w:val="none" w:color="auto"/>
                <w:lang w:val="en-US" w:eastAsia="zh-CN"/>
              </w:rPr>
              <w:t>浆砌石和干砌石主要为海漫和两岸护坡。块石部分利用砌石拆除料，不足部分由石料场购买，砌筑砂浆 0.2m³移动式拌和机拌制，双胶轮车水平运输至砌筑仓面，人工砌筑，表面用水泥砂浆勾缝。</w:t>
            </w:r>
          </w:p>
          <w:p>
            <w:pPr>
              <w:bidi w:val="0"/>
              <w:ind w:firstLine="480" w:firstLineChars="200"/>
              <w:outlineLvl w:val="9"/>
              <w:rPr>
                <w:rFonts w:hint="eastAsia"/>
                <w:color w:val="auto"/>
                <w:u w:val="none" w:color="auto"/>
                <w:lang w:val="en-US" w:eastAsia="zh-CN"/>
              </w:rPr>
            </w:pPr>
            <w:r>
              <w:rPr>
                <w:rFonts w:hint="eastAsia"/>
                <w:color w:val="auto"/>
                <w:u w:val="none" w:color="auto"/>
                <w:lang w:val="en-US" w:eastAsia="zh-CN"/>
              </w:rPr>
              <w:t>浆砌石施工，采用座浆法分层砌筑，砌筑前应在砌体外将石料上的泥垢冲洗干净，砌筑时保持砌石表面湿润，铺浆厚宜 3cm-5cm，随铺浆随砌石，砌缝需用砂浆填充饱满，不得无浆直接贴靠，砌缝内砂浆应采用扁铁插捣密实；严禁先堆砌石块再用砂浆灌缝；上下层砌石应错缝砌筑；砌体外露面应平整美观，外露面上的砌缝应预留约 4cm 深的空隙，以备勾缝处理；水平缝宽不大于 2.5cm，竖缝宽应不大于 4cm；砌筑因故停顿，砂浆已超过初凝时间，应待砂浆强度达到 2.5Mpa 后才可以继续施工；在继续砌筑前，应将原砌体表面的浮渣清除；砌筑时应避免震动下层砌体；勾缝前必须清缝，用水冲净并保持缝槽内湿润，砂浆应分次向缝内填塞密实；勾缝砂浆标号要高</w:t>
            </w:r>
          </w:p>
          <w:p>
            <w:pPr>
              <w:bidi w:val="0"/>
              <w:ind w:firstLine="480" w:firstLineChars="200"/>
              <w:outlineLvl w:val="9"/>
              <w:rPr>
                <w:rFonts w:hint="eastAsia"/>
                <w:color w:val="auto"/>
                <w:u w:val="none" w:color="auto"/>
                <w:lang w:val="en-US" w:eastAsia="zh-CN"/>
              </w:rPr>
            </w:pPr>
            <w:r>
              <w:rPr>
                <w:rFonts w:hint="eastAsia"/>
                <w:color w:val="auto"/>
                <w:u w:val="none" w:color="auto"/>
                <w:lang w:val="en-US" w:eastAsia="zh-CN"/>
              </w:rPr>
              <w:t>于砌体砂浆；应按实有砌缝勾平缝，严禁勾假缝、凸缝；砌筑完毕后应保持砌体表面湿润做好养护。本工程采用水泥砂浆标号为 M10，由 0.2m³移动式砂浆搅拌机拌制，随拌随用。砂料宜用中细砂，水泥宜用 425 普通硅酸盐水泥。石块的形状要大致整齐，边尖应敲去，块重以 30～50kg 为宜，岩石要求新鲜坚硬，抗风化能力强，不得夹带泥土污物，采用 M100 砂浆勾缝。块石及砂卵石用 8T 自卸汽车运输至施工地点，人工抬运至施工仓面。</w:t>
            </w:r>
          </w:p>
          <w:p>
            <w:pPr>
              <w:bidi w:val="0"/>
              <w:ind w:firstLine="480" w:firstLineChars="200"/>
              <w:outlineLvl w:val="9"/>
              <w:rPr>
                <w:rFonts w:hint="eastAsia"/>
                <w:color w:val="auto"/>
                <w:u w:val="none" w:color="auto"/>
              </w:rPr>
            </w:pPr>
            <w:r>
              <w:rPr>
                <w:rFonts w:hint="eastAsia"/>
                <w:color w:val="auto"/>
                <w:u w:val="none" w:color="auto"/>
              </w:rPr>
              <w:t>干砌石施工工艺流程为：砌筑基面找平→大块石选料→安放石料→干砌施工。干砌块石施工时应错缝竖砌，锯齿形衔接施工，护面平整，砌石紧密，不允许有外插石，不通缝。砌筑前，应在坡面上设置纵向和横向砌体坡面线，以保证砌体厚度和表面平整度符合设计要求。</w:t>
            </w:r>
          </w:p>
          <w:p>
            <w:pPr>
              <w:bidi w:val="0"/>
              <w:ind w:firstLine="480" w:firstLineChars="200"/>
              <w:outlineLvl w:val="9"/>
              <w:rPr>
                <w:rFonts w:hint="eastAsia"/>
                <w:color w:val="auto"/>
                <w:u w:val="none" w:color="auto"/>
              </w:rPr>
            </w:pPr>
            <w:r>
              <w:rPr>
                <w:rFonts w:hint="eastAsia"/>
                <w:color w:val="auto"/>
                <w:u w:val="none" w:color="auto"/>
              </w:rPr>
              <w:t>面石砌筑禁止使用小块石，不得有通缝、对缝、浮石、空洞。不得出现缝宽在 2.0cm 以上、长度在 50cm 以上的连续缝。砌筑块石边角应经敲打修整使之与已砌块石面基本吻合后才能使用，块石砌体的缝口应挤靠紧密，上下错缝，底部应垫稳填实，严禁架空。不得使用刀口石（一边薄一边厚未经修整的石料）。不得叠砌和浮塞，石料最小边厚度不小于 25cm。砌体的块石间较大空隙应用合适的石块嵌实，不得随便倒入碎石或留着空洞不处理。</w:t>
            </w:r>
          </w:p>
          <w:p>
            <w:pPr>
              <w:bidi w:val="0"/>
              <w:ind w:firstLine="480" w:firstLineChars="200"/>
              <w:outlineLvl w:val="9"/>
              <w:rPr>
                <w:rFonts w:hint="default" w:eastAsia="宋体"/>
                <w:color w:val="auto"/>
                <w:u w:val="none" w:color="auto"/>
                <w:lang w:val="en-US" w:eastAsia="zh-CN"/>
              </w:rPr>
            </w:pPr>
            <w:r>
              <w:rPr>
                <w:rFonts w:hint="eastAsia"/>
                <w:color w:val="auto"/>
                <w:u w:val="none" w:color="auto"/>
                <w:lang w:val="en-US" w:eastAsia="zh-CN"/>
              </w:rPr>
              <w:t>2.7.7帷幕灌浆</w:t>
            </w:r>
          </w:p>
          <w:p>
            <w:pPr>
              <w:bidi w:val="0"/>
              <w:ind w:firstLine="480" w:firstLineChars="200"/>
              <w:outlineLvl w:val="9"/>
              <w:rPr>
                <w:rFonts w:hint="eastAsia"/>
                <w:color w:val="auto"/>
                <w:u w:val="none" w:color="auto"/>
              </w:rPr>
            </w:pPr>
            <w:r>
              <w:rPr>
                <w:rFonts w:hint="eastAsia"/>
                <w:color w:val="auto"/>
                <w:u w:val="none" w:color="auto"/>
              </w:rPr>
              <w:t>帷幕灌浆时应注意灌浆孔在灌浆前应进行孔壁冲洗与裂隙冲洗以提高灌浆效果。防渗灌浆孔裂隙冲洗，可根据不同地质条件选用压水冲洗，冲洗压力不宜大于本段灌浆压力的 80%。灌浆钻孔的压水试验，在冲洗结束后进行，先导孔必须逐段做压力试验，压段长度一般按 5m 为一压段，特殊段视其具体情况确定。压水试验总压力值为 0.4MPa。压水试验吸水量的稳定标准，严格按照部颁《水工建筑物水泥灌浆施工技术规范》SL62－94 有关规定执行。</w:t>
            </w:r>
          </w:p>
          <w:p>
            <w:pPr>
              <w:bidi w:val="0"/>
              <w:ind w:firstLine="480" w:firstLineChars="200"/>
              <w:outlineLvl w:val="9"/>
              <w:rPr>
                <w:rFonts w:hint="eastAsia"/>
                <w:color w:val="auto"/>
                <w:u w:val="none" w:color="auto"/>
              </w:rPr>
            </w:pPr>
            <w:r>
              <w:rPr>
                <w:rFonts w:hint="eastAsia"/>
                <w:color w:val="auto"/>
                <w:u w:val="none" w:color="auto"/>
              </w:rPr>
              <w:t>灌浆质量应以检查孔压水试验成果为主，结合分析各原孔的透水率与单位水泥注入量成果，灌浆前后成果对比进行综合评定。检查孔位确定，由于设计、监理、施工单位现场确定。</w:t>
            </w:r>
          </w:p>
          <w:p>
            <w:pPr>
              <w:bidi w:val="0"/>
              <w:ind w:firstLine="480" w:firstLineChars="200"/>
              <w:outlineLvl w:val="9"/>
              <w:rPr>
                <w:rFonts w:hint="eastAsia"/>
                <w:color w:val="auto"/>
                <w:u w:val="none" w:color="auto"/>
              </w:rPr>
            </w:pPr>
            <w:r>
              <w:rPr>
                <w:rFonts w:hint="eastAsia"/>
                <w:color w:val="auto"/>
                <w:u w:val="none" w:color="auto"/>
              </w:rPr>
              <w:t>检查孔压水试验应该部位灌浆结束后 14 天进行。取样孔应在 28 天后进行。检查孔应自上而下分段按单点法进行压水试验，压水试验段长不大于5m，压力采用 0.4MPa，压水试验时必须严格按照 SL25－92 规范进行。检查孔岩心获取率应大于 85%，并应进行岩芯素描。灌浆质量的压水试验检查，坝体与基岩接触面及其以下一段压水试验合格率应为 100%，其余段合格率应在 90%以上。不合格段的透水率值不超过设计规定值的 100%，且不集中，灌浆质量可认为合格，否则应商定处理方案。灌浆质量检查主要以检查孔压水试验来进行检查，检查孔的数量一般按灌浆孔总数 10%左右控制，质量检查应在该部位灌浆结束后 14 天进行。</w:t>
            </w:r>
          </w:p>
          <w:p>
            <w:pPr>
              <w:bidi w:val="0"/>
              <w:ind w:firstLine="480" w:firstLineChars="200"/>
              <w:outlineLvl w:val="9"/>
              <w:rPr>
                <w:rFonts w:hint="default" w:eastAsia="宋体"/>
                <w:color w:val="auto"/>
                <w:u w:val="none" w:color="auto"/>
                <w:lang w:val="en-US" w:eastAsia="zh-CN"/>
              </w:rPr>
            </w:pPr>
            <w:r>
              <w:rPr>
                <w:rFonts w:hint="eastAsia"/>
                <w:color w:val="auto"/>
                <w:u w:val="none" w:color="auto"/>
                <w:lang w:val="en-US" w:eastAsia="zh-CN"/>
              </w:rPr>
              <w:t>2.7.8机电设备及金属结构制作安装</w:t>
            </w:r>
          </w:p>
          <w:p>
            <w:pPr>
              <w:bidi w:val="0"/>
              <w:ind w:firstLine="480" w:firstLineChars="200"/>
              <w:outlineLvl w:val="9"/>
              <w:rPr>
                <w:rFonts w:hint="eastAsia"/>
                <w:color w:val="auto"/>
                <w:u w:val="none" w:color="auto"/>
              </w:rPr>
            </w:pPr>
            <w:r>
              <w:rPr>
                <w:rFonts w:hint="eastAsia"/>
                <w:color w:val="auto"/>
                <w:u w:val="none" w:color="auto"/>
              </w:rPr>
              <w:t>本工程机电设备安装主要为低堰平板门泄洪闸启闭机、灌溉闸启闭机安装等；金属结构制作及安装主要包括平板闸门、灌溉闸进水口闸门、检修闸门和其它金属结构等。</w:t>
            </w:r>
          </w:p>
          <w:p>
            <w:pPr>
              <w:bidi w:val="0"/>
              <w:ind w:firstLine="480" w:firstLineChars="200"/>
              <w:outlineLvl w:val="9"/>
              <w:rPr>
                <w:rFonts w:hint="eastAsia"/>
                <w:color w:val="auto"/>
                <w:u w:val="none" w:color="auto"/>
              </w:rPr>
            </w:pPr>
            <w:r>
              <w:rPr>
                <w:rFonts w:hint="eastAsia"/>
                <w:color w:val="auto"/>
                <w:u w:val="none" w:color="auto"/>
              </w:rPr>
              <w:t>本工程金属结构安装工程量较少，单件重量不大，外形尺寸最大的为闸门，不存在运输上的困难。闸门门叶及附件均在工地加工，钢材则在固定加工厂按需加工成品后用汽车运送至工地。</w:t>
            </w:r>
          </w:p>
          <w:p>
            <w:pPr>
              <w:bidi w:val="0"/>
              <w:ind w:firstLine="480" w:firstLineChars="200"/>
              <w:outlineLvl w:val="9"/>
              <w:rPr>
                <w:rFonts w:hint="eastAsia"/>
                <w:color w:val="auto"/>
                <w:u w:val="none" w:color="auto"/>
              </w:rPr>
            </w:pPr>
            <w:r>
              <w:rPr>
                <w:rFonts w:hint="eastAsia"/>
                <w:color w:val="auto"/>
                <w:u w:val="none" w:color="auto"/>
              </w:rPr>
              <w:t>安装闸门启闭机时可采用汽车式起重机吊装，钢筋安装选派熟练的钢筋工即可。施工时需配备电焊机、千斤顶等机具。</w:t>
            </w:r>
          </w:p>
          <w:p>
            <w:pPr>
              <w:bidi w:val="0"/>
              <w:outlineLvl w:val="9"/>
              <w:rPr>
                <w:rFonts w:hint="default" w:cs="Times New Roman"/>
                <w:b/>
                <w:bCs/>
                <w:color w:val="auto"/>
                <w:sz w:val="24"/>
                <w:szCs w:val="32"/>
                <w:u w:val="none" w:color="auto"/>
                <w:lang w:val="en-US" w:eastAsia="zh-CN"/>
              </w:rPr>
            </w:pPr>
            <w:r>
              <w:rPr>
                <w:rFonts w:hint="eastAsia" w:cs="Times New Roman"/>
                <w:b/>
                <w:bCs/>
                <w:color w:val="auto"/>
                <w:sz w:val="24"/>
                <w:szCs w:val="32"/>
                <w:u w:val="none" w:color="auto"/>
                <w:lang w:val="en-US" w:eastAsia="zh-CN"/>
              </w:rPr>
              <w:t>2.8导流方式与导流建筑物</w:t>
            </w:r>
          </w:p>
          <w:p>
            <w:pPr>
              <w:bidi w:val="0"/>
              <w:ind w:firstLine="480" w:firstLineChars="200"/>
              <w:outlineLvl w:val="9"/>
              <w:rPr>
                <w:rFonts w:hint="default" w:cs="Times New Roman"/>
                <w:b w:val="0"/>
                <w:bCs w:val="0"/>
                <w:color w:val="auto"/>
                <w:u w:val="none" w:color="auto"/>
                <w:lang w:val="en-US" w:eastAsia="zh-CN"/>
              </w:rPr>
            </w:pPr>
            <w:r>
              <w:rPr>
                <w:rFonts w:hint="eastAsia" w:cs="Times New Roman"/>
                <w:b w:val="0"/>
                <w:bCs w:val="0"/>
                <w:color w:val="auto"/>
                <w:u w:val="none" w:color="auto"/>
                <w:lang w:val="en-US" w:eastAsia="zh-CN"/>
              </w:rPr>
              <w:t>（1）导流方式</w:t>
            </w:r>
          </w:p>
          <w:p>
            <w:pPr>
              <w:bidi w:val="0"/>
              <w:ind w:firstLine="480" w:firstLineChars="200"/>
              <w:outlineLvl w:val="9"/>
              <w:rPr>
                <w:rFonts w:hint="eastAsia"/>
                <w:color w:val="auto"/>
                <w:u w:val="none" w:color="auto"/>
              </w:rPr>
            </w:pPr>
            <w:r>
              <w:rPr>
                <w:rFonts w:hint="eastAsia"/>
                <w:color w:val="auto"/>
                <w:u w:val="none" w:color="auto"/>
              </w:rPr>
              <w:t>本项目采用一次拦断河床围堰并在利用现有导流明渠的导流方式。施工期内完成左岸闸基帷幕灌浆、泄洪闸、灌溉取水闸、左岸排水低涵及溢流坝、上游铺盖、消力池、海漫、防冲槽及翼墙工程，疏挖右岸河道进行导流，导流时段为 10～次年 3 月，相应导流流量为 Q=117m³/s；上下游堤防加高、培厚、护岸、护坡工程与水闸施工同步进行。</w:t>
            </w:r>
          </w:p>
          <w:p>
            <w:pPr>
              <w:bidi w:val="0"/>
              <w:ind w:firstLine="480" w:firstLineChars="200"/>
              <w:outlineLvl w:val="9"/>
              <w:rPr>
                <w:rFonts w:hint="eastAsia" w:cs="Times New Roman"/>
                <w:color w:val="auto"/>
                <w:u w:val="none" w:color="auto"/>
                <w:lang w:val="en-US" w:eastAsia="zh-CN"/>
              </w:rPr>
            </w:pPr>
            <w:r>
              <w:rPr>
                <w:rFonts w:hint="eastAsia"/>
                <w:color w:val="auto"/>
                <w:u w:val="none" w:color="auto"/>
              </w:rPr>
              <w:t>利用原船闸右边墩和新建一段长 66m 砼围堰作为纵向围堰；利用现有导流明渠，导流设计流量为 Q=117m³/s。</w:t>
            </w:r>
          </w:p>
          <w:p>
            <w:pPr>
              <w:bidi w:val="0"/>
              <w:ind w:firstLine="480" w:firstLineChars="200"/>
              <w:outlineLvl w:val="9"/>
              <w:rPr>
                <w:rFonts w:hint="default" w:cs="Times New Roman"/>
                <w:b w:val="0"/>
                <w:bCs w:val="0"/>
                <w:color w:val="auto"/>
                <w:sz w:val="24"/>
                <w:szCs w:val="32"/>
                <w:u w:val="none" w:color="auto"/>
                <w:lang w:val="en-US" w:eastAsia="zh-CN"/>
              </w:rPr>
            </w:pPr>
            <w:r>
              <w:rPr>
                <w:rFonts w:hint="eastAsia" w:cs="Times New Roman"/>
                <w:b w:val="0"/>
                <w:bCs w:val="0"/>
                <w:color w:val="auto"/>
                <w:sz w:val="24"/>
                <w:szCs w:val="32"/>
                <w:u w:val="none" w:color="auto"/>
                <w:lang w:val="en-US" w:eastAsia="zh-CN"/>
              </w:rPr>
              <w:t>（2）围堰设计</w:t>
            </w:r>
          </w:p>
          <w:p>
            <w:pPr>
              <w:bidi w:val="0"/>
              <w:ind w:firstLine="480" w:firstLineChars="200"/>
              <w:outlineLvl w:val="9"/>
              <w:rPr>
                <w:rFonts w:hint="eastAsia"/>
                <w:color w:val="auto"/>
                <w:u w:val="none" w:color="auto"/>
              </w:rPr>
            </w:pPr>
            <w:r>
              <w:rPr>
                <w:rFonts w:hint="eastAsia"/>
                <w:color w:val="auto"/>
                <w:u w:val="none" w:color="auto"/>
              </w:rPr>
              <w:t>横向围堰均采用土石不过水围堰，由于基础为砂卵石基础，属强透水层，围堰均采用粘土心墙围堰，利用子围堰排水，基础按坡比 1:1.5 开挖砂卵石并回填透水率符合要求的粘性土，结合心墙进行防渗，迎水面采用抛填 0.4m厚块石护坡，护至施工期设计水位。围堰顶宽 4.0m，顶高为施工期设计水位以上 1.0m，本次设计上游横向围堰长 59m，下游横向围堰长 78m。</w:t>
            </w:r>
          </w:p>
          <w:p>
            <w:pPr>
              <w:bidi w:val="0"/>
              <w:ind w:firstLine="480" w:firstLineChars="200"/>
              <w:outlineLvl w:val="9"/>
              <w:rPr>
                <w:rFonts w:hint="eastAsia"/>
                <w:color w:val="auto"/>
                <w:u w:val="none" w:color="auto"/>
              </w:rPr>
            </w:pPr>
            <w:r>
              <w:rPr>
                <w:rFonts w:hint="eastAsia"/>
                <w:color w:val="auto"/>
                <w:u w:val="none" w:color="auto"/>
              </w:rPr>
              <w:t>上、下游护坡、护岸工程施工与水闸施工同步进行，护岸围堰均采用土石不过水粘土心墙围堰，基础按坡比 1:1.5 开挖砂卵石并回填透水率符合要求的粘性土，结合心墙进行防渗，迎水面采用抛填 0.4m 厚块石护坡，护至44.20m。围堰顶宽 3.0m，顶高为 44.20m。迎水坡坡比为 1:2.0、背水坡坡比均为 1:1.5。</w:t>
            </w:r>
          </w:p>
          <w:p>
            <w:pPr>
              <w:bidi w:val="0"/>
              <w:ind w:firstLine="480" w:firstLineChars="200"/>
              <w:outlineLvl w:val="9"/>
              <w:rPr>
                <w:rFonts w:hint="eastAsia" w:cs="Times New Roman"/>
                <w:b w:val="0"/>
                <w:bCs w:val="0"/>
                <w:color w:val="auto"/>
                <w:sz w:val="24"/>
                <w:szCs w:val="32"/>
                <w:u w:val="none" w:color="auto"/>
                <w:lang w:val="en-US" w:eastAsia="zh-CN"/>
              </w:rPr>
            </w:pPr>
            <w:r>
              <w:rPr>
                <w:rFonts w:hint="eastAsia"/>
                <w:color w:val="auto"/>
                <w:u w:val="none" w:color="auto"/>
              </w:rPr>
              <w:t>纵向围堰顺河流方向布置，上游利用原船闸右侧边墩和新建一段长 66m砼围堰，下游横向围堰与纵向围堰成 104 度夹角，接至左岸岸坡，围堰总长约 269.5m。</w:t>
            </w:r>
          </w:p>
          <w:p>
            <w:pPr>
              <w:bidi w:val="0"/>
              <w:ind w:firstLine="480" w:firstLineChars="200"/>
              <w:outlineLvl w:val="9"/>
              <w:rPr>
                <w:rFonts w:hint="default" w:cs="Times New Roman"/>
                <w:b w:val="0"/>
                <w:bCs w:val="0"/>
                <w:color w:val="auto"/>
                <w:sz w:val="24"/>
                <w:szCs w:val="32"/>
                <w:u w:val="none" w:color="auto"/>
                <w:lang w:val="en-US" w:eastAsia="zh-CN"/>
              </w:rPr>
            </w:pPr>
            <w:r>
              <w:rPr>
                <w:rFonts w:hint="eastAsia" w:cs="Times New Roman"/>
                <w:b w:val="0"/>
                <w:bCs w:val="0"/>
                <w:color w:val="auto"/>
                <w:sz w:val="24"/>
                <w:szCs w:val="32"/>
                <w:u w:val="none" w:color="auto"/>
                <w:lang w:val="en-US" w:eastAsia="zh-CN"/>
              </w:rPr>
              <w:t>（3）导流建筑物施工</w:t>
            </w:r>
          </w:p>
          <w:p>
            <w:pPr>
              <w:bidi w:val="0"/>
              <w:ind w:firstLine="480" w:firstLineChars="200"/>
              <w:outlineLvl w:val="9"/>
              <w:rPr>
                <w:rFonts w:hint="default" w:eastAsia="宋体" w:cs="Times New Roman"/>
                <w:b w:val="0"/>
                <w:bCs w:val="0"/>
                <w:color w:val="auto"/>
                <w:sz w:val="24"/>
                <w:szCs w:val="32"/>
                <w:u w:val="none" w:color="auto"/>
                <w:lang w:val="en-US" w:eastAsia="zh-CN"/>
              </w:rPr>
            </w:pPr>
            <w:r>
              <w:rPr>
                <w:rFonts w:hint="eastAsia" w:cs="Times New Roman"/>
                <w:b w:val="0"/>
                <w:bCs w:val="0"/>
                <w:color w:val="auto"/>
                <w:sz w:val="24"/>
                <w:szCs w:val="32"/>
                <w:u w:val="none" w:color="auto"/>
                <w:lang w:val="en-US" w:eastAsia="zh-CN"/>
              </w:rPr>
              <w:t>围堰考虑到上、下游河道开挖量较大，围堰填筑土料均采用河道开挖料，1m³反铲挖掘机挖装，8t 自卸汽车运输，1m³反铲挖掘机整坡，从上下游同时进占。粘土心墙土料从周边土料厂取料，1m³反铲挖掘机挖装，8t 自卸汽车运输</w:t>
            </w:r>
            <w:r>
              <w:rPr>
                <w:rFonts w:hint="eastAsia"/>
                <w:color w:val="auto"/>
                <w:u w:val="none" w:color="auto"/>
              </w:rPr>
              <w:t>。</w:t>
            </w:r>
          </w:p>
          <w:p>
            <w:pPr>
              <w:bidi w:val="0"/>
              <w:ind w:firstLine="480" w:firstLineChars="200"/>
              <w:outlineLvl w:val="9"/>
              <w:rPr>
                <w:rFonts w:hint="eastAsia" w:eastAsia="宋体"/>
                <w:color w:val="auto"/>
                <w:u w:val="none" w:color="auto"/>
                <w:vertAlign w:val="baseline"/>
                <w:lang w:val="en-US" w:eastAsia="zh-CN"/>
              </w:rPr>
            </w:pPr>
            <w:r>
              <w:rPr>
                <w:rFonts w:hint="eastAsia"/>
                <w:color w:val="auto"/>
                <w:u w:val="none" w:color="auto"/>
              </w:rPr>
              <w:t>堤防围堰拆除采用 1m³反铲挖掘机挖装，8t 自卸汽车运输 2km 至渣土部门指定地点弃料。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842" w:hRule="atLeast"/>
        </w:trPr>
        <w:tc>
          <w:tcPr>
            <w:tcW w:w="203" w:type="pct"/>
            <w:tcBorders>
              <w:tl2br w:val="nil"/>
              <w:tr2bl w:val="nil"/>
            </w:tcBorders>
            <w:vAlign w:val="center"/>
          </w:tcPr>
          <w:p>
            <w:pPr>
              <w:bidi w:val="0"/>
              <w:jc w:val="center"/>
              <w:outlineLvl w:val="9"/>
              <w:rPr>
                <w:rFonts w:hint="default"/>
                <w:color w:val="auto"/>
                <w:u w:val="none" w:color="auto"/>
                <w:vertAlign w:val="baseline"/>
                <w:lang w:val="en-US" w:eastAsia="zh-CN"/>
              </w:rPr>
            </w:pPr>
            <w:r>
              <w:rPr>
                <w:rFonts w:hint="eastAsia"/>
                <w:color w:val="auto"/>
                <w:u w:val="none" w:color="auto"/>
                <w:vertAlign w:val="baseline"/>
                <w:lang w:val="en-US" w:eastAsia="zh-CN"/>
              </w:rPr>
              <w:t>其他</w:t>
            </w:r>
          </w:p>
        </w:tc>
        <w:tc>
          <w:tcPr>
            <w:tcW w:w="4796" w:type="pct"/>
            <w:tcBorders>
              <w:tl2br w:val="nil"/>
              <w:tr2bl w:val="nil"/>
            </w:tcBorders>
            <w:vAlign w:val="center"/>
          </w:tcPr>
          <w:p>
            <w:pPr>
              <w:pStyle w:val="11"/>
              <w:jc w:val="left"/>
              <w:rPr>
                <w:rFonts w:hint="default"/>
                <w:color w:val="auto"/>
                <w:u w:val="none" w:color="auto"/>
                <w:vertAlign w:val="baseline"/>
                <w:lang w:val="en-US" w:eastAsia="zh-CN"/>
              </w:rPr>
            </w:pPr>
            <w:r>
              <w:rPr>
                <w:rFonts w:hint="eastAsia"/>
                <w:color w:val="auto"/>
                <w:u w:val="none" w:color="auto"/>
                <w:vertAlign w:val="baseline"/>
                <w:lang w:val="en-US" w:eastAsia="zh-CN"/>
              </w:rPr>
              <w:t>无</w:t>
            </w:r>
          </w:p>
        </w:tc>
      </w:tr>
    </w:tbl>
    <w:p>
      <w:pPr>
        <w:bidi w:val="0"/>
        <w:outlineLvl w:val="0"/>
        <w:rPr>
          <w:color w:val="auto"/>
        </w:rPr>
        <w:sectPr>
          <w:pgSz w:w="11906" w:h="16838"/>
          <w:pgMar w:top="1077" w:right="1077" w:bottom="1077" w:left="1077" w:header="851" w:footer="510" w:gutter="0"/>
          <w:pgBorders>
            <w:top w:val="none" w:sz="0" w:space="0"/>
            <w:left w:val="none" w:sz="0" w:space="0"/>
            <w:bottom w:val="none" w:sz="0" w:space="0"/>
            <w:right w:val="none" w:sz="0" w:space="0"/>
          </w:pgBorders>
          <w:pgNumType w:fmt="decimal"/>
          <w:cols w:space="425" w:num="1"/>
          <w:docGrid w:type="lines" w:linePitch="312" w:charSpace="0"/>
        </w:sectPr>
      </w:pPr>
    </w:p>
    <w:p>
      <w:pPr>
        <w:bidi w:val="0"/>
        <w:jc w:val="center"/>
        <w:outlineLvl w:val="0"/>
        <w:rPr>
          <w:color w:val="auto"/>
        </w:rPr>
      </w:pPr>
      <w:bookmarkStart w:id="14" w:name="_Toc21511"/>
      <w:bookmarkStart w:id="15" w:name="_Toc32723"/>
      <w:bookmarkStart w:id="16" w:name="_Toc16164"/>
      <w:bookmarkStart w:id="17" w:name="_Toc27121"/>
      <w:r>
        <w:rPr>
          <w:rFonts w:hint="eastAsia"/>
          <w:b/>
          <w:bCs/>
          <w:color w:val="auto"/>
          <w:sz w:val="30"/>
          <w:szCs w:val="30"/>
        </w:rPr>
        <w:t>三、</w:t>
      </w:r>
      <w:bookmarkEnd w:id="14"/>
      <w:bookmarkEnd w:id="15"/>
      <w:r>
        <w:rPr>
          <w:rFonts w:hint="eastAsia"/>
          <w:b/>
          <w:bCs/>
          <w:color w:val="auto"/>
          <w:sz w:val="30"/>
          <w:szCs w:val="30"/>
        </w:rPr>
        <w:t>生态环境现状、保护目标及评价标准</w:t>
      </w:r>
      <w:bookmarkEnd w:id="16"/>
      <w:bookmarkEnd w:id="17"/>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453"/>
        <w:gridCol w:w="9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jc w:val="center"/>
        </w:trPr>
        <w:tc>
          <w:tcPr>
            <w:tcW w:w="390" w:type="pct"/>
            <w:tcBorders>
              <w:tl2br w:val="nil"/>
              <w:tr2bl w:val="nil"/>
            </w:tcBorders>
            <w:vAlign w:val="center"/>
          </w:tcPr>
          <w:p>
            <w:pPr>
              <w:bidi w:val="0"/>
              <w:jc w:val="center"/>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生态环境现状</w:t>
            </w:r>
          </w:p>
        </w:tc>
        <w:tc>
          <w:tcPr>
            <w:tcW w:w="4609" w:type="pct"/>
            <w:tcBorders>
              <w:tl2br w:val="nil"/>
              <w:tr2bl w:val="nil"/>
            </w:tcBorders>
          </w:tcPr>
          <w:p>
            <w:pPr>
              <w:bidi w:val="0"/>
              <w:outlineLvl w:val="9"/>
              <w:rPr>
                <w:rFonts w:hint="default" w:ascii="Times New Roman" w:hAnsi="Times New Roman" w:eastAsia="宋体" w:cs="Times New Roman"/>
                <w:color w:val="auto"/>
                <w:u w:val="none" w:color="auto"/>
                <w:lang w:val="en-US" w:eastAsia="zh-CN"/>
              </w:rPr>
            </w:pPr>
            <w:r>
              <w:rPr>
                <w:rFonts w:hint="eastAsia"/>
                <w:b/>
                <w:bCs/>
                <w:color w:val="auto"/>
                <w:u w:val="none" w:color="auto"/>
              </w:rPr>
              <w:t>3.</w:t>
            </w:r>
            <w:r>
              <w:rPr>
                <w:rFonts w:hint="eastAsia"/>
                <w:b/>
                <w:bCs/>
                <w:color w:val="auto"/>
                <w:u w:val="none" w:color="auto"/>
                <w:lang w:val="en-US" w:eastAsia="zh-CN"/>
              </w:rPr>
              <w:t>1</w:t>
            </w:r>
            <w:r>
              <w:rPr>
                <w:rFonts w:hint="eastAsia"/>
                <w:b/>
                <w:bCs/>
                <w:color w:val="auto"/>
                <w:u w:val="none" w:color="auto"/>
              </w:rPr>
              <w:t>大气环境</w:t>
            </w:r>
            <w:r>
              <w:rPr>
                <w:rFonts w:hint="eastAsia"/>
                <w:b/>
                <w:bCs/>
                <w:color w:val="auto"/>
                <w:u w:val="none" w:color="auto"/>
                <w:lang w:val="en-US" w:eastAsia="zh-CN"/>
              </w:rPr>
              <w:t>质量现状</w:t>
            </w:r>
          </w:p>
          <w:p>
            <w:pPr>
              <w:pStyle w:val="7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360" w:lineRule="auto"/>
              <w:ind w:leftChars="0" w:right="0" w:rightChars="0" w:firstLine="480" w:firstLineChars="200"/>
              <w:jc w:val="left"/>
              <w:textAlignment w:val="auto"/>
              <w:rPr>
                <w:rFonts w:hint="eastAsia" w:ascii="Times New Roman" w:hAnsi="Times New Roman" w:eastAsia="宋体" w:cs="Times New Roman"/>
                <w:b w:val="0"/>
                <w:bCs/>
                <w:sz w:val="24"/>
                <w:szCs w:val="24"/>
                <w:u w:val="none" w:color="auto"/>
                <w:lang w:val="en-US" w:eastAsia="zh-CN"/>
              </w:rPr>
            </w:pPr>
            <w:r>
              <w:rPr>
                <w:rFonts w:hint="eastAsia" w:ascii="Times New Roman" w:hAnsi="Times New Roman" w:eastAsia="宋体" w:cs="Times New Roman"/>
                <w:b w:val="0"/>
                <w:bCs/>
                <w:sz w:val="24"/>
                <w:szCs w:val="24"/>
                <w:u w:val="none" w:color="auto"/>
                <w:lang w:val="en-US" w:eastAsia="zh-CN"/>
              </w:rPr>
              <w:t>本评价收集了衡阳市生态环境局发布的“关于 2023 年 12 月及 1-12 月全市环境质量状况的通报”，2023年祁东县各监测因子平均浓度都符合《环境空气质量标准》（GB3095-2012）及其修改单二级标准，故本项目位于空气质量达标区，环境空气质量监测数据统计情况见表5.2-1：</w:t>
            </w:r>
          </w:p>
          <w:p>
            <w:pPr>
              <w:adjustRightInd w:val="0"/>
              <w:snapToGrid w:val="0"/>
              <w:jc w:val="center"/>
              <w:rPr>
                <w:rFonts w:hint="eastAsia" w:ascii="Times New Roman" w:hAnsi="Times New Roman" w:eastAsia="宋体" w:cs="Times New Roman"/>
                <w:b/>
                <w:u w:val="none" w:color="auto"/>
                <w:lang w:val="en-US" w:eastAsia="zh-CN"/>
              </w:rPr>
            </w:pPr>
            <w:r>
              <w:rPr>
                <w:u w:val="none" w:color="auto"/>
              </w:rPr>
              <w:drawing>
                <wp:inline distT="0" distB="0" distL="114300" distR="114300">
                  <wp:extent cx="5969000" cy="2670810"/>
                  <wp:effectExtent l="0" t="0" r="1270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5969000" cy="2670810"/>
                          </a:xfrm>
                          <a:prstGeom prst="rect">
                            <a:avLst/>
                          </a:prstGeom>
                          <a:noFill/>
                          <a:ln>
                            <a:noFill/>
                          </a:ln>
                        </pic:spPr>
                      </pic:pic>
                    </a:graphicData>
                  </a:graphic>
                </wp:inline>
              </w:drawing>
            </w:r>
          </w:p>
          <w:p>
            <w:pPr>
              <w:adjustRightInd w:val="0"/>
              <w:snapToGrid w:val="0"/>
              <w:jc w:val="center"/>
              <w:rPr>
                <w:rFonts w:hint="default" w:ascii="Times New Roman" w:hAnsi="Times New Roman" w:eastAsia="宋体" w:cs="Times New Roman"/>
                <w:b/>
                <w:u w:val="none" w:color="auto"/>
                <w:lang w:val="en-US" w:eastAsia="zh-CN"/>
              </w:rPr>
            </w:pPr>
            <w:r>
              <w:rPr>
                <w:rFonts w:hint="eastAsia" w:ascii="Times New Roman" w:hAnsi="Times New Roman" w:eastAsia="宋体" w:cs="Times New Roman"/>
                <w:b/>
                <w:u w:val="none" w:color="auto"/>
                <w:lang w:val="en-US" w:eastAsia="zh-CN"/>
              </w:rPr>
              <w:t>表</w:t>
            </w:r>
            <w:r>
              <w:rPr>
                <w:rFonts w:hint="eastAsia" w:cs="Times New Roman"/>
                <w:b/>
                <w:u w:val="none" w:color="auto"/>
                <w:lang w:val="en-US" w:eastAsia="zh-CN"/>
              </w:rPr>
              <w:t>3-1</w:t>
            </w:r>
            <w:r>
              <w:rPr>
                <w:rFonts w:hint="eastAsia" w:ascii="Times New Roman" w:hAnsi="Times New Roman" w:eastAsia="宋体" w:cs="Times New Roman"/>
                <w:b/>
                <w:u w:val="none" w:color="auto"/>
                <w:lang w:val="en-US" w:eastAsia="zh-CN"/>
              </w:rPr>
              <w:t xml:space="preserve">   2023年祁东县空气质量现状评价表</w:t>
            </w:r>
          </w:p>
          <w:tbl>
            <w:tblPr>
              <w:tblStyle w:val="26"/>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34"/>
              <w:gridCol w:w="3426"/>
              <w:gridCol w:w="1236"/>
              <w:gridCol w:w="1162"/>
              <w:gridCol w:w="960"/>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0" w:hRule="exact"/>
                <w:jc w:val="center"/>
              </w:trPr>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污染物</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年评价賊</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85" w:lineRule="exact"/>
                    <w:ind w:left="0" w:right="0" w:firstLine="0"/>
                    <w:jc w:val="center"/>
                    <w:rPr>
                      <w:rFonts w:hint="eastAsia" w:ascii="Times New Roman" w:hAnsi="Times New Roman" w:cs="Times New Roman"/>
                      <w:color w:val="181731"/>
                      <w:spacing w:val="0"/>
                      <w:w w:val="100"/>
                      <w:position w:val="0"/>
                      <w:sz w:val="21"/>
                      <w:szCs w:val="21"/>
                      <w:u w:val="none" w:color="auto"/>
                      <w:lang w:val="en-US" w:eastAsia="zh-CN"/>
                    </w:rPr>
                  </w:pPr>
                  <w:r>
                    <w:rPr>
                      <w:rFonts w:hint="eastAsia" w:ascii="Times New Roman" w:hAnsi="Times New Roman" w:cs="Times New Roman"/>
                      <w:color w:val="181731"/>
                      <w:spacing w:val="0"/>
                      <w:w w:val="100"/>
                      <w:position w:val="0"/>
                      <w:sz w:val="21"/>
                      <w:szCs w:val="21"/>
                      <w:u w:val="none" w:color="auto"/>
                      <w:lang w:val="en-US" w:eastAsia="zh-CN"/>
                    </w:rPr>
                    <w:t>现状浓度</w:t>
                  </w:r>
                </w:p>
                <w:p>
                  <w:pPr>
                    <w:pStyle w:val="79"/>
                    <w:keepNext w:val="0"/>
                    <w:keepLines w:val="0"/>
                    <w:widowControl w:val="0"/>
                    <w:shd w:val="clear" w:color="auto" w:fill="auto"/>
                    <w:bidi w:val="0"/>
                    <w:spacing w:before="0" w:after="0" w:line="285" w:lineRule="exact"/>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181731"/>
                      <w:spacing w:val="0"/>
                      <w:w w:val="100"/>
                      <w:position w:val="0"/>
                      <w:sz w:val="21"/>
                      <w:szCs w:val="21"/>
                      <w:u w:val="none" w:color="auto"/>
                    </w:rPr>
                    <w:t>(μg</w:t>
                  </w:r>
                  <w:r>
                    <w:rPr>
                      <w:rFonts w:hint="default" w:ascii="Times New Roman" w:hAnsi="Times New Roman" w:cs="Times New Roman"/>
                      <w:color w:val="181731"/>
                      <w:spacing w:val="0"/>
                      <w:w w:val="100"/>
                      <w:position w:val="0"/>
                      <w:sz w:val="21"/>
                      <w:szCs w:val="21"/>
                      <w:u w:val="none" w:color="auto"/>
                      <w:lang w:val="en-US" w:eastAsia="en-US" w:bidi="en-US"/>
                    </w:rPr>
                    <w:t>/m</w:t>
                  </w:r>
                  <w:r>
                    <w:rPr>
                      <w:rFonts w:hint="default" w:ascii="Times New Roman" w:hAnsi="Times New Roman" w:cs="Times New Roman"/>
                      <w:color w:val="181731"/>
                      <w:spacing w:val="0"/>
                      <w:w w:val="100"/>
                      <w:position w:val="0"/>
                      <w:sz w:val="21"/>
                      <w:szCs w:val="21"/>
                      <w:u w:val="none" w:color="auto"/>
                      <w:vertAlign w:val="superscript"/>
                      <w:lang w:val="en-US" w:eastAsia="en-US" w:bidi="en-US"/>
                    </w:rPr>
                    <w:t>3</w:t>
                  </w:r>
                  <w:r>
                    <w:rPr>
                      <w:rFonts w:hint="default" w:ascii="Times New Roman" w:hAnsi="Times New Roman" w:cs="Times New Roman"/>
                      <w:color w:val="181731"/>
                      <w:spacing w:val="0"/>
                      <w:w w:val="100"/>
                      <w:position w:val="0"/>
                      <w:sz w:val="21"/>
                      <w:szCs w:val="21"/>
                      <w:u w:val="none" w:color="auto"/>
                      <w:lang w:val="en-US" w:eastAsia="en-US" w:bidi="en-US"/>
                    </w:rPr>
                    <w:t>)</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4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标准值</w:t>
                  </w:r>
                </w:p>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181731"/>
                      <w:spacing w:val="0"/>
                      <w:w w:val="100"/>
                      <w:position w:val="0"/>
                      <w:sz w:val="21"/>
                      <w:szCs w:val="21"/>
                      <w:u w:val="none" w:color="auto"/>
                      <w:lang w:val="en-US" w:eastAsia="zh-CN" w:bidi="en-US"/>
                    </w:rPr>
                    <w:t>（</w:t>
                  </w:r>
                  <w:r>
                    <w:rPr>
                      <w:rFonts w:hint="default" w:ascii="Times New Roman" w:hAnsi="Times New Roman" w:cs="Times New Roman"/>
                      <w:color w:val="181731"/>
                      <w:spacing w:val="0"/>
                      <w:w w:val="100"/>
                      <w:position w:val="0"/>
                      <w:sz w:val="21"/>
                      <w:szCs w:val="21"/>
                      <w:u w:val="none" w:color="auto"/>
                    </w:rPr>
                    <w:t>μg</w:t>
                  </w:r>
                  <w:r>
                    <w:rPr>
                      <w:rFonts w:hint="default" w:ascii="Times New Roman" w:hAnsi="Times New Roman" w:cs="Times New Roman"/>
                      <w:color w:val="181731"/>
                      <w:spacing w:val="0"/>
                      <w:w w:val="100"/>
                      <w:position w:val="0"/>
                      <w:sz w:val="21"/>
                      <w:szCs w:val="21"/>
                      <w:u w:val="none" w:color="auto"/>
                      <w:lang w:val="en-US" w:eastAsia="en-US" w:bidi="en-US"/>
                    </w:rPr>
                    <w:t>/m</w:t>
                  </w:r>
                  <w:r>
                    <w:rPr>
                      <w:rFonts w:hint="default" w:ascii="Times New Roman" w:hAnsi="Times New Roman" w:cs="Times New Roman"/>
                      <w:color w:val="181731"/>
                      <w:spacing w:val="0"/>
                      <w:w w:val="100"/>
                      <w:position w:val="0"/>
                      <w:sz w:val="21"/>
                      <w:szCs w:val="21"/>
                      <w:u w:val="none" w:color="auto"/>
                      <w:vertAlign w:val="superscript"/>
                      <w:lang w:val="en-US" w:eastAsia="en-US" w:bidi="en-US"/>
                    </w:rPr>
                    <w:t>3</w:t>
                  </w:r>
                  <w:r>
                    <w:rPr>
                      <w:rFonts w:hint="default" w:ascii="Times New Roman" w:hAnsi="Times New Roman" w:cs="Times New Roman"/>
                      <w:color w:val="181731"/>
                      <w:spacing w:val="0"/>
                      <w:w w:val="100"/>
                      <w:position w:val="0"/>
                      <w:sz w:val="21"/>
                      <w:szCs w:val="21"/>
                      <w:u w:val="none" w:color="auto"/>
                      <w:lang w:val="en-US" w:eastAsia="en-US" w:bidi="en-US"/>
                    </w:rPr>
                    <w:t>)</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Times New Roman"/>
                      <w:sz w:val="21"/>
                      <w:szCs w:val="21"/>
                      <w:u w:val="none" w:color="auto"/>
                      <w:lang w:eastAsia="zh-CN"/>
                    </w:rPr>
                  </w:pPr>
                  <w:r>
                    <w:rPr>
                      <w:rFonts w:hint="eastAsia" w:ascii="Times New Roman" w:hAnsi="Times New Roman" w:cs="Times New Roman"/>
                      <w:color w:val="000000"/>
                      <w:spacing w:val="0"/>
                      <w:w w:val="100"/>
                      <w:position w:val="0"/>
                      <w:sz w:val="21"/>
                      <w:szCs w:val="21"/>
                      <w:u w:val="none" w:color="auto"/>
                      <w:lang w:val="en-US" w:eastAsia="zh-CN"/>
                    </w:rPr>
                    <w:t>占标率</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达标</w:t>
                  </w:r>
                  <w:r>
                    <w:rPr>
                      <w:rFonts w:hint="default" w:ascii="Times New Roman" w:hAnsi="Times New Roman" w:cs="Times New Roman"/>
                      <w:color w:val="000000"/>
                      <w:spacing w:val="0"/>
                      <w:w w:val="100"/>
                      <w:position w:val="0"/>
                      <w:sz w:val="21"/>
                      <w:szCs w:val="21"/>
                      <w:u w:val="none" w:color="auto"/>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4" w:hRule="exact"/>
                <w:jc w:val="center"/>
              </w:trPr>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right="0"/>
                    <w:jc w:val="center"/>
                    <w:rPr>
                      <w:rFonts w:hint="default" w:ascii="Times New Roman" w:hAnsi="Times New Roman" w:eastAsia="宋体" w:cs="Times New Roman"/>
                      <w:sz w:val="21"/>
                      <w:szCs w:val="21"/>
                      <w:u w:val="none" w:color="auto"/>
                      <w:vertAlign w:val="subscript"/>
                      <w:lang w:val="en-US" w:eastAsia="zh-CN"/>
                    </w:rPr>
                  </w:pPr>
                  <w:r>
                    <w:rPr>
                      <w:rFonts w:hint="eastAsia" w:ascii="Times New Roman" w:hAnsi="Times New Roman" w:cs="Times New Roman"/>
                      <w:sz w:val="21"/>
                      <w:szCs w:val="21"/>
                      <w:u w:val="none" w:color="auto"/>
                      <w:lang w:val="en-US" w:eastAsia="zh-CN"/>
                    </w:rPr>
                    <w:t>SO</w:t>
                  </w:r>
                  <w:r>
                    <w:rPr>
                      <w:rFonts w:hint="eastAsia" w:ascii="Times New Roman" w:hAnsi="Times New Roman" w:cs="Times New Roman"/>
                      <w:sz w:val="21"/>
                      <w:szCs w:val="21"/>
                      <w:u w:val="none" w:color="auto"/>
                      <w:vertAlign w:val="subscript"/>
                      <w:lang w:val="en-US" w:eastAsia="zh-CN"/>
                    </w:rPr>
                    <w:t>2</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right="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年评价质量浓度</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7</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60</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11.67</w:t>
                  </w:r>
                  <w:r>
                    <w:rPr>
                      <w:rFonts w:hint="default" w:ascii="Times New Roman" w:hAnsi="Times New Roman" w:cs="Times New Roman"/>
                      <w:color w:val="000000"/>
                      <w:spacing w:val="0"/>
                      <w:w w:val="100"/>
                      <w:position w:val="0"/>
                      <w:sz w:val="21"/>
                      <w:szCs w:val="21"/>
                      <w:u w:val="none" w:color="auto"/>
                    </w:rPr>
                    <w:t>%</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5" w:hRule="exact"/>
                <w:jc w:val="center"/>
              </w:trPr>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right="0"/>
                    <w:jc w:val="center"/>
                    <w:rPr>
                      <w:rFonts w:hint="eastAsia" w:ascii="Times New Roman" w:hAnsi="Times New Roman" w:eastAsia="宋体" w:cs="Times New Roman"/>
                      <w:sz w:val="21"/>
                      <w:szCs w:val="21"/>
                      <w:u w:val="none" w:color="auto"/>
                      <w:vertAlign w:val="subscript"/>
                      <w:lang w:val="en-US" w:eastAsia="zh-CN"/>
                    </w:rPr>
                  </w:pPr>
                  <w:r>
                    <w:rPr>
                      <w:rFonts w:hint="default" w:ascii="Times New Roman" w:hAnsi="Times New Roman" w:cs="Times New Roman"/>
                      <w:color w:val="000000"/>
                      <w:spacing w:val="0"/>
                      <w:w w:val="100"/>
                      <w:position w:val="0"/>
                      <w:sz w:val="21"/>
                      <w:szCs w:val="21"/>
                      <w:u w:val="none" w:color="auto"/>
                      <w:lang w:val="en-US" w:eastAsia="en-US" w:bidi="en-US"/>
                    </w:rPr>
                    <w:t>NO</w:t>
                  </w:r>
                  <w:r>
                    <w:rPr>
                      <w:rFonts w:hint="eastAsia" w:ascii="Times New Roman" w:hAnsi="Times New Roman" w:cs="Times New Roman"/>
                      <w:color w:val="000000"/>
                      <w:spacing w:val="0"/>
                      <w:w w:val="100"/>
                      <w:position w:val="0"/>
                      <w:sz w:val="21"/>
                      <w:szCs w:val="21"/>
                      <w:u w:val="none" w:color="auto"/>
                      <w:vertAlign w:val="subscript"/>
                      <w:lang w:val="en-US" w:eastAsia="zh-CN" w:bidi="en-US"/>
                    </w:rPr>
                    <w:t>2</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right="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年评价质量浓度</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11</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40</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27.50</w:t>
                  </w:r>
                  <w:r>
                    <w:rPr>
                      <w:rFonts w:hint="default" w:ascii="Times New Roman" w:hAnsi="Times New Roman" w:cs="Times New Roman"/>
                      <w:color w:val="000000"/>
                      <w:spacing w:val="0"/>
                      <w:w w:val="100"/>
                      <w:position w:val="0"/>
                      <w:sz w:val="21"/>
                      <w:szCs w:val="21"/>
                      <w:u w:val="none" w:color="auto"/>
                    </w:rPr>
                    <w:t>%</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0" w:hRule="exact"/>
                <w:jc w:val="center"/>
              </w:trPr>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right="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lang w:val="en-US" w:eastAsia="en-US" w:bidi="en-US"/>
                    </w:rPr>
                    <w:t>CO</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lang w:val="en-US" w:eastAsia="en-US" w:bidi="en-US"/>
                    </w:rPr>
                    <w:t>24h</w:t>
                  </w:r>
                  <w:r>
                    <w:rPr>
                      <w:rFonts w:hint="default" w:ascii="Times New Roman" w:hAnsi="Times New Roman" w:cs="Times New Roman"/>
                      <w:color w:val="000000"/>
                      <w:spacing w:val="0"/>
                      <w:w w:val="100"/>
                      <w:position w:val="0"/>
                      <w:sz w:val="21"/>
                      <w:szCs w:val="21"/>
                      <w:u w:val="none" w:color="auto"/>
                    </w:rPr>
                    <w:t>平均第95位百分位数</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1.1</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4000</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0.028</w:t>
                  </w:r>
                  <w:r>
                    <w:rPr>
                      <w:rFonts w:hint="default" w:ascii="Times New Roman" w:hAnsi="Times New Roman" w:cs="Times New Roman"/>
                      <w:color w:val="000000"/>
                      <w:spacing w:val="0"/>
                      <w:w w:val="100"/>
                      <w:position w:val="0"/>
                      <w:sz w:val="21"/>
                      <w:szCs w:val="21"/>
                      <w:u w:val="none" w:color="auto"/>
                    </w:rPr>
                    <w:t>%</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75" w:hRule="exact"/>
                <w:jc w:val="center"/>
              </w:trPr>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right="0"/>
                    <w:jc w:val="center"/>
                    <w:rPr>
                      <w:rFonts w:hint="eastAsia" w:ascii="Times New Roman" w:hAnsi="Times New Roman" w:eastAsia="宋体" w:cs="Times New Roman"/>
                      <w:sz w:val="21"/>
                      <w:szCs w:val="21"/>
                      <w:u w:val="none" w:color="auto"/>
                      <w:vertAlign w:val="subscript"/>
                      <w:lang w:val="en-US" w:eastAsia="zh-CN"/>
                    </w:rPr>
                  </w:pPr>
                  <w:r>
                    <w:rPr>
                      <w:rFonts w:hint="default" w:ascii="Times New Roman" w:hAnsi="Times New Roman" w:cs="Times New Roman"/>
                      <w:color w:val="000000"/>
                      <w:spacing w:val="0"/>
                      <w:w w:val="100"/>
                      <w:position w:val="0"/>
                      <w:sz w:val="21"/>
                      <w:szCs w:val="21"/>
                      <w:u w:val="none" w:color="auto"/>
                      <w:lang w:val="en-US" w:eastAsia="en-US" w:bidi="en-US"/>
                    </w:rPr>
                    <w:t>O</w:t>
                  </w:r>
                  <w:r>
                    <w:rPr>
                      <w:rFonts w:hint="eastAsia" w:ascii="Times New Roman" w:hAnsi="Times New Roman" w:cs="Times New Roman"/>
                      <w:color w:val="000000"/>
                      <w:spacing w:val="0"/>
                      <w:w w:val="100"/>
                      <w:position w:val="0"/>
                      <w:sz w:val="21"/>
                      <w:szCs w:val="21"/>
                      <w:u w:val="none" w:color="auto"/>
                      <w:vertAlign w:val="subscript"/>
                      <w:lang w:val="en-US" w:eastAsia="zh-CN" w:bidi="en-US"/>
                    </w:rPr>
                    <w:t>3</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lang w:val="en-US" w:eastAsia="en-US" w:bidi="en-US"/>
                    </w:rPr>
                    <w:t>8h</w:t>
                  </w:r>
                  <w:r>
                    <w:rPr>
                      <w:rFonts w:hint="default" w:ascii="Times New Roman" w:hAnsi="Times New Roman" w:cs="Times New Roman"/>
                      <w:color w:val="000000"/>
                      <w:spacing w:val="0"/>
                      <w:w w:val="100"/>
                      <w:position w:val="0"/>
                      <w:sz w:val="21"/>
                      <w:szCs w:val="21"/>
                      <w:u w:val="none" w:color="auto"/>
                    </w:rPr>
                    <w:t>平均第90位百分位数</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123</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160</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76.86</w:t>
                  </w:r>
                  <w:r>
                    <w:rPr>
                      <w:rFonts w:hint="default" w:ascii="Times New Roman" w:hAnsi="Times New Roman" w:cs="Times New Roman"/>
                      <w:color w:val="000000"/>
                      <w:spacing w:val="0"/>
                      <w:w w:val="100"/>
                      <w:position w:val="0"/>
                      <w:sz w:val="21"/>
                      <w:szCs w:val="21"/>
                      <w:u w:val="none" w:color="auto"/>
                    </w:rPr>
                    <w:t>%</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0" w:hRule="exact"/>
                <w:jc w:val="center"/>
              </w:trPr>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right="0"/>
                    <w:jc w:val="center"/>
                    <w:rPr>
                      <w:rFonts w:hint="default" w:ascii="Times New Roman" w:hAnsi="Times New Roman" w:eastAsia="宋体" w:cs="Times New Roman"/>
                      <w:sz w:val="21"/>
                      <w:szCs w:val="21"/>
                      <w:u w:val="none" w:color="auto"/>
                      <w:vertAlign w:val="subscript"/>
                      <w:lang w:val="en-US" w:eastAsia="zh-CN"/>
                    </w:rPr>
                  </w:pPr>
                  <w:r>
                    <w:rPr>
                      <w:rFonts w:hint="default" w:ascii="Times New Roman" w:hAnsi="Times New Roman" w:cs="Times New Roman"/>
                      <w:color w:val="000000"/>
                      <w:spacing w:val="0"/>
                      <w:w w:val="100"/>
                      <w:position w:val="0"/>
                      <w:sz w:val="21"/>
                      <w:szCs w:val="21"/>
                      <w:u w:val="none" w:color="auto"/>
                      <w:lang w:val="en-US" w:eastAsia="en-US" w:bidi="en-US"/>
                    </w:rPr>
                    <w:t>PM</w:t>
                  </w:r>
                  <w:r>
                    <w:rPr>
                      <w:rFonts w:hint="eastAsia" w:ascii="Times New Roman" w:hAnsi="Times New Roman" w:cs="Times New Roman"/>
                      <w:color w:val="000000"/>
                      <w:spacing w:val="0"/>
                      <w:w w:val="100"/>
                      <w:position w:val="0"/>
                      <w:sz w:val="21"/>
                      <w:szCs w:val="21"/>
                      <w:u w:val="none" w:color="auto"/>
                      <w:vertAlign w:val="subscript"/>
                      <w:lang w:val="en-US" w:eastAsia="zh-CN" w:bidi="en-US"/>
                    </w:rPr>
                    <w:t>10</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right="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年评价质量浓度</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47</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70</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67.14</w:t>
                  </w:r>
                  <w:r>
                    <w:rPr>
                      <w:rFonts w:hint="default" w:ascii="Times New Roman" w:hAnsi="Times New Roman" w:cs="Times New Roman"/>
                      <w:color w:val="000000"/>
                      <w:spacing w:val="0"/>
                      <w:w w:val="100"/>
                      <w:position w:val="0"/>
                      <w:sz w:val="21"/>
                      <w:szCs w:val="21"/>
                      <w:u w:val="none" w:color="auto"/>
                    </w:rPr>
                    <w:t>%</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0" w:hRule="exact"/>
                <w:jc w:val="center"/>
              </w:trPr>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u w:val="none" w:color="auto"/>
                      <w:vertAlign w:val="subscript"/>
                      <w:lang w:val="en-US" w:eastAsia="zh-CN"/>
                    </w:rPr>
                  </w:pPr>
                  <w:r>
                    <w:rPr>
                      <w:rFonts w:hint="default" w:ascii="Times New Roman" w:hAnsi="Times New Roman" w:cs="Times New Roman"/>
                      <w:color w:val="000000"/>
                      <w:spacing w:val="0"/>
                      <w:w w:val="100"/>
                      <w:position w:val="0"/>
                      <w:sz w:val="21"/>
                      <w:szCs w:val="21"/>
                      <w:u w:val="none" w:color="auto"/>
                      <w:lang w:val="en-US" w:eastAsia="en-US" w:bidi="en-US"/>
                    </w:rPr>
                    <w:t>PM</w:t>
                  </w:r>
                  <w:r>
                    <w:rPr>
                      <w:rFonts w:hint="eastAsia" w:ascii="Times New Roman" w:hAnsi="Times New Roman" w:cs="Times New Roman"/>
                      <w:color w:val="000000"/>
                      <w:spacing w:val="0"/>
                      <w:w w:val="100"/>
                      <w:position w:val="0"/>
                      <w:sz w:val="21"/>
                      <w:szCs w:val="21"/>
                      <w:u w:val="none" w:color="auto"/>
                      <w:vertAlign w:val="subscript"/>
                      <w:lang w:val="en-US" w:eastAsia="zh-CN" w:bidi="en-US"/>
                    </w:rPr>
                    <w:t>2.5</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right="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年评价质量浓度</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color w:val="000000"/>
                      <w:spacing w:val="0"/>
                      <w:w w:val="100"/>
                      <w:position w:val="0"/>
                      <w:sz w:val="21"/>
                      <w:szCs w:val="21"/>
                      <w:u w:val="none" w:color="auto"/>
                      <w:lang w:val="en-US" w:eastAsia="zh-CN"/>
                    </w:rPr>
                    <w:t>31</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35</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eastAsia" w:ascii="Times New Roman" w:hAnsi="Times New Roman" w:cs="Times New Roman"/>
                      <w:color w:val="000000"/>
                      <w:spacing w:val="0"/>
                      <w:w w:val="100"/>
                      <w:position w:val="0"/>
                      <w:sz w:val="21"/>
                      <w:szCs w:val="21"/>
                      <w:u w:val="none" w:color="auto"/>
                      <w:lang w:val="en-US" w:eastAsia="zh-CN"/>
                    </w:rPr>
                    <w:t>88.57</w:t>
                  </w:r>
                  <w:r>
                    <w:rPr>
                      <w:rFonts w:hint="default" w:ascii="Times New Roman" w:hAnsi="Times New Roman" w:cs="Times New Roman"/>
                      <w:color w:val="000000"/>
                      <w:spacing w:val="0"/>
                      <w:w w:val="100"/>
                      <w:position w:val="0"/>
                      <w:sz w:val="21"/>
                      <w:szCs w:val="21"/>
                      <w:u w:val="none" w:color="auto"/>
                    </w:rPr>
                    <w:t>%</w:t>
                  </w:r>
                </w:p>
              </w:tc>
              <w:tc>
                <w:tcPr>
                  <w:tcW w:w="0" w:type="auto"/>
                  <w:tcBorders>
                    <w:tl2br w:val="nil"/>
                    <w:tr2bl w:val="nil"/>
                  </w:tcBorders>
                  <w:noWrap w:val="0"/>
                  <w:vAlign w:val="center"/>
                </w:tcPr>
                <w:p>
                  <w:pPr>
                    <w:pStyle w:val="79"/>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u w:val="none" w:color="auto"/>
                    </w:rPr>
                  </w:pPr>
                  <w:r>
                    <w:rPr>
                      <w:rFonts w:hint="default" w:ascii="Times New Roman" w:hAnsi="Times New Roman" w:cs="Times New Roman"/>
                      <w:color w:val="000000"/>
                      <w:spacing w:val="0"/>
                      <w:w w:val="100"/>
                      <w:position w:val="0"/>
                      <w:sz w:val="21"/>
                      <w:szCs w:val="21"/>
                      <w:u w:val="none" w:color="auto"/>
                    </w:rPr>
                    <w:t>不达标</w:t>
                  </w:r>
                </w:p>
              </w:tc>
            </w:tr>
          </w:tbl>
          <w:p>
            <w:pPr>
              <w:bidi w:val="0"/>
              <w:ind w:firstLine="480" w:firstLineChars="200"/>
              <w:outlineLvl w:val="9"/>
              <w:rPr>
                <w:rFonts w:hint="eastAsia"/>
                <w:color w:val="auto"/>
                <w:u w:val="none" w:color="auto"/>
              </w:rPr>
            </w:pPr>
            <w:r>
              <w:rPr>
                <w:rFonts w:hint="default" w:ascii="Times New Roman" w:hAnsi="Times New Roman" w:eastAsia="宋体" w:cs="Times New Roman"/>
                <w:b w:val="0"/>
                <w:bCs/>
                <w:sz w:val="24"/>
                <w:szCs w:val="24"/>
                <w:u w:val="none" w:color="auto"/>
                <w:lang w:val="en-US" w:eastAsia="zh-CN"/>
              </w:rPr>
              <w:t>由表4.</w:t>
            </w:r>
            <w:r>
              <w:rPr>
                <w:rFonts w:hint="eastAsia" w:ascii="Times New Roman" w:hAnsi="Times New Roman" w:eastAsia="宋体" w:cs="Times New Roman"/>
                <w:b w:val="0"/>
                <w:bCs/>
                <w:sz w:val="24"/>
                <w:szCs w:val="24"/>
                <w:u w:val="none" w:color="auto"/>
                <w:lang w:val="en-US" w:eastAsia="zh-CN"/>
              </w:rPr>
              <w:t>2</w:t>
            </w:r>
            <w:r>
              <w:rPr>
                <w:rFonts w:hint="default" w:ascii="Times New Roman" w:hAnsi="Times New Roman" w:eastAsia="宋体" w:cs="Times New Roman"/>
                <w:b w:val="0"/>
                <w:bCs/>
                <w:sz w:val="24"/>
                <w:szCs w:val="24"/>
                <w:u w:val="none" w:color="auto"/>
                <w:lang w:val="en-US" w:eastAsia="zh-CN"/>
              </w:rPr>
              <w:t>-1可知，202</w:t>
            </w:r>
            <w:r>
              <w:rPr>
                <w:rFonts w:hint="eastAsia" w:ascii="Times New Roman" w:hAnsi="Times New Roman" w:eastAsia="宋体" w:cs="Times New Roman"/>
                <w:b w:val="0"/>
                <w:bCs/>
                <w:sz w:val="24"/>
                <w:szCs w:val="24"/>
                <w:u w:val="none" w:color="auto"/>
                <w:lang w:val="en-US" w:eastAsia="zh-CN"/>
              </w:rPr>
              <w:t>3</w:t>
            </w:r>
            <w:r>
              <w:rPr>
                <w:rFonts w:hint="default" w:ascii="Times New Roman" w:hAnsi="Times New Roman" w:eastAsia="宋体" w:cs="Times New Roman"/>
                <w:b w:val="0"/>
                <w:bCs/>
                <w:sz w:val="24"/>
                <w:szCs w:val="24"/>
                <w:u w:val="none" w:color="auto"/>
                <w:lang w:val="en-US" w:eastAsia="zh-CN"/>
              </w:rPr>
              <w:t>年</w:t>
            </w:r>
            <w:r>
              <w:rPr>
                <w:rFonts w:hint="eastAsia" w:ascii="Times New Roman" w:hAnsi="Times New Roman" w:eastAsia="宋体" w:cs="Times New Roman"/>
                <w:b w:val="0"/>
                <w:bCs/>
                <w:sz w:val="24"/>
                <w:szCs w:val="24"/>
                <w:u w:val="none" w:color="auto"/>
                <w:lang w:val="en-US" w:eastAsia="zh-CN"/>
              </w:rPr>
              <w:t>祁东县</w:t>
            </w:r>
            <w:r>
              <w:rPr>
                <w:rFonts w:hint="default" w:ascii="Times New Roman" w:hAnsi="Times New Roman" w:eastAsia="宋体" w:cs="Times New Roman"/>
                <w:b w:val="0"/>
                <w:bCs/>
                <w:sz w:val="24"/>
                <w:szCs w:val="24"/>
                <w:u w:val="none" w:color="auto"/>
                <w:lang w:val="en-US" w:eastAsia="zh-CN"/>
              </w:rPr>
              <w:t>大气环境质量主要指标中SO</w:t>
            </w:r>
            <w:r>
              <w:rPr>
                <w:rFonts w:hint="eastAsia" w:ascii="Times New Roman" w:hAnsi="Times New Roman" w:eastAsia="宋体" w:cs="Times New Roman"/>
                <w:b w:val="0"/>
                <w:bCs/>
                <w:sz w:val="24"/>
                <w:szCs w:val="24"/>
                <w:u w:val="none" w:color="auto"/>
                <w:vertAlign w:val="subscript"/>
                <w:lang w:val="en-US" w:eastAsia="zh-CN"/>
              </w:rPr>
              <w:t>2</w:t>
            </w:r>
            <w:r>
              <w:rPr>
                <w:rFonts w:hint="default" w:ascii="Times New Roman" w:hAnsi="Times New Roman" w:eastAsia="宋体" w:cs="Times New Roman"/>
                <w:b w:val="0"/>
                <w:bCs/>
                <w:sz w:val="24"/>
                <w:szCs w:val="24"/>
                <w:u w:val="none" w:color="auto"/>
                <w:lang w:val="en-US" w:eastAsia="zh-CN"/>
              </w:rPr>
              <w:t>年均浓度、NO</w:t>
            </w:r>
            <w:r>
              <w:rPr>
                <w:rFonts w:hint="default" w:ascii="Times New Roman" w:hAnsi="Times New Roman" w:eastAsia="宋体" w:cs="Times New Roman"/>
                <w:b w:val="0"/>
                <w:bCs/>
                <w:sz w:val="24"/>
                <w:szCs w:val="24"/>
                <w:u w:val="none" w:color="auto"/>
                <w:vertAlign w:val="subscript"/>
                <w:lang w:val="en-US" w:eastAsia="zh-CN"/>
              </w:rPr>
              <w:t>2</w:t>
            </w:r>
            <w:r>
              <w:rPr>
                <w:rFonts w:hint="default" w:ascii="Times New Roman" w:hAnsi="Times New Roman" w:eastAsia="宋体" w:cs="Times New Roman"/>
                <w:b w:val="0"/>
                <w:bCs/>
                <w:sz w:val="24"/>
                <w:szCs w:val="24"/>
                <w:u w:val="none" w:color="auto"/>
                <w:lang w:val="en-US" w:eastAsia="zh-CN"/>
              </w:rPr>
              <w:t>年均浓度、CO</w:t>
            </w:r>
            <w:r>
              <w:rPr>
                <w:rFonts w:hint="eastAsia" w:ascii="Times New Roman" w:hAnsi="Times New Roman" w:eastAsia="宋体" w:cs="Times New Roman"/>
                <w:b w:val="0"/>
                <w:bCs/>
                <w:sz w:val="24"/>
                <w:szCs w:val="24"/>
                <w:u w:val="none" w:color="auto"/>
                <w:lang w:val="en-US" w:eastAsia="zh-CN"/>
              </w:rPr>
              <w:t xml:space="preserve"> </w:t>
            </w:r>
            <w:r>
              <w:rPr>
                <w:rFonts w:hint="default" w:ascii="Times New Roman" w:hAnsi="Times New Roman" w:eastAsia="宋体" w:cs="Times New Roman"/>
                <w:b w:val="0"/>
                <w:bCs/>
                <w:sz w:val="24"/>
                <w:szCs w:val="24"/>
                <w:u w:val="none" w:color="auto"/>
                <w:lang w:val="en-US" w:eastAsia="zh-CN"/>
              </w:rPr>
              <w:t>24小时平均第95百分位数浓度、</w:t>
            </w:r>
            <w:r>
              <w:rPr>
                <w:rFonts w:hint="eastAsia" w:ascii="Times New Roman" w:hAnsi="Times New Roman" w:eastAsia="宋体" w:cs="Times New Roman"/>
                <w:b w:val="0"/>
                <w:bCs/>
                <w:sz w:val="24"/>
                <w:szCs w:val="24"/>
                <w:u w:val="none" w:color="auto"/>
                <w:lang w:val="en-US" w:eastAsia="zh-CN"/>
              </w:rPr>
              <w:t>O</w:t>
            </w:r>
            <w:r>
              <w:rPr>
                <w:rFonts w:hint="default" w:ascii="Times New Roman" w:hAnsi="Times New Roman" w:eastAsia="宋体" w:cs="Times New Roman"/>
                <w:b w:val="0"/>
                <w:bCs/>
                <w:sz w:val="24"/>
                <w:szCs w:val="24"/>
                <w:u w:val="none" w:color="auto"/>
                <w:vertAlign w:val="subscript"/>
                <w:lang w:val="en-US" w:eastAsia="zh-CN"/>
              </w:rPr>
              <w:t>3</w:t>
            </w:r>
            <w:r>
              <w:rPr>
                <w:rFonts w:hint="default" w:ascii="Times New Roman" w:hAnsi="Times New Roman" w:eastAsia="宋体" w:cs="Times New Roman"/>
                <w:b w:val="0"/>
                <w:bCs/>
                <w:sz w:val="24"/>
                <w:szCs w:val="24"/>
                <w:u w:val="none" w:color="auto"/>
                <w:lang w:val="en-US" w:eastAsia="zh-CN"/>
              </w:rPr>
              <w:t xml:space="preserve"> 8小时平均第90百分位数浓度</w:t>
            </w:r>
            <w:r>
              <w:rPr>
                <w:rFonts w:hint="eastAsia" w:ascii="Times New Roman" w:hAnsi="Times New Roman" w:eastAsia="宋体" w:cs="Times New Roman"/>
                <w:b w:val="0"/>
                <w:bCs/>
                <w:sz w:val="24"/>
                <w:szCs w:val="24"/>
                <w:u w:val="none" w:color="auto"/>
                <w:lang w:val="en-US" w:eastAsia="zh-CN"/>
              </w:rPr>
              <w:t>、</w:t>
            </w:r>
            <w:r>
              <w:rPr>
                <w:rFonts w:hint="default" w:ascii="Times New Roman" w:hAnsi="Times New Roman" w:eastAsia="宋体" w:cs="Times New Roman"/>
                <w:b w:val="0"/>
                <w:bCs/>
                <w:sz w:val="24"/>
                <w:szCs w:val="24"/>
                <w:u w:val="none" w:color="auto"/>
                <w:lang w:val="en-US" w:eastAsia="zh-CN"/>
              </w:rPr>
              <w:t>PM</w:t>
            </w:r>
            <w:r>
              <w:rPr>
                <w:rFonts w:hint="eastAsia" w:ascii="Times New Roman" w:hAnsi="Times New Roman" w:eastAsia="宋体" w:cs="Times New Roman"/>
                <w:b w:val="0"/>
                <w:bCs/>
                <w:sz w:val="24"/>
                <w:szCs w:val="24"/>
                <w:u w:val="none" w:color="auto"/>
                <w:vertAlign w:val="subscript"/>
                <w:lang w:val="en-US" w:eastAsia="zh-CN"/>
              </w:rPr>
              <w:t>2.5</w:t>
            </w:r>
            <w:r>
              <w:rPr>
                <w:rFonts w:hint="eastAsia" w:ascii="Times New Roman" w:hAnsi="Times New Roman" w:eastAsia="宋体" w:cs="Times New Roman"/>
                <w:b w:val="0"/>
                <w:bCs/>
                <w:sz w:val="24"/>
                <w:szCs w:val="24"/>
                <w:u w:val="none" w:color="auto"/>
                <w:vertAlign w:val="baseline"/>
                <w:lang w:val="en-US" w:eastAsia="zh-CN"/>
              </w:rPr>
              <w:t>、</w:t>
            </w:r>
            <w:r>
              <w:rPr>
                <w:rFonts w:hint="default" w:ascii="Times New Roman" w:hAnsi="Times New Roman" w:eastAsia="宋体" w:cs="Times New Roman"/>
                <w:b w:val="0"/>
                <w:bCs/>
                <w:sz w:val="24"/>
                <w:szCs w:val="24"/>
                <w:u w:val="none" w:color="auto"/>
                <w:lang w:val="en-US" w:eastAsia="zh-CN"/>
              </w:rPr>
              <w:t>P</w:t>
            </w:r>
            <w:r>
              <w:rPr>
                <w:rFonts w:hint="eastAsia" w:ascii="Times New Roman" w:hAnsi="Times New Roman" w:eastAsia="宋体" w:cs="Times New Roman"/>
                <w:b w:val="0"/>
                <w:bCs/>
                <w:sz w:val="24"/>
                <w:szCs w:val="24"/>
                <w:u w:val="none" w:color="auto"/>
                <w:lang w:val="en-US" w:eastAsia="zh-CN"/>
              </w:rPr>
              <w:t>M</w:t>
            </w:r>
            <w:r>
              <w:rPr>
                <w:rFonts w:hint="eastAsia" w:ascii="Times New Roman" w:hAnsi="Times New Roman" w:eastAsia="宋体" w:cs="Times New Roman"/>
                <w:b w:val="0"/>
                <w:bCs/>
                <w:sz w:val="24"/>
                <w:szCs w:val="24"/>
                <w:u w:val="none" w:color="auto"/>
                <w:vertAlign w:val="subscript"/>
                <w:lang w:val="en-US" w:eastAsia="zh-CN"/>
              </w:rPr>
              <w:t>10</w:t>
            </w:r>
            <w:r>
              <w:rPr>
                <w:rFonts w:hint="default" w:ascii="Times New Roman" w:hAnsi="Times New Roman" w:eastAsia="宋体" w:cs="Times New Roman"/>
                <w:b w:val="0"/>
                <w:bCs/>
                <w:sz w:val="24"/>
                <w:szCs w:val="24"/>
                <w:u w:val="none" w:color="auto"/>
                <w:lang w:val="en-US" w:eastAsia="zh-CN"/>
              </w:rPr>
              <w:t>年均浓度均能满足《环境空气质量标准》(GB3095-2012)中的二级标准限值；故项目所在区域为环境空气质量达标区。</w:t>
            </w:r>
          </w:p>
          <w:p>
            <w:pPr>
              <w:bidi w:val="0"/>
              <w:outlineLvl w:val="9"/>
              <w:rPr>
                <w:rFonts w:hint="eastAsia" w:ascii="Times New Roman" w:hAnsi="Times New Roman" w:cs="Times New Roman"/>
                <w:color w:val="auto"/>
                <w:u w:val="none" w:color="auto"/>
                <w:lang w:eastAsia="zh-CN"/>
              </w:rPr>
            </w:pPr>
            <w:r>
              <w:rPr>
                <w:rFonts w:hint="eastAsia"/>
                <w:b/>
                <w:bCs/>
                <w:color w:val="auto"/>
                <w:u w:val="none" w:color="auto"/>
              </w:rPr>
              <w:t>3.</w:t>
            </w:r>
            <w:r>
              <w:rPr>
                <w:rFonts w:hint="eastAsia"/>
                <w:b/>
                <w:bCs/>
                <w:color w:val="auto"/>
                <w:u w:val="none" w:color="auto"/>
                <w:lang w:val="en-US" w:eastAsia="zh-CN"/>
              </w:rPr>
              <w:t>2</w:t>
            </w:r>
            <w:r>
              <w:rPr>
                <w:rFonts w:hint="eastAsia"/>
                <w:b/>
                <w:bCs/>
                <w:color w:val="auto"/>
                <w:u w:val="none" w:color="auto"/>
              </w:rPr>
              <w:t>地表水环境</w:t>
            </w:r>
            <w:r>
              <w:rPr>
                <w:rFonts w:hint="eastAsia"/>
                <w:b/>
                <w:bCs/>
                <w:color w:val="auto"/>
                <w:u w:val="none" w:color="auto"/>
                <w:lang w:val="en-US" w:eastAsia="zh-CN"/>
              </w:rPr>
              <w:t>质量现状</w:t>
            </w:r>
          </w:p>
          <w:p>
            <w:pPr>
              <w:bidi w:val="0"/>
              <w:ind w:firstLine="480" w:firstLineChars="200"/>
              <w:outlineLvl w:val="9"/>
              <w:rPr>
                <w:rFonts w:hint="eastAsia" w:ascii="Times New Roman" w:hAnsi="Times New Roman" w:cs="Times New Roman"/>
                <w:color w:val="auto"/>
                <w:u w:val="none" w:color="auto"/>
                <w:lang w:eastAsia="zh-CN"/>
              </w:rPr>
            </w:pPr>
            <w:r>
              <w:rPr>
                <w:rFonts w:ascii="Times New Roman" w:hAnsi="Times New Roman"/>
                <w:color w:val="auto"/>
                <w:u w:val="none" w:color="auto"/>
                <w:lang w:eastAsia="zh-CN"/>
              </w:rPr>
              <w:t>根据《湖南省主要水系地表水环境功能区划》（DB43-023-2005），</w:t>
            </w:r>
            <w:r>
              <w:rPr>
                <w:rFonts w:hint="eastAsia"/>
                <w:color w:val="auto"/>
                <w:u w:val="none" w:color="auto"/>
                <w:lang w:val="en-US" w:eastAsia="zh-CN"/>
              </w:rPr>
              <w:t>白河</w:t>
            </w:r>
            <w:r>
              <w:rPr>
                <w:rFonts w:hint="eastAsia" w:ascii="Times New Roman" w:hAnsi="Times New Roman"/>
                <w:color w:val="auto"/>
                <w:u w:val="none" w:color="auto"/>
                <w:lang w:eastAsia="zh-CN"/>
              </w:rPr>
              <w:t>入湘江口</w:t>
            </w:r>
            <w:r>
              <w:rPr>
                <w:rFonts w:hint="eastAsia"/>
                <w:color w:val="auto"/>
                <w:u w:val="none" w:color="auto"/>
                <w:lang w:val="en-US" w:eastAsia="zh-CN"/>
              </w:rPr>
              <w:t>断面</w:t>
            </w:r>
            <w:r>
              <w:rPr>
                <w:rFonts w:ascii="Times New Roman" w:hAnsi="Times New Roman"/>
                <w:color w:val="auto"/>
                <w:u w:val="none" w:color="auto"/>
                <w:lang w:eastAsia="zh-CN"/>
              </w:rPr>
              <w:t>执行《地表水环境质量标准》（GB3838-2002）中Ⅲ类标准。</w:t>
            </w:r>
            <w:r>
              <w:rPr>
                <w:rFonts w:hint="eastAsia" w:ascii="Times New Roman" w:hAnsi="Times New Roman"/>
                <w:color w:val="auto"/>
                <w:u w:val="none" w:color="auto"/>
                <w:lang w:eastAsia="zh-CN"/>
              </w:rPr>
              <w:t>为了解该区域</w:t>
            </w:r>
            <w:r>
              <w:rPr>
                <w:rFonts w:hint="eastAsia"/>
                <w:color w:val="auto"/>
                <w:u w:val="none" w:color="auto"/>
                <w:lang w:val="en-US" w:eastAsia="zh-CN"/>
              </w:rPr>
              <w:t>地表</w:t>
            </w:r>
            <w:r>
              <w:rPr>
                <w:rFonts w:hint="eastAsia" w:ascii="Times New Roman" w:hAnsi="Times New Roman"/>
                <w:color w:val="auto"/>
                <w:u w:val="none" w:color="auto"/>
                <w:lang w:eastAsia="zh-CN"/>
              </w:rPr>
              <w:t>水环境质量现状，本次环评引用</w:t>
            </w:r>
            <w:r>
              <w:rPr>
                <w:rFonts w:hint="eastAsia"/>
                <w:color w:val="auto"/>
                <w:u w:val="none" w:color="auto"/>
                <w:lang w:val="en-US" w:eastAsia="zh-CN"/>
              </w:rPr>
              <w:t>衡阳</w:t>
            </w:r>
            <w:r>
              <w:rPr>
                <w:rFonts w:hint="eastAsia" w:ascii="Times New Roman" w:hAnsi="Times New Roman"/>
                <w:color w:val="auto"/>
                <w:u w:val="none" w:color="auto"/>
                <w:lang w:eastAsia="zh-CN"/>
              </w:rPr>
              <w:t>生态环境局发布的202</w:t>
            </w:r>
            <w:r>
              <w:rPr>
                <w:rFonts w:hint="eastAsia"/>
                <w:color w:val="auto"/>
                <w:u w:val="none" w:color="auto"/>
                <w:lang w:val="en-US" w:eastAsia="zh-CN"/>
              </w:rPr>
              <w:t>3</w:t>
            </w:r>
            <w:r>
              <w:rPr>
                <w:rFonts w:hint="eastAsia" w:ascii="Times New Roman" w:hAnsi="Times New Roman"/>
                <w:color w:val="auto"/>
                <w:u w:val="none" w:color="auto"/>
                <w:lang w:eastAsia="zh-CN"/>
              </w:rPr>
              <w:t>年1月~202</w:t>
            </w:r>
            <w:r>
              <w:rPr>
                <w:rFonts w:hint="eastAsia"/>
                <w:color w:val="auto"/>
                <w:u w:val="none" w:color="auto"/>
                <w:lang w:val="en-US" w:eastAsia="zh-CN"/>
              </w:rPr>
              <w:t>3</w:t>
            </w:r>
            <w:r>
              <w:rPr>
                <w:rFonts w:hint="eastAsia" w:ascii="Times New Roman" w:hAnsi="Times New Roman"/>
                <w:color w:val="auto"/>
                <w:u w:val="none" w:color="auto"/>
                <w:lang w:eastAsia="zh-CN"/>
              </w:rPr>
              <w:t>年1</w:t>
            </w:r>
            <w:r>
              <w:rPr>
                <w:rFonts w:hint="eastAsia"/>
                <w:color w:val="auto"/>
                <w:u w:val="none" w:color="auto"/>
                <w:lang w:val="en-US" w:eastAsia="zh-CN"/>
              </w:rPr>
              <w:t>2</w:t>
            </w:r>
            <w:r>
              <w:rPr>
                <w:rFonts w:hint="eastAsia" w:ascii="Times New Roman" w:hAnsi="Times New Roman"/>
                <w:color w:val="auto"/>
                <w:u w:val="none" w:color="auto"/>
                <w:lang w:eastAsia="zh-CN"/>
              </w:rPr>
              <w:t>月</w:t>
            </w:r>
            <w:r>
              <w:rPr>
                <w:rFonts w:hint="eastAsia"/>
                <w:color w:val="auto"/>
                <w:u w:val="none" w:color="auto"/>
                <w:lang w:val="en-US" w:eastAsia="zh-CN"/>
              </w:rPr>
              <w:t>衡阳市地表水环境质量状况的通报</w:t>
            </w:r>
            <w:r>
              <w:rPr>
                <w:rFonts w:hint="eastAsia" w:ascii="Times New Roman" w:hAnsi="Times New Roman" w:cs="Times New Roman"/>
                <w:color w:val="auto"/>
                <w:u w:val="none" w:color="auto"/>
                <w:lang w:eastAsia="zh-CN"/>
              </w:rPr>
              <w:t>，具体监测情况详见下表。</w:t>
            </w:r>
          </w:p>
          <w:p>
            <w:pPr>
              <w:bidi w:val="0"/>
              <w:jc w:val="center"/>
              <w:outlineLvl w:val="9"/>
              <w:rPr>
                <w:rFonts w:hint="default" w:ascii="Times New Roman" w:hAnsi="Times New Roman" w:cs="Times New Roman"/>
                <w:b/>
                <w:bCs/>
                <w:color w:val="auto"/>
                <w:u w:val="none" w:color="auto"/>
                <w:lang w:val="en-US" w:eastAsia="zh-CN"/>
              </w:rPr>
            </w:pPr>
            <w:r>
              <w:rPr>
                <w:rFonts w:hint="eastAsia" w:ascii="Times New Roman" w:hAnsi="Times New Roman" w:cs="Times New Roman"/>
                <w:b/>
                <w:bCs/>
                <w:color w:val="auto"/>
                <w:u w:val="none" w:color="auto"/>
                <w:lang w:val="en-US" w:eastAsia="zh-CN"/>
              </w:rPr>
              <w:t>表3-</w:t>
            </w:r>
            <w:r>
              <w:rPr>
                <w:rFonts w:hint="eastAsia" w:cs="Times New Roman"/>
                <w:b/>
                <w:bCs/>
                <w:color w:val="auto"/>
                <w:u w:val="none" w:color="auto"/>
                <w:lang w:val="en-US" w:eastAsia="zh-CN"/>
              </w:rPr>
              <w:t>2</w:t>
            </w:r>
            <w:r>
              <w:rPr>
                <w:rFonts w:hint="eastAsia" w:ascii="Times New Roman" w:hAnsi="Times New Roman" w:cs="Times New Roman"/>
                <w:b/>
                <w:bCs/>
                <w:color w:val="auto"/>
                <w:u w:val="none" w:color="auto"/>
                <w:lang w:val="en-US" w:eastAsia="zh-CN"/>
              </w:rPr>
              <w:t xml:space="preserve">  地表水环境质量现状监测结果</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807"/>
              <w:gridCol w:w="782"/>
              <w:gridCol w:w="554"/>
              <w:gridCol w:w="585"/>
              <w:gridCol w:w="608"/>
              <w:gridCol w:w="624"/>
              <w:gridCol w:w="600"/>
              <w:gridCol w:w="591"/>
              <w:gridCol w:w="591"/>
              <w:gridCol w:w="591"/>
              <w:gridCol w:w="593"/>
              <w:gridCol w:w="591"/>
              <w:gridCol w:w="593"/>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监测断面</w:t>
                  </w:r>
                </w:p>
              </w:tc>
              <w:tc>
                <w:tcPr>
                  <w:tcW w:w="43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所在</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河流</w:t>
                  </w:r>
                </w:p>
              </w:tc>
              <w:tc>
                <w:tcPr>
                  <w:tcW w:w="4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执行标准</w:t>
                  </w:r>
                </w:p>
              </w:tc>
              <w:tc>
                <w:tcPr>
                  <w:tcW w:w="3839"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0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eastAsia" w:cs="Times New Roman"/>
                      <w:b w:val="0"/>
                      <w:bCs w:val="0"/>
                      <w:color w:val="auto"/>
                      <w:sz w:val="21"/>
                      <w:szCs w:val="21"/>
                      <w:u w:val="none" w:color="auto"/>
                      <w:vertAlign w:val="baseline"/>
                      <w:lang w:val="en-US" w:eastAsia="zh-CN"/>
                    </w:rPr>
                  </w:pPr>
                </w:p>
              </w:tc>
              <w:tc>
                <w:tcPr>
                  <w:tcW w:w="4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s="Times New Roman"/>
                      <w:b w:val="0"/>
                      <w:bCs w:val="0"/>
                      <w:color w:val="auto"/>
                      <w:sz w:val="21"/>
                      <w:szCs w:val="21"/>
                      <w:u w:val="none" w:color="auto"/>
                      <w:vertAlign w:val="baseline"/>
                      <w:lang w:val="en-US" w:eastAsia="zh-CN"/>
                    </w:rPr>
                  </w:pPr>
                </w:p>
              </w:tc>
              <w:tc>
                <w:tcPr>
                  <w:tcW w:w="2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1月</w:t>
                  </w:r>
                </w:p>
              </w:tc>
              <w:tc>
                <w:tcPr>
                  <w:tcW w:w="3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2月</w:t>
                  </w:r>
                </w:p>
              </w:tc>
              <w:tc>
                <w:tcPr>
                  <w:tcW w:w="3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3月</w:t>
                  </w:r>
                </w:p>
              </w:tc>
              <w:tc>
                <w:tcPr>
                  <w:tcW w:w="3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4月</w:t>
                  </w:r>
                </w:p>
              </w:tc>
              <w:tc>
                <w:tcPr>
                  <w:tcW w:w="5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5月</w:t>
                  </w:r>
                </w:p>
              </w:tc>
              <w:tc>
                <w:tcPr>
                  <w:tcW w:w="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6月</w:t>
                  </w:r>
                </w:p>
              </w:tc>
              <w:tc>
                <w:tcPr>
                  <w:tcW w:w="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7月</w:t>
                  </w:r>
                </w:p>
              </w:tc>
              <w:tc>
                <w:tcPr>
                  <w:tcW w:w="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8月</w:t>
                  </w:r>
                </w:p>
              </w:tc>
              <w:tc>
                <w:tcPr>
                  <w:tcW w:w="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9月</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10月</w:t>
                  </w:r>
                </w:p>
              </w:tc>
              <w:tc>
                <w:tcPr>
                  <w:tcW w:w="5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11月</w:t>
                  </w:r>
                </w:p>
              </w:tc>
              <w:tc>
                <w:tcPr>
                  <w:tcW w:w="5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120" w:leftChars="-50" w:right="-120" w:rightChars="-50"/>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白河</w:t>
                  </w:r>
                  <w:r>
                    <w:rPr>
                      <w:rFonts w:hint="default" w:ascii="Times New Roman" w:hAnsi="Times New Roman" w:cs="Times New Roman"/>
                      <w:b w:val="0"/>
                      <w:bCs w:val="0"/>
                      <w:color w:val="auto"/>
                      <w:sz w:val="21"/>
                      <w:szCs w:val="21"/>
                      <w:u w:val="none" w:color="auto"/>
                      <w:vertAlign w:val="baseline"/>
                      <w:lang w:val="en-US" w:eastAsia="zh-CN"/>
                    </w:rPr>
                    <w:t>入湘江口</w:t>
                  </w:r>
                </w:p>
              </w:tc>
              <w:tc>
                <w:tcPr>
                  <w:tcW w:w="4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白河</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III类</w:t>
                  </w:r>
                </w:p>
              </w:tc>
              <w:tc>
                <w:tcPr>
                  <w:tcW w:w="2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III类</w:t>
                  </w:r>
                </w:p>
              </w:tc>
              <w:tc>
                <w:tcPr>
                  <w:tcW w:w="5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III类</w:t>
                  </w:r>
                </w:p>
              </w:tc>
              <w:tc>
                <w:tcPr>
                  <w:tcW w:w="5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III类</w:t>
                  </w:r>
                </w:p>
              </w:tc>
              <w:tc>
                <w:tcPr>
                  <w:tcW w:w="6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III类</w:t>
                  </w:r>
                </w:p>
              </w:tc>
              <w:tc>
                <w:tcPr>
                  <w:tcW w:w="3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II</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类</w:t>
                  </w:r>
                </w:p>
              </w:tc>
              <w:tc>
                <w:tcPr>
                  <w:tcW w:w="3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II</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类</w:t>
                  </w:r>
                </w:p>
              </w:tc>
              <w:tc>
                <w:tcPr>
                  <w:tcW w:w="3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III类</w:t>
                  </w:r>
                </w:p>
              </w:tc>
              <w:tc>
                <w:tcPr>
                  <w:tcW w:w="5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II</w:t>
                  </w:r>
                  <w:r>
                    <w:rPr>
                      <w:rFonts w:hint="default" w:ascii="Times New Roman" w:hAnsi="Times New Roman" w:cs="Times New Roman"/>
                      <w:b w:val="0"/>
                      <w:bCs w:val="0"/>
                      <w:color w:val="auto"/>
                      <w:sz w:val="21"/>
                      <w:szCs w:val="21"/>
                      <w:u w:val="none" w:color="auto"/>
                      <w:vertAlign w:val="baseline"/>
                      <w:lang w:val="en-US" w:eastAsia="zh-CN"/>
                    </w:rPr>
                    <w:t>类</w:t>
                  </w:r>
                </w:p>
              </w:tc>
              <w:tc>
                <w:tcPr>
                  <w:tcW w:w="5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II</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类</w:t>
                  </w:r>
                </w:p>
              </w:tc>
              <w:tc>
                <w:tcPr>
                  <w:tcW w:w="5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II</w:t>
                  </w:r>
                  <w:r>
                    <w:rPr>
                      <w:rFonts w:hint="default" w:ascii="Times New Roman" w:hAnsi="Times New Roman" w:cs="Times New Roman"/>
                      <w:b w:val="0"/>
                      <w:bCs w:val="0"/>
                      <w:color w:val="auto"/>
                      <w:sz w:val="21"/>
                      <w:szCs w:val="21"/>
                      <w:u w:val="none" w:color="auto"/>
                      <w:vertAlign w:val="baseline"/>
                      <w:lang w:val="en-US" w:eastAsia="zh-CN"/>
                    </w:rPr>
                    <w:t>类</w:t>
                  </w:r>
                </w:p>
              </w:tc>
              <w:tc>
                <w:tcPr>
                  <w:tcW w:w="5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II</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default" w:ascii="Times New Roman" w:hAnsi="Times New Roman" w:cs="Times New Roman"/>
                      <w:b w:val="0"/>
                      <w:bCs w:val="0"/>
                      <w:color w:val="auto"/>
                      <w:sz w:val="21"/>
                      <w:szCs w:val="21"/>
                      <w:u w:val="none" w:color="auto"/>
                      <w:vertAlign w:val="baseline"/>
                      <w:lang w:val="en-US" w:eastAsia="zh-CN"/>
                    </w:rPr>
                    <w:t>类</w:t>
                  </w:r>
                </w:p>
              </w:tc>
              <w:tc>
                <w:tcPr>
                  <w:tcW w:w="6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b w:val="0"/>
                      <w:bCs w:val="0"/>
                      <w:color w:val="auto"/>
                      <w:sz w:val="21"/>
                      <w:szCs w:val="21"/>
                      <w:u w:val="none" w:color="auto"/>
                      <w:vertAlign w:val="baseline"/>
                      <w:lang w:val="en-US" w:eastAsia="zh-CN"/>
                    </w:rPr>
                  </w:pPr>
                  <w:r>
                    <w:rPr>
                      <w:rFonts w:hint="eastAsia" w:cs="Times New Roman"/>
                      <w:b w:val="0"/>
                      <w:bCs w:val="0"/>
                      <w:color w:val="auto"/>
                      <w:sz w:val="21"/>
                      <w:szCs w:val="21"/>
                      <w:u w:val="none" w:color="auto"/>
                      <w:vertAlign w:val="baseline"/>
                      <w:lang w:val="en-US" w:eastAsia="zh-CN"/>
                    </w:rPr>
                    <w:t>III</w:t>
                  </w:r>
                  <w:r>
                    <w:rPr>
                      <w:rFonts w:hint="default" w:ascii="Times New Roman" w:hAnsi="Times New Roman" w:cs="Times New Roman"/>
                      <w:b w:val="0"/>
                      <w:bCs w:val="0"/>
                      <w:color w:val="auto"/>
                      <w:sz w:val="21"/>
                      <w:szCs w:val="21"/>
                      <w:u w:val="none" w:color="auto"/>
                      <w:vertAlign w:val="baseline"/>
                      <w:lang w:val="en-US" w:eastAsia="zh-CN"/>
                    </w:rPr>
                    <w:t>类</w:t>
                  </w:r>
                </w:p>
              </w:tc>
            </w:tr>
          </w:tbl>
          <w:p>
            <w:pPr>
              <w:bidi w:val="0"/>
              <w:ind w:firstLine="480" w:firstLineChars="200"/>
              <w:outlineLvl w:val="9"/>
              <w:rPr>
                <w:rFonts w:hint="eastAsia" w:ascii="Times New Roman" w:hAnsi="Times New Roman" w:cs="Times New Roman"/>
                <w:color w:val="auto"/>
                <w:u w:val="none" w:color="auto"/>
                <w:lang w:eastAsia="zh-CN"/>
              </w:rPr>
            </w:pPr>
            <w:r>
              <w:rPr>
                <w:rFonts w:hint="eastAsia" w:ascii="Times New Roman" w:hAnsi="Times New Roman" w:cs="Times New Roman"/>
                <w:color w:val="auto"/>
                <w:u w:val="none" w:color="auto"/>
                <w:lang w:eastAsia="zh-CN"/>
              </w:rPr>
              <w:t>从上表监测结果可知，监测断面能够满足《地表水环境质量标准》（GB3838-2002）中</w:t>
            </w:r>
            <w:r>
              <w:rPr>
                <w:rFonts w:hint="eastAsia" w:ascii="Times New Roman" w:hAnsi="Times New Roman" w:cs="Times New Roman"/>
                <w:color w:val="auto"/>
                <w:u w:val="none" w:color="auto"/>
                <w:lang w:val="en-US" w:eastAsia="zh-CN"/>
              </w:rPr>
              <w:t>III</w:t>
            </w:r>
            <w:r>
              <w:rPr>
                <w:rFonts w:hint="eastAsia" w:ascii="Times New Roman" w:hAnsi="Times New Roman" w:cs="Times New Roman"/>
                <w:color w:val="auto"/>
                <w:u w:val="none" w:color="auto"/>
                <w:lang w:eastAsia="zh-CN"/>
              </w:rPr>
              <w:t>类水质标准限值，区域水环境质量良好。</w:t>
            </w:r>
          </w:p>
          <w:p>
            <w:pPr>
              <w:bidi w:val="0"/>
              <w:outlineLvl w:val="9"/>
              <w:rPr>
                <w:rFonts w:hint="eastAsia" w:ascii="Times New Roman" w:hAnsi="Times New Roman" w:cs="Times New Roman"/>
                <w:color w:val="auto"/>
                <w:u w:val="none" w:color="auto"/>
                <w:lang w:eastAsia="zh-CN"/>
              </w:rPr>
            </w:pPr>
            <w:r>
              <w:rPr>
                <w:rFonts w:hint="eastAsia"/>
                <w:b/>
                <w:bCs/>
                <w:color w:val="auto"/>
                <w:u w:val="none" w:color="auto"/>
              </w:rPr>
              <w:t>3.</w:t>
            </w:r>
            <w:r>
              <w:rPr>
                <w:rFonts w:hint="eastAsia"/>
                <w:b/>
                <w:bCs/>
                <w:color w:val="auto"/>
                <w:u w:val="none" w:color="auto"/>
                <w:lang w:val="en-US" w:eastAsia="zh-CN"/>
              </w:rPr>
              <w:t>3</w:t>
            </w:r>
            <w:r>
              <w:rPr>
                <w:rFonts w:hint="eastAsia"/>
                <w:b/>
                <w:bCs/>
                <w:color w:val="auto"/>
                <w:u w:val="none" w:color="auto"/>
              </w:rPr>
              <w:t>声环境质量现状</w:t>
            </w:r>
          </w:p>
          <w:p>
            <w:pPr>
              <w:bidi w:val="0"/>
              <w:ind w:firstLine="480" w:firstLineChars="200"/>
              <w:rPr>
                <w:rFonts w:hint="eastAsia"/>
                <w:color w:val="auto"/>
                <w:u w:val="none" w:color="auto"/>
              </w:rPr>
            </w:pPr>
            <w:r>
              <w:rPr>
                <w:rFonts w:hint="eastAsia"/>
                <w:color w:val="auto"/>
                <w:u w:val="none" w:color="auto"/>
              </w:rPr>
              <w:t>为了解项目所在区域声环境质量现状，本次评价委托</w:t>
            </w:r>
            <w:r>
              <w:rPr>
                <w:rFonts w:hint="eastAsia"/>
                <w:color w:val="auto"/>
                <w:u w:val="none" w:color="auto"/>
                <w:lang w:val="en-US" w:eastAsia="zh-CN"/>
              </w:rPr>
              <w:t>有资质单位</w:t>
            </w:r>
            <w:r>
              <w:rPr>
                <w:rFonts w:hint="eastAsia"/>
                <w:color w:val="auto"/>
                <w:u w:val="none" w:color="auto"/>
              </w:rPr>
              <w:t>于202</w:t>
            </w:r>
            <w:r>
              <w:rPr>
                <w:rFonts w:hint="eastAsia"/>
                <w:color w:val="auto"/>
                <w:u w:val="none" w:color="auto"/>
                <w:lang w:val="en-US" w:eastAsia="zh-CN"/>
              </w:rPr>
              <w:t>4</w:t>
            </w:r>
            <w:r>
              <w:rPr>
                <w:rFonts w:hint="eastAsia"/>
                <w:color w:val="auto"/>
                <w:u w:val="none" w:color="auto"/>
              </w:rPr>
              <w:t>年对项目区域声环境进行了监测，具体监测情况如下。</w:t>
            </w:r>
          </w:p>
          <w:p>
            <w:pPr>
              <w:bidi w:val="0"/>
              <w:jc w:val="center"/>
              <w:rPr>
                <w:rFonts w:hint="eastAsia" w:eastAsia="宋体"/>
                <w:b/>
                <w:bCs/>
                <w:color w:val="auto"/>
                <w:u w:val="none" w:color="auto"/>
                <w:lang w:val="en-US" w:eastAsia="zh-CN"/>
              </w:rPr>
            </w:pPr>
            <w:r>
              <w:rPr>
                <w:rFonts w:hint="eastAsia"/>
                <w:b/>
                <w:bCs/>
                <w:color w:val="auto"/>
                <w:u w:val="none" w:color="auto"/>
              </w:rPr>
              <w:t>表3-</w:t>
            </w:r>
            <w:r>
              <w:rPr>
                <w:rFonts w:hint="eastAsia"/>
                <w:b/>
                <w:bCs/>
                <w:color w:val="auto"/>
                <w:u w:val="none" w:color="auto"/>
                <w:lang w:val="en-US" w:eastAsia="zh-CN"/>
              </w:rPr>
              <w:t>3</w:t>
            </w:r>
            <w:r>
              <w:rPr>
                <w:rFonts w:hint="eastAsia"/>
                <w:b/>
                <w:bCs/>
                <w:color w:val="auto"/>
                <w:u w:val="none" w:color="auto"/>
              </w:rPr>
              <w:t xml:space="preserve">  声环境监测点位</w:t>
            </w:r>
            <w:r>
              <w:rPr>
                <w:rFonts w:hint="eastAsia"/>
                <w:b/>
                <w:bCs/>
                <w:color w:val="auto"/>
                <w:u w:val="none" w:color="auto"/>
                <w:lang w:val="en-US" w:eastAsia="zh-CN"/>
              </w:rPr>
              <w:t>表</w:t>
            </w:r>
          </w:p>
          <w:tbl>
            <w:tblPr>
              <w:tblStyle w:val="2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2957"/>
              <w:gridCol w:w="1425"/>
              <w:gridCol w:w="1430"/>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81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val="0"/>
                      <w:bCs/>
                      <w:color w:val="auto"/>
                      <w:sz w:val="21"/>
                      <w:szCs w:val="21"/>
                      <w:u w:val="none" w:color="auto"/>
                    </w:rPr>
                  </w:pPr>
                  <w:r>
                    <w:rPr>
                      <w:b w:val="0"/>
                      <w:bCs/>
                      <w:color w:val="auto"/>
                      <w:sz w:val="21"/>
                      <w:szCs w:val="21"/>
                      <w:u w:val="none" w:color="auto"/>
                    </w:rPr>
                    <w:t>编号</w:t>
                  </w:r>
                </w:p>
              </w:tc>
              <w:tc>
                <w:tcPr>
                  <w:tcW w:w="159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val="0"/>
                      <w:bCs/>
                      <w:color w:val="auto"/>
                      <w:sz w:val="21"/>
                      <w:szCs w:val="21"/>
                      <w:u w:val="none" w:color="auto"/>
                    </w:rPr>
                  </w:pPr>
                  <w:r>
                    <w:rPr>
                      <w:b w:val="0"/>
                      <w:bCs/>
                      <w:color w:val="auto"/>
                      <w:sz w:val="21"/>
                      <w:szCs w:val="21"/>
                      <w:u w:val="none" w:color="auto"/>
                    </w:rPr>
                    <w:t>监测</w:t>
                  </w:r>
                  <w:r>
                    <w:rPr>
                      <w:rFonts w:hint="eastAsia"/>
                      <w:b w:val="0"/>
                      <w:bCs/>
                      <w:color w:val="auto"/>
                      <w:sz w:val="21"/>
                      <w:szCs w:val="21"/>
                      <w:u w:val="none" w:color="auto"/>
                      <w:lang w:eastAsia="zh-CN"/>
                    </w:rPr>
                    <w:t>点位</w:t>
                  </w:r>
                </w:p>
              </w:tc>
              <w:tc>
                <w:tcPr>
                  <w:tcW w:w="76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color w:val="auto"/>
                      <w:sz w:val="21"/>
                      <w:szCs w:val="21"/>
                      <w:u w:val="none" w:color="auto"/>
                    </w:rPr>
                  </w:pPr>
                  <w:r>
                    <w:rPr>
                      <w:rFonts w:hint="eastAsia"/>
                      <w:b w:val="0"/>
                      <w:bCs/>
                      <w:color w:val="auto"/>
                      <w:sz w:val="21"/>
                      <w:szCs w:val="21"/>
                      <w:u w:val="none" w:color="auto"/>
                    </w:rPr>
                    <w:t>监测</w:t>
                  </w:r>
                  <w:r>
                    <w:rPr>
                      <w:rFonts w:hint="eastAsia"/>
                      <w:b w:val="0"/>
                      <w:bCs/>
                      <w:color w:val="auto"/>
                      <w:sz w:val="21"/>
                      <w:szCs w:val="21"/>
                      <w:u w:val="none" w:color="auto"/>
                      <w:lang w:val="en-US" w:eastAsia="zh-CN"/>
                    </w:rPr>
                    <w:t>项目</w:t>
                  </w:r>
                </w:p>
              </w:tc>
              <w:tc>
                <w:tcPr>
                  <w:tcW w:w="77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val="0"/>
                      <w:bCs/>
                      <w:color w:val="auto"/>
                      <w:sz w:val="21"/>
                      <w:szCs w:val="21"/>
                      <w:u w:val="none" w:color="auto"/>
                    </w:rPr>
                  </w:pPr>
                  <w:r>
                    <w:rPr>
                      <w:rFonts w:hint="eastAsia"/>
                      <w:b w:val="0"/>
                      <w:bCs/>
                      <w:color w:val="auto"/>
                      <w:sz w:val="21"/>
                      <w:szCs w:val="21"/>
                      <w:u w:val="none" w:color="auto"/>
                    </w:rPr>
                    <w:t>监测频次</w:t>
                  </w:r>
                </w:p>
              </w:tc>
              <w:tc>
                <w:tcPr>
                  <w:tcW w:w="105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val="0"/>
                      <w:bCs/>
                      <w:color w:val="auto"/>
                      <w:sz w:val="21"/>
                      <w:szCs w:val="21"/>
                      <w:u w:val="none" w:color="auto"/>
                    </w:rPr>
                  </w:pPr>
                  <w:r>
                    <w:rPr>
                      <w:rFonts w:hint="eastAsia" w:ascii="Times New Roman" w:hAnsi="Times New Roman" w:cs="Times New Roman"/>
                      <w:color w:val="auto"/>
                      <w:sz w:val="21"/>
                      <w:szCs w:val="21"/>
                      <w:u w:val="none" w:color="auto"/>
                      <w:vertAlign w:val="baseli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pct"/>
                  <w:tcBorders>
                    <w:tl2br w:val="nil"/>
                    <w:tr2bl w:val="nil"/>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color w:val="auto"/>
                      <w:sz w:val="21"/>
                      <w:szCs w:val="21"/>
                      <w:u w:val="none" w:color="auto"/>
                      <w:lang w:val="en-US"/>
                    </w:rPr>
                  </w:pPr>
                  <w:r>
                    <w:rPr>
                      <w:rFonts w:hint="eastAsia" w:cs="Times New Roman"/>
                      <w:color w:val="auto"/>
                      <w:sz w:val="21"/>
                      <w:szCs w:val="21"/>
                      <w:u w:val="none" w:color="auto"/>
                      <w:vertAlign w:val="baseline"/>
                      <w:lang w:val="en-US" w:eastAsia="zh-CN"/>
                    </w:rPr>
                    <w:t>N1</w:t>
                  </w:r>
                </w:p>
              </w:tc>
              <w:tc>
                <w:tcPr>
                  <w:tcW w:w="1592" w:type="pct"/>
                  <w:tcBorders>
                    <w:tl2br w:val="nil"/>
                    <w:tr2bl w:val="nil"/>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eastAsiaTheme="minorEastAsia"/>
                      <w:color w:val="auto"/>
                      <w:sz w:val="21"/>
                      <w:szCs w:val="21"/>
                      <w:u w:val="none" w:color="auto"/>
                      <w:lang w:val="en-US" w:eastAsia="zh-CN"/>
                    </w:rPr>
                  </w:pPr>
                  <w:r>
                    <w:rPr>
                      <w:rFonts w:hint="eastAsia" w:eastAsia="宋体" w:cs="Times New Roman"/>
                      <w:color w:val="auto"/>
                      <w:sz w:val="21"/>
                      <w:szCs w:val="21"/>
                      <w:u w:val="none" w:color="auto"/>
                      <w:vertAlign w:val="baseline"/>
                      <w:lang w:val="en-US" w:eastAsia="zh-CN"/>
                    </w:rPr>
                    <w:t>工</w:t>
                  </w:r>
                </w:p>
              </w:tc>
              <w:tc>
                <w:tcPr>
                  <w:tcW w:w="767"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color w:val="auto"/>
                      <w:sz w:val="21"/>
                      <w:szCs w:val="21"/>
                      <w:u w:val="none" w:color="auto"/>
                      <w:lang w:val="en-US" w:eastAsia="zh-CN"/>
                    </w:rPr>
                  </w:pPr>
                  <w:r>
                    <w:rPr>
                      <w:rFonts w:hint="default" w:eastAsiaTheme="minorEastAsia"/>
                      <w:color w:val="auto"/>
                      <w:sz w:val="21"/>
                      <w:szCs w:val="21"/>
                      <w:u w:val="none" w:color="auto"/>
                      <w:lang w:val="en-US" w:eastAsia="zh-CN"/>
                    </w:rPr>
                    <w:t>等效连续A声级Leq</w:t>
                  </w:r>
                  <w:r>
                    <w:rPr>
                      <w:rFonts w:hint="eastAsia"/>
                      <w:color w:val="auto"/>
                      <w:sz w:val="21"/>
                      <w:szCs w:val="21"/>
                      <w:u w:val="none" w:color="auto"/>
                      <w:lang w:val="en-US" w:eastAsia="zh-CN"/>
                    </w:rPr>
                    <w:t>（</w:t>
                  </w:r>
                  <w:r>
                    <w:rPr>
                      <w:rFonts w:hint="default" w:eastAsiaTheme="minorEastAsia"/>
                      <w:color w:val="auto"/>
                      <w:sz w:val="21"/>
                      <w:szCs w:val="21"/>
                      <w:u w:val="none" w:color="auto"/>
                      <w:lang w:val="en-US" w:eastAsia="zh-CN"/>
                    </w:rPr>
                    <w:t>A</w:t>
                  </w:r>
                  <w:r>
                    <w:rPr>
                      <w:rFonts w:hint="eastAsia"/>
                      <w:color w:val="auto"/>
                      <w:sz w:val="21"/>
                      <w:szCs w:val="21"/>
                      <w:u w:val="none" w:color="auto"/>
                      <w:lang w:val="en-US" w:eastAsia="zh-CN"/>
                    </w:rPr>
                    <w:t>）</w:t>
                  </w:r>
                </w:p>
              </w:tc>
              <w:tc>
                <w:tcPr>
                  <w:tcW w:w="770"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Theme="minorEastAsia"/>
                      <w:color w:val="auto"/>
                      <w:sz w:val="21"/>
                      <w:szCs w:val="21"/>
                      <w:u w:val="none" w:color="auto"/>
                      <w:lang w:val="en-US" w:eastAsia="zh-CN"/>
                    </w:rPr>
                  </w:pPr>
                  <w:r>
                    <w:rPr>
                      <w:rFonts w:hint="eastAsia" w:cs="Times New Roman"/>
                      <w:color w:val="auto"/>
                      <w:w w:val="100"/>
                      <w:sz w:val="21"/>
                      <w:szCs w:val="21"/>
                      <w:u w:val="none" w:color="auto"/>
                      <w:lang w:val="en-US" w:eastAsia="zh-CN"/>
                    </w:rPr>
                    <w:t>2</w:t>
                  </w:r>
                  <w:r>
                    <w:rPr>
                      <w:rFonts w:hint="eastAsia" w:ascii="Times New Roman" w:hAnsi="Times New Roman" w:cs="Times New Roman"/>
                      <w:color w:val="auto"/>
                      <w:w w:val="100"/>
                      <w:sz w:val="21"/>
                      <w:szCs w:val="21"/>
                      <w:u w:val="none" w:color="auto"/>
                      <w:lang w:val="en-US" w:eastAsia="zh-CN"/>
                    </w:rPr>
                    <w:t>次/天</w:t>
                  </w:r>
                  <w:r>
                    <w:rPr>
                      <w:rFonts w:hint="eastAsia" w:cs="Times New Roman"/>
                      <w:color w:val="auto"/>
                      <w:w w:val="100"/>
                      <w:sz w:val="21"/>
                      <w:szCs w:val="21"/>
                      <w:u w:val="none" w:color="auto"/>
                      <w:lang w:val="en-US" w:eastAsia="zh-CN"/>
                    </w:rPr>
                    <w:t>*1</w:t>
                  </w:r>
                  <w:r>
                    <w:rPr>
                      <w:rFonts w:hint="eastAsia" w:ascii="Times New Roman" w:hAnsi="Times New Roman" w:cs="Times New Roman"/>
                      <w:color w:val="auto"/>
                      <w:w w:val="100"/>
                      <w:sz w:val="21"/>
                      <w:szCs w:val="21"/>
                      <w:u w:val="none" w:color="auto"/>
                      <w:lang w:val="en-US" w:eastAsia="zh-CN"/>
                    </w:rPr>
                    <w:t>天</w:t>
                  </w:r>
                </w:p>
              </w:tc>
              <w:tc>
                <w:tcPr>
                  <w:tcW w:w="1051"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color w:val="auto"/>
                      <w:sz w:val="21"/>
                      <w:szCs w:val="21"/>
                      <w:u w:val="none" w:color="auto"/>
                      <w:lang w:val="en-US" w:eastAsia="zh-CN"/>
                    </w:rPr>
                  </w:pPr>
                  <w:r>
                    <w:rPr>
                      <w:rFonts w:hint="default" w:eastAsiaTheme="minorEastAsia"/>
                      <w:color w:val="auto"/>
                      <w:sz w:val="21"/>
                      <w:szCs w:val="21"/>
                      <w:u w:val="none" w:color="auto"/>
                      <w:lang w:val="en-US" w:eastAsia="zh-CN"/>
                    </w:rPr>
                    <w:t>《声环境质量标准》（GB3096- 2008）中</w:t>
                  </w:r>
                  <w:r>
                    <w:rPr>
                      <w:rFonts w:hint="eastAsia"/>
                      <w:color w:val="auto"/>
                      <w:sz w:val="21"/>
                      <w:szCs w:val="21"/>
                      <w:u w:val="none" w:color="auto"/>
                      <w:lang w:val="en-US" w:eastAsia="zh-CN"/>
                    </w:rPr>
                    <w:t>1</w:t>
                  </w:r>
                  <w:r>
                    <w:rPr>
                      <w:rFonts w:hint="default" w:eastAsiaTheme="minorEastAsia"/>
                      <w:color w:val="auto"/>
                      <w:sz w:val="21"/>
                      <w:szCs w:val="21"/>
                      <w:u w:val="none" w:color="auto"/>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pct"/>
                  <w:tcBorders>
                    <w:tl2br w:val="nil"/>
                    <w:tr2bl w:val="nil"/>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N2</w:t>
                  </w:r>
                </w:p>
              </w:tc>
              <w:tc>
                <w:tcPr>
                  <w:tcW w:w="1592" w:type="pct"/>
                  <w:tcBorders>
                    <w:tl2br w:val="nil"/>
                    <w:tr2bl w:val="nil"/>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eastAsia="宋体" w:cs="Times New Roman"/>
                      <w:color w:val="auto"/>
                      <w:sz w:val="21"/>
                      <w:szCs w:val="21"/>
                      <w:u w:val="none" w:color="auto"/>
                      <w:vertAlign w:val="baseline"/>
                      <w:lang w:val="en-US" w:eastAsia="zh-CN"/>
                    </w:rPr>
                  </w:pPr>
                </w:p>
              </w:tc>
              <w:tc>
                <w:tcPr>
                  <w:tcW w:w="76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color w:val="auto"/>
                      <w:sz w:val="21"/>
                      <w:szCs w:val="21"/>
                      <w:u w:val="none" w:color="auto"/>
                      <w:lang w:val="en-US" w:eastAsia="zh-CN"/>
                    </w:rPr>
                  </w:pPr>
                </w:p>
              </w:tc>
              <w:tc>
                <w:tcPr>
                  <w:tcW w:w="770"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color w:val="auto"/>
                      <w:w w:val="100"/>
                      <w:sz w:val="21"/>
                      <w:szCs w:val="21"/>
                      <w:u w:val="none" w:color="auto"/>
                      <w:lang w:val="en-US" w:eastAsia="zh-CN"/>
                    </w:rPr>
                  </w:pPr>
                </w:p>
              </w:tc>
              <w:tc>
                <w:tcPr>
                  <w:tcW w:w="1051"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pct"/>
                  <w:tcBorders>
                    <w:tl2br w:val="nil"/>
                    <w:tr2bl w:val="nil"/>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N3</w:t>
                  </w:r>
                </w:p>
              </w:tc>
              <w:tc>
                <w:tcPr>
                  <w:tcW w:w="1592" w:type="pct"/>
                  <w:tcBorders>
                    <w:tl2br w:val="nil"/>
                    <w:tr2bl w:val="nil"/>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eastAsia="宋体" w:cs="Times New Roman"/>
                      <w:color w:val="auto"/>
                      <w:sz w:val="21"/>
                      <w:szCs w:val="21"/>
                      <w:u w:val="none" w:color="auto"/>
                      <w:vertAlign w:val="baseline"/>
                      <w:lang w:val="en-US" w:eastAsia="zh-CN"/>
                    </w:rPr>
                  </w:pPr>
                </w:p>
              </w:tc>
              <w:tc>
                <w:tcPr>
                  <w:tcW w:w="76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color w:val="auto"/>
                      <w:sz w:val="21"/>
                      <w:szCs w:val="21"/>
                      <w:u w:val="none" w:color="auto"/>
                      <w:lang w:val="en-US" w:eastAsia="zh-CN"/>
                    </w:rPr>
                  </w:pPr>
                </w:p>
              </w:tc>
              <w:tc>
                <w:tcPr>
                  <w:tcW w:w="770"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color w:val="auto"/>
                      <w:w w:val="100"/>
                      <w:sz w:val="21"/>
                      <w:szCs w:val="21"/>
                      <w:u w:val="none" w:color="auto"/>
                      <w:lang w:val="en-US" w:eastAsia="zh-CN"/>
                    </w:rPr>
                  </w:pPr>
                </w:p>
              </w:tc>
              <w:tc>
                <w:tcPr>
                  <w:tcW w:w="1051"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pct"/>
                  <w:tcBorders>
                    <w:tl2br w:val="nil"/>
                    <w:tr2bl w:val="nil"/>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N4</w:t>
                  </w:r>
                </w:p>
              </w:tc>
              <w:tc>
                <w:tcPr>
                  <w:tcW w:w="1592" w:type="pct"/>
                  <w:tcBorders>
                    <w:tl2br w:val="nil"/>
                    <w:tr2bl w:val="nil"/>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eastAsia="宋体" w:cs="Times New Roman"/>
                      <w:color w:val="auto"/>
                      <w:sz w:val="21"/>
                      <w:szCs w:val="21"/>
                      <w:u w:val="none" w:color="auto"/>
                      <w:vertAlign w:val="baseline"/>
                      <w:lang w:val="en-US" w:eastAsia="zh-CN"/>
                    </w:rPr>
                  </w:pPr>
                </w:p>
              </w:tc>
              <w:tc>
                <w:tcPr>
                  <w:tcW w:w="767"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color w:val="auto"/>
                      <w:sz w:val="21"/>
                      <w:szCs w:val="21"/>
                      <w:u w:val="none" w:color="auto"/>
                      <w:lang w:val="en-US" w:eastAsia="zh-CN"/>
                    </w:rPr>
                  </w:pPr>
                </w:p>
              </w:tc>
              <w:tc>
                <w:tcPr>
                  <w:tcW w:w="770"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s="Times New Roman"/>
                      <w:color w:val="auto"/>
                      <w:w w:val="100"/>
                      <w:sz w:val="21"/>
                      <w:szCs w:val="21"/>
                      <w:u w:val="none" w:color="auto"/>
                      <w:lang w:val="en-US" w:eastAsia="zh-CN"/>
                    </w:rPr>
                  </w:pPr>
                </w:p>
              </w:tc>
              <w:tc>
                <w:tcPr>
                  <w:tcW w:w="1051"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color w:val="auto"/>
                      <w:sz w:val="21"/>
                      <w:szCs w:val="21"/>
                      <w:u w:val="none" w:color="auto"/>
                      <w:lang w:val="en-US" w:eastAsia="zh-CN"/>
                    </w:rPr>
                  </w:pPr>
                </w:p>
              </w:tc>
            </w:tr>
          </w:tbl>
          <w:p>
            <w:pPr>
              <w:numPr>
                <w:ilvl w:val="0"/>
                <w:numId w:val="0"/>
              </w:numPr>
              <w:bidi w:val="0"/>
              <w:ind w:leftChars="200"/>
              <w:rPr>
                <w:rFonts w:hint="eastAsia"/>
                <w:color w:val="auto"/>
                <w:u w:val="none" w:color="auto"/>
              </w:rPr>
            </w:pPr>
            <w:r>
              <w:rPr>
                <w:rFonts w:hint="eastAsia"/>
                <w:color w:val="auto"/>
                <w:u w:val="none" w:color="auto"/>
              </w:rPr>
              <w:t>监测结果见下表。</w:t>
            </w:r>
          </w:p>
          <w:p>
            <w:pPr>
              <w:bidi w:val="0"/>
              <w:jc w:val="center"/>
              <w:rPr>
                <w:rFonts w:hint="eastAsia"/>
                <w:color w:val="auto"/>
                <w:u w:val="none" w:color="auto"/>
              </w:rPr>
            </w:pPr>
            <w:r>
              <w:rPr>
                <w:rFonts w:hint="eastAsia"/>
                <w:b/>
                <w:bCs/>
                <w:color w:val="auto"/>
                <w:u w:val="none" w:color="auto"/>
              </w:rPr>
              <w:t>表3</w:t>
            </w:r>
            <w:r>
              <w:rPr>
                <w:rFonts w:hint="eastAsia"/>
                <w:b/>
                <w:bCs/>
                <w:color w:val="auto"/>
                <w:u w:val="none" w:color="auto"/>
                <w:lang w:val="en-US" w:eastAsia="zh-CN"/>
              </w:rPr>
              <w:t>-4</w:t>
            </w:r>
            <w:r>
              <w:rPr>
                <w:rFonts w:hint="eastAsia"/>
                <w:b/>
                <w:bCs/>
                <w:color w:val="auto"/>
                <w:u w:val="none" w:color="auto"/>
              </w:rPr>
              <w:t xml:space="preserve">  声环境</w:t>
            </w:r>
            <w:r>
              <w:rPr>
                <w:rFonts w:hint="eastAsia"/>
                <w:b/>
                <w:bCs/>
                <w:color w:val="auto"/>
                <w:u w:val="none" w:color="auto"/>
                <w:lang w:val="en-US" w:eastAsia="zh-CN"/>
              </w:rPr>
              <w:t>质量</w:t>
            </w:r>
            <w:r>
              <w:rPr>
                <w:rFonts w:hint="eastAsia"/>
                <w:b/>
                <w:bCs/>
                <w:color w:val="auto"/>
                <w:u w:val="none" w:color="auto"/>
              </w:rPr>
              <w:t>现状监测结果</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1"/>
              <w:gridCol w:w="3011"/>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检测点位</w:t>
                  </w:r>
                </w:p>
              </w:tc>
              <w:tc>
                <w:tcPr>
                  <w:tcW w:w="3243"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检测日期及</w:t>
                  </w:r>
                  <w:r>
                    <w:rPr>
                      <w:rFonts w:hint="default" w:ascii="Times New Roman" w:hAnsi="Times New Roman" w:eastAsia="宋体" w:cs="Times New Roman"/>
                      <w:color w:val="auto"/>
                      <w:sz w:val="21"/>
                      <w:szCs w:val="21"/>
                      <w:u w:val="none" w:color="auto"/>
                      <w:lang w:val="en-US" w:eastAsia="zh-CN"/>
                    </w:rPr>
                    <w:t>检测结果（单位：dB(A)）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p>
              </w:tc>
              <w:tc>
                <w:tcPr>
                  <w:tcW w:w="3243"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2023.09.2</w:t>
                  </w:r>
                  <w:r>
                    <w:rPr>
                      <w:rFonts w:hint="eastAsia" w:cs="Times New Roman"/>
                      <w:color w:val="auto"/>
                      <w:sz w:val="21"/>
                      <w:szCs w:val="21"/>
                      <w:u w:val="none" w:color="auto"/>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p>
              </w:tc>
              <w:tc>
                <w:tcPr>
                  <w:tcW w:w="1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昼间</w:t>
                  </w:r>
                </w:p>
              </w:tc>
              <w:tc>
                <w:tcPr>
                  <w:tcW w:w="162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N1项目边界南侧22m居民</w:t>
                  </w:r>
                </w:p>
              </w:tc>
              <w:tc>
                <w:tcPr>
                  <w:tcW w:w="1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p>
              </w:tc>
              <w:tc>
                <w:tcPr>
                  <w:tcW w:w="162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N2项目边界西南侧19m居民</w:t>
                  </w:r>
                </w:p>
              </w:tc>
              <w:tc>
                <w:tcPr>
                  <w:tcW w:w="1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p>
              </w:tc>
              <w:tc>
                <w:tcPr>
                  <w:tcW w:w="162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N3项目边界南侧21m居民</w:t>
                  </w:r>
                </w:p>
              </w:tc>
              <w:tc>
                <w:tcPr>
                  <w:tcW w:w="1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p>
              </w:tc>
              <w:tc>
                <w:tcPr>
                  <w:tcW w:w="162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N4项目边界东侧16m居民</w:t>
                  </w:r>
                </w:p>
              </w:tc>
              <w:tc>
                <w:tcPr>
                  <w:tcW w:w="1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p>
              </w:tc>
              <w:tc>
                <w:tcPr>
                  <w:tcW w:w="162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备注</w:t>
                  </w:r>
                </w:p>
              </w:tc>
              <w:tc>
                <w:tcPr>
                  <w:tcW w:w="3243"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执行</w:t>
                  </w:r>
                  <w:r>
                    <w:rPr>
                      <w:rFonts w:hint="default" w:ascii="Times New Roman" w:hAnsi="Times New Roman" w:eastAsia="宋体" w:cs="Times New Roman"/>
                      <w:color w:val="auto"/>
                      <w:sz w:val="21"/>
                      <w:szCs w:val="21"/>
                      <w:u w:val="none" w:color="auto"/>
                      <w:lang w:val="en-US" w:eastAsia="zh-CN"/>
                    </w:rPr>
                    <w:t>《声环境质量标准》（GB3096-2008）</w:t>
                  </w: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类</w:t>
                  </w:r>
                </w:p>
              </w:tc>
            </w:tr>
          </w:tbl>
          <w:p>
            <w:pPr>
              <w:bidi w:val="0"/>
              <w:ind w:firstLine="480" w:firstLineChars="200"/>
              <w:rPr>
                <w:rFonts w:hint="eastAsia"/>
                <w:color w:val="auto"/>
                <w:u w:val="none" w:color="auto"/>
              </w:rPr>
            </w:pPr>
            <w:r>
              <w:rPr>
                <w:rFonts w:hint="eastAsia"/>
                <w:color w:val="auto"/>
                <w:u w:val="none" w:color="auto"/>
              </w:rPr>
              <w:t>根据上表监测结果，各监测点昼夜声环境均能满足《声环境质量标准》（GB 3096-2008）中的</w:t>
            </w:r>
            <w:r>
              <w:rPr>
                <w:rFonts w:hint="eastAsia"/>
                <w:color w:val="auto"/>
                <w:u w:val="none" w:color="auto"/>
                <w:lang w:val="en-US" w:eastAsia="zh-CN"/>
              </w:rPr>
              <w:t>1</w:t>
            </w:r>
            <w:r>
              <w:rPr>
                <w:rFonts w:hint="eastAsia"/>
                <w:color w:val="auto"/>
                <w:u w:val="none" w:color="auto"/>
              </w:rPr>
              <w:t>类要求。</w:t>
            </w:r>
          </w:p>
          <w:p>
            <w:pPr>
              <w:bidi w:val="0"/>
              <w:outlineLvl w:val="9"/>
              <w:rPr>
                <w:rFonts w:hint="default"/>
                <w:b/>
                <w:bCs/>
                <w:color w:val="auto"/>
                <w:u w:val="none" w:color="auto"/>
                <w:lang w:val="en-US" w:eastAsia="zh-CN"/>
              </w:rPr>
            </w:pPr>
            <w:r>
              <w:rPr>
                <w:rFonts w:hint="eastAsia"/>
                <w:b/>
                <w:bCs/>
                <w:color w:val="auto"/>
                <w:u w:val="none" w:color="auto"/>
                <w:lang w:val="en-US" w:eastAsia="zh-CN"/>
              </w:rPr>
              <w:t>3.4地下水</w:t>
            </w:r>
            <w:r>
              <w:rPr>
                <w:rFonts w:hint="eastAsia"/>
                <w:b/>
                <w:bCs/>
                <w:color w:val="auto"/>
                <w:u w:val="none" w:color="auto"/>
              </w:rPr>
              <w:t>环境质量现状</w:t>
            </w:r>
          </w:p>
          <w:p>
            <w:pPr>
              <w:bidi w:val="0"/>
              <w:ind w:firstLine="480" w:firstLineChars="200"/>
              <w:outlineLvl w:val="9"/>
              <w:rPr>
                <w:rFonts w:hint="eastAsia"/>
                <w:b/>
                <w:bCs/>
                <w:color w:val="auto"/>
                <w:u w:val="none" w:color="auto"/>
                <w:lang w:val="en-US" w:eastAsia="zh-CN"/>
              </w:rPr>
            </w:pPr>
            <w:r>
              <w:rPr>
                <w:rFonts w:hint="default" w:cs="Times New Roman"/>
                <w:color w:val="auto"/>
                <w:u w:val="none" w:color="auto"/>
              </w:rPr>
              <w:t>根据《环境影响评价技术导则 地下水环境》（HJ610-2016），本项目</w:t>
            </w:r>
            <w:r>
              <w:rPr>
                <w:rFonts w:hint="eastAsia" w:cs="Times New Roman"/>
                <w:color w:val="auto"/>
                <w:u w:val="none" w:color="auto"/>
              </w:rPr>
              <w:t>为附录A中</w:t>
            </w:r>
            <w:r>
              <w:rPr>
                <w:rFonts w:hint="eastAsia" w:cs="Times New Roman"/>
                <w:color w:val="auto"/>
                <w:u w:val="none" w:color="auto"/>
                <w:lang w:eastAsia="zh-CN"/>
              </w:rPr>
              <w:t>“</w:t>
            </w:r>
            <w:r>
              <w:rPr>
                <w:rFonts w:hint="eastAsia"/>
                <w:color w:val="auto"/>
                <w:u w:val="none" w:color="auto"/>
                <w:lang w:val="en-US" w:eastAsia="zh-CN"/>
              </w:rPr>
              <w:t>A水利</w:t>
            </w:r>
            <w:r>
              <w:rPr>
                <w:rFonts w:hint="eastAsia" w:cs="Times New Roman"/>
                <w:color w:val="auto"/>
                <w:u w:val="none" w:color="auto"/>
                <w:lang w:eastAsia="zh-CN"/>
              </w:rPr>
              <w:t>”</w:t>
            </w:r>
            <w:r>
              <w:rPr>
                <w:rFonts w:hint="default" w:ascii="Times New Roman" w:hAnsi="Times New Roman"/>
                <w:color w:val="auto"/>
                <w:u w:val="none" w:color="auto"/>
              </w:rPr>
              <w:t>中</w:t>
            </w:r>
            <w:r>
              <w:rPr>
                <w:rFonts w:hint="eastAsia" w:cs="Times New Roman"/>
                <w:color w:val="auto"/>
                <w:u w:val="none" w:color="auto"/>
              </w:rPr>
              <w:t>“</w:t>
            </w:r>
            <w:r>
              <w:rPr>
                <w:rFonts w:hint="eastAsia"/>
                <w:color w:val="auto"/>
                <w:u w:val="none" w:color="auto"/>
                <w:lang w:val="en-US" w:eastAsia="zh-CN"/>
              </w:rPr>
              <w:t>4</w:t>
            </w:r>
            <w:r>
              <w:rPr>
                <w:rFonts w:hint="default" w:ascii="Times New Roman" w:hAnsi="Times New Roman"/>
                <w:color w:val="auto"/>
                <w:u w:val="none" w:color="auto"/>
              </w:rPr>
              <w:t>、</w:t>
            </w:r>
            <w:r>
              <w:rPr>
                <w:rFonts w:hint="eastAsia"/>
                <w:color w:val="auto"/>
                <w:u w:val="none" w:color="auto"/>
                <w:lang w:val="en-US" w:eastAsia="zh-CN"/>
              </w:rPr>
              <w:t>防洪治涝工程</w:t>
            </w:r>
            <w:r>
              <w:rPr>
                <w:rFonts w:hint="eastAsia" w:cs="Times New Roman"/>
                <w:color w:val="auto"/>
                <w:u w:val="none" w:color="auto"/>
              </w:rPr>
              <w:t>”</w:t>
            </w:r>
            <w:r>
              <w:rPr>
                <w:rFonts w:hint="default" w:ascii="Times New Roman" w:hAnsi="Times New Roman"/>
                <w:color w:val="auto"/>
                <w:u w:val="none" w:color="auto"/>
              </w:rPr>
              <w:t>的其他</w:t>
            </w:r>
            <w:r>
              <w:rPr>
                <w:rFonts w:hint="eastAsia" w:cs="Times New Roman"/>
                <w:color w:val="auto"/>
                <w:u w:val="none" w:color="auto"/>
              </w:rPr>
              <w:t>项目，</w:t>
            </w:r>
            <w:r>
              <w:rPr>
                <w:rFonts w:hint="default" w:cs="Times New Roman"/>
                <w:color w:val="auto"/>
                <w:u w:val="none" w:color="auto"/>
              </w:rPr>
              <w:t>属于</w:t>
            </w:r>
            <w:r>
              <w:rPr>
                <w:rFonts w:hint="eastAsia" w:cs="Times New Roman"/>
                <w:color w:val="auto"/>
                <w:u w:val="none" w:color="auto"/>
                <w:lang w:val="en-US" w:eastAsia="zh-CN"/>
              </w:rPr>
              <w:t>IV</w:t>
            </w:r>
            <w:r>
              <w:rPr>
                <w:rFonts w:hint="default" w:cs="Times New Roman"/>
                <w:color w:val="auto"/>
                <w:u w:val="none" w:color="auto"/>
              </w:rPr>
              <w:t>类建设项目</w:t>
            </w:r>
            <w:r>
              <w:rPr>
                <w:rFonts w:hint="eastAsia" w:cs="Times New Roman"/>
                <w:color w:val="auto"/>
                <w:u w:val="none" w:color="auto"/>
              </w:rPr>
              <w:t>，</w:t>
            </w:r>
            <w:r>
              <w:rPr>
                <w:rFonts w:hint="eastAsia"/>
                <w:color w:val="auto"/>
                <w:u w:val="none" w:color="auto"/>
                <w:lang w:val="en-US" w:eastAsia="zh-CN"/>
              </w:rPr>
              <w:t>本项目</w:t>
            </w:r>
            <w:r>
              <w:rPr>
                <w:rFonts w:hint="eastAsia" w:cs="Times New Roman"/>
                <w:color w:val="auto"/>
                <w:u w:val="none" w:color="auto"/>
              </w:rPr>
              <w:t>不需进行地下水环境现状调查。</w:t>
            </w:r>
          </w:p>
          <w:p>
            <w:pPr>
              <w:bidi w:val="0"/>
              <w:outlineLvl w:val="9"/>
              <w:rPr>
                <w:rFonts w:hint="default"/>
                <w:b/>
                <w:bCs/>
                <w:color w:val="auto"/>
                <w:u w:val="none" w:color="auto"/>
                <w:lang w:val="en-US" w:eastAsia="zh-CN"/>
              </w:rPr>
            </w:pPr>
            <w:r>
              <w:rPr>
                <w:rFonts w:hint="eastAsia"/>
                <w:b/>
                <w:bCs/>
                <w:color w:val="auto"/>
                <w:u w:val="none" w:color="auto"/>
                <w:lang w:val="en-US" w:eastAsia="zh-CN"/>
              </w:rPr>
              <w:t>3.5</w:t>
            </w:r>
            <w:r>
              <w:rPr>
                <w:rFonts w:hint="eastAsia"/>
                <w:b/>
                <w:bCs/>
                <w:color w:val="auto"/>
                <w:u w:val="none" w:color="auto"/>
              </w:rPr>
              <w:t>土壤环境质量现状</w:t>
            </w:r>
          </w:p>
          <w:p>
            <w:pPr>
              <w:bidi w:val="0"/>
              <w:ind w:firstLine="480" w:firstLineChars="200"/>
              <w:outlineLvl w:val="9"/>
              <w:rPr>
                <w:rFonts w:hint="eastAsia"/>
                <w:b/>
                <w:bCs/>
                <w:color w:val="auto"/>
                <w:u w:val="none" w:color="auto"/>
                <w:lang w:val="en-US" w:eastAsia="zh-CN"/>
              </w:rPr>
            </w:pPr>
            <w:r>
              <w:rPr>
                <w:rFonts w:hint="eastAsia"/>
                <w:color w:val="auto"/>
                <w:u w:val="none" w:color="auto"/>
              </w:rPr>
              <w:t>根据《环境影响评价技术导则 土壤环境（试行）》（HJ964-2018）附录A中土壤环境影响评价行业项目类别表，本项目属于</w:t>
            </w:r>
            <w:r>
              <w:rPr>
                <w:rFonts w:hint="eastAsia" w:ascii="Times New Roman" w:hAnsi="Times New Roman" w:eastAsia="宋体" w:cs="Times New Roman"/>
                <w:color w:val="auto"/>
                <w:sz w:val="24"/>
                <w:u w:val="none" w:color="auto"/>
                <w:lang w:val="en-US" w:eastAsia="zh-CN"/>
              </w:rPr>
              <w:t>“水利”中的“其他”</w:t>
            </w:r>
            <w:r>
              <w:rPr>
                <w:rFonts w:hint="eastAsia"/>
                <w:color w:val="auto"/>
                <w:u w:val="none" w:color="auto"/>
              </w:rPr>
              <w:t>，土壤环境影响评价项目类别为</w:t>
            </w:r>
            <w:r>
              <w:rPr>
                <w:rFonts w:hint="eastAsia" w:cs="Times New Roman"/>
                <w:color w:val="auto"/>
                <w:u w:val="none" w:color="auto"/>
                <w:lang w:val="en-US" w:eastAsia="zh-CN"/>
              </w:rPr>
              <w:t>III</w:t>
            </w:r>
            <w:r>
              <w:rPr>
                <w:rFonts w:hint="eastAsia"/>
                <w:color w:val="auto"/>
                <w:u w:val="none" w:color="auto"/>
              </w:rPr>
              <w:t>类</w:t>
            </w:r>
            <w:r>
              <w:rPr>
                <w:rFonts w:hint="eastAsia"/>
                <w:color w:val="auto"/>
                <w:u w:val="none" w:color="auto"/>
                <w:lang w:eastAsia="zh-CN"/>
              </w:rPr>
              <w:t>，本工程运营期本身不产生废水、废气，无土壤污染途径，且本工程建设可减轻流域富营养化程度，促进河道生机和活力恢复，有利于水土保持。不会对土壤环境造成污染</w:t>
            </w:r>
            <w:r>
              <w:rPr>
                <w:rFonts w:hint="eastAsia"/>
                <w:u w:val="none" w:color="auto"/>
                <w:lang w:eastAsia="zh-CN"/>
              </w:rPr>
              <w:t>，</w:t>
            </w:r>
            <w:r>
              <w:rPr>
                <w:rFonts w:hint="eastAsia"/>
                <w:u w:val="none" w:color="auto"/>
                <w:lang w:val="en-US" w:eastAsia="zh-CN"/>
              </w:rPr>
              <w:t>故</w:t>
            </w:r>
            <w:r>
              <w:rPr>
                <w:rFonts w:hint="eastAsia"/>
                <w:color w:val="auto"/>
                <w:u w:val="none" w:color="auto"/>
                <w:lang w:val="en-US" w:eastAsia="zh-CN"/>
              </w:rPr>
              <w:t>本项目不需进行土壤环境现状调查。</w:t>
            </w:r>
          </w:p>
          <w:p>
            <w:pPr>
              <w:bidi w:val="0"/>
              <w:outlineLvl w:val="9"/>
              <w:rPr>
                <w:rFonts w:hint="eastAsia" w:ascii="Times New Roman" w:hAnsi="Times New Roman" w:eastAsia="宋体" w:cs="Times New Roman"/>
                <w:color w:val="auto"/>
                <w:u w:val="none" w:color="auto"/>
                <w:lang w:val="en-US" w:eastAsia="zh-CN"/>
              </w:rPr>
            </w:pPr>
            <w:r>
              <w:rPr>
                <w:rFonts w:hint="eastAsia"/>
                <w:b/>
                <w:bCs/>
                <w:color w:val="auto"/>
                <w:u w:val="none" w:color="auto"/>
                <w:lang w:val="en-US" w:eastAsia="zh-CN"/>
              </w:rPr>
              <w:t>3.6生态环境质量现状调查及评价</w:t>
            </w:r>
          </w:p>
          <w:p>
            <w:pPr>
              <w:bidi w:val="0"/>
              <w:ind w:firstLine="480" w:firstLineChars="200"/>
              <w:outlineLvl w:val="9"/>
              <w:rPr>
                <w:rFonts w:hint="default" w:cs="Times New Roman"/>
                <w:color w:val="auto"/>
                <w:sz w:val="24"/>
                <w:szCs w:val="24"/>
                <w:u w:val="none" w:color="auto"/>
                <w:lang w:val="en-US" w:eastAsia="zh-CN"/>
              </w:rPr>
            </w:pPr>
            <w:r>
              <w:rPr>
                <w:rFonts w:hint="eastAsia" w:cs="Times New Roman"/>
                <w:color w:val="auto"/>
                <w:sz w:val="24"/>
                <w:szCs w:val="24"/>
                <w:u w:val="none" w:color="auto"/>
                <w:lang w:eastAsia="zh-CN"/>
              </w:rPr>
              <w:t>（</w:t>
            </w:r>
            <w:r>
              <w:rPr>
                <w:rFonts w:hint="eastAsia" w:cs="Times New Roman"/>
                <w:color w:val="auto"/>
                <w:sz w:val="24"/>
                <w:szCs w:val="24"/>
                <w:u w:val="none" w:color="auto"/>
                <w:lang w:val="en-US" w:eastAsia="zh-CN"/>
              </w:rPr>
              <w:t>1</w:t>
            </w:r>
            <w:r>
              <w:rPr>
                <w:rFonts w:hint="eastAsia" w:cs="Times New Roman"/>
                <w:color w:val="auto"/>
                <w:sz w:val="24"/>
                <w:szCs w:val="24"/>
                <w:u w:val="none" w:color="auto"/>
                <w:lang w:eastAsia="zh-CN"/>
              </w:rPr>
              <w:t>）</w:t>
            </w:r>
            <w:r>
              <w:rPr>
                <w:rFonts w:hint="eastAsia" w:cs="Times New Roman"/>
                <w:color w:val="auto"/>
                <w:sz w:val="24"/>
                <w:szCs w:val="24"/>
                <w:u w:val="none" w:color="auto"/>
                <w:lang w:val="en-US" w:eastAsia="zh-CN"/>
              </w:rPr>
              <w:t>流域概括</w:t>
            </w:r>
          </w:p>
          <w:p>
            <w:pPr>
              <w:bidi w:val="0"/>
              <w:ind w:firstLine="480" w:firstLineChars="200"/>
              <w:outlineLvl w:val="9"/>
              <w:rPr>
                <w:rFonts w:hint="eastAsia" w:cs="Times New Roman"/>
                <w:color w:val="auto"/>
                <w:sz w:val="24"/>
                <w:szCs w:val="24"/>
                <w:u w:val="none" w:color="auto"/>
                <w:lang w:eastAsia="zh-CN"/>
              </w:rPr>
            </w:pPr>
            <w:r>
              <w:rPr>
                <w:rFonts w:hint="eastAsia" w:cs="Times New Roman"/>
                <w:color w:val="auto"/>
                <w:sz w:val="24"/>
                <w:szCs w:val="24"/>
                <w:u w:val="none" w:color="auto"/>
                <w:lang w:eastAsia="zh-CN"/>
              </w:rPr>
              <w:t>白河俗名归阳河，为湘江左岸的一级支流，发源于祁东县石狮岭，流经陈家坪、黎照堂、唐家岭、会河口、高车、苏家铺，于归阳镇汇入湘江，流域面积865km</w:t>
            </w:r>
            <w:r>
              <w:rPr>
                <w:rFonts w:hint="eastAsia" w:cs="Times New Roman"/>
                <w:color w:val="auto"/>
                <w:sz w:val="24"/>
                <w:szCs w:val="24"/>
                <w:u w:val="none" w:color="auto"/>
                <w:vertAlign w:val="superscript"/>
                <w:lang w:eastAsia="zh-CN"/>
              </w:rPr>
              <w:t>2</w:t>
            </w:r>
            <w:r>
              <w:rPr>
                <w:rFonts w:hint="eastAsia" w:cs="Times New Roman"/>
                <w:color w:val="auto"/>
                <w:sz w:val="24"/>
                <w:szCs w:val="24"/>
                <w:u w:val="none" w:color="auto"/>
                <w:lang w:eastAsia="zh-CN"/>
              </w:rPr>
              <w:t>，河流长度 87km，河流坡降 1.4‰。白河地势西北高东南低，流域面积大于 100km</w:t>
            </w:r>
            <w:r>
              <w:rPr>
                <w:rFonts w:hint="eastAsia" w:cs="Times New Roman"/>
                <w:color w:val="auto"/>
                <w:sz w:val="24"/>
                <w:szCs w:val="24"/>
                <w:u w:val="none" w:color="auto"/>
                <w:vertAlign w:val="superscript"/>
                <w:lang w:eastAsia="zh-CN"/>
              </w:rPr>
              <w:t>2</w:t>
            </w:r>
            <w:r>
              <w:rPr>
                <w:rFonts w:hint="eastAsia" w:cs="Times New Roman"/>
                <w:color w:val="auto"/>
                <w:sz w:val="24"/>
                <w:szCs w:val="24"/>
                <w:u w:val="none" w:color="auto"/>
                <w:lang w:eastAsia="zh-CN"/>
              </w:rPr>
              <w:t>的支流有清江(F＝282km2)，于祁阳县苏家铺汇入白河。</w:t>
            </w:r>
          </w:p>
          <w:p>
            <w:pPr>
              <w:bidi w:val="0"/>
              <w:ind w:firstLine="480" w:firstLineChars="200"/>
              <w:outlineLvl w:val="9"/>
              <w:rPr>
                <w:rFonts w:hint="eastAsia" w:cs="Times New Roman"/>
                <w:color w:val="auto"/>
                <w:sz w:val="24"/>
                <w:szCs w:val="24"/>
                <w:u w:val="none" w:color="auto"/>
                <w:lang w:eastAsia="zh-CN"/>
              </w:rPr>
            </w:pPr>
            <w:r>
              <w:rPr>
                <w:rFonts w:hint="eastAsia"/>
                <w:color w:val="auto"/>
                <w:u w:val="none" w:color="auto"/>
                <w:lang w:eastAsia="zh-CN"/>
              </w:rPr>
              <w:t>祁东县杨柳水闸除险加固工程</w:t>
            </w:r>
            <w:r>
              <w:rPr>
                <w:rFonts w:hint="eastAsia"/>
                <w:color w:val="auto"/>
                <w:u w:val="none" w:color="auto"/>
              </w:rPr>
              <w:t>杨溪堤段</w:t>
            </w:r>
            <w:r>
              <w:rPr>
                <w:color w:val="auto"/>
                <w:u w:val="none" w:color="auto"/>
              </w:rPr>
              <w:t>地处</w:t>
            </w:r>
            <w:r>
              <w:rPr>
                <w:rFonts w:hint="eastAsia"/>
                <w:color w:val="auto"/>
                <w:u w:val="none" w:color="auto"/>
              </w:rPr>
              <w:t>涓水</w:t>
            </w:r>
            <w:r>
              <w:rPr>
                <w:color w:val="auto"/>
                <w:u w:val="none" w:color="auto"/>
              </w:rPr>
              <w:t>下游的</w:t>
            </w:r>
            <w:r>
              <w:rPr>
                <w:rFonts w:hint="eastAsia"/>
                <w:color w:val="auto"/>
                <w:u w:val="none" w:color="auto"/>
              </w:rPr>
              <w:t>右</w:t>
            </w:r>
            <w:r>
              <w:rPr>
                <w:color w:val="auto"/>
                <w:u w:val="none" w:color="auto"/>
              </w:rPr>
              <w:t>岸，工程区</w:t>
            </w:r>
            <w:r>
              <w:rPr>
                <w:rFonts w:hint="eastAsia"/>
                <w:color w:val="auto"/>
                <w:u w:val="none" w:color="auto"/>
              </w:rPr>
              <w:t>上</w:t>
            </w:r>
            <w:r>
              <w:rPr>
                <w:color w:val="auto"/>
                <w:u w:val="none" w:color="auto"/>
              </w:rPr>
              <w:t>游</w:t>
            </w:r>
            <w:r>
              <w:rPr>
                <w:rFonts w:hint="eastAsia"/>
                <w:color w:val="auto"/>
                <w:u w:val="none" w:color="auto"/>
              </w:rPr>
              <w:t>30</w:t>
            </w:r>
            <w:r>
              <w:rPr>
                <w:color w:val="auto"/>
                <w:u w:val="none" w:color="auto"/>
              </w:rPr>
              <w:t>km处有</w:t>
            </w:r>
            <w:r>
              <w:rPr>
                <w:rFonts w:hint="eastAsia"/>
                <w:color w:val="auto"/>
                <w:u w:val="none" w:color="auto"/>
              </w:rPr>
              <w:t>射埠</w:t>
            </w:r>
            <w:r>
              <w:rPr>
                <w:color w:val="auto"/>
                <w:u w:val="none" w:color="auto"/>
              </w:rPr>
              <w:t>水文站，控制流域面积</w:t>
            </w:r>
            <w:r>
              <w:rPr>
                <w:rFonts w:hint="eastAsia"/>
                <w:color w:val="auto"/>
                <w:u w:val="none" w:color="auto"/>
              </w:rPr>
              <w:t>1404</w:t>
            </w:r>
            <w:r>
              <w:rPr>
                <w:color w:val="auto"/>
                <w:u w:val="none" w:color="auto"/>
              </w:rPr>
              <w:t>km</w:t>
            </w:r>
            <w:r>
              <w:rPr>
                <w:color w:val="auto"/>
                <w:u w:val="none" w:color="auto"/>
                <w:vertAlign w:val="superscript"/>
              </w:rPr>
              <w:t>2</w:t>
            </w:r>
            <w:r>
              <w:rPr>
                <w:color w:val="auto"/>
                <w:u w:val="none" w:color="auto"/>
              </w:rPr>
              <w:t>，占</w:t>
            </w:r>
            <w:r>
              <w:rPr>
                <w:rFonts w:hint="eastAsia"/>
                <w:color w:val="auto"/>
                <w:u w:val="none" w:color="auto"/>
              </w:rPr>
              <w:t>涓</w:t>
            </w:r>
            <w:r>
              <w:rPr>
                <w:color w:val="auto"/>
                <w:u w:val="none" w:color="auto"/>
              </w:rPr>
              <w:t>水流域面积的</w:t>
            </w:r>
            <w:r>
              <w:rPr>
                <w:rFonts w:hint="eastAsia"/>
                <w:color w:val="auto"/>
                <w:u w:val="none" w:color="auto"/>
              </w:rPr>
              <w:t>79.59</w:t>
            </w:r>
            <w:r>
              <w:rPr>
                <w:color w:val="auto"/>
                <w:u w:val="none" w:color="auto"/>
              </w:rPr>
              <w:t>%。</w:t>
            </w:r>
          </w:p>
          <w:p>
            <w:pPr>
              <w:bidi w:val="0"/>
              <w:ind w:firstLine="480" w:firstLineChars="200"/>
              <w:outlineLvl w:val="9"/>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评价区域地带性植被为常绿阔叶林，受人类活动的影响，目前区内植被类型较为单一，以针叶林为主。植物类型有杉木林、马尾松林、杉木－香樟混交林、油茶林和农作物，生态系统较稳定，生态环境质量一般。</w:t>
            </w:r>
          </w:p>
          <w:p>
            <w:pPr>
              <w:bidi w:val="0"/>
              <w:ind w:firstLine="480" w:firstLineChars="200"/>
              <w:outlineLvl w:val="9"/>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区域内主要野生木本植物有杉木、马尾松、油茶、苦檚、白栎、朴树、青冈、化香、构树、槐树、山矾、冬青、山胡椒、苦楝、女贞、黄檀、花椒、野桐、盐肤木、楠竹、吊竹、花竹等；草本植物主要有白茅、野古草、香茅草、狗尾草、车前草、野菊花、狗牙根、芒、蒲公英等。另外还有多种蕨类和藤本植物。区域内野生动物较少，主要有蛇类、野兔、田鼠、蜥蜴、青蛙、壁虎、山雀、八哥、黄鼠狼等。家畜主要有猪、牛、羊、鸡、鸭、兔等。水生鱼类资源主要有草鱼、鲤鱼、鲫鱼、鲢鱼、鳜鱼等。</w:t>
            </w:r>
          </w:p>
          <w:p>
            <w:pPr>
              <w:bidi w:val="0"/>
              <w:ind w:firstLine="480" w:firstLineChars="200"/>
              <w:outlineLvl w:val="9"/>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主要水生植物为浮游植物以及底栖动物和常见鱼类、田螺等。</w:t>
            </w:r>
          </w:p>
          <w:p>
            <w:pPr>
              <w:bidi w:val="0"/>
              <w:ind w:firstLine="480" w:firstLineChars="200"/>
              <w:outlineLvl w:val="9"/>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浮游植物包括蓝藻门、绿藻门、硅藻门、甲藻门、裸藻门、黄藻门和金藻门等 8 个门类 139 属，主要以硅藻、绿藻、蓝藻为主；浮游动物主要包括轮虫、枝角类、桡足类和原生动物。水生植物以莎草科的种数最多，其次是乔本科，各种类中多度等级最大的是密齿梳草、野菱、菹草、浮萍和紫萍。大型底栖动物优势种为水生昆虫和寡毛类，水生鱼类资源较丰富，其中主要经济鱼类包括草鱼、青鱼、鲢、鳙、鲤、鲫、鲶鱼、泥鳅、黄鳝、青虾、河蟹等。</w:t>
            </w:r>
          </w:p>
          <w:p>
            <w:pPr>
              <w:bidi w:val="0"/>
              <w:ind w:firstLine="480" w:firstLineChars="200"/>
              <w:outlineLvl w:val="9"/>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经现场踏勘，项目评价范围动物组成比较简单，种类较少。都是常见的鸟类、昆虫、啮齿类及爬行类动物。评价区域无特殊生态保护系统和珍稀濒危保护动植物分布，生态环境一般。根据现场调查，未发现国家保护级和珍稀动植物。</w:t>
            </w:r>
          </w:p>
          <w:p>
            <w:pPr>
              <w:bidi w:val="0"/>
              <w:ind w:firstLine="480" w:firstLineChars="200"/>
              <w:outlineLvl w:val="9"/>
              <w:rPr>
                <w:rFonts w:hint="eastAsia" w:eastAsia="宋体"/>
                <w:color w:val="auto"/>
                <w:u w:val="none" w:color="auto"/>
                <w:vertAlign w:val="baseline"/>
                <w:lang w:val="en-US" w:eastAsia="zh-CN"/>
              </w:rPr>
            </w:pPr>
            <w:r>
              <w:rPr>
                <w:rFonts w:hint="eastAsia" w:eastAsia="宋体"/>
                <w:color w:val="auto"/>
                <w:u w:val="none" w:color="auto"/>
                <w:vertAlign w:val="baseline"/>
                <w:lang w:val="en-US" w:eastAsia="zh-CN"/>
              </w:rPr>
              <w:t>根据《中国动物地理区划》，该地在动物地理区划上属于东洋界、华中区、东部丘陵平原亚区。通过实地调查和资料整理，在靳江湿地公园及其周边区域共发现野生动物有 159 种，隶属 30 目 70 科。其中鱼类 38 种，隶属 6 目 14 科；两栖动物有 9 种，隶属于 2 目 4 科；爬行动物有 17 种，隶属于 3 目 6 科；鸟类有 82 种，隶属 14 目 38 科；哺乳动物有 13 种，隶属于 5 目 8 科。A、哺乳类：计 5 目 8 科 13 种，占国家哺乳动物总数（582 种）的 2.23%。常见的有田鼠（Microtus fortis）、黄鼬（Mustela sibiria）和黄腹鼬（M. kathiah），都为小型动物，无有蹄类和大型食肉类栖息；其中食虫类 4 种，草食性和杂食性 7 种，小型食肉类 2 种。无国家Ⅰ、Ⅱ级保护物种分布，但栖息有 6 种“三有”动物。</w:t>
            </w:r>
          </w:p>
          <w:p>
            <w:pPr>
              <w:numPr>
                <w:ilvl w:val="0"/>
                <w:numId w:val="1"/>
              </w:numPr>
              <w:bidi w:val="0"/>
              <w:ind w:firstLine="480" w:firstLineChars="200"/>
              <w:outlineLvl w:val="9"/>
              <w:rPr>
                <w:rFonts w:hint="eastAsia" w:eastAsia="宋体"/>
                <w:color w:val="auto"/>
                <w:u w:val="none" w:color="auto"/>
                <w:vertAlign w:val="baseline"/>
                <w:lang w:val="en-US" w:eastAsia="zh-CN"/>
              </w:rPr>
            </w:pPr>
            <w:r>
              <w:rPr>
                <w:rFonts w:hint="eastAsia" w:eastAsia="宋体"/>
                <w:color w:val="auto"/>
                <w:u w:val="none" w:color="auto"/>
                <w:vertAlign w:val="baseline"/>
                <w:lang w:val="en-US" w:eastAsia="zh-CN"/>
              </w:rPr>
              <w:t>鸟类：计 14 目 38 科 82 种，占国家哺乳动物总数（1309 种）的 6.26%。留鸟有 39 种，夏候鸟 22 种，冬候鸟 20 种，旅鸟 1 种；繁殖鸟类占 74.39%。国家Ⅱ保护动物 8 种，占 9.76%；“三有”动物 74 种，占 90.24%；列入红皮书的有褐翅鸦鹃 1 种。主要以鹳形目、雁形目和鴴形目为主。常见种有白鹭（Egrettagarzetta）、夜鹭（Nycticorax nycticorax）、白胸秧鸡（Amaurornis phoenicurus）、白骨顶（Fulica atra）、小翠鸟（Alcedo atthis）等。</w:t>
            </w:r>
          </w:p>
          <w:p>
            <w:pPr>
              <w:numPr>
                <w:ilvl w:val="0"/>
                <w:numId w:val="1"/>
              </w:numPr>
              <w:bidi w:val="0"/>
              <w:ind w:firstLine="480" w:firstLineChars="200"/>
              <w:outlineLvl w:val="9"/>
              <w:rPr>
                <w:rFonts w:hint="eastAsia" w:eastAsia="宋体"/>
                <w:color w:val="auto"/>
                <w:u w:val="none" w:color="auto"/>
                <w:vertAlign w:val="baseline"/>
                <w:lang w:val="en-US" w:eastAsia="zh-CN"/>
              </w:rPr>
            </w:pPr>
            <w:r>
              <w:rPr>
                <w:rFonts w:hint="eastAsia" w:eastAsia="宋体"/>
                <w:color w:val="auto"/>
                <w:u w:val="none" w:color="auto"/>
                <w:vertAlign w:val="baseline"/>
                <w:lang w:val="en-US" w:eastAsia="zh-CN"/>
              </w:rPr>
              <w:t>爬行动物：计 3 目 6 科 17 种，全为国家“三有”动物。其主要以游蛇科为主。常见种有赤链蛇（Dinodon rufozonatum）、虎斑颈槽蛇（Rhabdophistigrinus）等。</w:t>
            </w:r>
          </w:p>
          <w:p>
            <w:pPr>
              <w:bidi w:val="0"/>
              <w:ind w:firstLine="480" w:firstLineChars="200"/>
              <w:outlineLvl w:val="9"/>
              <w:rPr>
                <w:rFonts w:hint="eastAsia" w:eastAsia="宋体"/>
                <w:color w:val="auto"/>
                <w:u w:val="none" w:color="auto"/>
                <w:vertAlign w:val="baseline"/>
                <w:lang w:val="en-US" w:eastAsia="zh-CN"/>
              </w:rPr>
            </w:pPr>
            <w:r>
              <w:rPr>
                <w:rFonts w:hint="eastAsia" w:eastAsia="宋体"/>
                <w:color w:val="auto"/>
                <w:u w:val="none" w:color="auto"/>
                <w:vertAlign w:val="baseline"/>
                <w:lang w:val="en-US" w:eastAsia="zh-CN"/>
              </w:rPr>
              <w:t>D、两栖动物：计 2 目 4 科 9 种，主要以蛙科为主。常见种有中华蟾蜍（Bufogragarizans）、泽陆蛙（Rana limnocharis）、黑斑蛙（Rana nigromaculata）等。除有虎纹蛙为国家Ⅱ保护动物外，其余均为“三有”物种。</w:t>
            </w:r>
          </w:p>
          <w:p>
            <w:pPr>
              <w:bidi w:val="0"/>
              <w:ind w:firstLine="480" w:firstLineChars="200"/>
              <w:outlineLvl w:val="9"/>
              <w:rPr>
                <w:rFonts w:hint="eastAsia" w:eastAsia="宋体"/>
                <w:color w:val="auto"/>
                <w:u w:val="none" w:color="auto"/>
                <w:vertAlign w:val="baseline"/>
                <w:lang w:val="en-US" w:eastAsia="zh-CN"/>
              </w:rPr>
            </w:pPr>
            <w:r>
              <w:rPr>
                <w:rFonts w:hint="eastAsia" w:eastAsia="宋体"/>
                <w:color w:val="auto"/>
                <w:u w:val="none" w:color="auto"/>
                <w:vertAlign w:val="baseline"/>
                <w:lang w:val="en-US" w:eastAsia="zh-CN"/>
              </w:rPr>
              <w:t xml:space="preserve">E、鱼类：计 6 目 14 科 38 种；除少数为全国流域大部分布外，其余均为长江流域类型。常见种有鳡（Elopichthys bambusa）、粲（Hemiculter leucisculus）、翘嘴红鲌（Erythroculter ilishaeformis）、中华鳑鮍（Rhodeus sinensis）、麦穗鱼（Pseudorasbora parva）、蛇鮈（Saurogobio dabryi）、鲤鱼（Cyprinus carpio）、鲫鱼（Carassius auratus）、泥鳅（Misgurnus angiollicaudatus）、鲶鱼（Silurus asotus）、黄颡鱼（Pelteobagrus fulvidraco）、黄鳝（Monoptarus albus）、鳜（Siniperca chuatsi）、沙塘鳢（Odontobutis obscurus）、刺鳅（Mastacembelus </w:t>
            </w:r>
          </w:p>
          <w:p>
            <w:pPr>
              <w:bidi w:val="0"/>
              <w:ind w:firstLine="480" w:firstLineChars="200"/>
              <w:outlineLvl w:val="9"/>
              <w:rPr>
                <w:rFonts w:hint="eastAsia" w:eastAsia="宋体"/>
                <w:color w:val="auto"/>
                <w:u w:val="none" w:color="auto"/>
                <w:vertAlign w:val="baseline"/>
                <w:lang w:val="en-US" w:eastAsia="zh-CN"/>
              </w:rPr>
            </w:pPr>
            <w:r>
              <w:rPr>
                <w:rFonts w:hint="eastAsia" w:eastAsia="宋体"/>
                <w:color w:val="auto"/>
                <w:u w:val="none" w:color="auto"/>
                <w:vertAlign w:val="baseline"/>
                <w:lang w:val="en-US" w:eastAsia="zh-CN"/>
              </w:rPr>
              <w:t>aculeatus）、乌鳢（Ophiocephalus argus）等。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jc w:val="center"/>
        </w:trPr>
        <w:tc>
          <w:tcPr>
            <w:tcW w:w="390" w:type="pct"/>
            <w:tcBorders>
              <w:tl2br w:val="nil"/>
              <w:tr2bl w:val="nil"/>
            </w:tcBorders>
            <w:vAlign w:val="center"/>
          </w:tcPr>
          <w:p>
            <w:pPr>
              <w:bidi w:val="0"/>
              <w:jc w:val="center"/>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与项目有关的原有环境污染和生态破坏问题</w:t>
            </w:r>
          </w:p>
        </w:tc>
        <w:tc>
          <w:tcPr>
            <w:tcW w:w="4609" w:type="pct"/>
            <w:tcBorders>
              <w:tl2br w:val="nil"/>
              <w:tr2bl w:val="nil"/>
            </w:tcBorders>
          </w:tcPr>
          <w:p>
            <w:pPr>
              <w:bidi w:val="0"/>
              <w:outlineLvl w:val="9"/>
              <w:rPr>
                <w:rFonts w:hint="default"/>
                <w:b/>
                <w:bCs/>
                <w:color w:val="auto"/>
                <w:u w:val="none" w:color="auto"/>
                <w:vertAlign w:val="baseline"/>
                <w:lang w:val="en-US" w:eastAsia="zh-CN"/>
              </w:rPr>
            </w:pPr>
            <w:r>
              <w:rPr>
                <w:rFonts w:hint="eastAsia"/>
                <w:b/>
                <w:bCs/>
                <w:color w:val="auto"/>
                <w:u w:val="none" w:color="auto"/>
                <w:vertAlign w:val="baseline"/>
                <w:lang w:val="en-US" w:eastAsia="zh-CN"/>
              </w:rPr>
              <w:t>3.7历年除险加固情况</w:t>
            </w:r>
          </w:p>
          <w:p>
            <w:pPr>
              <w:bidi w:val="0"/>
              <w:ind w:firstLine="480" w:firstLineChars="200"/>
              <w:outlineLvl w:val="9"/>
              <w:rPr>
                <w:rFonts w:hint="eastAsia"/>
                <w:b w:val="0"/>
                <w:bCs w:val="0"/>
                <w:color w:val="auto"/>
                <w:u w:val="none" w:color="auto"/>
                <w:vertAlign w:val="baseline"/>
                <w:lang w:val="en-US" w:eastAsia="zh-CN"/>
              </w:rPr>
            </w:pPr>
            <w:r>
              <w:rPr>
                <w:rFonts w:hint="eastAsia"/>
                <w:b w:val="0"/>
                <w:bCs w:val="0"/>
                <w:color w:val="auto"/>
                <w:u w:val="none" w:color="auto"/>
                <w:vertAlign w:val="baseline"/>
                <w:lang w:val="en-US" w:eastAsia="zh-CN"/>
              </w:rPr>
              <w:t>祁东水利局于 1979 年组织工程技术人员对电站进行实地勘测规划设计，改造后右岸装机 3×100kW，选配 ED760—LM—100 φ=10°水轮机，FS—100(8)发电机组。</w:t>
            </w:r>
          </w:p>
          <w:p>
            <w:pPr>
              <w:bidi w:val="0"/>
              <w:ind w:firstLine="480" w:firstLineChars="200"/>
              <w:outlineLvl w:val="9"/>
              <w:rPr>
                <w:rFonts w:hint="eastAsia"/>
                <w:b w:val="0"/>
                <w:bCs w:val="0"/>
                <w:color w:val="auto"/>
                <w:u w:val="none" w:color="auto"/>
                <w:vertAlign w:val="baseline"/>
                <w:lang w:val="en-US" w:eastAsia="zh-CN"/>
              </w:rPr>
            </w:pPr>
            <w:r>
              <w:rPr>
                <w:rFonts w:hint="eastAsia"/>
                <w:b w:val="0"/>
                <w:bCs w:val="0"/>
                <w:color w:val="auto"/>
                <w:u w:val="none" w:color="auto"/>
                <w:vertAlign w:val="baseline"/>
                <w:lang w:val="en-US" w:eastAsia="zh-CN"/>
              </w:rPr>
              <w:t>1984 年祁东县水电局按照 6×1.5m 水力自控翻板闸门结构尺寸和运行的要求，闸坝以原坝轴线为基线作必要的改造，坝体断面加大，溢流段由原设计的43.7m 改为 45m(6m×7 孔+3m×1 孔)，溢流坝总长由原来的 48.5m 改为 58.8m；溢洪坝段增设 7 扇 6m×1.5m(b×h，堰顶 75.15m)钢筋砼自控多铰翻板闸板门和 1 扇3m×2.5m(b×h，堰顶 76.00m)钢筋砼泄洪平板闸门。河边左岸设有灌溉渠，渠首设一扇 1.5×2m(b×h)钢筋砼平板闸门，保留左岸的水轮泵站，并增设两扇1.5×2m(b×h)钢筋砼平板闸门。闸门上部改人行便桥，全长 72m。下游消力池按原设计不变，仅在施工过程中作适当的检修和加固。</w:t>
            </w:r>
          </w:p>
          <w:p>
            <w:pPr>
              <w:bidi w:val="0"/>
              <w:ind w:firstLine="480" w:firstLineChars="200"/>
              <w:outlineLvl w:val="9"/>
              <w:rPr>
                <w:rFonts w:hint="eastAsia"/>
                <w:b w:val="0"/>
                <w:bCs w:val="0"/>
                <w:color w:val="auto"/>
                <w:u w:val="none" w:color="auto"/>
                <w:vertAlign w:val="baseline"/>
                <w:lang w:val="en-US" w:eastAsia="zh-CN"/>
              </w:rPr>
            </w:pPr>
            <w:r>
              <w:rPr>
                <w:rFonts w:hint="eastAsia"/>
                <w:b w:val="0"/>
                <w:bCs w:val="0"/>
                <w:color w:val="auto"/>
                <w:u w:val="none" w:color="auto"/>
                <w:vertAlign w:val="baseline"/>
                <w:lang w:val="en-US" w:eastAsia="zh-CN"/>
              </w:rPr>
              <w:t>2000 年，水闸下游左右岸河岸护坡共改造 300m，水闸上游左、右岸各建电灌站。</w:t>
            </w:r>
          </w:p>
          <w:p>
            <w:pPr>
              <w:bidi w:val="0"/>
              <w:ind w:firstLine="480" w:firstLineChars="200"/>
              <w:outlineLvl w:val="9"/>
              <w:rPr>
                <w:rFonts w:hint="eastAsia"/>
                <w:b w:val="0"/>
                <w:bCs w:val="0"/>
                <w:color w:val="auto"/>
                <w:u w:val="none" w:color="auto"/>
                <w:vertAlign w:val="baseline"/>
                <w:lang w:val="en-US" w:eastAsia="zh-CN"/>
              </w:rPr>
            </w:pPr>
            <w:r>
              <w:rPr>
                <w:rFonts w:hint="eastAsia"/>
                <w:b w:val="0"/>
                <w:bCs w:val="0"/>
                <w:color w:val="auto"/>
                <w:u w:val="none" w:color="auto"/>
                <w:vertAlign w:val="baseline"/>
                <w:lang w:val="en-US" w:eastAsia="zh-CN"/>
              </w:rPr>
              <w:t>2020 年溢流坝段泄洪闸 7 扇 6m×1.5m（宽×高）湖南省祁东县杨柳水闸现状调查分析报告钢筋混凝土自控多铰自控多铰翻板闸门更换为如今的 7 扇6m×1.5m（宽×高）水力自控多铰翻板钢闸门，2023 年将溢流坝左侧 1 扇 3m×2.5m（宽×高）平板钢筋混凝土闸门更换为如今的 3m×2.5m（宽×高）平板钢闸门。</w:t>
            </w:r>
          </w:p>
          <w:p>
            <w:pPr>
              <w:bidi w:val="0"/>
              <w:outlineLvl w:val="9"/>
              <w:rPr>
                <w:rFonts w:hint="default"/>
                <w:b/>
                <w:bCs/>
                <w:color w:val="auto"/>
                <w:u w:val="none" w:color="auto"/>
                <w:lang w:val="en-US"/>
              </w:rPr>
            </w:pPr>
            <w:r>
              <w:rPr>
                <w:rFonts w:hint="eastAsia"/>
                <w:b/>
                <w:bCs/>
                <w:color w:val="auto"/>
                <w:u w:val="none" w:color="auto"/>
                <w:vertAlign w:val="baseline"/>
                <w:lang w:val="en-US" w:eastAsia="zh-CN"/>
              </w:rPr>
              <w:t>3.8堤防现状及存在问题</w:t>
            </w:r>
          </w:p>
          <w:p>
            <w:pPr>
              <w:bidi w:val="0"/>
              <w:ind w:firstLine="480" w:firstLineChars="200"/>
              <w:outlineLvl w:val="9"/>
              <w:rPr>
                <w:rFonts w:hint="eastAsia"/>
                <w:color w:val="auto"/>
                <w:u w:val="none" w:color="auto"/>
              </w:rPr>
            </w:pPr>
            <w:r>
              <w:rPr>
                <w:rFonts w:hint="eastAsia"/>
                <w:color w:val="auto"/>
                <w:u w:val="none" w:color="auto"/>
              </w:rPr>
              <w:t>a）工程质量。</w:t>
            </w:r>
          </w:p>
          <w:p>
            <w:pPr>
              <w:bidi w:val="0"/>
              <w:ind w:firstLine="480" w:firstLineChars="200"/>
              <w:outlineLvl w:val="9"/>
              <w:rPr>
                <w:rFonts w:hint="eastAsia"/>
                <w:color w:val="auto"/>
                <w:u w:val="none" w:color="auto"/>
              </w:rPr>
            </w:pPr>
            <w:r>
              <w:rPr>
                <w:rFonts w:hint="eastAsia"/>
                <w:color w:val="auto"/>
                <w:u w:val="none" w:color="auto"/>
              </w:rPr>
              <w:t>溢流坝表面砼冲刷严重，局部干裂露筋，坝体 C15 块石砼局部不密实，存在渗漏问题，混凝土抗压强度达不到设计要求；闸基、溢流坝与闸基接触面均存在渗漏现象。翻板钢闸门局部锈蚀、橡胶止水老化变形；泄洪闸平板钢闸门为2023 年 8 月新换，质量较好；冲沙闸老化严重，与拉杆连接处金属存在严重锈蚀，渗漏严重，实测抗压强度不满足设计要求。左侧原泵站进水闸钢筋混凝土平板闸门老化严重，闸门与拉杆连接处金属存在锈蚀。渠道进水闸钢筋混凝土平板闸门破损、漏水严重，两个钢筋混凝土平板闸门抗压强度均不满足设计要求。渠道进水闸钢筋混凝土平板闸右侧墩、泄洪平板钢闸右侧墩、1~5 号闸墩的混凝土抗压强度均不满足设计要求，左侧启闭机室墩柱存在横向贯穿裂缝，有一定安全隐患。消力池下部局部冲刷受损。7 台启闭机均能正常工作，机座局部都存在较重腐蚀、螺杆严重锈蚀润滑不良等情况，冲沙闸启闭机螺杆下部存在弯曲变形严重。所有启闭机机座与拉杆的防腐涂层厚度均不满足规范要求。4 台手电一体启闭机的电路电气保护均满足要求，电动机三相电流的平衡性较好，控制柜三相绝缘性能符合要求，电动机噪声符合标准 要求。工作桥桥面预制板破旧不堪，多处开裂、破损，局部地段露筋严重；护栏破损严重，多处开裂，锈蚀严重。工作桥混凝土面板实测抗压强度较低；工作桥上下游纵梁的混凝土抗压强度实测值均不满足设计要求。水闸下游岸坡下部浆砌石护脚块石间砂浆基本被水流带走形成淘脚，导致浆砌石挡墙局部多处出现开裂崩塌，存在垮塌风险。根据《水闸安全评价导则》（SL214-2015），杨柳水闸工程质量大部分不满足要求</w:t>
            </w:r>
          </w:p>
          <w:p>
            <w:pPr>
              <w:bidi w:val="0"/>
              <w:ind w:firstLine="480" w:firstLineChars="200"/>
              <w:outlineLvl w:val="9"/>
              <w:rPr>
                <w:rFonts w:hint="eastAsia"/>
                <w:color w:val="auto"/>
                <w:u w:val="none" w:color="auto"/>
              </w:rPr>
            </w:pPr>
            <w:r>
              <w:rPr>
                <w:rFonts w:hint="eastAsia"/>
                <w:color w:val="auto"/>
                <w:u w:val="none" w:color="auto"/>
              </w:rPr>
              <w:t>b）防洪标准</w:t>
            </w:r>
          </w:p>
          <w:p>
            <w:pPr>
              <w:bidi w:val="0"/>
              <w:ind w:firstLine="480" w:firstLineChars="200"/>
              <w:outlineLvl w:val="9"/>
              <w:rPr>
                <w:color w:val="auto"/>
                <w:u w:val="none" w:color="auto"/>
              </w:rPr>
            </w:pPr>
            <w:r>
              <w:rPr>
                <w:rFonts w:hint="eastAsia"/>
                <w:color w:val="auto"/>
                <w:u w:val="none" w:color="auto"/>
              </w:rPr>
              <w:t>柳水闸原设计等别为Ⅱ等，规模为大（2）型，主要建筑物级别为 2 级，次要建筑物级别为 3 级；本次评价，根据《水利水电工程等级划分及洪水标准》（SL252-2017）确定杨柳水闸工程等别为Ⅲ等，规模为中型，主要建筑物级别为 2 级，次要建筑物级别为 4 级。杨柳水闸原设计洪水 标准为 30 年一遇设计，100 年一遇校核，满足《水利水电工程等级划分及洪水标准》（SL252-2017）的规定，不需要调整。杨柳水闸 30 年一遇 设计洪峰流量为 1466m3/s，100 年一遇校核洪峰流量为 2054m3/s。根据本次过流能力复核，30 年一遇、100 年一遇闸上水位分别为 79.56m、80.39m。杨柳水闸溢流坝坝体及闸墩占用河道行洪面积较大，导致雍水过高。现状闸室上部工作桥的梁（板）底高程比《水闸设计规范》（SL265-2016）要求的最低高程低 2.12m，不满足规范要求。根据《水闸安全评价导则》（SL 214-2015），杨柳水闸防洪标准不满</w:t>
            </w:r>
            <w:r>
              <w:rPr>
                <w:color w:val="auto"/>
                <w:u w:val="none" w:color="auto"/>
              </w:rPr>
              <w:t>。</w:t>
            </w:r>
          </w:p>
          <w:p>
            <w:pPr>
              <w:bidi w:val="0"/>
              <w:ind w:firstLine="480" w:firstLineChars="200"/>
              <w:outlineLvl w:val="9"/>
              <w:rPr>
                <w:rFonts w:hint="eastAsia"/>
                <w:color w:val="auto"/>
                <w:u w:val="none" w:color="auto"/>
                <w:lang w:val="en-US" w:eastAsia="zh-CN"/>
              </w:rPr>
            </w:pPr>
            <w:r>
              <w:rPr>
                <w:rFonts w:hint="eastAsia"/>
                <w:color w:val="auto"/>
                <w:u w:val="none" w:color="auto"/>
                <w:lang w:val="en-US" w:eastAsia="zh-CN"/>
              </w:rPr>
              <w:t>c）渗流安全</w:t>
            </w:r>
          </w:p>
          <w:p>
            <w:pPr>
              <w:bidi w:val="0"/>
              <w:ind w:firstLine="480" w:firstLineChars="200"/>
              <w:outlineLvl w:val="9"/>
              <w:rPr>
                <w:rFonts w:hint="eastAsia"/>
                <w:color w:val="auto"/>
                <w:u w:val="none" w:color="auto"/>
                <w:lang w:val="en-US" w:eastAsia="zh-CN"/>
              </w:rPr>
            </w:pPr>
            <w:r>
              <w:rPr>
                <w:rFonts w:hint="eastAsia"/>
                <w:color w:val="auto"/>
                <w:u w:val="none" w:color="auto"/>
                <w:lang w:val="en-US" w:eastAsia="zh-CN"/>
              </w:rPr>
              <w:t>溢流坝段、闸基存在渗漏现象，但渗漏不会对溢流坝造成渗透破坏。闸体与闸基接触面胶结程度较差，接触面存在渗漏，根据《水利水电工程地质勘查规范》（GB50487-2008），D10/d10＞10，上下游水头差引起的渗透比降有可能影响接触冲刷。左侧回填土较密实，坡体渗透比降小于允许比降，左岸无绕渗破坏可能；闸体右岸回填粉质粘土，呈可塑~硬塑状，局部夹砂及砾石，右岸渗透比降小于允许比降，无渗透破坏可能。根据《水闸安全评价导则》（SL214-2015），水闸防渗设施存在缺陷，尚不影响总体安全。</w:t>
            </w:r>
          </w:p>
          <w:p>
            <w:pPr>
              <w:bidi w:val="0"/>
              <w:ind w:firstLine="480" w:firstLineChars="200"/>
              <w:outlineLvl w:val="9"/>
              <w:rPr>
                <w:rFonts w:hint="eastAsia"/>
                <w:color w:val="auto"/>
                <w:u w:val="none" w:color="auto"/>
                <w:lang w:val="en-US" w:eastAsia="zh-CN"/>
              </w:rPr>
            </w:pPr>
            <w:r>
              <w:rPr>
                <w:rFonts w:hint="eastAsia"/>
                <w:color w:val="auto"/>
                <w:u w:val="none" w:color="auto"/>
                <w:lang w:val="en-US" w:eastAsia="zh-CN"/>
              </w:rPr>
              <w:t>d）结构安全</w:t>
            </w:r>
          </w:p>
          <w:p>
            <w:pPr>
              <w:bidi w:val="0"/>
              <w:ind w:firstLine="480" w:firstLineChars="200"/>
              <w:outlineLvl w:val="9"/>
              <w:rPr>
                <w:rFonts w:hint="eastAsia"/>
                <w:color w:val="auto"/>
                <w:u w:val="none" w:color="auto"/>
                <w:lang w:val="en-US" w:eastAsia="zh-CN"/>
              </w:rPr>
            </w:pPr>
            <w:r>
              <w:rPr>
                <w:rFonts w:hint="eastAsia"/>
                <w:color w:val="auto"/>
                <w:u w:val="none" w:color="auto"/>
                <w:lang w:val="en-US" w:eastAsia="zh-CN"/>
              </w:rPr>
              <w:t>杨柳水闸泄洪翻板钢闸、泄洪平板钢闸、原泵站进水闸和渠道进水闸在校核洪水位情况下，地基承载力不满足规范要求。冲沙闸校核洪水 位下基础最小应力小于零，基础为大偏心受力，不满足规范要求。大多数闸墩抗压强度不满足设计要求，结构安全存在隐患。工作桥铺板结构极限承载力不满足规范要求；工作桥纵梁因混凝土碳化，强度降低，现状抗弯极限承载力不满足规范要求。水闸泄水时会对下游河床产生冲刷，但不会危及坝身安全，杨柳水闸消能防冲设施满足规范要求。杨柳水闸 在汛期基本无调节蓄洪能力，下游河段也是天然行洪状态，有一定安全隐患。电站厂房的抗滑稳定系数、抗浮稳定系数及基础应力均满足设计 要求。水闸岸坡稳定性满足要求，但由于现场岸坡未护砌，汛期水位升 高会对两岸岸坡造成冲刷，其抗冲刷能力不满足要求。根据《水闸安全 评价导则》（SL 214-2015），杨柳水闸整体结构不满足规范要求。</w:t>
            </w:r>
          </w:p>
          <w:p>
            <w:pPr>
              <w:bidi w:val="0"/>
              <w:ind w:firstLine="480" w:firstLineChars="200"/>
              <w:outlineLvl w:val="9"/>
              <w:rPr>
                <w:rFonts w:hint="eastAsia"/>
                <w:color w:val="auto"/>
                <w:u w:val="none" w:color="auto"/>
                <w:lang w:val="en-US" w:eastAsia="zh-CN"/>
              </w:rPr>
            </w:pPr>
            <w:r>
              <w:rPr>
                <w:rFonts w:hint="eastAsia"/>
                <w:color w:val="auto"/>
                <w:u w:val="none" w:color="auto"/>
                <w:lang w:val="en-US" w:eastAsia="zh-CN"/>
              </w:rPr>
              <w:t>e）抗震安全</w:t>
            </w:r>
          </w:p>
          <w:p>
            <w:pPr>
              <w:bidi w:val="0"/>
              <w:ind w:firstLine="480" w:firstLineChars="200"/>
              <w:outlineLvl w:val="9"/>
              <w:rPr>
                <w:rFonts w:hint="eastAsia"/>
                <w:color w:val="auto"/>
                <w:u w:val="none" w:color="auto"/>
                <w:lang w:val="en-US" w:eastAsia="zh-CN"/>
              </w:rPr>
            </w:pPr>
            <w:r>
              <w:rPr>
                <w:rFonts w:hint="eastAsia"/>
                <w:color w:val="auto"/>
                <w:u w:val="none" w:color="auto"/>
                <w:lang w:val="en-US" w:eastAsia="zh-CN"/>
              </w:rPr>
              <w:t>根据《中国地震动参数区划图》(GB 18306-2015)的界定，区内地震 动峰值加速度为 0.05g，地震动反应谱特征周期为 0.35s，相应地震基本 烈度为Ⅵ度，区域稳定性好。根据《水工建筑物抗震设计标准》（GB 51247- 2018）的规定，杨柳水闸可不进行抗震计算。</w:t>
            </w:r>
          </w:p>
          <w:p>
            <w:pPr>
              <w:bidi w:val="0"/>
              <w:ind w:firstLine="480" w:firstLineChars="200"/>
              <w:outlineLvl w:val="9"/>
              <w:rPr>
                <w:rFonts w:hint="eastAsia"/>
                <w:color w:val="auto"/>
                <w:u w:val="none" w:color="auto"/>
                <w:lang w:val="en-US" w:eastAsia="zh-CN"/>
              </w:rPr>
            </w:pPr>
            <w:r>
              <w:rPr>
                <w:rFonts w:hint="eastAsia"/>
                <w:color w:val="auto"/>
                <w:u w:val="none" w:color="auto"/>
                <w:lang w:val="en-US" w:eastAsia="zh-CN"/>
              </w:rPr>
              <w:t>f）金属结构安全</w:t>
            </w:r>
          </w:p>
          <w:p>
            <w:pPr>
              <w:bidi w:val="0"/>
              <w:ind w:firstLine="480" w:firstLineChars="200"/>
              <w:outlineLvl w:val="9"/>
              <w:rPr>
                <w:rFonts w:hint="eastAsia"/>
                <w:color w:val="auto"/>
                <w:u w:val="none" w:color="auto"/>
                <w:lang w:val="en-US" w:eastAsia="zh-CN"/>
              </w:rPr>
            </w:pPr>
            <w:r>
              <w:rPr>
                <w:rFonts w:hint="eastAsia"/>
                <w:color w:val="auto"/>
                <w:u w:val="none" w:color="auto"/>
                <w:lang w:val="en-US" w:eastAsia="zh-CN"/>
              </w:rPr>
              <w:t>翻板钢闸门为一般腐蚀，抗拉强度满足设计要求，闸门面板厚度满足规范要求，结构稳定性满足规范要求。各钢筋混凝土平板闸门的实测 抗压强度均不满足设计要求，其结构安全均满足规范要求。启闭机机座 与拉杆的防腐涂层厚度均不满足规范要求，七台启闭机均能正常启闭，但技术状态差，可靠性低；根据启闭力复核结果，启闭机启闭力均满足要求。</w:t>
            </w:r>
          </w:p>
          <w:p>
            <w:pPr>
              <w:bidi w:val="0"/>
              <w:ind w:firstLine="480" w:firstLineChars="200"/>
              <w:outlineLvl w:val="9"/>
              <w:rPr>
                <w:rFonts w:hint="eastAsia"/>
                <w:color w:val="auto"/>
                <w:u w:val="none" w:color="auto"/>
                <w:lang w:val="en-US" w:eastAsia="zh-CN"/>
              </w:rPr>
            </w:pPr>
            <w:r>
              <w:rPr>
                <w:rFonts w:hint="eastAsia"/>
                <w:color w:val="auto"/>
                <w:u w:val="none" w:color="auto"/>
                <w:lang w:val="en-US" w:eastAsia="zh-CN"/>
              </w:rPr>
              <w:t>g）机电设备安全</w:t>
            </w:r>
          </w:p>
          <w:p>
            <w:pPr>
              <w:bidi w:val="0"/>
              <w:ind w:firstLine="480" w:firstLineChars="200"/>
              <w:outlineLvl w:val="9"/>
              <w:rPr>
                <w:rFonts w:hint="default" w:eastAsia="宋体"/>
                <w:color w:val="auto"/>
                <w:u w:val="none" w:color="auto"/>
                <w:lang w:val="en-US" w:eastAsia="zh-CN"/>
              </w:rPr>
            </w:pPr>
            <w:r>
              <w:rPr>
                <w:rFonts w:hint="eastAsia"/>
                <w:color w:val="auto"/>
                <w:u w:val="none" w:color="auto"/>
                <w:lang w:val="en-US" w:eastAsia="zh-CN"/>
              </w:rPr>
              <w:t>杨柳水闸仅左岸泄洪闸启闭机和电站启闭机包含有机电设备。根据现场检测，4 台手电一体启闭机的电路电气保护、电动机三相电流的平衡 性、控制柜三相绝缘性能及电动机噪声均满足要求。水闸配备的一台 15kW 柴油发电机运行正常，发电机符合水闸要求。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jc w:val="center"/>
        </w:trPr>
        <w:tc>
          <w:tcPr>
            <w:tcW w:w="390" w:type="pct"/>
            <w:tcBorders>
              <w:tl2br w:val="nil"/>
              <w:tr2bl w:val="nil"/>
            </w:tcBorders>
            <w:vAlign w:val="center"/>
          </w:tcPr>
          <w:p>
            <w:pPr>
              <w:bidi w:val="0"/>
              <w:jc w:val="center"/>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生态环境保护目标</w:t>
            </w:r>
          </w:p>
        </w:tc>
        <w:tc>
          <w:tcPr>
            <w:tcW w:w="4609" w:type="pct"/>
            <w:tcBorders>
              <w:tl2br w:val="nil"/>
              <w:tr2bl w:val="nil"/>
            </w:tcBorders>
          </w:tcPr>
          <w:p>
            <w:pPr>
              <w:numPr>
                <w:ilvl w:val="0"/>
                <w:numId w:val="0"/>
              </w:numPr>
              <w:jc w:val="left"/>
              <w:rPr>
                <w:rFonts w:hint="default" w:ascii="Times New Roman" w:hAnsi="Times New Roman" w:eastAsia="宋体"/>
                <w:b/>
                <w:bCs/>
                <w:u w:val="none" w:color="auto"/>
                <w:lang w:val="en-US" w:eastAsia="zh-CN"/>
              </w:rPr>
            </w:pPr>
            <w:r>
              <w:rPr>
                <w:rFonts w:hint="eastAsia" w:ascii="Times New Roman" w:hAnsi="Times New Roman"/>
                <w:b/>
                <w:bCs/>
                <w:u w:val="none" w:color="auto"/>
                <w:lang w:val="en-US" w:eastAsia="zh-CN"/>
              </w:rPr>
              <w:t>3.12、评价范围</w:t>
            </w:r>
          </w:p>
          <w:p>
            <w:pPr>
              <w:ind w:firstLine="480" w:firstLineChars="200"/>
              <w:jc w:val="left"/>
              <w:rPr>
                <w:rFonts w:hint="eastAsia" w:ascii="Times New Roman" w:hAnsi="Times New Roman" w:eastAsia="宋体" w:cs="Times New Roman"/>
                <w:u w:val="none" w:color="auto"/>
                <w:lang w:val="en-US" w:eastAsia="zh-CN"/>
              </w:rPr>
            </w:pPr>
            <w:r>
              <w:rPr>
                <w:rFonts w:hint="eastAsia" w:ascii="Times New Roman" w:hAnsi="Times New Roman" w:eastAsia="宋体" w:cs="Times New Roman"/>
                <w:u w:val="none" w:color="auto"/>
                <w:lang w:val="en-US" w:eastAsia="zh-CN"/>
              </w:rPr>
              <w:t>根据环境影响评价技术导则要求，本项目各环境要素评价范围详见下表：</w:t>
            </w:r>
          </w:p>
          <w:p>
            <w:pPr>
              <w:widowControl/>
              <w:jc w:val="center"/>
              <w:rPr>
                <w:rFonts w:hint="eastAsia" w:ascii="Times New Roman" w:hAnsi="Times New Roman" w:eastAsia="宋体" w:cs="Times New Roman"/>
                <w:b/>
                <w:bCs/>
                <w:color w:val="000000"/>
                <w:sz w:val="21"/>
                <w:szCs w:val="21"/>
                <w:u w:val="none" w:color="auto"/>
                <w:vertAlign w:val="baseline"/>
                <w:lang w:val="en-US" w:eastAsia="zh-CN" w:bidi="ar"/>
              </w:rPr>
            </w:pPr>
            <w:r>
              <w:rPr>
                <w:rFonts w:ascii="Times New Roman" w:hAnsi="Times New Roman" w:eastAsia="宋体" w:cs="Times New Roman"/>
                <w:b/>
                <w:bCs/>
                <w:color w:val="000000"/>
                <w:sz w:val="21"/>
                <w:szCs w:val="21"/>
                <w:u w:val="none" w:color="auto"/>
                <w:lang w:val="en-US" w:bidi="ar"/>
              </w:rPr>
              <w:t>表 3</w:t>
            </w:r>
            <w:r>
              <w:rPr>
                <w:rFonts w:hint="eastAsia" w:ascii="Times New Roman" w:hAnsi="Times New Roman" w:eastAsia="宋体" w:cs="Times New Roman"/>
                <w:b/>
                <w:bCs/>
                <w:color w:val="000000"/>
                <w:sz w:val="21"/>
                <w:szCs w:val="21"/>
                <w:u w:val="none" w:color="auto"/>
                <w:lang w:val="en-US" w:eastAsia="zh-CN" w:bidi="ar"/>
              </w:rPr>
              <w:t>-</w:t>
            </w:r>
            <w:r>
              <w:rPr>
                <w:rFonts w:hint="eastAsia" w:cs="Times New Roman"/>
                <w:b/>
                <w:bCs/>
                <w:color w:val="000000"/>
                <w:sz w:val="21"/>
                <w:szCs w:val="21"/>
                <w:u w:val="none" w:color="auto"/>
                <w:lang w:val="en-US" w:eastAsia="zh-CN" w:bidi="ar"/>
              </w:rPr>
              <w:t>6</w:t>
            </w:r>
            <w:r>
              <w:rPr>
                <w:rFonts w:ascii="Times New Roman" w:hAnsi="Times New Roman" w:eastAsia="宋体" w:cs="Times New Roman"/>
                <w:b/>
                <w:bCs/>
                <w:color w:val="000000"/>
                <w:sz w:val="21"/>
                <w:szCs w:val="21"/>
                <w:u w:val="none" w:color="auto"/>
                <w:lang w:val="en-US" w:bidi="ar"/>
              </w:rPr>
              <w:t xml:space="preserve"> 各环境要素评价范围确定</w:t>
            </w:r>
          </w:p>
          <w:tbl>
            <w:tblPr>
              <w:tblStyle w:val="27"/>
              <w:tblW w:w="91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350"/>
              <w:gridCol w:w="3485"/>
              <w:gridCol w:w="3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序号</w:t>
                  </w:r>
                </w:p>
              </w:tc>
              <w:tc>
                <w:tcPr>
                  <w:tcW w:w="1350"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环境要素</w:t>
                  </w:r>
                </w:p>
              </w:tc>
              <w:tc>
                <w:tcPr>
                  <w:tcW w:w="3485"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评价范围</w:t>
                  </w:r>
                </w:p>
              </w:tc>
              <w:tc>
                <w:tcPr>
                  <w:tcW w:w="3528"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确定依据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1</w:t>
                  </w:r>
                </w:p>
              </w:tc>
              <w:tc>
                <w:tcPr>
                  <w:tcW w:w="1350"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大气环境</w:t>
                  </w:r>
                </w:p>
              </w:tc>
              <w:tc>
                <w:tcPr>
                  <w:tcW w:w="3485"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工程施工区以外</w:t>
                  </w:r>
                  <w:r>
                    <w:rPr>
                      <w:rFonts w:hint="eastAsia" w:ascii="Times New Roman" w:hAnsi="Times New Roman" w:eastAsia="宋体" w:cs="Times New Roman"/>
                      <w:sz w:val="21"/>
                      <w:szCs w:val="21"/>
                      <w:u w:val="none" w:color="auto"/>
                      <w:lang w:val="en-US" w:eastAsia="zh-CN"/>
                    </w:rPr>
                    <w:t>500m范围</w:t>
                  </w:r>
                </w:p>
              </w:tc>
              <w:tc>
                <w:tcPr>
                  <w:tcW w:w="3528" w:type="dxa"/>
                  <w:noWrap w:val="0"/>
                  <w:vAlign w:val="center"/>
                </w:tcPr>
                <w:p>
                  <w:pPr>
                    <w:spacing w:line="240"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参照《建设项目环境影响报告表编制技术指南（污染影响类）》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w:t>
                  </w:r>
                </w:p>
              </w:tc>
              <w:tc>
                <w:tcPr>
                  <w:tcW w:w="1350"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声环境</w:t>
                  </w:r>
                </w:p>
              </w:tc>
              <w:tc>
                <w:tcPr>
                  <w:tcW w:w="3485" w:type="dxa"/>
                  <w:noWrap w:val="0"/>
                  <w:vAlign w:val="center"/>
                </w:tcPr>
                <w:p>
                  <w:pPr>
                    <w:spacing w:line="240"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工程施工区以外200</w:t>
                  </w:r>
                  <w:r>
                    <w:rPr>
                      <w:rFonts w:hint="eastAsia" w:ascii="Times New Roman" w:hAnsi="Times New Roman" w:eastAsia="宋体" w:cs="Times New Roman"/>
                      <w:sz w:val="21"/>
                      <w:szCs w:val="21"/>
                      <w:u w:val="none" w:color="auto"/>
                      <w:lang w:val="en-US" w:eastAsia="zh-CN"/>
                    </w:rPr>
                    <w:t>m范围</w:t>
                  </w:r>
                </w:p>
              </w:tc>
              <w:tc>
                <w:tcPr>
                  <w:tcW w:w="3528"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HJ2.4-2021</w:t>
                  </w:r>
                  <w:r>
                    <w:rPr>
                      <w:rFonts w:hint="eastAsia" w:ascii="Times New Roman" w:hAnsi="Times New Roman" w:eastAsia="宋体" w:cs="Times New Roman"/>
                      <w:sz w:val="21"/>
                      <w:szCs w:val="21"/>
                      <w:u w:val="none" w:color="auto"/>
                      <w:lang w:val="en-US" w:eastAsia="zh-CN"/>
                    </w:rPr>
                    <w:t>《环境影响评价技术导则—声环境》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3</w:t>
                  </w:r>
                </w:p>
              </w:tc>
              <w:tc>
                <w:tcPr>
                  <w:tcW w:w="1350"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生态环境</w:t>
                  </w:r>
                </w:p>
              </w:tc>
              <w:tc>
                <w:tcPr>
                  <w:tcW w:w="3485" w:type="dxa"/>
                  <w:noWrap w:val="0"/>
                  <w:vAlign w:val="center"/>
                </w:tcPr>
                <w:p>
                  <w:pPr>
                    <w:spacing w:line="240" w:lineRule="auto"/>
                    <w:jc w:val="center"/>
                    <w:rPr>
                      <w:rFonts w:hint="eastAsia"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施工</w:t>
                  </w:r>
                  <w:r>
                    <w:rPr>
                      <w:rFonts w:hint="eastAsia" w:ascii="Times New Roman" w:hAnsi="Times New Roman" w:eastAsia="宋体" w:cs="Times New Roman"/>
                      <w:sz w:val="21"/>
                      <w:szCs w:val="21"/>
                      <w:u w:val="none" w:color="auto"/>
                      <w:lang w:val="en-US" w:eastAsia="zh-CN"/>
                    </w:rPr>
                    <w:t>区及其影响范围、各类场地及运输系统占地以及施工临时占地范围</w:t>
                  </w:r>
                </w:p>
              </w:tc>
              <w:tc>
                <w:tcPr>
                  <w:tcW w:w="3528" w:type="dxa"/>
                  <w:noWrap w:val="0"/>
                  <w:vAlign w:val="center"/>
                </w:tcPr>
                <w:p>
                  <w:pPr>
                    <w:spacing w:line="240"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HJ19-2022《环境影响评价技术导则—生态影响》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4</w:t>
                  </w:r>
                </w:p>
              </w:tc>
              <w:tc>
                <w:tcPr>
                  <w:tcW w:w="1350"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地表水环境</w:t>
                  </w:r>
                </w:p>
              </w:tc>
              <w:tc>
                <w:tcPr>
                  <w:tcW w:w="3485" w:type="dxa"/>
                  <w:noWrap w:val="0"/>
                  <w:vAlign w:val="center"/>
                </w:tcPr>
                <w:p>
                  <w:pPr>
                    <w:spacing w:line="240" w:lineRule="auto"/>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环境风险影响范围所及的水环境保护目标水域</w:t>
                  </w:r>
                </w:p>
              </w:tc>
              <w:tc>
                <w:tcPr>
                  <w:tcW w:w="3528" w:type="dxa"/>
                  <w:noWrap w:val="0"/>
                  <w:vAlign w:val="center"/>
                </w:tcPr>
                <w:p>
                  <w:pPr>
                    <w:spacing w:line="240" w:lineRule="auto"/>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HJ2.3-2018《环境影响评价技术导则——地表水环境》</w:t>
                  </w:r>
                </w:p>
              </w:tc>
            </w:tr>
          </w:tbl>
          <w:p>
            <w:pPr>
              <w:bidi w:val="0"/>
              <w:outlineLvl w:val="9"/>
              <w:rPr>
                <w:rFonts w:hint="default"/>
                <w:u w:val="none" w:color="auto"/>
                <w:lang w:val="en-US"/>
              </w:rPr>
            </w:pPr>
            <w:r>
              <w:rPr>
                <w:rFonts w:hint="eastAsia" w:ascii="Times New Roman" w:hAnsi="Times New Roman"/>
                <w:b/>
                <w:bCs/>
                <w:u w:val="none" w:color="auto"/>
                <w:lang w:val="en-US" w:eastAsia="zh-CN"/>
              </w:rPr>
              <w:t>3.13、敏感目标</w:t>
            </w:r>
          </w:p>
          <w:p>
            <w:pPr>
              <w:bidi w:val="0"/>
              <w:ind w:firstLine="480" w:firstLineChars="200"/>
              <w:outlineLvl w:val="9"/>
              <w:rPr>
                <w:rFonts w:hint="eastAsia" w:ascii="Times New Roman" w:hAnsi="Times New Roman" w:cs="Times New Roman"/>
                <w:color w:val="auto"/>
                <w:u w:val="none" w:color="auto"/>
                <w:lang w:eastAsia="zh-CN"/>
              </w:rPr>
            </w:pPr>
            <w:r>
              <w:rPr>
                <w:rFonts w:hint="eastAsia"/>
                <w:color w:val="auto"/>
                <w:u w:val="none" w:color="auto"/>
              </w:rPr>
              <w:t>结合现场踏勘和环境敏感目标分布情况，主要环境保护目标</w:t>
            </w:r>
            <w:r>
              <w:rPr>
                <w:rFonts w:hint="eastAsia"/>
                <w:color w:val="auto"/>
                <w:u w:val="none" w:color="auto"/>
                <w:lang w:val="en-US" w:eastAsia="zh-CN"/>
              </w:rPr>
              <w:t>详见</w:t>
            </w:r>
            <w:r>
              <w:rPr>
                <w:rFonts w:hint="eastAsia"/>
                <w:color w:val="auto"/>
                <w:u w:val="none" w:color="auto"/>
              </w:rPr>
              <w:t>下</w:t>
            </w:r>
            <w:r>
              <w:rPr>
                <w:rFonts w:hint="eastAsia"/>
                <w:color w:val="auto"/>
                <w:u w:val="none" w:color="auto"/>
                <w:lang w:val="en-US" w:eastAsia="zh-CN"/>
              </w:rPr>
              <w:t>表。</w:t>
            </w:r>
          </w:p>
          <w:p>
            <w:pPr>
              <w:bidi w:val="0"/>
              <w:jc w:val="center"/>
              <w:outlineLvl w:val="9"/>
              <w:rPr>
                <w:rFonts w:hint="eastAsia" w:ascii="Times New Roman" w:hAnsi="Times New Roman" w:cs="Times New Roman"/>
                <w:color w:val="auto"/>
                <w:u w:val="none" w:color="auto"/>
                <w:lang w:eastAsia="zh-CN"/>
              </w:rPr>
            </w:pPr>
            <w:r>
              <w:rPr>
                <w:rFonts w:hint="eastAsia"/>
                <w:b/>
                <w:bCs/>
                <w:color w:val="auto"/>
                <w:u w:val="none" w:color="auto"/>
              </w:rPr>
              <w:t>表</w:t>
            </w:r>
            <w:r>
              <w:rPr>
                <w:rFonts w:hint="eastAsia"/>
                <w:b/>
                <w:bCs/>
                <w:color w:val="auto"/>
                <w:u w:val="none" w:color="auto"/>
                <w:lang w:val="en-US" w:eastAsia="zh-CN"/>
              </w:rPr>
              <w:t xml:space="preserve">3-7 </w:t>
            </w:r>
            <w:r>
              <w:rPr>
                <w:rFonts w:hint="eastAsia"/>
                <w:b/>
                <w:bCs/>
                <w:color w:val="auto"/>
                <w:u w:val="none" w:color="auto"/>
              </w:rPr>
              <w:t>环境保护目标一览表</w:t>
            </w:r>
          </w:p>
          <w:tbl>
            <w:tblPr>
              <w:tblStyle w:val="27"/>
              <w:tblW w:w="4996"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296"/>
              <w:gridCol w:w="917"/>
              <w:gridCol w:w="1387"/>
              <w:gridCol w:w="2382"/>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环境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u w:val="none" w:color="auto"/>
                      <w:vertAlign w:val="baseline"/>
                    </w:rPr>
                  </w:pPr>
                  <w:r>
                    <w:rPr>
                      <w:rFonts w:hint="eastAsia"/>
                      <w:color w:val="auto"/>
                      <w:sz w:val="21"/>
                      <w:szCs w:val="21"/>
                      <w:u w:val="none" w:color="auto"/>
                      <w:lang w:val="en-US" w:eastAsia="zh-CN"/>
                    </w:rPr>
                    <w:t>要素</w:t>
                  </w: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u w:val="none" w:color="auto"/>
                    </w:rPr>
                  </w:pPr>
                  <w:r>
                    <w:rPr>
                      <w:color w:val="auto"/>
                      <w:sz w:val="21"/>
                      <w:szCs w:val="21"/>
                      <w:u w:val="none" w:color="auto"/>
                    </w:rPr>
                    <w:t>环境保护</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u w:val="none" w:color="auto"/>
                      <w:vertAlign w:val="baseline"/>
                    </w:rPr>
                  </w:pPr>
                  <w:r>
                    <w:rPr>
                      <w:color w:val="auto"/>
                      <w:sz w:val="21"/>
                      <w:szCs w:val="21"/>
                      <w:u w:val="none" w:color="auto"/>
                    </w:rPr>
                    <w:t>目标</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u w:val="none" w:color="auto"/>
                      <w:vertAlign w:val="baseline"/>
                    </w:rPr>
                  </w:pPr>
                  <w:r>
                    <w:rPr>
                      <w:color w:val="auto"/>
                      <w:sz w:val="21"/>
                      <w:szCs w:val="21"/>
                      <w:u w:val="none" w:color="auto"/>
                    </w:rPr>
                    <w:t>方位</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u w:val="none" w:color="auto"/>
                    </w:rPr>
                  </w:pPr>
                  <w:r>
                    <w:rPr>
                      <w:color w:val="auto"/>
                      <w:sz w:val="21"/>
                      <w:szCs w:val="21"/>
                      <w:u w:val="none" w:color="auto"/>
                    </w:rPr>
                    <w:t>最近</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u w:val="none" w:color="auto"/>
                      <w:vertAlign w:val="baseline"/>
                    </w:rPr>
                  </w:pPr>
                  <w:r>
                    <w:rPr>
                      <w:color w:val="auto"/>
                      <w:sz w:val="21"/>
                      <w:szCs w:val="21"/>
                      <w:u w:val="none" w:color="auto"/>
                    </w:rPr>
                    <w:t>距离</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u w:val="none" w:color="auto"/>
                      <w:vertAlign w:val="baseline"/>
                    </w:rPr>
                  </w:pPr>
                  <w:r>
                    <w:rPr>
                      <w:color w:val="auto"/>
                      <w:sz w:val="21"/>
                      <w:szCs w:val="21"/>
                      <w:u w:val="none" w:color="auto"/>
                    </w:rPr>
                    <w:t>规模</w:t>
                  </w:r>
                </w:p>
              </w:tc>
              <w:tc>
                <w:tcPr>
                  <w:tcW w:w="12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u w:val="none" w:color="auto"/>
                      <w:vertAlign w:val="baseline"/>
                    </w:rPr>
                  </w:pPr>
                  <w:r>
                    <w:rPr>
                      <w:color w:val="auto"/>
                      <w:sz w:val="21"/>
                      <w:szCs w:val="21"/>
                      <w:u w:val="none" w:color="auto"/>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u w:val="none" w:color="auto"/>
                      <w:vertAlign w:val="baseline"/>
                    </w:rPr>
                  </w:pPr>
                  <w:r>
                    <w:rPr>
                      <w:rFonts w:hint="eastAsia"/>
                      <w:color w:val="auto"/>
                      <w:sz w:val="21"/>
                      <w:szCs w:val="21"/>
                      <w:u w:val="none" w:color="auto"/>
                      <w:lang w:val="en-US" w:eastAsia="zh-CN"/>
                    </w:rPr>
                    <w:t>地表水</w:t>
                  </w: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白河</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w:t>
                  </w:r>
                </w:p>
              </w:tc>
              <w:tc>
                <w:tcPr>
                  <w:tcW w:w="12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u w:val="none" w:color="auto"/>
                      <w:vertAlign w:val="baseline"/>
                    </w:rPr>
                  </w:pPr>
                  <w:r>
                    <w:rPr>
                      <w:color w:val="auto"/>
                      <w:sz w:val="21"/>
                      <w:szCs w:val="21"/>
                      <w:u w:val="none" w:color="auto"/>
                    </w:rPr>
                    <w:t>GB3838-2002中</w:t>
                  </w:r>
                  <w:r>
                    <w:rPr>
                      <w:rFonts w:hint="eastAsia"/>
                      <w:color w:val="auto"/>
                      <w:sz w:val="21"/>
                      <w:szCs w:val="21"/>
                      <w:u w:val="none" w:color="auto"/>
                      <w:lang w:val="en-US" w:eastAsia="zh-CN"/>
                    </w:rPr>
                    <w:t>III</w:t>
                  </w:r>
                  <w:r>
                    <w:rPr>
                      <w:color w:val="auto"/>
                      <w:sz w:val="21"/>
                      <w:szCs w:val="21"/>
                      <w:u w:val="none" w:color="auto"/>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u w:val="none" w:color="auto"/>
                      <w:vertAlign w:val="baseline"/>
                    </w:rPr>
                  </w:pPr>
                  <w:r>
                    <w:rPr>
                      <w:rFonts w:hint="eastAsia"/>
                      <w:color w:val="auto"/>
                      <w:sz w:val="21"/>
                      <w:szCs w:val="21"/>
                      <w:u w:val="none" w:color="auto"/>
                      <w:lang w:val="en-US" w:eastAsia="zh-CN"/>
                    </w:rPr>
                    <w:t>大气环境</w:t>
                  </w: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罗家屋场</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N</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167~500m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vertAlign w:val="baseline"/>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30</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约100</w:t>
                  </w:r>
                  <w:r>
                    <w:rPr>
                      <w:rFonts w:hint="eastAsia"/>
                      <w:b w:val="0"/>
                      <w:bCs w:val="0"/>
                      <w:color w:val="auto"/>
                      <w:sz w:val="21"/>
                      <w:szCs w:val="21"/>
                      <w:u w:val="none" w:color="auto"/>
                    </w:rPr>
                    <w:t>人</w:t>
                  </w:r>
                </w:p>
              </w:tc>
              <w:tc>
                <w:tcPr>
                  <w:tcW w:w="120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bCs/>
                      <w:color w:val="auto"/>
                      <w:u w:val="none" w:color="auto"/>
                      <w:vertAlign w:val="baseline"/>
                    </w:rPr>
                  </w:pPr>
                  <w:r>
                    <w:rPr>
                      <w:rFonts w:hint="eastAsia"/>
                      <w:color w:val="auto"/>
                      <w:sz w:val="21"/>
                      <w:szCs w:val="21"/>
                      <w:u w:val="none" w:color="auto"/>
                    </w:rPr>
                    <w:t>《环境空气质量标准》（GB3095-2012）及其修改单中的二级标准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新屋里</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S</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23~500m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35</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约120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白米村</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NE</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206~500m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40</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约150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楚家湾</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W</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15~500m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38</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约140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谢家洲</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S</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18~500m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15</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约60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茅屋湾</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N</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277~500m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22</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约80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伏仁坝</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S</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20~500m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12</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约40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柚子塘</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E</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15~500m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8</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约30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茅柴屋</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W</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185~500m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18</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约68</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茅屋里</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E</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21~500m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9</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约30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何家湾</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N</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10~500m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8</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约30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白瓦屋</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W</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232~500m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26</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约95</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石头碑</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E</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8~500m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32</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约110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银塘村</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E</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7~500m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40</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约150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声环境</w:t>
                  </w: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新屋里</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S</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23~200m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15</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约60</w:t>
                  </w:r>
                  <w:r>
                    <w:rPr>
                      <w:rFonts w:hint="eastAsia"/>
                      <w:b w:val="0"/>
                      <w:bCs w:val="0"/>
                      <w:color w:val="auto"/>
                      <w:sz w:val="21"/>
                      <w:szCs w:val="21"/>
                      <w:u w:val="none" w:color="auto"/>
                    </w:rPr>
                    <w:t>人</w:t>
                  </w:r>
                </w:p>
              </w:tc>
              <w:tc>
                <w:tcPr>
                  <w:tcW w:w="120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rPr>
                  </w:pPr>
                  <w:r>
                    <w:rPr>
                      <w:rFonts w:hint="eastAsia"/>
                      <w:color w:val="auto"/>
                      <w:sz w:val="21"/>
                      <w:szCs w:val="21"/>
                      <w:u w:val="none" w:color="auto"/>
                      <w:lang w:eastAsia="zh-CN"/>
                    </w:rPr>
                    <w:t>《声环境质量标准》（GB3096-2008）中</w:t>
                  </w:r>
                  <w:r>
                    <w:rPr>
                      <w:rFonts w:hint="eastAsia"/>
                      <w:color w:val="auto"/>
                      <w:sz w:val="21"/>
                      <w:szCs w:val="21"/>
                      <w:u w:val="none" w:color="auto"/>
                      <w:lang w:val="en-US" w:eastAsia="zh-CN"/>
                    </w:rPr>
                    <w:t>1</w:t>
                  </w:r>
                  <w:r>
                    <w:rPr>
                      <w:rFonts w:hint="eastAsia"/>
                      <w:color w:val="auto"/>
                      <w:sz w:val="21"/>
                      <w:szCs w:val="21"/>
                      <w:u w:val="none" w:color="auto"/>
                      <w:lang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楚家湾</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W</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15~200m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18</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约72</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谢家洲</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S</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18~200m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6</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约24</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伏仁坝</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S</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20~200m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6</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约24</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柚子塘</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E</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15~200m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4</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约16</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茅屋里</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E</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21~200m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5</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约20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何家湾</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N</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10~200m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3</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约9</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石头碑</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E</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8~200m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18</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约60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银塘村</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E</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7~200m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20</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约90</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p>
              </w:tc>
              <w:tc>
                <w:tcPr>
                  <w:tcW w:w="6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茅柴屋</w:t>
                  </w:r>
                </w:p>
              </w:tc>
              <w:tc>
                <w:tcPr>
                  <w:tcW w:w="4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W</w:t>
                  </w:r>
                </w:p>
              </w:tc>
              <w:tc>
                <w:tcPr>
                  <w:tcW w:w="7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185~200m</w:t>
                  </w:r>
                </w:p>
              </w:tc>
              <w:tc>
                <w:tcPr>
                  <w:tcW w:w="1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b w:val="0"/>
                      <w:bCs w:val="0"/>
                      <w:color w:val="auto"/>
                      <w:sz w:val="21"/>
                      <w:szCs w:val="21"/>
                      <w:u w:val="none" w:color="auto"/>
                    </w:rPr>
                  </w:pPr>
                  <w:r>
                    <w:rPr>
                      <w:rFonts w:hint="eastAsia"/>
                      <w:b w:val="0"/>
                      <w:bCs w:val="0"/>
                      <w:color w:val="auto"/>
                      <w:sz w:val="21"/>
                      <w:szCs w:val="21"/>
                      <w:u w:val="none" w:color="auto"/>
                    </w:rPr>
                    <w:t>居住，</w:t>
                  </w:r>
                  <w:r>
                    <w:rPr>
                      <w:rFonts w:hint="eastAsia"/>
                      <w:b w:val="0"/>
                      <w:bCs w:val="0"/>
                      <w:color w:val="auto"/>
                      <w:sz w:val="21"/>
                      <w:szCs w:val="21"/>
                      <w:u w:val="none" w:color="auto"/>
                      <w:lang w:val="en-US" w:eastAsia="zh-CN"/>
                    </w:rPr>
                    <w:t>8</w:t>
                  </w:r>
                  <w:r>
                    <w:rPr>
                      <w:rFonts w:hint="eastAsia"/>
                      <w:b w:val="0"/>
                      <w:bCs w:val="0"/>
                      <w:color w:val="auto"/>
                      <w:sz w:val="21"/>
                      <w:szCs w:val="21"/>
                      <w:u w:val="none" w:color="auto"/>
                    </w:rPr>
                    <w:t>户，</w:t>
                  </w:r>
                  <w:r>
                    <w:rPr>
                      <w:rFonts w:hint="eastAsia"/>
                      <w:b w:val="0"/>
                      <w:bCs w:val="0"/>
                      <w:color w:val="auto"/>
                      <w:sz w:val="21"/>
                      <w:szCs w:val="21"/>
                      <w:u w:val="none" w:color="auto"/>
                      <w:lang w:val="en-US" w:eastAsia="zh-CN"/>
                    </w:rPr>
                    <w:t>约32</w:t>
                  </w:r>
                  <w:r>
                    <w:rPr>
                      <w:rFonts w:hint="eastAsia"/>
                      <w:b w:val="0"/>
                      <w:bCs w:val="0"/>
                      <w:color w:val="auto"/>
                      <w:sz w:val="21"/>
                      <w:szCs w:val="21"/>
                      <w:u w:val="none" w:color="auto"/>
                    </w:rPr>
                    <w:t>人</w:t>
                  </w:r>
                </w:p>
              </w:tc>
              <w:tc>
                <w:tcPr>
                  <w:tcW w:w="12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eastAsia="宋体"/>
                      <w:b w:val="0"/>
                      <w:bCs w:val="0"/>
                      <w:color w:val="auto"/>
                      <w:sz w:val="21"/>
                      <w:szCs w:val="21"/>
                      <w:u w:val="none" w:color="auto"/>
                      <w:vertAlign w:val="baseline"/>
                      <w:lang w:val="en-US" w:eastAsia="zh-CN"/>
                    </w:rPr>
                  </w:pPr>
                  <w:r>
                    <w:rPr>
                      <w:rFonts w:hint="eastAsia"/>
                      <w:b w:val="0"/>
                      <w:bCs w:val="0"/>
                      <w:color w:val="auto"/>
                      <w:sz w:val="21"/>
                      <w:szCs w:val="21"/>
                      <w:u w:val="none" w:color="auto"/>
                      <w:vertAlign w:val="baseline"/>
                      <w:lang w:val="en-US" w:eastAsia="zh-CN"/>
                    </w:rPr>
                    <w:t>生态环境</w:t>
                  </w:r>
                </w:p>
              </w:tc>
              <w:tc>
                <w:tcPr>
                  <w:tcW w:w="193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rPr>
                  </w:pPr>
                  <w:r>
                    <w:rPr>
                      <w:rFonts w:hint="eastAsia"/>
                      <w:b w:val="0"/>
                      <w:bCs w:val="0"/>
                      <w:color w:val="auto"/>
                      <w:sz w:val="21"/>
                      <w:szCs w:val="21"/>
                      <w:u w:val="none" w:color="auto"/>
                      <w:vertAlign w:val="baseline"/>
                    </w:rPr>
                    <w:t>陆生生态</w:t>
                  </w:r>
                </w:p>
              </w:tc>
              <w:tc>
                <w:tcPr>
                  <w:tcW w:w="249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vertAlign w:val="baseline"/>
                    </w:rPr>
                  </w:pPr>
                  <w:r>
                    <w:rPr>
                      <w:rFonts w:hint="eastAsia"/>
                      <w:b w:val="0"/>
                      <w:bCs w:val="0"/>
                      <w:color w:val="auto"/>
                      <w:sz w:val="21"/>
                      <w:szCs w:val="21"/>
                      <w:u w:val="none" w:color="auto"/>
                      <w:vertAlign w:val="baseline"/>
                    </w:rPr>
                    <w:t>乔木、农作物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olor w:val="auto"/>
                      <w:sz w:val="21"/>
                      <w:szCs w:val="21"/>
                      <w:u w:val="none" w:color="auto"/>
                      <w:lang w:eastAsia="zh-CN"/>
                    </w:rPr>
                  </w:pPr>
                </w:p>
              </w:tc>
              <w:tc>
                <w:tcPr>
                  <w:tcW w:w="193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lang w:val="en-US" w:eastAsia="zh-CN"/>
                    </w:rPr>
                  </w:pPr>
                  <w:r>
                    <w:rPr>
                      <w:rFonts w:hint="eastAsia"/>
                      <w:b w:val="0"/>
                      <w:bCs w:val="0"/>
                      <w:color w:val="auto"/>
                      <w:sz w:val="21"/>
                      <w:szCs w:val="21"/>
                      <w:u w:val="none" w:color="auto"/>
                      <w:lang w:val="en-US" w:eastAsia="zh-CN"/>
                    </w:rPr>
                    <w:t>水生生态</w:t>
                  </w:r>
                </w:p>
              </w:tc>
              <w:tc>
                <w:tcPr>
                  <w:tcW w:w="249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b w:val="0"/>
                      <w:bCs w:val="0"/>
                      <w:color w:val="auto"/>
                      <w:sz w:val="21"/>
                      <w:szCs w:val="21"/>
                      <w:u w:val="none" w:color="auto"/>
                      <w:lang w:val="en-US" w:eastAsia="zh-CN"/>
                    </w:rPr>
                  </w:pPr>
                  <w:r>
                    <w:rPr>
                      <w:rFonts w:hint="eastAsia"/>
                      <w:b w:val="0"/>
                      <w:bCs w:val="0"/>
                      <w:color w:val="auto"/>
                      <w:sz w:val="21"/>
                      <w:szCs w:val="21"/>
                      <w:u w:val="none" w:color="auto"/>
                      <w:lang w:val="en-US" w:eastAsia="zh-CN"/>
                    </w:rPr>
                    <w:t>浮游动物、浮游植物、鱼类等</w:t>
                  </w:r>
                </w:p>
              </w:tc>
            </w:tr>
          </w:tbl>
          <w:p>
            <w:pPr>
              <w:bidi w:val="0"/>
              <w:jc w:val="center"/>
              <w:outlineLvl w:val="9"/>
              <w:rPr>
                <w:rFonts w:hint="default" w:eastAsia="宋体"/>
                <w:color w:val="auto"/>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jc w:val="center"/>
        </w:trPr>
        <w:tc>
          <w:tcPr>
            <w:tcW w:w="390" w:type="pct"/>
            <w:tcBorders>
              <w:tl2br w:val="nil"/>
              <w:tr2bl w:val="nil"/>
            </w:tcBorders>
            <w:vAlign w:val="center"/>
          </w:tcPr>
          <w:p>
            <w:pPr>
              <w:bidi w:val="0"/>
              <w:jc w:val="center"/>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评价</w:t>
            </w:r>
          </w:p>
          <w:p>
            <w:pPr>
              <w:bidi w:val="0"/>
              <w:jc w:val="center"/>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标准</w:t>
            </w:r>
          </w:p>
        </w:tc>
        <w:tc>
          <w:tcPr>
            <w:tcW w:w="4609" w:type="pct"/>
            <w:tcBorders>
              <w:tl2br w:val="nil"/>
              <w:tr2bl w:val="nil"/>
            </w:tcBorders>
          </w:tcPr>
          <w:p>
            <w:pPr>
              <w:bidi w:val="0"/>
              <w:outlineLvl w:val="9"/>
              <w:rPr>
                <w:rFonts w:hint="default"/>
                <w:b/>
                <w:bCs/>
                <w:color w:val="auto"/>
                <w:u w:val="none" w:color="auto"/>
                <w:lang w:val="en-US" w:eastAsia="zh-CN"/>
              </w:rPr>
            </w:pPr>
            <w:r>
              <w:rPr>
                <w:rFonts w:hint="eastAsia"/>
                <w:b/>
                <w:bCs/>
                <w:color w:val="auto"/>
                <w:u w:val="none" w:color="auto"/>
                <w:lang w:val="en-US" w:eastAsia="zh-CN"/>
              </w:rPr>
              <w:t>3.12环境空气质量标准</w:t>
            </w:r>
          </w:p>
          <w:p>
            <w:pPr>
              <w:spacing w:line="360" w:lineRule="auto"/>
              <w:ind w:firstLine="480" w:firstLineChars="200"/>
              <w:rPr>
                <w:color w:val="auto"/>
                <w:u w:val="none" w:color="auto"/>
              </w:rPr>
            </w:pPr>
            <w:r>
              <w:rPr>
                <w:rFonts w:cs="Times New Roman"/>
                <w:color w:val="auto"/>
                <w:u w:val="none" w:color="auto"/>
              </w:rPr>
              <w:t>项目</w:t>
            </w:r>
            <w:r>
              <w:rPr>
                <w:rFonts w:hint="eastAsia" w:cs="Times New Roman"/>
                <w:color w:val="auto"/>
                <w:u w:val="none" w:color="auto"/>
                <w:lang w:val="en-US" w:eastAsia="zh-CN"/>
              </w:rPr>
              <w:t>区域</w:t>
            </w:r>
            <w:r>
              <w:rPr>
                <w:rFonts w:cs="Times New Roman"/>
                <w:color w:val="auto"/>
                <w:u w:val="none" w:color="auto"/>
              </w:rPr>
              <w:t>环境空气基本污染物SO</w:t>
            </w:r>
            <w:r>
              <w:rPr>
                <w:rFonts w:cs="Times New Roman"/>
                <w:color w:val="auto"/>
                <w:u w:val="none" w:color="auto"/>
                <w:vertAlign w:val="subscript"/>
              </w:rPr>
              <w:t>2</w:t>
            </w:r>
            <w:r>
              <w:rPr>
                <w:rFonts w:cs="Times New Roman"/>
                <w:color w:val="auto"/>
                <w:u w:val="none" w:color="auto"/>
              </w:rPr>
              <w:t>、NO</w:t>
            </w:r>
            <w:r>
              <w:rPr>
                <w:rFonts w:cs="Times New Roman"/>
                <w:color w:val="auto"/>
                <w:u w:val="none" w:color="auto"/>
                <w:vertAlign w:val="subscript"/>
              </w:rPr>
              <w:t>2</w:t>
            </w:r>
            <w:r>
              <w:rPr>
                <w:rFonts w:cs="Times New Roman"/>
                <w:color w:val="auto"/>
                <w:u w:val="none" w:color="auto"/>
              </w:rPr>
              <w:t>、PM</w:t>
            </w:r>
            <w:r>
              <w:rPr>
                <w:rFonts w:cs="Times New Roman"/>
                <w:color w:val="auto"/>
                <w:u w:val="none" w:color="auto"/>
                <w:vertAlign w:val="subscript"/>
              </w:rPr>
              <w:t>10</w:t>
            </w:r>
            <w:r>
              <w:rPr>
                <w:rFonts w:cs="Times New Roman"/>
                <w:color w:val="auto"/>
                <w:u w:val="none" w:color="auto"/>
              </w:rPr>
              <w:t>、PM</w:t>
            </w:r>
            <w:r>
              <w:rPr>
                <w:rFonts w:cs="Times New Roman"/>
                <w:color w:val="auto"/>
                <w:u w:val="none" w:color="auto"/>
                <w:vertAlign w:val="subscript"/>
              </w:rPr>
              <w:t>2.5</w:t>
            </w:r>
            <w:r>
              <w:rPr>
                <w:rFonts w:cs="Times New Roman"/>
                <w:color w:val="auto"/>
                <w:u w:val="none" w:color="auto"/>
              </w:rPr>
              <w:t>、CO和O</w:t>
            </w:r>
            <w:r>
              <w:rPr>
                <w:rFonts w:cs="Times New Roman"/>
                <w:color w:val="auto"/>
                <w:u w:val="none" w:color="auto"/>
                <w:vertAlign w:val="subscript"/>
              </w:rPr>
              <w:t>3</w:t>
            </w:r>
            <w:r>
              <w:rPr>
                <w:rFonts w:cs="Times New Roman"/>
                <w:color w:val="auto"/>
                <w:u w:val="none" w:color="auto"/>
              </w:rPr>
              <w:t>执行《环境空气质量标准》（GB3095-2012）及其修改单中的二级标准</w:t>
            </w:r>
            <w:r>
              <w:rPr>
                <w:rFonts w:hint="eastAsia" w:cs="Times New Roman"/>
                <w:color w:val="auto"/>
                <w:u w:val="none" w:color="auto"/>
              </w:rPr>
              <w:t>。</w:t>
            </w:r>
          </w:p>
          <w:p>
            <w:pPr>
              <w:spacing w:line="360" w:lineRule="auto"/>
              <w:jc w:val="center"/>
              <w:rPr>
                <w:rFonts w:hint="eastAsia" w:cs="Times New Roman"/>
                <w:b/>
                <w:bCs/>
                <w:color w:val="auto"/>
                <w:u w:val="none" w:color="auto"/>
              </w:rPr>
            </w:pPr>
            <w:r>
              <w:rPr>
                <w:rFonts w:hint="eastAsia" w:cs="Times New Roman"/>
                <w:b/>
                <w:bCs/>
                <w:color w:val="auto"/>
                <w:u w:val="none" w:color="auto"/>
              </w:rPr>
              <w:t>表</w:t>
            </w:r>
            <w:r>
              <w:rPr>
                <w:rFonts w:hint="eastAsia" w:cs="Times New Roman"/>
                <w:b/>
                <w:bCs/>
                <w:color w:val="auto"/>
                <w:u w:val="none" w:color="auto"/>
                <w:lang w:val="en-US" w:eastAsia="zh-CN"/>
              </w:rPr>
              <w:t xml:space="preserve">3-10 </w:t>
            </w:r>
            <w:r>
              <w:rPr>
                <w:rFonts w:hint="eastAsia" w:cs="Times New Roman"/>
                <w:b/>
                <w:bCs/>
                <w:color w:val="auto"/>
                <w:u w:val="none" w:color="auto"/>
              </w:rPr>
              <w:t xml:space="preserve"> 环境空气质量标准</w:t>
            </w:r>
          </w:p>
          <w:tbl>
            <w:tblPr>
              <w:tblStyle w:val="26"/>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2103"/>
              <w:gridCol w:w="1124"/>
              <w:gridCol w:w="1605"/>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blHeader/>
              </w:trPr>
              <w:tc>
                <w:tcPr>
                  <w:tcW w:w="7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污染物项目</w:t>
                  </w: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平均时间</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单位</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浓度限值</w:t>
                  </w:r>
                </w:p>
              </w:tc>
              <w:tc>
                <w:tcPr>
                  <w:tcW w:w="16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SO</w:t>
                  </w:r>
                  <w:r>
                    <w:rPr>
                      <w:rFonts w:hint="default"/>
                      <w:color w:val="auto"/>
                      <w:sz w:val="21"/>
                      <w:szCs w:val="21"/>
                      <w:u w:val="none" w:color="auto"/>
                      <w:vertAlign w:val="subscript"/>
                    </w:rPr>
                    <w:t>2</w:t>
                  </w: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color w:val="auto"/>
                      <w:sz w:val="21"/>
                      <w:szCs w:val="21"/>
                      <w:u w:val="none" w:color="auto"/>
                    </w:rPr>
                    <w:t>年平均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u w:val="none" w:color="auto"/>
                    </w:rPr>
                  </w:pPr>
                  <w:r>
                    <w:rPr>
                      <w:rFonts w:hint="default"/>
                      <w:color w:val="auto"/>
                      <w:sz w:val="21"/>
                      <w:szCs w:val="21"/>
                      <w:u w:val="none" w:color="auto"/>
                    </w:rPr>
                    <w:t>μg/m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60</w:t>
                  </w:r>
                </w:p>
              </w:tc>
              <w:tc>
                <w:tcPr>
                  <w:tcW w:w="161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color w:val="auto"/>
                      <w:sz w:val="21"/>
                      <w:szCs w:val="21"/>
                      <w:u w:val="none" w:color="auto"/>
                    </w:rPr>
                    <w:t>《环境空气质量标准》（GB3095-2012）及其修改单中的二级标准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24小时平均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μg/m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150</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1小时平均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μg/m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500</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NO</w:t>
                  </w:r>
                  <w:r>
                    <w:rPr>
                      <w:rFonts w:hint="default"/>
                      <w:color w:val="auto"/>
                      <w:sz w:val="21"/>
                      <w:szCs w:val="21"/>
                      <w:u w:val="none" w:color="auto"/>
                      <w:vertAlign w:val="subscript"/>
                    </w:rPr>
                    <w:t>2</w:t>
                  </w: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color w:val="auto"/>
                      <w:sz w:val="21"/>
                      <w:szCs w:val="21"/>
                      <w:u w:val="none" w:color="auto"/>
                    </w:rPr>
                    <w:t>年平均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u w:val="none" w:color="auto"/>
                    </w:rPr>
                  </w:pPr>
                  <w:r>
                    <w:rPr>
                      <w:rFonts w:hint="default"/>
                      <w:color w:val="auto"/>
                      <w:sz w:val="21"/>
                      <w:szCs w:val="21"/>
                      <w:u w:val="none" w:color="auto"/>
                    </w:rPr>
                    <w:t>μg/m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40</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24小时平均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μg/m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80</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1小时平均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μg/m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200</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PM</w:t>
                  </w:r>
                  <w:r>
                    <w:rPr>
                      <w:rFonts w:hint="default"/>
                      <w:color w:val="auto"/>
                      <w:sz w:val="21"/>
                      <w:szCs w:val="21"/>
                      <w:u w:val="none" w:color="auto"/>
                      <w:vertAlign w:val="subscript"/>
                    </w:rPr>
                    <w:t>10</w:t>
                  </w: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年平均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μg/m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70</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24小时平均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μg/m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150</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PM</w:t>
                  </w:r>
                  <w:r>
                    <w:rPr>
                      <w:rFonts w:hint="default"/>
                      <w:color w:val="auto"/>
                      <w:sz w:val="21"/>
                      <w:szCs w:val="21"/>
                      <w:u w:val="none" w:color="auto"/>
                      <w:vertAlign w:val="subscript"/>
                    </w:rPr>
                    <w:t>2.5</w:t>
                  </w: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年平均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μg/m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35</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24小时平均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μg/m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75</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CO</w:t>
                  </w: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24小时平均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eastAsia"/>
                      <w:color w:val="auto"/>
                      <w:sz w:val="21"/>
                      <w:szCs w:val="21"/>
                      <w:u w:val="none" w:color="auto"/>
                      <w:lang w:val="en-US" w:eastAsia="zh-CN"/>
                    </w:rPr>
                    <w:t>m</w:t>
                  </w:r>
                  <w:r>
                    <w:rPr>
                      <w:color w:val="auto"/>
                      <w:sz w:val="21"/>
                      <w:szCs w:val="21"/>
                      <w:u w:val="none" w:color="auto"/>
                      <w:lang w:val="en-US" w:eastAsia="zh-CN"/>
                    </w:rPr>
                    <w:t>g/</w:t>
                  </w:r>
                  <w:r>
                    <w:rPr>
                      <w:rFonts w:hint="default"/>
                      <w:color w:val="auto"/>
                      <w:sz w:val="21"/>
                      <w:szCs w:val="21"/>
                      <w:u w:val="none" w:color="auto"/>
                    </w:rPr>
                    <w:t>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4</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1小时平均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eastAsia"/>
                      <w:color w:val="auto"/>
                      <w:sz w:val="21"/>
                      <w:szCs w:val="21"/>
                      <w:u w:val="none" w:color="auto"/>
                      <w:lang w:val="en-US" w:eastAsia="zh-CN"/>
                    </w:rPr>
                    <w:t>m</w:t>
                  </w:r>
                  <w:r>
                    <w:rPr>
                      <w:color w:val="auto"/>
                      <w:sz w:val="21"/>
                      <w:szCs w:val="21"/>
                      <w:u w:val="none" w:color="auto"/>
                      <w:lang w:val="en-US" w:eastAsia="zh-CN"/>
                    </w:rPr>
                    <w:t>g/</w:t>
                  </w:r>
                  <w:r>
                    <w:rPr>
                      <w:rFonts w:hint="default"/>
                      <w:color w:val="auto"/>
                      <w:sz w:val="21"/>
                      <w:szCs w:val="21"/>
                      <w:u w:val="none" w:color="auto"/>
                    </w:rPr>
                    <w:t>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10</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8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O</w:t>
                  </w:r>
                  <w:r>
                    <w:rPr>
                      <w:rFonts w:hint="default"/>
                      <w:color w:val="auto"/>
                      <w:sz w:val="21"/>
                      <w:szCs w:val="21"/>
                      <w:u w:val="none" w:color="auto"/>
                      <w:vertAlign w:val="subscript"/>
                    </w:rPr>
                    <w:t>3</w:t>
                  </w: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日最大8小时平均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μg/m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160</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8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c>
                <w:tcPr>
                  <w:tcW w:w="11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1小时平均</w:t>
                  </w:r>
                </w:p>
              </w:tc>
              <w:tc>
                <w:tcPr>
                  <w:tcW w:w="6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μg/m</w:t>
                  </w:r>
                  <w:r>
                    <w:rPr>
                      <w:rFonts w:hint="default"/>
                      <w:color w:val="auto"/>
                      <w:sz w:val="21"/>
                      <w:szCs w:val="21"/>
                      <w:u w:val="none" w:color="auto"/>
                      <w:vertAlign w:val="superscript"/>
                    </w:rPr>
                    <w:t>3</w:t>
                  </w:r>
                </w:p>
              </w:tc>
              <w:tc>
                <w:tcPr>
                  <w:tcW w:w="8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200</w:t>
                  </w:r>
                </w:p>
              </w:tc>
              <w:tc>
                <w:tcPr>
                  <w:tcW w:w="161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r>
          </w:tbl>
          <w:p>
            <w:pPr>
              <w:bidi w:val="0"/>
              <w:outlineLvl w:val="9"/>
              <w:rPr>
                <w:rFonts w:hint="default"/>
                <w:b/>
                <w:bCs/>
                <w:color w:val="auto"/>
                <w:u w:val="none" w:color="auto"/>
                <w:lang w:val="en-US" w:eastAsia="zh-CN"/>
              </w:rPr>
            </w:pPr>
            <w:r>
              <w:rPr>
                <w:rFonts w:hint="eastAsia"/>
                <w:b/>
                <w:bCs/>
                <w:color w:val="auto"/>
                <w:u w:val="none" w:color="auto"/>
                <w:lang w:val="en-US" w:eastAsia="zh-CN"/>
              </w:rPr>
              <w:t>3.13地表水环境质量标准</w:t>
            </w:r>
          </w:p>
          <w:p>
            <w:pPr>
              <w:bidi w:val="0"/>
              <w:ind w:firstLine="480" w:firstLineChars="200"/>
              <w:outlineLvl w:val="9"/>
              <w:rPr>
                <w:rFonts w:hint="eastAsia"/>
                <w:b w:val="0"/>
                <w:bCs w:val="0"/>
                <w:color w:val="auto"/>
                <w:u w:val="none" w:color="auto"/>
                <w:lang w:val="en-US" w:eastAsia="zh-CN"/>
              </w:rPr>
            </w:pPr>
            <w:r>
              <w:rPr>
                <w:rFonts w:hint="eastAsia"/>
                <w:color w:val="auto"/>
                <w:u w:val="none" w:color="auto"/>
              </w:rPr>
              <w:t>执行《地表水环境质量标准》（GB3838-2002）中的</w:t>
            </w:r>
            <w:r>
              <w:rPr>
                <w:rFonts w:hint="eastAsia"/>
                <w:color w:val="auto"/>
                <w:u w:val="none" w:color="auto"/>
                <w:lang w:val="en-US" w:eastAsia="zh-CN"/>
              </w:rPr>
              <w:t>III</w:t>
            </w:r>
            <w:r>
              <w:rPr>
                <w:rFonts w:hint="eastAsia"/>
                <w:color w:val="auto"/>
                <w:u w:val="none" w:color="auto"/>
              </w:rPr>
              <w:t>类标准。具体标准限值见下表。</w:t>
            </w:r>
          </w:p>
          <w:p>
            <w:pPr>
              <w:spacing w:line="360" w:lineRule="auto"/>
              <w:jc w:val="center"/>
              <w:rPr>
                <w:rFonts w:hint="eastAsia" w:eastAsia="宋体" w:cs="Times New Roman"/>
                <w:b/>
                <w:bCs/>
                <w:color w:val="auto"/>
                <w:sz w:val="21"/>
                <w:szCs w:val="21"/>
                <w:u w:val="none" w:color="auto"/>
                <w:lang w:eastAsia="zh-CN"/>
              </w:rPr>
            </w:pPr>
            <w:r>
              <w:rPr>
                <w:rFonts w:hint="eastAsia" w:cs="Times New Roman"/>
                <w:b/>
                <w:bCs/>
                <w:color w:val="auto"/>
                <w:u w:val="none" w:color="auto"/>
              </w:rPr>
              <w:t>表</w:t>
            </w:r>
            <w:r>
              <w:rPr>
                <w:rFonts w:hint="eastAsia" w:cs="Times New Roman"/>
                <w:b/>
                <w:bCs/>
                <w:color w:val="auto"/>
                <w:u w:val="none" w:color="auto"/>
                <w:lang w:val="en-US" w:eastAsia="zh-CN"/>
              </w:rPr>
              <w:t xml:space="preserve">3-11 </w:t>
            </w:r>
            <w:r>
              <w:rPr>
                <w:rFonts w:hint="eastAsia" w:cs="Times New Roman"/>
                <w:b/>
                <w:bCs/>
                <w:color w:val="auto"/>
                <w:u w:val="none" w:color="auto"/>
              </w:rPr>
              <w:t xml:space="preserve"> 地表水环境质量标准</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0"/>
              <w:gridCol w:w="2133"/>
              <w:gridCol w:w="1635"/>
              <w:gridCol w:w="3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eastAsia" w:cs="Times New Roman"/>
                      <w:b w:val="0"/>
                      <w:bCs w:val="0"/>
                      <w:color w:val="auto"/>
                      <w:sz w:val="21"/>
                      <w:szCs w:val="21"/>
                      <w:u w:val="none" w:color="auto"/>
                      <w:lang w:val="en-US" w:eastAsia="zh-CN"/>
                    </w:rPr>
                    <w:t>污染物</w:t>
                  </w:r>
                  <w:r>
                    <w:rPr>
                      <w:rFonts w:cs="Times New Roman"/>
                      <w:b w:val="0"/>
                      <w:bCs w:val="0"/>
                      <w:color w:val="auto"/>
                      <w:sz w:val="21"/>
                      <w:szCs w:val="21"/>
                      <w:u w:val="none" w:color="auto"/>
                    </w:rPr>
                    <w:t>项目</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u w:val="none" w:color="auto"/>
                    </w:rPr>
                  </w:pPr>
                  <w:r>
                    <w:rPr>
                      <w:rFonts w:hint="eastAsia" w:cs="Times New Roman"/>
                      <w:b w:val="0"/>
                      <w:bCs w:val="0"/>
                      <w:color w:val="auto"/>
                      <w:sz w:val="21"/>
                      <w:szCs w:val="21"/>
                      <w:u w:val="none" w:color="auto"/>
                      <w:lang w:val="en-US" w:eastAsia="zh-CN"/>
                    </w:rPr>
                    <w:t>III类</w:t>
                  </w:r>
                  <w:r>
                    <w:rPr>
                      <w:rFonts w:hint="eastAsia"/>
                      <w:b w:val="0"/>
                      <w:bCs w:val="0"/>
                      <w:color w:val="auto"/>
                      <w:sz w:val="21"/>
                      <w:szCs w:val="21"/>
                      <w:u w:val="none" w:color="auto"/>
                    </w:rPr>
                    <w:t>标准限值</w:t>
                  </w:r>
                </w:p>
              </w:tc>
              <w:tc>
                <w:tcPr>
                  <w:tcW w:w="8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eastAsia" w:cs="Times New Roman"/>
                      <w:b w:val="0"/>
                      <w:bCs w:val="0"/>
                      <w:color w:val="auto"/>
                      <w:sz w:val="21"/>
                      <w:szCs w:val="21"/>
                      <w:u w:val="none" w:color="auto"/>
                      <w:lang w:val="en-US" w:eastAsia="zh-CN"/>
                    </w:rPr>
                    <w:t>单位</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color w:val="auto"/>
                      <w:sz w:val="21"/>
                      <w:szCs w:val="21"/>
                      <w:u w:val="none" w:color="auto"/>
                    </w:rPr>
                  </w:pPr>
                  <w:r>
                    <w:rPr>
                      <w:rFonts w:hint="eastAsia"/>
                      <w:b w:val="0"/>
                      <w:bCs w:val="0"/>
                      <w:color w:val="auto"/>
                      <w:sz w:val="21"/>
                      <w:szCs w:val="21"/>
                      <w:u w:val="none" w:color="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default"/>
                      <w:color w:val="auto"/>
                      <w:sz w:val="21"/>
                      <w:szCs w:val="21"/>
                      <w:u w:val="none" w:color="auto"/>
                    </w:rPr>
                    <w:t>pH</w:t>
                  </w:r>
                  <w:r>
                    <w:rPr>
                      <w:rFonts w:hint="eastAsia"/>
                      <w:color w:val="auto"/>
                      <w:sz w:val="21"/>
                      <w:szCs w:val="21"/>
                      <w:u w:val="none" w:color="auto"/>
                      <w:lang w:val="en-US" w:eastAsia="zh-CN"/>
                    </w:rPr>
                    <w:t>值</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auto"/>
                      <w:sz w:val="21"/>
                      <w:szCs w:val="21"/>
                      <w:u w:val="none" w:color="auto"/>
                    </w:rPr>
                  </w:pPr>
                  <w:r>
                    <w:rPr>
                      <w:rFonts w:hint="default"/>
                      <w:color w:val="auto"/>
                      <w:sz w:val="21"/>
                      <w:szCs w:val="21"/>
                      <w:u w:val="none" w:color="auto"/>
                    </w:rPr>
                    <w:t>6~9</w:t>
                  </w:r>
                </w:p>
              </w:tc>
              <w:tc>
                <w:tcPr>
                  <w:tcW w:w="8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cs="Times New Roman"/>
                      <w:b w:val="0"/>
                      <w:bCs w:val="0"/>
                      <w:color w:val="auto"/>
                      <w:sz w:val="21"/>
                      <w:szCs w:val="21"/>
                      <w:u w:val="none" w:color="auto"/>
                    </w:rPr>
                  </w:pPr>
                  <w:r>
                    <w:rPr>
                      <w:rFonts w:hint="default"/>
                      <w:color w:val="auto"/>
                      <w:sz w:val="21"/>
                      <w:szCs w:val="21"/>
                      <w:u w:val="none" w:color="auto"/>
                    </w:rPr>
                    <w:t>无量纲</w:t>
                  </w:r>
                </w:p>
              </w:tc>
              <w:tc>
                <w:tcPr>
                  <w:tcW w:w="164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eastAsia" w:cs="Times New Roman"/>
                      <w:b w:val="0"/>
                      <w:bCs w:val="0"/>
                      <w:color w:val="auto"/>
                      <w:sz w:val="21"/>
                      <w:szCs w:val="21"/>
                      <w:u w:val="none" w:color="auto"/>
                    </w:rPr>
                    <w:t>《地表水环境质量标准》（GB3838-2002）中</w:t>
                  </w:r>
                  <w:r>
                    <w:rPr>
                      <w:rFonts w:hint="eastAsia" w:cs="Times New Roman"/>
                      <w:b w:val="0"/>
                      <w:bCs w:val="0"/>
                      <w:color w:val="auto"/>
                      <w:sz w:val="21"/>
                      <w:szCs w:val="21"/>
                      <w:u w:val="none" w:color="auto"/>
                      <w:lang w:val="en-US" w:eastAsia="zh-CN"/>
                    </w:rPr>
                    <w:t>III</w:t>
                  </w:r>
                  <w:r>
                    <w:rPr>
                      <w:rFonts w:hint="eastAsia" w:cs="Times New Roman"/>
                      <w:b w:val="0"/>
                      <w:bCs w:val="0"/>
                      <w:color w:val="auto"/>
                      <w:sz w:val="21"/>
                      <w:szCs w:val="21"/>
                      <w:u w:val="none" w:color="auto"/>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eastAsia"/>
                      <w:color w:val="auto"/>
                      <w:sz w:val="21"/>
                      <w:szCs w:val="21"/>
                      <w:u w:val="none" w:color="auto"/>
                      <w:lang w:val="en-US" w:eastAsia="zh-CN"/>
                    </w:rPr>
                    <w:t>溶解氧</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≥5</w:t>
                  </w:r>
                </w:p>
              </w:tc>
              <w:tc>
                <w:tcPr>
                  <w:tcW w:w="8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cs="Times New Roman"/>
                      <w:b w:val="0"/>
                      <w:bCs w:val="0"/>
                      <w:color w:val="auto"/>
                      <w:sz w:val="21"/>
                      <w:szCs w:val="21"/>
                      <w:u w:val="none" w:color="auto"/>
                    </w:rPr>
                  </w:pPr>
                  <w:r>
                    <w:rPr>
                      <w:rFonts w:hint="default"/>
                      <w:color w:val="auto"/>
                      <w:sz w:val="21"/>
                      <w:szCs w:val="21"/>
                      <w:u w:val="none" w:color="auto"/>
                    </w:rPr>
                    <w:t>mg/L</w:t>
                  </w:r>
                </w:p>
              </w:tc>
              <w:tc>
                <w:tcPr>
                  <w:tcW w:w="16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default"/>
                      <w:color w:val="auto"/>
                      <w:sz w:val="21"/>
                      <w:szCs w:val="21"/>
                      <w:u w:val="none" w:color="auto"/>
                    </w:rPr>
                    <w:t>COD</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 w:val="21"/>
                      <w:szCs w:val="21"/>
                      <w:u w:val="none" w:color="auto"/>
                    </w:rPr>
                  </w:pPr>
                  <w:r>
                    <w:rPr>
                      <w:color w:val="auto"/>
                      <w:sz w:val="21"/>
                      <w:szCs w:val="21"/>
                      <w:u w:val="none" w:color="auto"/>
                    </w:rPr>
                    <w:t>≤</w:t>
                  </w:r>
                  <w:r>
                    <w:rPr>
                      <w:rFonts w:hint="eastAsia"/>
                      <w:color w:val="auto"/>
                      <w:sz w:val="21"/>
                      <w:szCs w:val="21"/>
                      <w:u w:val="none" w:color="auto"/>
                      <w:lang w:val="en-US" w:eastAsia="zh-CN"/>
                    </w:rPr>
                    <w:t>20</w:t>
                  </w:r>
                </w:p>
              </w:tc>
              <w:tc>
                <w:tcPr>
                  <w:tcW w:w="8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cs="Times New Roman"/>
                      <w:b w:val="0"/>
                      <w:bCs w:val="0"/>
                      <w:color w:val="auto"/>
                      <w:sz w:val="21"/>
                      <w:szCs w:val="21"/>
                      <w:u w:val="none" w:color="auto"/>
                      <w:lang w:val="en-US" w:eastAsia="zh-CN"/>
                    </w:rPr>
                  </w:pPr>
                  <w:r>
                    <w:rPr>
                      <w:rFonts w:hint="default"/>
                      <w:color w:val="auto"/>
                      <w:sz w:val="21"/>
                      <w:szCs w:val="21"/>
                      <w:u w:val="none" w:color="auto"/>
                    </w:rPr>
                    <w:t>mg/L</w:t>
                  </w:r>
                </w:p>
              </w:tc>
              <w:tc>
                <w:tcPr>
                  <w:tcW w:w="16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default"/>
                      <w:color w:val="auto"/>
                      <w:sz w:val="21"/>
                      <w:szCs w:val="21"/>
                      <w:u w:val="none" w:color="auto"/>
                    </w:rPr>
                    <w:t>BOD</w:t>
                  </w:r>
                  <w:r>
                    <w:rPr>
                      <w:rFonts w:hint="default"/>
                      <w:color w:val="auto"/>
                      <w:sz w:val="21"/>
                      <w:szCs w:val="21"/>
                      <w:u w:val="none" w:color="auto"/>
                      <w:vertAlign w:val="subscript"/>
                    </w:rPr>
                    <w:t>5</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 w:val="21"/>
                      <w:szCs w:val="21"/>
                      <w:u w:val="none" w:color="auto"/>
                    </w:rPr>
                  </w:pPr>
                  <w:r>
                    <w:rPr>
                      <w:color w:val="auto"/>
                      <w:sz w:val="21"/>
                      <w:szCs w:val="21"/>
                      <w:u w:val="none" w:color="auto"/>
                    </w:rPr>
                    <w:t>≤</w:t>
                  </w:r>
                  <w:r>
                    <w:rPr>
                      <w:rFonts w:hint="default"/>
                      <w:color w:val="auto"/>
                      <w:sz w:val="21"/>
                      <w:szCs w:val="21"/>
                      <w:u w:val="none" w:color="auto"/>
                    </w:rPr>
                    <w:t>4</w:t>
                  </w:r>
                </w:p>
              </w:tc>
              <w:tc>
                <w:tcPr>
                  <w:tcW w:w="8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s="Times New Roman"/>
                      <w:b w:val="0"/>
                      <w:bCs w:val="0"/>
                      <w:color w:val="auto"/>
                      <w:sz w:val="21"/>
                      <w:szCs w:val="21"/>
                      <w:u w:val="none" w:color="auto"/>
                      <w:lang w:eastAsia="zh-CN"/>
                    </w:rPr>
                  </w:pPr>
                  <w:r>
                    <w:rPr>
                      <w:rFonts w:hint="default"/>
                      <w:color w:val="auto"/>
                      <w:sz w:val="21"/>
                      <w:szCs w:val="21"/>
                      <w:u w:val="none" w:color="auto"/>
                    </w:rPr>
                    <w:t>mg/L</w:t>
                  </w:r>
                </w:p>
              </w:tc>
              <w:tc>
                <w:tcPr>
                  <w:tcW w:w="16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default"/>
                      <w:color w:val="auto"/>
                      <w:sz w:val="21"/>
                      <w:szCs w:val="21"/>
                      <w:u w:val="none" w:color="auto"/>
                    </w:rPr>
                    <w:t>氨氮</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 w:val="21"/>
                      <w:szCs w:val="21"/>
                      <w:u w:val="none" w:color="auto"/>
                    </w:rPr>
                  </w:pPr>
                  <w:r>
                    <w:rPr>
                      <w:color w:val="auto"/>
                      <w:sz w:val="21"/>
                      <w:szCs w:val="21"/>
                      <w:u w:val="none" w:color="auto"/>
                    </w:rPr>
                    <w:t>≤</w:t>
                  </w:r>
                  <w:r>
                    <w:rPr>
                      <w:rFonts w:hint="default"/>
                      <w:color w:val="auto"/>
                      <w:sz w:val="21"/>
                      <w:szCs w:val="21"/>
                      <w:u w:val="none" w:color="auto"/>
                    </w:rPr>
                    <w:t>1.0</w:t>
                  </w:r>
                </w:p>
              </w:tc>
              <w:tc>
                <w:tcPr>
                  <w:tcW w:w="8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cs="Times New Roman"/>
                      <w:b w:val="0"/>
                      <w:bCs w:val="0"/>
                      <w:color w:val="auto"/>
                      <w:sz w:val="21"/>
                      <w:szCs w:val="21"/>
                      <w:u w:val="none" w:color="auto"/>
                    </w:rPr>
                  </w:pPr>
                  <w:r>
                    <w:rPr>
                      <w:rFonts w:hint="default"/>
                      <w:color w:val="auto"/>
                      <w:sz w:val="21"/>
                      <w:szCs w:val="21"/>
                      <w:u w:val="none" w:color="auto"/>
                    </w:rPr>
                    <w:t>mg/L</w:t>
                  </w:r>
                </w:p>
              </w:tc>
              <w:tc>
                <w:tcPr>
                  <w:tcW w:w="16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default"/>
                      <w:color w:val="auto"/>
                      <w:sz w:val="21"/>
                      <w:szCs w:val="21"/>
                      <w:u w:val="none" w:color="auto"/>
                    </w:rPr>
                    <w:t>总磷</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 w:val="21"/>
                      <w:szCs w:val="21"/>
                      <w:u w:val="none" w:color="auto"/>
                    </w:rPr>
                  </w:pPr>
                  <w:r>
                    <w:rPr>
                      <w:color w:val="auto"/>
                      <w:sz w:val="21"/>
                      <w:szCs w:val="21"/>
                      <w:u w:val="none" w:color="auto"/>
                    </w:rPr>
                    <w:t>≤</w:t>
                  </w:r>
                  <w:r>
                    <w:rPr>
                      <w:rFonts w:hint="default"/>
                      <w:color w:val="auto"/>
                      <w:sz w:val="21"/>
                      <w:szCs w:val="21"/>
                      <w:u w:val="none" w:color="auto"/>
                    </w:rPr>
                    <w:t>0.</w:t>
                  </w:r>
                  <w:r>
                    <w:rPr>
                      <w:rFonts w:hint="eastAsia"/>
                      <w:color w:val="auto"/>
                      <w:sz w:val="21"/>
                      <w:szCs w:val="21"/>
                      <w:u w:val="none" w:color="auto"/>
                      <w:lang w:val="en-US" w:eastAsia="zh-CN"/>
                    </w:rPr>
                    <w:t>2</w:t>
                  </w:r>
                </w:p>
              </w:tc>
              <w:tc>
                <w:tcPr>
                  <w:tcW w:w="8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cs="Times New Roman"/>
                      <w:b w:val="0"/>
                      <w:bCs w:val="0"/>
                      <w:color w:val="auto"/>
                      <w:sz w:val="21"/>
                      <w:szCs w:val="21"/>
                      <w:u w:val="none" w:color="auto"/>
                      <w:lang w:val="en-US" w:eastAsia="zh-CN"/>
                    </w:rPr>
                  </w:pPr>
                  <w:r>
                    <w:rPr>
                      <w:rFonts w:hint="default"/>
                      <w:color w:val="auto"/>
                      <w:sz w:val="21"/>
                      <w:szCs w:val="21"/>
                      <w:u w:val="none" w:color="auto"/>
                    </w:rPr>
                    <w:t>mg/L</w:t>
                  </w:r>
                </w:p>
              </w:tc>
              <w:tc>
                <w:tcPr>
                  <w:tcW w:w="16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eastAsia"/>
                      <w:color w:val="auto"/>
                      <w:sz w:val="21"/>
                      <w:szCs w:val="21"/>
                      <w:u w:val="none" w:color="auto"/>
                      <w:lang w:val="en-US" w:eastAsia="zh-CN"/>
                    </w:rPr>
                    <w:t>总氮</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 w:val="21"/>
                      <w:szCs w:val="21"/>
                      <w:u w:val="none" w:color="auto"/>
                    </w:rPr>
                  </w:pPr>
                  <w:r>
                    <w:rPr>
                      <w:color w:val="auto"/>
                      <w:sz w:val="21"/>
                      <w:szCs w:val="21"/>
                      <w:u w:val="none" w:color="auto"/>
                    </w:rPr>
                    <w:t>≤</w:t>
                  </w:r>
                  <w:r>
                    <w:rPr>
                      <w:rFonts w:hint="eastAsia"/>
                      <w:color w:val="auto"/>
                      <w:sz w:val="21"/>
                      <w:szCs w:val="21"/>
                      <w:u w:val="none" w:color="auto"/>
                      <w:lang w:val="en-US" w:eastAsia="zh-CN"/>
                    </w:rPr>
                    <w:t>1.0</w:t>
                  </w:r>
                </w:p>
              </w:tc>
              <w:tc>
                <w:tcPr>
                  <w:tcW w:w="8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cs="Times New Roman"/>
                      <w:b w:val="0"/>
                      <w:bCs w:val="0"/>
                      <w:color w:val="auto"/>
                      <w:sz w:val="21"/>
                      <w:szCs w:val="21"/>
                      <w:u w:val="none" w:color="auto"/>
                      <w:lang w:val="en-US" w:eastAsia="zh-CN"/>
                    </w:rPr>
                  </w:pPr>
                  <w:r>
                    <w:rPr>
                      <w:rFonts w:hint="default"/>
                      <w:color w:val="auto"/>
                      <w:sz w:val="21"/>
                      <w:szCs w:val="21"/>
                      <w:u w:val="none" w:color="auto"/>
                    </w:rPr>
                    <w:t>mg/L</w:t>
                  </w:r>
                </w:p>
              </w:tc>
              <w:tc>
                <w:tcPr>
                  <w:tcW w:w="16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eastAsia" w:eastAsia="宋体"/>
                      <w:color w:val="auto"/>
                      <w:sz w:val="21"/>
                      <w:szCs w:val="21"/>
                      <w:u w:val="none" w:color="auto"/>
                      <w:lang w:val="en-US" w:eastAsia="zh-CN"/>
                    </w:rPr>
                    <w:t>阴离子表面活性剂</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 w:val="21"/>
                      <w:szCs w:val="21"/>
                      <w:u w:val="none" w:color="auto"/>
                    </w:rPr>
                  </w:pPr>
                  <w:r>
                    <w:rPr>
                      <w:color w:val="auto"/>
                      <w:sz w:val="21"/>
                      <w:szCs w:val="21"/>
                      <w:u w:val="none" w:color="auto"/>
                    </w:rPr>
                    <w:t>≤</w:t>
                  </w:r>
                  <w:r>
                    <w:rPr>
                      <w:rFonts w:hint="default"/>
                      <w:color w:val="auto"/>
                      <w:sz w:val="21"/>
                      <w:szCs w:val="21"/>
                      <w:u w:val="none" w:color="auto"/>
                    </w:rPr>
                    <w:t>0.2</w:t>
                  </w:r>
                </w:p>
              </w:tc>
              <w:tc>
                <w:tcPr>
                  <w:tcW w:w="8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cs="Times New Roman"/>
                      <w:b w:val="0"/>
                      <w:bCs w:val="0"/>
                      <w:color w:val="auto"/>
                      <w:sz w:val="21"/>
                      <w:szCs w:val="21"/>
                      <w:u w:val="none" w:color="auto"/>
                      <w:lang w:val="en-US" w:eastAsia="zh-CN"/>
                    </w:rPr>
                  </w:pPr>
                  <w:r>
                    <w:rPr>
                      <w:rFonts w:hint="default"/>
                      <w:color w:val="auto"/>
                      <w:sz w:val="21"/>
                      <w:szCs w:val="21"/>
                      <w:u w:val="none" w:color="auto"/>
                    </w:rPr>
                    <w:t>mg/L</w:t>
                  </w:r>
                </w:p>
              </w:tc>
              <w:tc>
                <w:tcPr>
                  <w:tcW w:w="16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default"/>
                      <w:color w:val="auto"/>
                      <w:sz w:val="21"/>
                      <w:szCs w:val="21"/>
                      <w:u w:val="none" w:color="auto"/>
                    </w:rPr>
                    <w:t>粪大肠菌群</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 w:val="21"/>
                      <w:szCs w:val="21"/>
                      <w:u w:val="none" w:color="auto"/>
                    </w:rPr>
                  </w:pPr>
                  <w:r>
                    <w:rPr>
                      <w:color w:val="auto"/>
                      <w:sz w:val="21"/>
                      <w:szCs w:val="21"/>
                      <w:u w:val="none" w:color="auto"/>
                    </w:rPr>
                    <w:t>≤</w:t>
                  </w:r>
                  <w:r>
                    <w:rPr>
                      <w:rFonts w:hint="default"/>
                      <w:color w:val="auto"/>
                      <w:sz w:val="21"/>
                      <w:szCs w:val="21"/>
                      <w:u w:val="none" w:color="auto"/>
                    </w:rPr>
                    <w:t>10000</w:t>
                  </w:r>
                </w:p>
              </w:tc>
              <w:tc>
                <w:tcPr>
                  <w:tcW w:w="8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cs="Times New Roman"/>
                      <w:b w:val="0"/>
                      <w:bCs w:val="0"/>
                      <w:color w:val="auto"/>
                      <w:sz w:val="21"/>
                      <w:szCs w:val="21"/>
                      <w:u w:val="none" w:color="auto"/>
                      <w:lang w:val="en-US" w:eastAsia="zh-CN"/>
                    </w:rPr>
                  </w:pPr>
                  <w:r>
                    <w:rPr>
                      <w:rFonts w:hint="default"/>
                      <w:color w:val="auto"/>
                      <w:sz w:val="21"/>
                      <w:szCs w:val="21"/>
                      <w:u w:val="none" w:color="auto"/>
                    </w:rPr>
                    <w:t>个/L</w:t>
                  </w:r>
                </w:p>
              </w:tc>
              <w:tc>
                <w:tcPr>
                  <w:tcW w:w="164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悬浮物</w:t>
                  </w:r>
                </w:p>
              </w:tc>
              <w:tc>
                <w:tcPr>
                  <w:tcW w:w="11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z w:val="21"/>
                      <w:szCs w:val="21"/>
                      <w:u w:val="none" w:color="auto"/>
                    </w:rPr>
                  </w:pPr>
                  <w:r>
                    <w:rPr>
                      <w:color w:val="auto"/>
                      <w:sz w:val="21"/>
                      <w:szCs w:val="21"/>
                      <w:u w:val="none" w:color="auto"/>
                    </w:rPr>
                    <w:t>≤</w:t>
                  </w:r>
                  <w:r>
                    <w:rPr>
                      <w:rFonts w:hint="eastAsia"/>
                      <w:color w:val="auto"/>
                      <w:sz w:val="21"/>
                      <w:szCs w:val="21"/>
                      <w:u w:val="none" w:color="auto"/>
                      <w:lang w:val="en-US" w:eastAsia="zh-CN"/>
                    </w:rPr>
                    <w:t>30</w:t>
                  </w:r>
                </w:p>
              </w:tc>
              <w:tc>
                <w:tcPr>
                  <w:tcW w:w="8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color w:val="auto"/>
                      <w:sz w:val="21"/>
                      <w:szCs w:val="21"/>
                      <w:u w:val="none" w:color="auto"/>
                    </w:rPr>
                  </w:pPr>
                  <w:r>
                    <w:rPr>
                      <w:rFonts w:hint="default"/>
                      <w:color w:val="auto"/>
                      <w:sz w:val="21"/>
                      <w:szCs w:val="21"/>
                      <w:u w:val="none" w:color="auto"/>
                    </w:rPr>
                    <w:t>mg/L</w:t>
                  </w:r>
                </w:p>
              </w:tc>
              <w:tc>
                <w:tcPr>
                  <w:tcW w:w="16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b w:val="0"/>
                      <w:bCs w:val="0"/>
                      <w:color w:val="auto"/>
                      <w:sz w:val="21"/>
                      <w:szCs w:val="21"/>
                      <w:u w:val="none" w:color="auto"/>
                    </w:rPr>
                  </w:pPr>
                  <w:r>
                    <w:rPr>
                      <w:rFonts w:hint="eastAsia"/>
                      <w:b w:val="0"/>
                      <w:bCs w:val="0"/>
                      <w:color w:val="auto"/>
                      <w:sz w:val="21"/>
                      <w:szCs w:val="21"/>
                      <w:u w:val="none" w:color="auto"/>
                      <w:lang w:val="en-US" w:eastAsia="zh-CN"/>
                    </w:rPr>
                    <w:t>《地表水资源质量标准》（SL63-94）中标准</w:t>
                  </w:r>
                </w:p>
              </w:tc>
            </w:tr>
          </w:tbl>
          <w:p>
            <w:pPr>
              <w:bidi w:val="0"/>
              <w:outlineLvl w:val="9"/>
              <w:rPr>
                <w:rFonts w:hint="default"/>
                <w:b w:val="0"/>
                <w:bCs w:val="0"/>
                <w:color w:val="auto"/>
                <w:u w:val="none" w:color="auto"/>
                <w:lang w:val="en-US" w:eastAsia="zh-CN"/>
              </w:rPr>
            </w:pPr>
            <w:r>
              <w:rPr>
                <w:rFonts w:hint="eastAsia"/>
                <w:b/>
                <w:bCs/>
                <w:color w:val="auto"/>
                <w:u w:val="none" w:color="auto"/>
                <w:lang w:val="en-US" w:eastAsia="zh-CN"/>
              </w:rPr>
              <w:t>3.14声环境质量标准</w:t>
            </w:r>
          </w:p>
          <w:p>
            <w:pPr>
              <w:pStyle w:val="24"/>
              <w:spacing w:line="360" w:lineRule="auto"/>
              <w:ind w:firstLine="480" w:firstLineChars="200"/>
              <w:rPr>
                <w:rFonts w:cs="Times New Roman"/>
                <w:snapToGrid w:val="0"/>
                <w:color w:val="auto"/>
                <w:u w:val="none" w:color="auto"/>
              </w:rPr>
            </w:pPr>
            <w:r>
              <w:rPr>
                <w:rFonts w:cs="Times New Roman"/>
                <w:snapToGrid w:val="0"/>
                <w:color w:val="auto"/>
                <w:u w:val="none" w:color="auto"/>
              </w:rPr>
              <w:t>项目所在地</w:t>
            </w:r>
            <w:r>
              <w:rPr>
                <w:rFonts w:hint="eastAsia"/>
                <w:color w:val="auto"/>
                <w:u w:val="none" w:color="auto"/>
              </w:rPr>
              <w:t>声环境执行《声环境质量标准》（GB3096-2008）</w:t>
            </w:r>
            <w:r>
              <w:rPr>
                <w:rFonts w:hint="eastAsia"/>
                <w:color w:val="auto"/>
                <w:u w:val="none" w:color="auto"/>
                <w:lang w:val="en-US" w:eastAsia="zh-CN"/>
              </w:rPr>
              <w:t>中1</w:t>
            </w:r>
            <w:r>
              <w:rPr>
                <w:rFonts w:hint="eastAsia"/>
                <w:color w:val="auto"/>
                <w:u w:val="none" w:color="auto"/>
              </w:rPr>
              <w:t>类标准</w:t>
            </w:r>
            <w:r>
              <w:rPr>
                <w:rFonts w:hint="eastAsia"/>
                <w:color w:val="auto"/>
                <w:u w:val="none" w:color="auto"/>
                <w:lang w:eastAsia="zh-CN"/>
              </w:rPr>
              <w:t>，</w:t>
            </w:r>
            <w:r>
              <w:rPr>
                <w:rFonts w:cs="Times New Roman"/>
                <w:snapToGrid w:val="0"/>
                <w:color w:val="auto"/>
                <w:u w:val="none" w:color="auto"/>
              </w:rPr>
              <w:t>具体噪声标准值见下表</w:t>
            </w:r>
            <w:r>
              <w:rPr>
                <w:rFonts w:hint="eastAsia" w:cs="Times New Roman"/>
                <w:snapToGrid w:val="0"/>
                <w:color w:val="auto"/>
                <w:u w:val="none" w:color="auto"/>
              </w:rPr>
              <w:t>。</w:t>
            </w:r>
          </w:p>
          <w:p>
            <w:pPr>
              <w:spacing w:line="360" w:lineRule="auto"/>
              <w:jc w:val="center"/>
              <w:rPr>
                <w:rFonts w:cs="Times New Roman"/>
                <w:b/>
                <w:bCs/>
                <w:color w:val="auto"/>
                <w:u w:val="none" w:color="auto"/>
              </w:rPr>
            </w:pPr>
            <w:r>
              <w:rPr>
                <w:rFonts w:hint="eastAsia" w:cs="Times New Roman"/>
                <w:b/>
                <w:bCs/>
                <w:color w:val="auto"/>
                <w:u w:val="none" w:color="auto"/>
              </w:rPr>
              <w:t>表</w:t>
            </w:r>
            <w:r>
              <w:rPr>
                <w:rFonts w:hint="eastAsia" w:cs="Times New Roman"/>
                <w:b/>
                <w:bCs/>
                <w:color w:val="auto"/>
                <w:u w:val="none" w:color="auto"/>
                <w:lang w:val="en-US" w:eastAsia="zh-CN"/>
              </w:rPr>
              <w:t xml:space="preserve">3-12 </w:t>
            </w:r>
            <w:r>
              <w:rPr>
                <w:rFonts w:hint="eastAsia" w:cs="Times New Roman"/>
                <w:b/>
                <w:bCs/>
                <w:color w:val="auto"/>
                <w:u w:val="none" w:color="auto"/>
              </w:rPr>
              <w:t xml:space="preserve"> 声环境质量标准  dB（A）</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1419"/>
              <w:gridCol w:w="1268"/>
              <w:gridCol w:w="5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6" w:type="pct"/>
                  <w:vMerge w:val="restart"/>
                  <w:tcBorders>
                    <w:tl2br w:val="nil"/>
                    <w:tr2bl w:val="nil"/>
                  </w:tcBorders>
                  <w:noWrap w:val="0"/>
                  <w:vAlign w:val="center"/>
                </w:tcPr>
                <w:p>
                  <w:pPr>
                    <w:pStyle w:val="37"/>
                    <w:rPr>
                      <w:rFonts w:cs="Times New Roman"/>
                      <w:b w:val="0"/>
                      <w:bCs/>
                      <w:color w:val="auto"/>
                      <w:szCs w:val="21"/>
                      <w:u w:val="none" w:color="auto"/>
                    </w:rPr>
                  </w:pPr>
                  <w:r>
                    <w:rPr>
                      <w:rFonts w:hint="eastAsia" w:cs="Times New Roman"/>
                      <w:b w:val="0"/>
                      <w:bCs/>
                      <w:color w:val="auto"/>
                      <w:szCs w:val="21"/>
                      <w:u w:val="none" w:color="auto"/>
                    </w:rPr>
                    <w:t>类别</w:t>
                  </w:r>
                </w:p>
              </w:tc>
              <w:tc>
                <w:tcPr>
                  <w:tcW w:w="1447" w:type="pct"/>
                  <w:gridSpan w:val="2"/>
                  <w:tcBorders>
                    <w:tl2br w:val="nil"/>
                    <w:tr2bl w:val="nil"/>
                  </w:tcBorders>
                  <w:noWrap w:val="0"/>
                  <w:vAlign w:val="center"/>
                </w:tcPr>
                <w:p>
                  <w:pPr>
                    <w:pStyle w:val="37"/>
                    <w:rPr>
                      <w:rFonts w:cs="Times New Roman"/>
                      <w:b w:val="0"/>
                      <w:bCs/>
                      <w:color w:val="auto"/>
                      <w:szCs w:val="21"/>
                      <w:u w:val="none" w:color="auto"/>
                    </w:rPr>
                  </w:pPr>
                  <w:r>
                    <w:rPr>
                      <w:rFonts w:hint="default"/>
                      <w:color w:val="auto"/>
                      <w:sz w:val="21"/>
                      <w:szCs w:val="21"/>
                      <w:u w:val="none" w:color="auto"/>
                    </w:rPr>
                    <w:t>标准值</w:t>
                  </w:r>
                  <w:r>
                    <w:rPr>
                      <w:rFonts w:hint="eastAsia"/>
                      <w:color w:val="auto"/>
                      <w:sz w:val="21"/>
                      <w:szCs w:val="21"/>
                      <w:u w:val="none" w:color="auto"/>
                      <w:lang w:eastAsia="zh-CN"/>
                    </w:rPr>
                    <w:t>（</w:t>
                  </w:r>
                  <w:r>
                    <w:rPr>
                      <w:rFonts w:hint="default"/>
                      <w:color w:val="auto"/>
                      <w:sz w:val="21"/>
                      <w:szCs w:val="21"/>
                      <w:u w:val="none" w:color="auto"/>
                    </w:rPr>
                    <w:t>dB</w:t>
                  </w:r>
                  <w:r>
                    <w:rPr>
                      <w:rFonts w:hint="eastAsia"/>
                      <w:color w:val="auto"/>
                      <w:sz w:val="21"/>
                      <w:szCs w:val="21"/>
                      <w:u w:val="none" w:color="auto"/>
                      <w:lang w:eastAsia="zh-CN"/>
                    </w:rPr>
                    <w:t>（</w:t>
                  </w:r>
                  <w:r>
                    <w:rPr>
                      <w:rFonts w:hint="default"/>
                      <w:color w:val="auto"/>
                      <w:sz w:val="21"/>
                      <w:szCs w:val="21"/>
                      <w:u w:val="none" w:color="auto"/>
                    </w:rPr>
                    <w:t>A</w:t>
                  </w:r>
                  <w:r>
                    <w:rPr>
                      <w:rFonts w:hint="eastAsia"/>
                      <w:color w:val="auto"/>
                      <w:sz w:val="21"/>
                      <w:szCs w:val="21"/>
                      <w:u w:val="none" w:color="auto"/>
                      <w:lang w:eastAsia="zh-CN"/>
                    </w:rPr>
                    <w:t>））</w:t>
                  </w:r>
                </w:p>
              </w:tc>
              <w:tc>
                <w:tcPr>
                  <w:tcW w:w="2746" w:type="pct"/>
                  <w:vMerge w:val="restart"/>
                  <w:tcBorders>
                    <w:tl2br w:val="nil"/>
                    <w:tr2bl w:val="nil"/>
                  </w:tcBorders>
                  <w:noWrap w:val="0"/>
                  <w:vAlign w:val="center"/>
                </w:tcPr>
                <w:p>
                  <w:pPr>
                    <w:pStyle w:val="37"/>
                    <w:rPr>
                      <w:rFonts w:cs="Times New Roman"/>
                      <w:b w:val="0"/>
                      <w:bCs/>
                      <w:color w:val="auto"/>
                      <w:szCs w:val="21"/>
                      <w:u w:val="none" w:color="auto"/>
                    </w:rPr>
                  </w:pPr>
                  <w:r>
                    <w:rPr>
                      <w:rFonts w:hint="eastAsia" w:cs="Times New Roman"/>
                      <w:b w:val="0"/>
                      <w:bCs/>
                      <w:color w:val="auto"/>
                      <w:szCs w:val="21"/>
                      <w:u w:val="none" w:color="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6" w:type="pct"/>
                  <w:vMerge w:val="continue"/>
                  <w:tcBorders>
                    <w:tl2br w:val="nil"/>
                    <w:tr2bl w:val="nil"/>
                  </w:tcBorders>
                  <w:noWrap w:val="0"/>
                  <w:vAlign w:val="center"/>
                </w:tcPr>
                <w:p>
                  <w:pPr>
                    <w:pStyle w:val="37"/>
                    <w:rPr>
                      <w:color w:val="auto"/>
                      <w:u w:val="none" w:color="auto"/>
                    </w:rPr>
                  </w:pPr>
                </w:p>
              </w:tc>
              <w:tc>
                <w:tcPr>
                  <w:tcW w:w="764" w:type="pct"/>
                  <w:tcBorders>
                    <w:tl2br w:val="nil"/>
                    <w:tr2bl w:val="nil"/>
                  </w:tcBorders>
                  <w:noWrap w:val="0"/>
                  <w:vAlign w:val="center"/>
                </w:tcPr>
                <w:p>
                  <w:pPr>
                    <w:pStyle w:val="37"/>
                    <w:ind w:firstLine="0" w:firstLineChars="0"/>
                    <w:rPr>
                      <w:rFonts w:cs="Times New Roman"/>
                      <w:b w:val="0"/>
                      <w:bCs/>
                      <w:color w:val="auto"/>
                      <w:szCs w:val="21"/>
                      <w:u w:val="none" w:color="auto"/>
                    </w:rPr>
                  </w:pPr>
                  <w:r>
                    <w:rPr>
                      <w:rFonts w:cs="Times New Roman"/>
                      <w:b w:val="0"/>
                      <w:bCs/>
                      <w:color w:val="auto"/>
                      <w:szCs w:val="21"/>
                      <w:u w:val="none" w:color="auto"/>
                    </w:rPr>
                    <w:t>昼间</w:t>
                  </w:r>
                </w:p>
              </w:tc>
              <w:tc>
                <w:tcPr>
                  <w:tcW w:w="683" w:type="pct"/>
                  <w:tcBorders>
                    <w:tl2br w:val="nil"/>
                    <w:tr2bl w:val="nil"/>
                  </w:tcBorders>
                  <w:noWrap w:val="0"/>
                  <w:vAlign w:val="center"/>
                </w:tcPr>
                <w:p>
                  <w:pPr>
                    <w:pStyle w:val="37"/>
                    <w:ind w:firstLine="0" w:firstLineChars="0"/>
                    <w:rPr>
                      <w:rFonts w:cs="Times New Roman"/>
                      <w:b w:val="0"/>
                      <w:bCs/>
                      <w:color w:val="auto"/>
                      <w:szCs w:val="21"/>
                      <w:u w:val="none" w:color="auto"/>
                    </w:rPr>
                  </w:pPr>
                  <w:r>
                    <w:rPr>
                      <w:rFonts w:cs="Times New Roman"/>
                      <w:b w:val="0"/>
                      <w:bCs/>
                      <w:color w:val="auto"/>
                      <w:szCs w:val="21"/>
                      <w:u w:val="none" w:color="auto"/>
                    </w:rPr>
                    <w:t>夜间</w:t>
                  </w:r>
                </w:p>
              </w:tc>
              <w:tc>
                <w:tcPr>
                  <w:tcW w:w="2746" w:type="pct"/>
                  <w:vMerge w:val="continue"/>
                  <w:tcBorders>
                    <w:tl2br w:val="nil"/>
                    <w:tr2bl w:val="nil"/>
                  </w:tcBorders>
                  <w:noWrap w:val="0"/>
                  <w:vAlign w:val="center"/>
                </w:tcPr>
                <w:p>
                  <w:pPr>
                    <w:pStyle w:val="37"/>
                    <w:rPr>
                      <w:rFonts w:cs="Times New Roman"/>
                      <w:b w:val="0"/>
                      <w:bCs/>
                      <w:color w:val="auto"/>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6" w:type="pct"/>
                  <w:tcBorders>
                    <w:tl2br w:val="nil"/>
                    <w:tr2bl w:val="nil"/>
                  </w:tcBorders>
                  <w:noWrap w:val="0"/>
                  <w:vAlign w:val="center"/>
                </w:tcPr>
                <w:p>
                  <w:pPr>
                    <w:pStyle w:val="37"/>
                    <w:rPr>
                      <w:rFonts w:cs="Times New Roman"/>
                      <w:b w:val="0"/>
                      <w:bCs/>
                      <w:color w:val="auto"/>
                      <w:szCs w:val="21"/>
                      <w:u w:val="none" w:color="auto"/>
                    </w:rPr>
                  </w:pPr>
                  <w:r>
                    <w:rPr>
                      <w:rFonts w:hint="eastAsia" w:cs="Times New Roman"/>
                      <w:b w:val="0"/>
                      <w:bCs/>
                      <w:color w:val="auto"/>
                      <w:szCs w:val="21"/>
                      <w:u w:val="none" w:color="auto"/>
                      <w:lang w:val="en-US" w:eastAsia="zh-CN"/>
                    </w:rPr>
                    <w:t>1</w:t>
                  </w:r>
                  <w:r>
                    <w:rPr>
                      <w:rFonts w:hint="eastAsia" w:cs="Times New Roman"/>
                      <w:b w:val="0"/>
                      <w:bCs/>
                      <w:color w:val="auto"/>
                      <w:szCs w:val="21"/>
                      <w:u w:val="none" w:color="auto"/>
                    </w:rPr>
                    <w:t>类</w:t>
                  </w:r>
                </w:p>
              </w:tc>
              <w:tc>
                <w:tcPr>
                  <w:tcW w:w="7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b w:val="0"/>
                      <w:bCs/>
                      <w:color w:val="auto"/>
                      <w:szCs w:val="21"/>
                      <w:u w:val="none" w:color="auto"/>
                      <w:lang w:val="en-US" w:eastAsia="zh-CN"/>
                    </w:rPr>
                  </w:pPr>
                  <w:r>
                    <w:rPr>
                      <w:rFonts w:hint="default"/>
                      <w:color w:val="auto"/>
                      <w:sz w:val="21"/>
                      <w:szCs w:val="21"/>
                      <w:u w:val="none" w:color="auto"/>
                    </w:rPr>
                    <w:t>≤</w:t>
                  </w:r>
                  <w:r>
                    <w:rPr>
                      <w:rFonts w:hint="eastAsia"/>
                      <w:color w:val="auto"/>
                      <w:sz w:val="21"/>
                      <w:szCs w:val="21"/>
                      <w:u w:val="none" w:color="auto"/>
                      <w:lang w:val="en-US" w:eastAsia="zh-CN"/>
                    </w:rPr>
                    <w:t>55</w:t>
                  </w:r>
                </w:p>
              </w:tc>
              <w:tc>
                <w:tcPr>
                  <w:tcW w:w="6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b w:val="0"/>
                      <w:bCs/>
                      <w:color w:val="auto"/>
                      <w:szCs w:val="21"/>
                      <w:u w:val="none" w:color="auto"/>
                      <w:lang w:val="en-US" w:eastAsia="zh-CN"/>
                    </w:rPr>
                  </w:pPr>
                  <w:r>
                    <w:rPr>
                      <w:rFonts w:hint="default"/>
                      <w:color w:val="auto"/>
                      <w:sz w:val="21"/>
                      <w:szCs w:val="21"/>
                      <w:u w:val="none" w:color="auto"/>
                    </w:rPr>
                    <w:t>≤</w:t>
                  </w:r>
                  <w:r>
                    <w:rPr>
                      <w:rFonts w:hint="eastAsia"/>
                      <w:color w:val="auto"/>
                      <w:sz w:val="21"/>
                      <w:szCs w:val="21"/>
                      <w:u w:val="none" w:color="auto"/>
                      <w:lang w:val="en-US" w:eastAsia="zh-CN"/>
                    </w:rPr>
                    <w:t>45</w:t>
                  </w:r>
                </w:p>
              </w:tc>
              <w:tc>
                <w:tcPr>
                  <w:tcW w:w="2746" w:type="pct"/>
                  <w:tcBorders>
                    <w:tl2br w:val="nil"/>
                    <w:tr2bl w:val="nil"/>
                  </w:tcBorders>
                  <w:noWrap w:val="0"/>
                  <w:vAlign w:val="center"/>
                </w:tcPr>
                <w:p>
                  <w:pPr>
                    <w:pStyle w:val="37"/>
                    <w:rPr>
                      <w:rFonts w:cs="Times New Roman"/>
                      <w:b w:val="0"/>
                      <w:bCs/>
                      <w:color w:val="auto"/>
                      <w:szCs w:val="21"/>
                      <w:u w:val="none" w:color="auto"/>
                    </w:rPr>
                  </w:pPr>
                  <w:r>
                    <w:rPr>
                      <w:rFonts w:hint="eastAsia" w:cs="Times New Roman"/>
                      <w:b w:val="0"/>
                      <w:bCs/>
                      <w:color w:val="auto"/>
                      <w:szCs w:val="21"/>
                      <w:u w:val="none" w:color="auto"/>
                    </w:rPr>
                    <w:t>《声环境质量标准》（GB3096-2008）</w:t>
                  </w:r>
                </w:p>
              </w:tc>
            </w:tr>
          </w:tbl>
          <w:p>
            <w:pPr>
              <w:bidi w:val="0"/>
              <w:outlineLvl w:val="9"/>
              <w:rPr>
                <w:rFonts w:hint="eastAsia" w:ascii="Times New Roman" w:hAnsi="Times New Roman" w:cs="Times New Roman"/>
                <w:color w:val="auto"/>
                <w:u w:val="none" w:color="auto"/>
                <w:lang w:eastAsia="zh-CN"/>
              </w:rPr>
            </w:pPr>
            <w:r>
              <w:rPr>
                <w:rFonts w:hint="eastAsia"/>
                <w:b/>
                <w:bCs/>
                <w:color w:val="auto"/>
                <w:u w:val="none" w:color="auto"/>
                <w:lang w:val="en-US" w:eastAsia="zh-CN"/>
              </w:rPr>
              <w:t>3.15</w:t>
            </w:r>
            <w:r>
              <w:rPr>
                <w:rFonts w:hint="eastAsia"/>
                <w:b/>
                <w:bCs/>
                <w:color w:val="auto"/>
                <w:u w:val="none" w:color="auto"/>
              </w:rPr>
              <w:t>废气排放标准</w:t>
            </w:r>
          </w:p>
          <w:p>
            <w:pPr>
              <w:bidi w:val="0"/>
              <w:ind w:firstLine="480" w:firstLineChars="200"/>
              <w:outlineLvl w:val="9"/>
              <w:rPr>
                <w:rFonts w:hint="eastAsia" w:eastAsia="宋体"/>
                <w:color w:val="auto"/>
                <w:u w:val="none" w:color="auto"/>
                <w:lang w:eastAsia="zh-CN"/>
              </w:rPr>
            </w:pPr>
            <w:r>
              <w:rPr>
                <w:rFonts w:hint="eastAsia"/>
                <w:color w:val="auto"/>
                <w:u w:val="none" w:color="auto"/>
              </w:rPr>
              <w:t>施工期无组织排放的粉尘执行《大气污染物综合排放标准》（GB16297-1996）表2中无组织排放浓度监控限值</w:t>
            </w:r>
            <w:r>
              <w:rPr>
                <w:rFonts w:hint="eastAsia"/>
                <w:color w:val="auto"/>
                <w:u w:val="none" w:color="auto"/>
                <w:lang w:eastAsia="zh-CN"/>
              </w:rPr>
              <w:t>。</w:t>
            </w:r>
          </w:p>
          <w:p>
            <w:pPr>
              <w:bidi w:val="0"/>
              <w:jc w:val="center"/>
              <w:rPr>
                <w:rFonts w:hint="eastAsia"/>
                <w:b/>
                <w:bCs/>
                <w:color w:val="auto"/>
                <w:u w:val="none" w:color="auto"/>
              </w:rPr>
            </w:pPr>
            <w:r>
              <w:rPr>
                <w:rFonts w:hint="eastAsia"/>
                <w:b/>
                <w:bCs/>
                <w:color w:val="auto"/>
                <w:u w:val="none" w:color="auto"/>
              </w:rPr>
              <w:t>表</w:t>
            </w:r>
            <w:r>
              <w:rPr>
                <w:rFonts w:hint="eastAsia"/>
                <w:b/>
                <w:bCs/>
                <w:color w:val="auto"/>
                <w:u w:val="none" w:color="auto"/>
                <w:lang w:val="en-US" w:eastAsia="zh-CN"/>
              </w:rPr>
              <w:t>3-13</w:t>
            </w:r>
            <w:r>
              <w:rPr>
                <w:rFonts w:hint="eastAsia"/>
                <w:b/>
                <w:bCs/>
                <w:color w:val="auto"/>
                <w:u w:val="none" w:color="auto"/>
              </w:rPr>
              <w:t xml:space="preserve">  大气污染物综合排放标准</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2063"/>
              <w:gridCol w:w="3810"/>
              <w:gridCol w:w="341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07" w:hRule="atLeast"/>
                <w:jc w:val="center"/>
              </w:trPr>
              <w:tc>
                <w:tcPr>
                  <w:tcW w:w="11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u w:val="none" w:color="auto"/>
                    </w:rPr>
                  </w:pPr>
                  <w:r>
                    <w:rPr>
                      <w:color w:val="auto"/>
                      <w:sz w:val="21"/>
                      <w:szCs w:val="21"/>
                      <w:u w:val="none" w:color="auto"/>
                    </w:rPr>
                    <w:t>污染物</w:t>
                  </w:r>
                </w:p>
              </w:tc>
              <w:tc>
                <w:tcPr>
                  <w:tcW w:w="388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u w:val="none" w:color="auto"/>
                    </w:rPr>
                  </w:pPr>
                  <w:r>
                    <w:rPr>
                      <w:color w:val="auto"/>
                      <w:sz w:val="21"/>
                      <w:szCs w:val="21"/>
                      <w:u w:val="none" w:color="auto"/>
                    </w:rPr>
                    <w:t>无组织排放监控浓度限值</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 w:hRule="atLeast"/>
                <w:jc w:val="center"/>
              </w:trPr>
              <w:tc>
                <w:tcPr>
                  <w:tcW w:w="11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u w:val="none" w:color="auto"/>
                    </w:rPr>
                  </w:pPr>
                </w:p>
              </w:tc>
              <w:tc>
                <w:tcPr>
                  <w:tcW w:w="20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u w:val="none" w:color="auto"/>
                    </w:rPr>
                  </w:pPr>
                  <w:r>
                    <w:rPr>
                      <w:color w:val="auto"/>
                      <w:sz w:val="21"/>
                      <w:szCs w:val="21"/>
                      <w:u w:val="none" w:color="auto"/>
                    </w:rPr>
                    <w:t>监控点</w:t>
                  </w:r>
                </w:p>
              </w:tc>
              <w:tc>
                <w:tcPr>
                  <w:tcW w:w="18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u w:val="none" w:color="auto"/>
                      <w:lang w:eastAsia="zh-CN"/>
                    </w:rPr>
                  </w:pPr>
                  <w:r>
                    <w:rPr>
                      <w:color w:val="auto"/>
                      <w:sz w:val="21"/>
                      <w:szCs w:val="21"/>
                      <w:u w:val="none" w:color="auto"/>
                    </w:rPr>
                    <w:t>浓度</w:t>
                  </w:r>
                  <w:r>
                    <w:rPr>
                      <w:rFonts w:hint="eastAsia"/>
                      <w:color w:val="auto"/>
                      <w:sz w:val="21"/>
                      <w:szCs w:val="21"/>
                      <w:u w:val="none" w:color="auto"/>
                      <w:lang w:eastAsia="zh-CN"/>
                    </w:rPr>
                    <w:t>（</w:t>
                  </w:r>
                  <w:r>
                    <w:rPr>
                      <w:color w:val="auto"/>
                      <w:sz w:val="21"/>
                      <w:szCs w:val="21"/>
                      <w:u w:val="none" w:color="auto"/>
                    </w:rPr>
                    <w:t>mg/m</w:t>
                  </w:r>
                  <w:r>
                    <w:rPr>
                      <w:color w:val="auto"/>
                      <w:sz w:val="21"/>
                      <w:szCs w:val="21"/>
                      <w:u w:val="none" w:color="auto"/>
                      <w:vertAlign w:val="superscript"/>
                    </w:rPr>
                    <w:t>3</w:t>
                  </w:r>
                  <w:r>
                    <w:rPr>
                      <w:rFonts w:hint="eastAsia"/>
                      <w:color w:val="auto"/>
                      <w:sz w:val="21"/>
                      <w:szCs w:val="21"/>
                      <w:u w:val="none" w:color="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11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u w:val="none" w:color="auto"/>
                    </w:rPr>
                  </w:pPr>
                  <w:r>
                    <w:rPr>
                      <w:color w:val="auto"/>
                      <w:sz w:val="21"/>
                      <w:szCs w:val="21"/>
                      <w:u w:val="none" w:color="auto"/>
                    </w:rPr>
                    <w:t>颗粒物</w:t>
                  </w:r>
                </w:p>
              </w:tc>
              <w:tc>
                <w:tcPr>
                  <w:tcW w:w="20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u w:val="none" w:color="auto"/>
                    </w:rPr>
                  </w:pPr>
                  <w:r>
                    <w:rPr>
                      <w:color w:val="auto"/>
                      <w:sz w:val="21"/>
                      <w:szCs w:val="21"/>
                      <w:u w:val="none" w:color="auto"/>
                    </w:rPr>
                    <w:t>周界外浓度最高点</w:t>
                  </w:r>
                </w:p>
              </w:tc>
              <w:tc>
                <w:tcPr>
                  <w:tcW w:w="18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u w:val="none" w:color="auto"/>
                    </w:rPr>
                  </w:pPr>
                  <w:r>
                    <w:rPr>
                      <w:color w:val="auto"/>
                      <w:sz w:val="21"/>
                      <w:szCs w:val="21"/>
                      <w:u w:val="none" w:color="auto"/>
                    </w:rPr>
                    <w:t>1.0</w:t>
                  </w:r>
                </w:p>
              </w:tc>
            </w:tr>
          </w:tbl>
          <w:p>
            <w:pPr>
              <w:bidi w:val="0"/>
              <w:outlineLvl w:val="9"/>
              <w:rPr>
                <w:rFonts w:hint="eastAsia" w:ascii="Times New Roman" w:hAnsi="Times New Roman" w:cs="Times New Roman"/>
                <w:color w:val="auto"/>
                <w:u w:val="none" w:color="auto"/>
                <w:lang w:eastAsia="zh-CN"/>
              </w:rPr>
            </w:pPr>
            <w:r>
              <w:rPr>
                <w:rFonts w:hint="eastAsia"/>
                <w:b/>
                <w:bCs/>
                <w:color w:val="auto"/>
                <w:u w:val="none" w:color="auto"/>
                <w:lang w:val="en-US" w:eastAsia="zh-CN"/>
              </w:rPr>
              <w:t>3.16</w:t>
            </w:r>
            <w:r>
              <w:rPr>
                <w:rFonts w:hint="eastAsia"/>
                <w:b/>
                <w:bCs/>
                <w:color w:val="auto"/>
                <w:u w:val="none" w:color="auto"/>
              </w:rPr>
              <w:t>废水排放标准</w:t>
            </w:r>
          </w:p>
          <w:p>
            <w:pPr>
              <w:bidi w:val="0"/>
              <w:ind w:firstLine="480" w:firstLineChars="200"/>
              <w:outlineLvl w:val="9"/>
              <w:rPr>
                <w:rFonts w:hint="default" w:eastAsia="宋体"/>
                <w:color w:val="auto"/>
                <w:u w:val="none" w:color="auto"/>
                <w:lang w:val="en-US" w:eastAsia="zh-CN"/>
              </w:rPr>
            </w:pPr>
            <w:r>
              <w:rPr>
                <w:rFonts w:hint="eastAsia"/>
                <w:color w:val="auto"/>
                <w:u w:val="none" w:color="auto"/>
                <w:lang w:val="en-US" w:eastAsia="zh-CN"/>
              </w:rPr>
              <w:t>施工废水经沉淀池处理后回用；生活污水依托周边居民现有的设施处理。</w:t>
            </w:r>
          </w:p>
          <w:p>
            <w:pPr>
              <w:bidi w:val="0"/>
              <w:outlineLvl w:val="9"/>
              <w:rPr>
                <w:rFonts w:hint="default" w:ascii="Times New Roman" w:hAnsi="Times New Roman" w:cs="Times New Roman"/>
                <w:color w:val="auto"/>
                <w:u w:val="none" w:color="auto"/>
                <w:lang w:val="en-US" w:eastAsia="zh-CN"/>
              </w:rPr>
            </w:pPr>
            <w:r>
              <w:rPr>
                <w:rFonts w:hint="eastAsia" w:ascii="Times New Roman" w:hAnsi="Times New Roman" w:cs="Times New Roman"/>
                <w:b/>
                <w:bCs/>
                <w:color w:val="auto"/>
                <w:u w:val="none" w:color="auto"/>
                <w:lang w:val="en-US" w:eastAsia="zh-CN"/>
              </w:rPr>
              <w:t>3.</w:t>
            </w:r>
            <w:r>
              <w:rPr>
                <w:rFonts w:hint="eastAsia" w:cs="Times New Roman"/>
                <w:b/>
                <w:bCs/>
                <w:color w:val="auto"/>
                <w:u w:val="none" w:color="auto"/>
                <w:lang w:val="en-US" w:eastAsia="zh-CN"/>
              </w:rPr>
              <w:t>17</w:t>
            </w:r>
            <w:r>
              <w:rPr>
                <w:rFonts w:hint="eastAsia"/>
                <w:b/>
                <w:bCs/>
                <w:color w:val="auto"/>
                <w:u w:val="none" w:color="auto"/>
              </w:rPr>
              <w:t>噪声排放标准</w:t>
            </w:r>
          </w:p>
          <w:p>
            <w:pPr>
              <w:bidi w:val="0"/>
              <w:ind w:firstLine="480" w:firstLineChars="200"/>
              <w:rPr>
                <w:rFonts w:hint="eastAsia"/>
                <w:color w:val="auto"/>
                <w:u w:val="none" w:color="auto"/>
              </w:rPr>
            </w:pPr>
            <w:r>
              <w:rPr>
                <w:rFonts w:hint="eastAsia"/>
                <w:color w:val="auto"/>
                <w:u w:val="none" w:color="auto"/>
              </w:rPr>
              <w:t>施工期噪声执行《建筑施工场界环境噪声排放标准》（GB12523-2011）。</w:t>
            </w:r>
          </w:p>
          <w:p>
            <w:pPr>
              <w:bidi w:val="0"/>
              <w:jc w:val="center"/>
              <w:rPr>
                <w:rFonts w:hint="eastAsia"/>
                <w:b/>
                <w:bCs/>
                <w:color w:val="auto"/>
                <w:u w:val="none" w:color="auto"/>
              </w:rPr>
            </w:pPr>
            <w:r>
              <w:rPr>
                <w:rFonts w:hint="eastAsia"/>
                <w:b/>
                <w:bCs/>
                <w:color w:val="auto"/>
                <w:u w:val="none" w:color="auto"/>
              </w:rPr>
              <w:t>表</w:t>
            </w:r>
            <w:r>
              <w:rPr>
                <w:rFonts w:hint="eastAsia"/>
                <w:b/>
                <w:bCs/>
                <w:color w:val="auto"/>
                <w:u w:val="none" w:color="auto"/>
                <w:lang w:val="en-US" w:eastAsia="zh-CN"/>
              </w:rPr>
              <w:t xml:space="preserve">3-14 </w:t>
            </w:r>
            <w:r>
              <w:rPr>
                <w:rFonts w:hint="eastAsia"/>
                <w:b/>
                <w:bCs/>
                <w:color w:val="auto"/>
                <w:u w:val="none" w:color="auto"/>
              </w:rPr>
              <w:t xml:space="preserve"> 噪声排放标准</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1566"/>
              <w:gridCol w:w="1525"/>
              <w:gridCol w:w="3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2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阶段</w:t>
                  </w:r>
                </w:p>
              </w:tc>
              <w:tc>
                <w:tcPr>
                  <w:tcW w:w="166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u w:val="none" w:color="auto"/>
                      <w:lang w:eastAsia="zh-CN"/>
                    </w:rPr>
                  </w:pPr>
                  <w:r>
                    <w:rPr>
                      <w:color w:val="auto"/>
                      <w:sz w:val="21"/>
                      <w:szCs w:val="21"/>
                      <w:u w:val="none" w:color="auto"/>
                    </w:rPr>
                    <w:t>标准值</w:t>
                  </w:r>
                  <w:r>
                    <w:rPr>
                      <w:rFonts w:hint="eastAsia"/>
                      <w:color w:val="auto"/>
                      <w:sz w:val="21"/>
                      <w:szCs w:val="21"/>
                      <w:u w:val="none" w:color="auto"/>
                    </w:rPr>
                    <w:t>dB</w:t>
                  </w:r>
                  <w:r>
                    <w:rPr>
                      <w:rFonts w:hint="eastAsia"/>
                      <w:color w:val="auto"/>
                      <w:sz w:val="21"/>
                      <w:szCs w:val="21"/>
                      <w:u w:val="none" w:color="auto"/>
                      <w:lang w:eastAsia="zh-CN"/>
                    </w:rPr>
                    <w:t>（</w:t>
                  </w:r>
                  <w:r>
                    <w:rPr>
                      <w:rFonts w:hint="eastAsia"/>
                      <w:color w:val="auto"/>
                      <w:sz w:val="21"/>
                      <w:szCs w:val="21"/>
                      <w:u w:val="none" w:color="auto"/>
                    </w:rPr>
                    <w:t>A</w:t>
                  </w:r>
                  <w:r>
                    <w:rPr>
                      <w:rFonts w:hint="eastAsia"/>
                      <w:color w:val="auto"/>
                      <w:sz w:val="21"/>
                      <w:szCs w:val="21"/>
                      <w:u w:val="none" w:color="auto"/>
                      <w:lang w:eastAsia="zh-CN"/>
                    </w:rPr>
                    <w:t>）</w:t>
                  </w:r>
                </w:p>
              </w:tc>
              <w:tc>
                <w:tcPr>
                  <w:tcW w:w="20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2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p>
              </w:tc>
              <w:tc>
                <w:tcPr>
                  <w:tcW w:w="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昼间</w:t>
                  </w:r>
                </w:p>
              </w:tc>
              <w:tc>
                <w:tcPr>
                  <w:tcW w:w="8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default"/>
                      <w:color w:val="auto"/>
                      <w:sz w:val="21"/>
                      <w:szCs w:val="21"/>
                      <w:u w:val="none" w:color="auto"/>
                    </w:rPr>
                    <w:t>夜间</w:t>
                  </w:r>
                </w:p>
              </w:tc>
              <w:tc>
                <w:tcPr>
                  <w:tcW w:w="20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2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eastAsia"/>
                      <w:color w:val="auto"/>
                      <w:sz w:val="21"/>
                      <w:szCs w:val="21"/>
                      <w:u w:val="none" w:color="auto"/>
                    </w:rPr>
                    <w:t>施工期</w:t>
                  </w:r>
                </w:p>
              </w:tc>
              <w:tc>
                <w:tcPr>
                  <w:tcW w:w="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rPr>
                  </w:pPr>
                  <w:r>
                    <w:rPr>
                      <w:rFonts w:hint="eastAsia"/>
                      <w:color w:val="auto"/>
                      <w:sz w:val="21"/>
                      <w:szCs w:val="21"/>
                      <w:u w:val="none" w:color="auto"/>
                    </w:rPr>
                    <w:t>70</w:t>
                  </w:r>
                </w:p>
              </w:tc>
              <w:tc>
                <w:tcPr>
                  <w:tcW w:w="8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55</w:t>
                  </w:r>
                </w:p>
              </w:tc>
              <w:tc>
                <w:tcPr>
                  <w:tcW w:w="20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lang w:val="en-US" w:eastAsia="zh-CN"/>
                    </w:rPr>
                  </w:pPr>
                  <w:r>
                    <w:rPr>
                      <w:rFonts w:hint="eastAsia"/>
                      <w:color w:val="auto"/>
                      <w:sz w:val="21"/>
                      <w:szCs w:val="21"/>
                      <w:u w:val="none" w:color="auto"/>
                      <w:lang w:val="en-US" w:eastAsia="zh-CN"/>
                    </w:rPr>
                    <w:t>GB12523-2011</w:t>
                  </w:r>
                </w:p>
              </w:tc>
            </w:tr>
          </w:tbl>
          <w:p>
            <w:pPr>
              <w:bidi w:val="0"/>
              <w:outlineLvl w:val="9"/>
              <w:rPr>
                <w:rFonts w:hint="eastAsia" w:ascii="Times New Roman" w:hAnsi="Times New Roman" w:cs="Times New Roman"/>
                <w:color w:val="auto"/>
                <w:u w:val="none" w:color="auto"/>
                <w:lang w:eastAsia="zh-CN"/>
              </w:rPr>
            </w:pPr>
            <w:r>
              <w:rPr>
                <w:rFonts w:hint="eastAsia"/>
                <w:b/>
                <w:bCs/>
                <w:color w:val="auto"/>
                <w:u w:val="none" w:color="auto"/>
                <w:lang w:val="en-US" w:eastAsia="zh-CN"/>
              </w:rPr>
              <w:t>3.18</w:t>
            </w:r>
            <w:r>
              <w:rPr>
                <w:rFonts w:hint="eastAsia"/>
                <w:b/>
                <w:bCs/>
                <w:color w:val="auto"/>
                <w:u w:val="none" w:color="auto"/>
              </w:rPr>
              <w:t>固体废物排放标准</w:t>
            </w:r>
          </w:p>
          <w:p>
            <w:pPr>
              <w:bidi w:val="0"/>
              <w:ind w:firstLine="480" w:firstLineChars="200"/>
              <w:outlineLvl w:val="9"/>
              <w:rPr>
                <w:rFonts w:hint="default" w:eastAsia="宋体"/>
                <w:color w:val="auto"/>
                <w:u w:val="none" w:color="auto"/>
                <w:vertAlign w:val="baseline"/>
                <w:lang w:val="en-US" w:eastAsia="zh-CN"/>
              </w:rPr>
            </w:pPr>
            <w:r>
              <w:rPr>
                <w:rFonts w:hint="eastAsia" w:ascii="Times New Roman" w:hAnsi="Times New Roman" w:cs="Times New Roman"/>
                <w:color w:val="auto"/>
                <w:u w:val="none" w:color="auto"/>
                <w:lang w:eastAsia="zh-CN"/>
              </w:rPr>
              <w:t>一般工业固体废物贮存执行《一般工业固体废物贮存和填埋污染控制标准》（GB 18599-2020）中的相关标准；生活垃圾执行《生活垃圾焚烧污染控制标准》（GB18485-2014）</w:t>
            </w:r>
            <w:r>
              <w:rPr>
                <w:rFonts w:hint="eastAsia" w:cs="Times New Roman"/>
                <w:color w:val="auto"/>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jc w:val="center"/>
        </w:trPr>
        <w:tc>
          <w:tcPr>
            <w:tcW w:w="390" w:type="pct"/>
            <w:tcBorders>
              <w:tl2br w:val="nil"/>
              <w:tr2bl w:val="nil"/>
            </w:tcBorders>
            <w:vAlign w:val="center"/>
          </w:tcPr>
          <w:p>
            <w:pPr>
              <w:bidi w:val="0"/>
              <w:jc w:val="center"/>
              <w:outlineLvl w:val="9"/>
              <w:rPr>
                <w:rFonts w:hint="default" w:eastAsia="宋体"/>
                <w:color w:val="auto"/>
                <w:u w:val="none" w:color="auto"/>
                <w:vertAlign w:val="baseline"/>
                <w:lang w:val="en-US" w:eastAsia="zh-CN"/>
              </w:rPr>
            </w:pPr>
            <w:r>
              <w:rPr>
                <w:rFonts w:hint="eastAsia"/>
                <w:color w:val="auto"/>
                <w:u w:val="none" w:color="auto"/>
                <w:vertAlign w:val="baseline"/>
                <w:lang w:val="en-US" w:eastAsia="zh-CN"/>
              </w:rPr>
              <w:t>其他</w:t>
            </w:r>
          </w:p>
        </w:tc>
        <w:tc>
          <w:tcPr>
            <w:tcW w:w="4609" w:type="pct"/>
            <w:tcBorders>
              <w:tl2br w:val="nil"/>
              <w:tr2bl w:val="nil"/>
            </w:tcBorders>
          </w:tcPr>
          <w:p>
            <w:pPr>
              <w:bidi w:val="0"/>
              <w:ind w:firstLine="480" w:firstLineChars="200"/>
              <w:outlineLvl w:val="9"/>
              <w:rPr>
                <w:rFonts w:hint="default" w:eastAsia="宋体"/>
                <w:color w:val="auto"/>
                <w:u w:val="none" w:color="auto"/>
                <w:vertAlign w:val="baseline"/>
                <w:lang w:val="en-US" w:eastAsia="zh-CN"/>
              </w:rPr>
            </w:pPr>
            <w:r>
              <w:rPr>
                <w:rFonts w:hint="eastAsia"/>
                <w:color w:val="auto"/>
                <w:u w:val="none" w:color="auto"/>
              </w:rPr>
              <w:t>本项目为防洪除涝工程，</w:t>
            </w:r>
            <w:r>
              <w:rPr>
                <w:rFonts w:hint="eastAsia"/>
                <w:color w:val="auto"/>
                <w:u w:val="none" w:color="auto"/>
                <w:lang w:val="en-US" w:eastAsia="zh-CN"/>
              </w:rPr>
              <w:t>属于生态影响类项目，</w:t>
            </w:r>
            <w:r>
              <w:rPr>
                <w:rFonts w:hint="eastAsia"/>
                <w:color w:val="auto"/>
                <w:u w:val="none" w:color="auto"/>
              </w:rPr>
              <w:t>非污染影响类项目，</w:t>
            </w:r>
            <w:r>
              <w:rPr>
                <w:rFonts w:hint="eastAsia"/>
                <w:color w:val="auto"/>
                <w:u w:val="none" w:color="auto"/>
                <w:lang w:val="en-US" w:eastAsia="zh-CN"/>
              </w:rPr>
              <w:t>工程</w:t>
            </w:r>
            <w:r>
              <w:rPr>
                <w:rFonts w:hint="eastAsia"/>
                <w:color w:val="auto"/>
                <w:u w:val="none" w:color="auto"/>
              </w:rPr>
              <w:t>建成后</w:t>
            </w:r>
            <w:r>
              <w:rPr>
                <w:rFonts w:hint="eastAsia"/>
                <w:color w:val="auto"/>
                <w:u w:val="none" w:color="auto"/>
                <w:lang w:val="en-US" w:eastAsia="zh-CN"/>
              </w:rPr>
              <w:t>均</w:t>
            </w:r>
            <w:r>
              <w:rPr>
                <w:rFonts w:hint="eastAsia"/>
                <w:color w:val="auto"/>
                <w:u w:val="none" w:color="auto"/>
              </w:rPr>
              <w:t>不产生废水、废气，</w:t>
            </w:r>
            <w:r>
              <w:rPr>
                <w:color w:val="auto"/>
                <w:sz w:val="24"/>
                <w:u w:val="none" w:color="auto"/>
              </w:rPr>
              <w:t>营运期不涉及</w:t>
            </w:r>
            <w:r>
              <w:rPr>
                <w:rFonts w:hint="eastAsia"/>
                <w:color w:val="auto"/>
                <w:u w:val="none" w:color="auto"/>
              </w:rPr>
              <w:t>总量控制指标。</w:t>
            </w:r>
          </w:p>
        </w:tc>
      </w:tr>
    </w:tbl>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auto"/>
        </w:rPr>
        <w:sectPr>
          <w:pgSz w:w="11906" w:h="16838"/>
          <w:pgMar w:top="1077" w:right="1077" w:bottom="1077" w:left="1077" w:header="851" w:footer="510" w:gutter="0"/>
          <w:pgBorders>
            <w:top w:val="none" w:sz="0" w:space="0"/>
            <w:left w:val="none" w:sz="0" w:space="0"/>
            <w:bottom w:val="none" w:sz="0" w:space="0"/>
            <w:right w:val="none" w:sz="0" w:space="0"/>
          </w:pgBorders>
          <w:pgNumType w:fmt="decimal"/>
          <w:cols w:space="425" w:num="1"/>
          <w:docGrid w:type="lines" w:linePitch="312" w:charSpace="0"/>
        </w:sectPr>
      </w:pPr>
    </w:p>
    <w:p>
      <w:pPr>
        <w:bidi w:val="0"/>
        <w:jc w:val="center"/>
        <w:outlineLvl w:val="0"/>
        <w:rPr>
          <w:color w:val="auto"/>
        </w:rPr>
      </w:pPr>
      <w:bookmarkStart w:id="18" w:name="_Toc6347"/>
      <w:bookmarkStart w:id="19" w:name="_Toc18853"/>
      <w:r>
        <w:rPr>
          <w:rFonts w:hint="eastAsia"/>
          <w:b/>
          <w:bCs/>
          <w:color w:val="auto"/>
          <w:sz w:val="30"/>
          <w:szCs w:val="30"/>
          <w:lang w:val="en-US" w:eastAsia="zh-CN"/>
        </w:rPr>
        <w:t>四</w:t>
      </w:r>
      <w:r>
        <w:rPr>
          <w:rFonts w:hint="eastAsia"/>
          <w:b/>
          <w:bCs/>
          <w:color w:val="auto"/>
          <w:sz w:val="30"/>
          <w:szCs w:val="30"/>
        </w:rPr>
        <w:t>、生态环境影响分析</w:t>
      </w:r>
      <w:bookmarkEnd w:id="18"/>
      <w:bookmarkEnd w:id="19"/>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458"/>
        <w:gridCol w:w="9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1436" w:hRule="atLeast"/>
          <w:jc w:val="center"/>
        </w:trPr>
        <w:tc>
          <w:tcPr>
            <w:tcW w:w="229" w:type="pct"/>
            <w:tcBorders>
              <w:tl2br w:val="nil"/>
              <w:tr2bl w:val="nil"/>
            </w:tcBorders>
            <w:vAlign w:val="center"/>
          </w:tcPr>
          <w:p>
            <w:pPr>
              <w:bidi w:val="0"/>
              <w:jc w:val="center"/>
              <w:outlineLvl w:val="9"/>
              <w:rPr>
                <w:rFonts w:hint="default" w:eastAsia="宋体"/>
                <w:color w:val="auto"/>
                <w:u w:val="none"/>
                <w:vertAlign w:val="baseline"/>
                <w:lang w:val="en-US" w:eastAsia="zh-CN"/>
              </w:rPr>
            </w:pPr>
            <w:r>
              <w:rPr>
                <w:rFonts w:hint="default" w:eastAsia="宋体"/>
                <w:color w:val="auto"/>
                <w:u w:val="none"/>
                <w:vertAlign w:val="baseline"/>
                <w:lang w:val="en-US" w:eastAsia="zh-CN"/>
              </w:rPr>
              <w:t>施工期生态环境影响分析</w:t>
            </w:r>
          </w:p>
        </w:tc>
        <w:tc>
          <w:tcPr>
            <w:tcW w:w="4770" w:type="pct"/>
            <w:tcBorders>
              <w:tl2br w:val="nil"/>
              <w:tr2bl w:val="nil"/>
            </w:tcBorders>
          </w:tcPr>
          <w:p>
            <w:pPr>
              <w:bidi w:val="0"/>
              <w:outlineLvl w:val="9"/>
              <w:rPr>
                <w:rFonts w:hint="default" w:ascii="Times New Roman" w:hAnsi="Times New Roman" w:cs="Times New Roman"/>
                <w:b/>
                <w:bCs/>
                <w:color w:val="auto"/>
                <w:u w:val="none"/>
                <w:lang w:val="en-US" w:eastAsia="zh-CN"/>
              </w:rPr>
            </w:pPr>
            <w:r>
              <w:rPr>
                <w:rFonts w:hint="eastAsia" w:ascii="Times New Roman" w:hAnsi="Times New Roman" w:cs="Times New Roman"/>
                <w:b/>
                <w:bCs/>
                <w:color w:val="auto"/>
                <w:u w:val="none"/>
                <w:lang w:val="en-US" w:eastAsia="zh-CN"/>
              </w:rPr>
              <w:t>4.1施工期大气环境影响分析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施工期产生</w:t>
            </w:r>
            <w:r>
              <w:rPr>
                <w:rFonts w:hint="eastAsia"/>
                <w:color w:val="auto"/>
                <w:u w:val="none"/>
                <w:lang w:val="en-US" w:eastAsia="zh-CN"/>
              </w:rPr>
              <w:t>的</w:t>
            </w:r>
            <w:r>
              <w:rPr>
                <w:rFonts w:hint="eastAsia"/>
                <w:color w:val="auto"/>
                <w:u w:val="none"/>
              </w:rPr>
              <w:t>废气主要为施工扬尘</w:t>
            </w:r>
            <w:r>
              <w:rPr>
                <w:rFonts w:hint="eastAsia"/>
                <w:color w:val="auto"/>
                <w:u w:val="none"/>
                <w:lang w:val="en-US" w:eastAsia="zh-CN"/>
              </w:rPr>
              <w:t>、拆除作业粉尘、</w:t>
            </w:r>
            <w:r>
              <w:rPr>
                <w:rFonts w:hint="eastAsia"/>
                <w:color w:val="auto"/>
                <w:u w:val="none"/>
              </w:rPr>
              <w:t>施工机械</w:t>
            </w:r>
            <w:r>
              <w:rPr>
                <w:rFonts w:hint="eastAsia"/>
                <w:color w:val="auto"/>
                <w:u w:val="none"/>
                <w:lang w:val="en-US" w:eastAsia="zh-CN"/>
              </w:rPr>
              <w:t>和</w:t>
            </w:r>
            <w:r>
              <w:rPr>
                <w:rFonts w:hint="eastAsia"/>
                <w:color w:val="auto"/>
                <w:u w:val="none"/>
              </w:rPr>
              <w:t>运输车辆废气。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（1）施工期扬尘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①运输车辆扬尘影响分析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据有关文献资料介绍，车辆行驶产生的扬尘占总扬尘的60%以上，车辆行驶产生的扬尘，在完全干燥情况下，可按下列经验公式计算：</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u w:val="none"/>
              </w:rPr>
            </w:pPr>
            <w:r>
              <w:rPr>
                <w:rFonts w:hint="default" w:ascii="Times New Roman" w:hAnsi="Times New Roman" w:cs="Times New Roman"/>
                <w:bCs/>
                <w:color w:val="auto"/>
                <w:sz w:val="24"/>
                <w:u w:val="none"/>
              </w:rPr>
              <w:t>Q=0.123(V/5)(W/6.8)</w:t>
            </w:r>
            <w:r>
              <w:rPr>
                <w:rFonts w:hint="default" w:ascii="Times New Roman" w:hAnsi="Times New Roman" w:cs="Times New Roman"/>
                <w:bCs/>
                <w:color w:val="auto"/>
                <w:sz w:val="24"/>
                <w:u w:val="none"/>
                <w:vertAlign w:val="superscript"/>
              </w:rPr>
              <w:t>0.85</w:t>
            </w:r>
            <w:r>
              <w:rPr>
                <w:rFonts w:hint="default" w:ascii="Times New Roman" w:hAnsi="Times New Roman" w:cs="Times New Roman"/>
                <w:bCs/>
                <w:color w:val="auto"/>
                <w:sz w:val="24"/>
                <w:u w:val="none"/>
              </w:rPr>
              <w:t>(P/0.5)</w:t>
            </w:r>
            <w:r>
              <w:rPr>
                <w:rFonts w:hint="default" w:ascii="Times New Roman" w:hAnsi="Times New Roman" w:cs="Times New Roman"/>
                <w:bCs/>
                <w:color w:val="auto"/>
                <w:sz w:val="24"/>
                <w:u w:val="none"/>
                <w:vertAlign w:val="superscript"/>
              </w:rPr>
              <w:t>0.75</w:t>
            </w:r>
          </w:p>
          <w:p>
            <w:pPr>
              <w:snapToGrid w:val="0"/>
              <w:spacing w:line="480" w:lineRule="exact"/>
              <w:ind w:firstLine="480" w:firstLineChars="200"/>
              <w:rPr>
                <w:rFonts w:hint="default" w:ascii="Times New Roman" w:hAnsi="Times New Roman" w:cs="Times New Roman"/>
                <w:bCs/>
                <w:color w:val="auto"/>
                <w:sz w:val="24"/>
                <w:u w:val="none"/>
              </w:rPr>
            </w:pPr>
            <w:r>
              <w:rPr>
                <w:rFonts w:hint="default" w:ascii="Times New Roman" w:hAnsi="Times New Roman" w:cs="Times New Roman"/>
                <w:bCs/>
                <w:color w:val="auto"/>
                <w:sz w:val="24"/>
                <w:u w:val="none"/>
              </w:rPr>
              <w:t>式中：Q—汽车行驶时的扬尘，kg/km</w:t>
            </w:r>
            <w:r>
              <w:rPr>
                <w:rFonts w:hint="default" w:ascii="Times New Roman" w:hAnsi="Times New Roman" w:cs="Times New Roman"/>
                <w:b/>
                <w:bCs w:val="0"/>
                <w:color w:val="auto"/>
                <w:sz w:val="24"/>
                <w:u w:val="none"/>
              </w:rPr>
              <w:t>·</w:t>
            </w:r>
            <w:r>
              <w:rPr>
                <w:rFonts w:hint="default" w:ascii="Times New Roman" w:hAnsi="Times New Roman" w:cs="Times New Roman"/>
                <w:bCs/>
                <w:color w:val="auto"/>
                <w:sz w:val="24"/>
                <w:u w:val="none"/>
              </w:rPr>
              <w:t>辆；</w:t>
            </w:r>
          </w:p>
          <w:p>
            <w:pPr>
              <w:snapToGrid w:val="0"/>
              <w:spacing w:line="480" w:lineRule="exact"/>
              <w:ind w:firstLine="1200" w:firstLineChars="500"/>
              <w:rPr>
                <w:rFonts w:hint="default" w:ascii="Times New Roman" w:hAnsi="Times New Roman" w:cs="Times New Roman"/>
                <w:bCs/>
                <w:color w:val="auto"/>
                <w:sz w:val="24"/>
                <w:u w:val="none"/>
              </w:rPr>
            </w:pPr>
            <w:r>
              <w:rPr>
                <w:rFonts w:hint="default" w:ascii="Times New Roman" w:hAnsi="Times New Roman" w:cs="Times New Roman"/>
                <w:bCs/>
                <w:color w:val="auto"/>
                <w:sz w:val="24"/>
                <w:u w:val="none"/>
              </w:rPr>
              <w:t>V—汽车速度，km/h；</w:t>
            </w:r>
          </w:p>
          <w:p>
            <w:pPr>
              <w:snapToGrid w:val="0"/>
              <w:spacing w:line="480" w:lineRule="exact"/>
              <w:ind w:firstLine="1200" w:firstLineChars="500"/>
              <w:rPr>
                <w:rFonts w:hint="default" w:ascii="Times New Roman" w:hAnsi="Times New Roman" w:cs="Times New Roman"/>
                <w:bCs/>
                <w:color w:val="auto"/>
                <w:sz w:val="24"/>
                <w:u w:val="none"/>
              </w:rPr>
            </w:pPr>
            <w:r>
              <w:rPr>
                <w:rFonts w:hint="default" w:ascii="Times New Roman" w:hAnsi="Times New Roman" w:cs="Times New Roman"/>
                <w:bCs/>
                <w:color w:val="auto"/>
                <w:sz w:val="24"/>
                <w:u w:val="none"/>
              </w:rPr>
              <w:t>W—汽车载重量，T；</w:t>
            </w:r>
          </w:p>
          <w:p>
            <w:pPr>
              <w:snapToGrid w:val="0"/>
              <w:spacing w:line="480" w:lineRule="exact"/>
              <w:ind w:firstLine="1200" w:firstLineChars="500"/>
              <w:rPr>
                <w:rFonts w:hint="default" w:ascii="Times New Roman" w:hAnsi="Times New Roman" w:cs="Times New Roman"/>
                <w:bCs/>
                <w:color w:val="auto"/>
                <w:sz w:val="24"/>
                <w:u w:val="none"/>
              </w:rPr>
            </w:pPr>
            <w:r>
              <w:rPr>
                <w:rFonts w:hint="default" w:ascii="Times New Roman" w:hAnsi="Times New Roman" w:cs="Times New Roman"/>
                <w:bCs/>
                <w:color w:val="auto"/>
                <w:sz w:val="24"/>
                <w:u w:val="none"/>
              </w:rPr>
              <w:t>P—道路表面粉尘量，kg/m</w:t>
            </w:r>
            <w:r>
              <w:rPr>
                <w:rFonts w:hint="default" w:ascii="Times New Roman" w:hAnsi="Times New Roman" w:cs="Times New Roman"/>
                <w:bCs/>
                <w:color w:val="auto"/>
                <w:sz w:val="24"/>
                <w:u w:val="none"/>
                <w:vertAlign w:val="superscript"/>
              </w:rPr>
              <w:t>2</w:t>
            </w:r>
            <w:r>
              <w:rPr>
                <w:rFonts w:hint="default" w:ascii="Times New Roman" w:hAnsi="Times New Roman" w:cs="Times New Roman"/>
                <w:bCs/>
                <w:color w:val="auto"/>
                <w:sz w:val="24"/>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下表为一辆载重10t的卡车，通过一段长度为1</w:t>
            </w:r>
            <w:r>
              <w:rPr>
                <w:rFonts w:hint="eastAsia"/>
                <w:color w:val="auto"/>
                <w:u w:val="none"/>
                <w:lang w:val="en-US" w:eastAsia="zh-CN"/>
              </w:rPr>
              <w:t>k</w:t>
            </w:r>
            <w:r>
              <w:rPr>
                <w:rFonts w:hint="eastAsia"/>
                <w:color w:val="auto"/>
                <w:u w:val="none"/>
              </w:rPr>
              <w:t>m的路面时，不同路面清洁程度，不同行驶速度情况下产生的扬尘量。由此可见，在同样路面清洁情况下，车速越快，扬尘量越大；而在同样车速情况下，路面清洁度越差，则扬尘量越大。因此应加强运输车辆的管理，应限制车辆行驶速度及保持路面的清洁，其是减少汽车扬尘对周围环境影响的最有效手段。</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u w:val="none"/>
              </w:rPr>
            </w:pPr>
            <w:r>
              <w:rPr>
                <w:rFonts w:hint="eastAsia"/>
                <w:b/>
                <w:bCs/>
                <w:color w:val="auto"/>
                <w:u w:val="none"/>
              </w:rPr>
              <w:t>表</w:t>
            </w:r>
            <w:r>
              <w:rPr>
                <w:rFonts w:hint="eastAsia"/>
                <w:b/>
                <w:bCs/>
                <w:color w:val="auto"/>
                <w:u w:val="none"/>
                <w:lang w:val="en-US" w:eastAsia="zh-CN"/>
              </w:rPr>
              <w:t>4</w:t>
            </w:r>
            <w:r>
              <w:rPr>
                <w:rFonts w:hint="eastAsia"/>
                <w:b/>
                <w:bCs/>
                <w:color w:val="auto"/>
                <w:u w:val="none"/>
              </w:rPr>
              <w:t>-</w:t>
            </w:r>
            <w:r>
              <w:rPr>
                <w:rFonts w:hint="eastAsia"/>
                <w:b/>
                <w:bCs/>
                <w:color w:val="auto"/>
                <w:u w:val="none"/>
                <w:lang w:val="en-US" w:eastAsia="zh-CN"/>
              </w:rPr>
              <w:t>1</w:t>
            </w:r>
            <w:r>
              <w:rPr>
                <w:rFonts w:hint="eastAsia"/>
                <w:b/>
                <w:bCs/>
                <w:color w:val="auto"/>
                <w:u w:val="none"/>
              </w:rPr>
              <w:t xml:space="preserve">  在不同车速和地面清洁程度的汽车扬尘  单位：kg/辆.km</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331"/>
              <w:gridCol w:w="1331"/>
              <w:gridCol w:w="1333"/>
              <w:gridCol w:w="1333"/>
              <w:gridCol w:w="133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690" w:type="pc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37"/>
                    <w:bidi w:val="0"/>
                    <w:rPr>
                      <w:rFonts w:hint="default"/>
                      <w:color w:val="auto"/>
                      <w:u w:val="none"/>
                    </w:rPr>
                  </w:pPr>
                  <w:r>
                    <w:rPr>
                      <w:rFonts w:hint="default"/>
                      <w:color w:val="auto"/>
                      <w:u w:val="none"/>
                    </w:rPr>
                    <w:t xml:space="preserve">         </w:t>
                  </w:r>
                </w:p>
                <w:p>
                  <w:pPr>
                    <w:pStyle w:val="37"/>
                    <w:bidi w:val="0"/>
                    <mc:AlternateContent>
                      <mc:Choice Requires="wpsCustomData">
                        <wpsCustomData:diagonalParaType/>
                      </mc:Choice>
                    </mc:AlternateContent>
                    <w:rPr>
                      <w:rFonts w:hint="default"/>
                      <w:color w:val="auto"/>
                      <w:u w:val="none"/>
                    </w:rPr>
                  </w:pPr>
                  <w:r>
                    <w:rPr>
                      <w:rFonts w:hint="default"/>
                      <w:color w:val="auto"/>
                      <w:sz w:val="18"/>
                      <w:szCs w:val="18"/>
                      <w:u w:val="none"/>
                    </w:rPr>
                    <w:t>车速</w:t>
                  </w:r>
                </w:p>
                <w:p>
                  <w:pPr>
                    <w:pStyle w:val="37"/>
                    <w:bidi w:val="0"/>
                    <w:rPr>
                      <w:rFonts w:hint="default"/>
                      <w:color w:val="auto"/>
                      <w:u w:val="none"/>
                    </w:rPr>
                  </w:pPr>
                  <w:r>
                    <w:rPr>
                      <w:rFonts w:hint="default"/>
                      <w:color w:val="auto"/>
                      <w:u w:val="none"/>
                    </w:rPr>
                    <w:t>P</w:t>
                  </w:r>
                </w:p>
              </w:tc>
              <w:tc>
                <w:tcPr>
                  <w:tcW w:w="717" w:type="pct"/>
                  <w:tcBorders>
                    <w:tl2br w:val="nil"/>
                    <w:tr2bl w:val="nil"/>
                  </w:tcBorders>
                  <w:noWrap w:val="0"/>
                  <w:vAlign w:val="center"/>
                </w:tcPr>
                <w:p>
                  <w:pPr>
                    <w:pStyle w:val="37"/>
                    <w:bidi w:val="0"/>
                    <w:rPr>
                      <w:rFonts w:hint="default"/>
                      <w:color w:val="auto"/>
                      <w:u w:val="none"/>
                    </w:rPr>
                  </w:pPr>
                  <w:r>
                    <w:rPr>
                      <w:rFonts w:hint="default"/>
                      <w:color w:val="auto"/>
                      <w:u w:val="none"/>
                    </w:rPr>
                    <w:t>0.1（kg/m</w:t>
                  </w:r>
                  <w:r>
                    <w:rPr>
                      <w:rFonts w:hint="default"/>
                      <w:color w:val="auto"/>
                      <w:u w:val="none"/>
                      <w:vertAlign w:val="superscript"/>
                    </w:rPr>
                    <w:t>2</w:t>
                  </w:r>
                  <w:r>
                    <w:rPr>
                      <w:rFonts w:hint="default"/>
                      <w:color w:val="auto"/>
                      <w:u w:val="none"/>
                    </w:rPr>
                    <w:t>）</w:t>
                  </w:r>
                </w:p>
              </w:tc>
              <w:tc>
                <w:tcPr>
                  <w:tcW w:w="717" w:type="pct"/>
                  <w:tcBorders>
                    <w:tl2br w:val="nil"/>
                    <w:tr2bl w:val="nil"/>
                  </w:tcBorders>
                  <w:noWrap w:val="0"/>
                  <w:vAlign w:val="center"/>
                </w:tcPr>
                <w:p>
                  <w:pPr>
                    <w:pStyle w:val="37"/>
                    <w:bidi w:val="0"/>
                    <w:rPr>
                      <w:rFonts w:hint="default"/>
                      <w:color w:val="auto"/>
                      <w:u w:val="none"/>
                    </w:rPr>
                  </w:pPr>
                  <w:r>
                    <w:rPr>
                      <w:rFonts w:hint="default"/>
                      <w:color w:val="auto"/>
                      <w:u w:val="none"/>
                    </w:rPr>
                    <w:t>0.2（kg/m</w:t>
                  </w:r>
                  <w:r>
                    <w:rPr>
                      <w:rFonts w:hint="default"/>
                      <w:color w:val="auto"/>
                      <w:u w:val="none"/>
                      <w:vertAlign w:val="superscript"/>
                    </w:rPr>
                    <w:t>2</w:t>
                  </w:r>
                  <w:r>
                    <w:rPr>
                      <w:rFonts w:hint="default"/>
                      <w:color w:val="auto"/>
                      <w:u w:val="none"/>
                    </w:rPr>
                    <w:t>）</w:t>
                  </w:r>
                </w:p>
              </w:tc>
              <w:tc>
                <w:tcPr>
                  <w:tcW w:w="718" w:type="pct"/>
                  <w:tcBorders>
                    <w:tl2br w:val="nil"/>
                    <w:tr2bl w:val="nil"/>
                  </w:tcBorders>
                  <w:noWrap w:val="0"/>
                  <w:vAlign w:val="center"/>
                </w:tcPr>
                <w:p>
                  <w:pPr>
                    <w:pStyle w:val="37"/>
                    <w:bidi w:val="0"/>
                    <w:rPr>
                      <w:rFonts w:hint="default"/>
                      <w:color w:val="auto"/>
                      <w:u w:val="none"/>
                    </w:rPr>
                  </w:pPr>
                  <w:r>
                    <w:rPr>
                      <w:rFonts w:hint="default"/>
                      <w:color w:val="auto"/>
                      <w:u w:val="none"/>
                    </w:rPr>
                    <w:t>0.3（kg/m</w:t>
                  </w:r>
                  <w:r>
                    <w:rPr>
                      <w:rFonts w:hint="default"/>
                      <w:color w:val="auto"/>
                      <w:u w:val="none"/>
                      <w:vertAlign w:val="superscript"/>
                    </w:rPr>
                    <w:t>2</w:t>
                  </w:r>
                  <w:r>
                    <w:rPr>
                      <w:rFonts w:hint="default"/>
                      <w:color w:val="auto"/>
                      <w:u w:val="none"/>
                    </w:rPr>
                    <w:t>）</w:t>
                  </w:r>
                </w:p>
              </w:tc>
              <w:tc>
                <w:tcPr>
                  <w:tcW w:w="718" w:type="pct"/>
                  <w:tcBorders>
                    <w:tl2br w:val="nil"/>
                    <w:tr2bl w:val="nil"/>
                  </w:tcBorders>
                  <w:noWrap w:val="0"/>
                  <w:vAlign w:val="center"/>
                </w:tcPr>
                <w:p>
                  <w:pPr>
                    <w:pStyle w:val="37"/>
                    <w:bidi w:val="0"/>
                    <w:rPr>
                      <w:rFonts w:hint="default"/>
                      <w:color w:val="auto"/>
                      <w:u w:val="none"/>
                    </w:rPr>
                  </w:pPr>
                  <w:r>
                    <w:rPr>
                      <w:rFonts w:hint="default"/>
                      <w:color w:val="auto"/>
                      <w:u w:val="none"/>
                    </w:rPr>
                    <w:t>0.4（kg/m</w:t>
                  </w:r>
                  <w:r>
                    <w:rPr>
                      <w:rFonts w:hint="default"/>
                      <w:color w:val="auto"/>
                      <w:u w:val="none"/>
                      <w:vertAlign w:val="superscript"/>
                    </w:rPr>
                    <w:t>2</w:t>
                  </w:r>
                  <w:r>
                    <w:rPr>
                      <w:rFonts w:hint="default"/>
                      <w:color w:val="auto"/>
                      <w:u w:val="none"/>
                    </w:rPr>
                    <w:t>）</w:t>
                  </w:r>
                </w:p>
              </w:tc>
              <w:tc>
                <w:tcPr>
                  <w:tcW w:w="719" w:type="pct"/>
                  <w:tcBorders>
                    <w:tl2br w:val="nil"/>
                    <w:tr2bl w:val="nil"/>
                  </w:tcBorders>
                  <w:noWrap w:val="0"/>
                  <w:vAlign w:val="center"/>
                </w:tcPr>
                <w:p>
                  <w:pPr>
                    <w:pStyle w:val="37"/>
                    <w:bidi w:val="0"/>
                    <w:rPr>
                      <w:rFonts w:hint="default"/>
                      <w:color w:val="auto"/>
                      <w:u w:val="none"/>
                    </w:rPr>
                  </w:pPr>
                  <w:r>
                    <w:rPr>
                      <w:rFonts w:hint="default"/>
                      <w:color w:val="auto"/>
                      <w:u w:val="none"/>
                    </w:rPr>
                    <w:t>0.5（kg/m</w:t>
                  </w:r>
                  <w:r>
                    <w:rPr>
                      <w:rFonts w:hint="default"/>
                      <w:color w:val="auto"/>
                      <w:u w:val="none"/>
                      <w:vertAlign w:val="superscript"/>
                    </w:rPr>
                    <w:t>2</w:t>
                  </w:r>
                  <w:r>
                    <w:rPr>
                      <w:rFonts w:hint="default"/>
                      <w:color w:val="auto"/>
                      <w:u w:val="none"/>
                    </w:rPr>
                    <w:t>）</w:t>
                  </w:r>
                </w:p>
              </w:tc>
              <w:tc>
                <w:tcPr>
                  <w:tcW w:w="719" w:type="pct"/>
                  <w:tcBorders>
                    <w:tl2br w:val="nil"/>
                    <w:tr2bl w:val="nil"/>
                  </w:tcBorders>
                  <w:noWrap w:val="0"/>
                  <w:vAlign w:val="center"/>
                </w:tcPr>
                <w:p>
                  <w:pPr>
                    <w:pStyle w:val="37"/>
                    <w:bidi w:val="0"/>
                    <w:rPr>
                      <w:rFonts w:hint="default"/>
                      <w:color w:val="auto"/>
                      <w:u w:val="none"/>
                    </w:rPr>
                  </w:pPr>
                  <w:r>
                    <w:rPr>
                      <w:rFonts w:hint="default"/>
                      <w:color w:val="auto"/>
                      <w:u w:val="none"/>
                    </w:rPr>
                    <w:t>1（kg/m</w:t>
                  </w:r>
                  <w:r>
                    <w:rPr>
                      <w:rFonts w:hint="default"/>
                      <w:color w:val="auto"/>
                      <w:u w:val="none"/>
                      <w:vertAlign w:val="superscript"/>
                    </w:rPr>
                    <w:t>2</w:t>
                  </w:r>
                  <w:r>
                    <w:rPr>
                      <w:rFonts w:hint="default"/>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90" w:type="pct"/>
                  <w:tcBorders>
                    <w:tl2br w:val="nil"/>
                    <w:tr2bl w:val="nil"/>
                  </w:tcBorders>
                  <w:noWrap w:val="0"/>
                  <w:vAlign w:val="center"/>
                </w:tcPr>
                <w:p>
                  <w:pPr>
                    <w:pStyle w:val="37"/>
                    <w:bidi w:val="0"/>
                    <w:rPr>
                      <w:rFonts w:hint="default"/>
                      <w:color w:val="auto"/>
                      <w:u w:val="none"/>
                    </w:rPr>
                  </w:pPr>
                  <w:r>
                    <w:rPr>
                      <w:rFonts w:hint="default"/>
                      <w:color w:val="auto"/>
                      <w:u w:val="none"/>
                    </w:rPr>
                    <w:t>5（km/h）</w:t>
                  </w:r>
                </w:p>
              </w:tc>
              <w:tc>
                <w:tcPr>
                  <w:tcW w:w="717" w:type="pct"/>
                  <w:tcBorders>
                    <w:tl2br w:val="nil"/>
                    <w:tr2bl w:val="nil"/>
                  </w:tcBorders>
                  <w:noWrap w:val="0"/>
                  <w:vAlign w:val="center"/>
                </w:tcPr>
                <w:p>
                  <w:pPr>
                    <w:pStyle w:val="37"/>
                    <w:bidi w:val="0"/>
                    <w:rPr>
                      <w:rFonts w:hint="default"/>
                      <w:color w:val="auto"/>
                      <w:u w:val="none"/>
                    </w:rPr>
                  </w:pPr>
                  <w:r>
                    <w:rPr>
                      <w:rFonts w:hint="default"/>
                      <w:color w:val="auto"/>
                      <w:u w:val="none"/>
                    </w:rPr>
                    <w:t>0.051</w:t>
                  </w:r>
                </w:p>
              </w:tc>
              <w:tc>
                <w:tcPr>
                  <w:tcW w:w="717" w:type="pct"/>
                  <w:tcBorders>
                    <w:tl2br w:val="nil"/>
                    <w:tr2bl w:val="nil"/>
                  </w:tcBorders>
                  <w:noWrap w:val="0"/>
                  <w:vAlign w:val="center"/>
                </w:tcPr>
                <w:p>
                  <w:pPr>
                    <w:pStyle w:val="37"/>
                    <w:bidi w:val="0"/>
                    <w:rPr>
                      <w:rFonts w:hint="default"/>
                      <w:color w:val="auto"/>
                      <w:u w:val="none"/>
                    </w:rPr>
                  </w:pPr>
                  <w:r>
                    <w:rPr>
                      <w:rFonts w:hint="default"/>
                      <w:color w:val="auto"/>
                      <w:u w:val="none"/>
                    </w:rPr>
                    <w:t>0.086</w:t>
                  </w:r>
                </w:p>
              </w:tc>
              <w:tc>
                <w:tcPr>
                  <w:tcW w:w="718" w:type="pct"/>
                  <w:tcBorders>
                    <w:tl2br w:val="nil"/>
                    <w:tr2bl w:val="nil"/>
                  </w:tcBorders>
                  <w:noWrap w:val="0"/>
                  <w:vAlign w:val="center"/>
                </w:tcPr>
                <w:p>
                  <w:pPr>
                    <w:pStyle w:val="37"/>
                    <w:bidi w:val="0"/>
                    <w:rPr>
                      <w:rFonts w:hint="default"/>
                      <w:color w:val="auto"/>
                      <w:u w:val="none"/>
                    </w:rPr>
                  </w:pPr>
                  <w:r>
                    <w:rPr>
                      <w:rFonts w:hint="default"/>
                      <w:color w:val="auto"/>
                      <w:u w:val="none"/>
                    </w:rPr>
                    <w:t>0.116</w:t>
                  </w:r>
                </w:p>
              </w:tc>
              <w:tc>
                <w:tcPr>
                  <w:tcW w:w="718" w:type="pct"/>
                  <w:tcBorders>
                    <w:tl2br w:val="nil"/>
                    <w:tr2bl w:val="nil"/>
                  </w:tcBorders>
                  <w:noWrap w:val="0"/>
                  <w:vAlign w:val="center"/>
                </w:tcPr>
                <w:p>
                  <w:pPr>
                    <w:pStyle w:val="37"/>
                    <w:bidi w:val="0"/>
                    <w:rPr>
                      <w:rFonts w:hint="default"/>
                      <w:color w:val="auto"/>
                      <w:u w:val="none"/>
                    </w:rPr>
                  </w:pPr>
                  <w:r>
                    <w:rPr>
                      <w:rFonts w:hint="default"/>
                      <w:color w:val="auto"/>
                      <w:u w:val="none"/>
                    </w:rPr>
                    <w:t>0.144</w:t>
                  </w:r>
                </w:p>
              </w:tc>
              <w:tc>
                <w:tcPr>
                  <w:tcW w:w="719" w:type="pct"/>
                  <w:tcBorders>
                    <w:tl2br w:val="nil"/>
                    <w:tr2bl w:val="nil"/>
                  </w:tcBorders>
                  <w:noWrap w:val="0"/>
                  <w:vAlign w:val="center"/>
                </w:tcPr>
                <w:p>
                  <w:pPr>
                    <w:pStyle w:val="37"/>
                    <w:bidi w:val="0"/>
                    <w:rPr>
                      <w:rFonts w:hint="default"/>
                      <w:color w:val="auto"/>
                      <w:u w:val="none"/>
                    </w:rPr>
                  </w:pPr>
                  <w:r>
                    <w:rPr>
                      <w:rFonts w:hint="default"/>
                      <w:color w:val="auto"/>
                      <w:u w:val="none"/>
                    </w:rPr>
                    <w:t>0.171</w:t>
                  </w:r>
                </w:p>
              </w:tc>
              <w:tc>
                <w:tcPr>
                  <w:tcW w:w="719" w:type="pct"/>
                  <w:tcBorders>
                    <w:tl2br w:val="nil"/>
                    <w:tr2bl w:val="nil"/>
                  </w:tcBorders>
                  <w:noWrap w:val="0"/>
                  <w:vAlign w:val="center"/>
                </w:tcPr>
                <w:p>
                  <w:pPr>
                    <w:pStyle w:val="37"/>
                    <w:bidi w:val="0"/>
                    <w:rPr>
                      <w:rFonts w:hint="default"/>
                      <w:color w:val="auto"/>
                      <w:u w:val="none"/>
                    </w:rPr>
                  </w:pPr>
                  <w:r>
                    <w:rPr>
                      <w:rFonts w:hint="default"/>
                      <w:color w:val="auto"/>
                      <w:u w:val="none"/>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90" w:type="pct"/>
                  <w:tcBorders>
                    <w:tl2br w:val="nil"/>
                    <w:tr2bl w:val="nil"/>
                  </w:tcBorders>
                  <w:noWrap w:val="0"/>
                  <w:vAlign w:val="center"/>
                </w:tcPr>
                <w:p>
                  <w:pPr>
                    <w:pStyle w:val="37"/>
                    <w:bidi w:val="0"/>
                    <w:rPr>
                      <w:rFonts w:hint="default"/>
                      <w:color w:val="auto"/>
                      <w:u w:val="none"/>
                    </w:rPr>
                  </w:pPr>
                  <w:r>
                    <w:rPr>
                      <w:rFonts w:hint="default"/>
                      <w:color w:val="auto"/>
                      <w:u w:val="none"/>
                    </w:rPr>
                    <w:t>10（km/h）</w:t>
                  </w:r>
                </w:p>
              </w:tc>
              <w:tc>
                <w:tcPr>
                  <w:tcW w:w="717" w:type="pct"/>
                  <w:tcBorders>
                    <w:tl2br w:val="nil"/>
                    <w:tr2bl w:val="nil"/>
                  </w:tcBorders>
                  <w:noWrap w:val="0"/>
                  <w:vAlign w:val="center"/>
                </w:tcPr>
                <w:p>
                  <w:pPr>
                    <w:pStyle w:val="37"/>
                    <w:bidi w:val="0"/>
                    <w:rPr>
                      <w:rFonts w:hint="default"/>
                      <w:color w:val="auto"/>
                      <w:u w:val="none"/>
                    </w:rPr>
                  </w:pPr>
                  <w:r>
                    <w:rPr>
                      <w:rFonts w:hint="default"/>
                      <w:color w:val="auto"/>
                      <w:u w:val="none"/>
                    </w:rPr>
                    <w:t>0.102</w:t>
                  </w:r>
                </w:p>
              </w:tc>
              <w:tc>
                <w:tcPr>
                  <w:tcW w:w="717" w:type="pct"/>
                  <w:tcBorders>
                    <w:tl2br w:val="nil"/>
                    <w:tr2bl w:val="nil"/>
                  </w:tcBorders>
                  <w:noWrap w:val="0"/>
                  <w:vAlign w:val="center"/>
                </w:tcPr>
                <w:p>
                  <w:pPr>
                    <w:pStyle w:val="37"/>
                    <w:bidi w:val="0"/>
                    <w:rPr>
                      <w:rFonts w:hint="default"/>
                      <w:color w:val="auto"/>
                      <w:u w:val="none"/>
                    </w:rPr>
                  </w:pPr>
                  <w:r>
                    <w:rPr>
                      <w:rFonts w:hint="default"/>
                      <w:color w:val="auto"/>
                      <w:u w:val="none"/>
                    </w:rPr>
                    <w:t>0.171</w:t>
                  </w:r>
                </w:p>
              </w:tc>
              <w:tc>
                <w:tcPr>
                  <w:tcW w:w="718" w:type="pct"/>
                  <w:tcBorders>
                    <w:tl2br w:val="nil"/>
                    <w:tr2bl w:val="nil"/>
                  </w:tcBorders>
                  <w:noWrap w:val="0"/>
                  <w:vAlign w:val="center"/>
                </w:tcPr>
                <w:p>
                  <w:pPr>
                    <w:pStyle w:val="37"/>
                    <w:bidi w:val="0"/>
                    <w:rPr>
                      <w:rFonts w:hint="default"/>
                      <w:color w:val="auto"/>
                      <w:u w:val="none"/>
                    </w:rPr>
                  </w:pPr>
                  <w:r>
                    <w:rPr>
                      <w:rFonts w:hint="default"/>
                      <w:color w:val="auto"/>
                      <w:u w:val="none"/>
                    </w:rPr>
                    <w:t>0.232</w:t>
                  </w:r>
                </w:p>
              </w:tc>
              <w:tc>
                <w:tcPr>
                  <w:tcW w:w="718" w:type="pct"/>
                  <w:tcBorders>
                    <w:tl2br w:val="nil"/>
                    <w:tr2bl w:val="nil"/>
                  </w:tcBorders>
                  <w:noWrap w:val="0"/>
                  <w:vAlign w:val="center"/>
                </w:tcPr>
                <w:p>
                  <w:pPr>
                    <w:pStyle w:val="37"/>
                    <w:bidi w:val="0"/>
                    <w:rPr>
                      <w:rFonts w:hint="default"/>
                      <w:color w:val="auto"/>
                      <w:u w:val="none"/>
                    </w:rPr>
                  </w:pPr>
                  <w:r>
                    <w:rPr>
                      <w:rFonts w:hint="default"/>
                      <w:color w:val="auto"/>
                      <w:u w:val="none"/>
                    </w:rPr>
                    <w:t>0.289</w:t>
                  </w:r>
                </w:p>
              </w:tc>
              <w:tc>
                <w:tcPr>
                  <w:tcW w:w="719" w:type="pct"/>
                  <w:tcBorders>
                    <w:tl2br w:val="nil"/>
                    <w:tr2bl w:val="nil"/>
                  </w:tcBorders>
                  <w:noWrap w:val="0"/>
                  <w:vAlign w:val="center"/>
                </w:tcPr>
                <w:p>
                  <w:pPr>
                    <w:pStyle w:val="37"/>
                    <w:bidi w:val="0"/>
                    <w:rPr>
                      <w:rFonts w:hint="default"/>
                      <w:color w:val="auto"/>
                      <w:u w:val="none"/>
                    </w:rPr>
                  </w:pPr>
                  <w:r>
                    <w:rPr>
                      <w:rFonts w:hint="default"/>
                      <w:color w:val="auto"/>
                      <w:u w:val="none"/>
                    </w:rPr>
                    <w:t>0.341</w:t>
                  </w:r>
                </w:p>
              </w:tc>
              <w:tc>
                <w:tcPr>
                  <w:tcW w:w="719" w:type="pct"/>
                  <w:tcBorders>
                    <w:tl2br w:val="nil"/>
                    <w:tr2bl w:val="nil"/>
                  </w:tcBorders>
                  <w:noWrap w:val="0"/>
                  <w:vAlign w:val="center"/>
                </w:tcPr>
                <w:p>
                  <w:pPr>
                    <w:pStyle w:val="37"/>
                    <w:bidi w:val="0"/>
                    <w:rPr>
                      <w:rFonts w:hint="default"/>
                      <w:color w:val="auto"/>
                      <w:u w:val="none"/>
                    </w:rPr>
                  </w:pPr>
                  <w:r>
                    <w:rPr>
                      <w:rFonts w:hint="default"/>
                      <w:color w:val="auto"/>
                      <w:u w:val="none"/>
                    </w:rP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90" w:type="pct"/>
                  <w:tcBorders>
                    <w:tl2br w:val="nil"/>
                    <w:tr2bl w:val="nil"/>
                  </w:tcBorders>
                  <w:noWrap w:val="0"/>
                  <w:vAlign w:val="center"/>
                </w:tcPr>
                <w:p>
                  <w:pPr>
                    <w:pStyle w:val="37"/>
                    <w:bidi w:val="0"/>
                    <w:rPr>
                      <w:rFonts w:hint="default"/>
                      <w:color w:val="auto"/>
                      <w:u w:val="none"/>
                    </w:rPr>
                  </w:pPr>
                  <w:r>
                    <w:rPr>
                      <w:rFonts w:hint="default"/>
                      <w:color w:val="auto"/>
                      <w:u w:val="none"/>
                    </w:rPr>
                    <w:t>15（km/h）</w:t>
                  </w:r>
                </w:p>
              </w:tc>
              <w:tc>
                <w:tcPr>
                  <w:tcW w:w="717" w:type="pct"/>
                  <w:tcBorders>
                    <w:tl2br w:val="nil"/>
                    <w:tr2bl w:val="nil"/>
                  </w:tcBorders>
                  <w:noWrap w:val="0"/>
                  <w:vAlign w:val="center"/>
                </w:tcPr>
                <w:p>
                  <w:pPr>
                    <w:pStyle w:val="37"/>
                    <w:bidi w:val="0"/>
                    <w:rPr>
                      <w:rFonts w:hint="default"/>
                      <w:color w:val="auto"/>
                      <w:u w:val="none"/>
                    </w:rPr>
                  </w:pPr>
                  <w:r>
                    <w:rPr>
                      <w:rFonts w:hint="default"/>
                      <w:color w:val="auto"/>
                      <w:u w:val="none"/>
                    </w:rPr>
                    <w:t>0.153</w:t>
                  </w:r>
                </w:p>
              </w:tc>
              <w:tc>
                <w:tcPr>
                  <w:tcW w:w="717" w:type="pct"/>
                  <w:tcBorders>
                    <w:tl2br w:val="nil"/>
                    <w:tr2bl w:val="nil"/>
                  </w:tcBorders>
                  <w:noWrap w:val="0"/>
                  <w:vAlign w:val="center"/>
                </w:tcPr>
                <w:p>
                  <w:pPr>
                    <w:pStyle w:val="37"/>
                    <w:bidi w:val="0"/>
                    <w:rPr>
                      <w:rFonts w:hint="default"/>
                      <w:color w:val="auto"/>
                      <w:u w:val="none"/>
                    </w:rPr>
                  </w:pPr>
                  <w:r>
                    <w:rPr>
                      <w:rFonts w:hint="default"/>
                      <w:color w:val="auto"/>
                      <w:u w:val="none"/>
                    </w:rPr>
                    <w:t>0.257</w:t>
                  </w:r>
                </w:p>
              </w:tc>
              <w:tc>
                <w:tcPr>
                  <w:tcW w:w="718" w:type="pct"/>
                  <w:tcBorders>
                    <w:tl2br w:val="nil"/>
                    <w:tr2bl w:val="nil"/>
                  </w:tcBorders>
                  <w:noWrap w:val="0"/>
                  <w:vAlign w:val="center"/>
                </w:tcPr>
                <w:p>
                  <w:pPr>
                    <w:pStyle w:val="37"/>
                    <w:bidi w:val="0"/>
                    <w:rPr>
                      <w:rFonts w:hint="default"/>
                      <w:color w:val="auto"/>
                      <w:u w:val="none"/>
                    </w:rPr>
                  </w:pPr>
                  <w:r>
                    <w:rPr>
                      <w:rFonts w:hint="default"/>
                      <w:color w:val="auto"/>
                      <w:u w:val="none"/>
                    </w:rPr>
                    <w:t>0.349</w:t>
                  </w:r>
                </w:p>
              </w:tc>
              <w:tc>
                <w:tcPr>
                  <w:tcW w:w="718" w:type="pct"/>
                  <w:tcBorders>
                    <w:tl2br w:val="nil"/>
                    <w:tr2bl w:val="nil"/>
                  </w:tcBorders>
                  <w:noWrap w:val="0"/>
                  <w:vAlign w:val="center"/>
                </w:tcPr>
                <w:p>
                  <w:pPr>
                    <w:pStyle w:val="37"/>
                    <w:bidi w:val="0"/>
                    <w:rPr>
                      <w:rFonts w:hint="default"/>
                      <w:color w:val="auto"/>
                      <w:u w:val="none"/>
                    </w:rPr>
                  </w:pPr>
                  <w:r>
                    <w:rPr>
                      <w:rFonts w:hint="default"/>
                      <w:color w:val="auto"/>
                      <w:u w:val="none"/>
                    </w:rPr>
                    <w:t>0.433</w:t>
                  </w:r>
                </w:p>
              </w:tc>
              <w:tc>
                <w:tcPr>
                  <w:tcW w:w="719" w:type="pct"/>
                  <w:tcBorders>
                    <w:tl2br w:val="nil"/>
                    <w:tr2bl w:val="nil"/>
                  </w:tcBorders>
                  <w:noWrap w:val="0"/>
                  <w:vAlign w:val="center"/>
                </w:tcPr>
                <w:p>
                  <w:pPr>
                    <w:pStyle w:val="37"/>
                    <w:bidi w:val="0"/>
                    <w:rPr>
                      <w:rFonts w:hint="default"/>
                      <w:color w:val="auto"/>
                      <w:u w:val="none"/>
                    </w:rPr>
                  </w:pPr>
                  <w:r>
                    <w:rPr>
                      <w:rFonts w:hint="default"/>
                      <w:color w:val="auto"/>
                      <w:u w:val="none"/>
                    </w:rPr>
                    <w:t>0.512</w:t>
                  </w:r>
                </w:p>
              </w:tc>
              <w:tc>
                <w:tcPr>
                  <w:tcW w:w="719" w:type="pct"/>
                  <w:tcBorders>
                    <w:tl2br w:val="nil"/>
                    <w:tr2bl w:val="nil"/>
                  </w:tcBorders>
                  <w:noWrap w:val="0"/>
                  <w:vAlign w:val="center"/>
                </w:tcPr>
                <w:p>
                  <w:pPr>
                    <w:pStyle w:val="37"/>
                    <w:bidi w:val="0"/>
                    <w:rPr>
                      <w:rFonts w:hint="default"/>
                      <w:color w:val="auto"/>
                      <w:u w:val="none"/>
                    </w:rPr>
                  </w:pPr>
                  <w:r>
                    <w:rPr>
                      <w:rFonts w:hint="default"/>
                      <w:color w:val="auto"/>
                      <w:u w:val="none"/>
                    </w:rP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90" w:type="pct"/>
                  <w:tcBorders>
                    <w:tl2br w:val="nil"/>
                    <w:tr2bl w:val="nil"/>
                  </w:tcBorders>
                  <w:noWrap w:val="0"/>
                  <w:vAlign w:val="center"/>
                </w:tcPr>
                <w:p>
                  <w:pPr>
                    <w:pStyle w:val="37"/>
                    <w:bidi w:val="0"/>
                    <w:rPr>
                      <w:rFonts w:hint="default"/>
                      <w:color w:val="auto"/>
                      <w:u w:val="none"/>
                    </w:rPr>
                  </w:pPr>
                  <w:r>
                    <w:rPr>
                      <w:rFonts w:hint="default"/>
                      <w:color w:val="auto"/>
                      <w:u w:val="none"/>
                    </w:rPr>
                    <w:t>20（km/h）</w:t>
                  </w:r>
                </w:p>
              </w:tc>
              <w:tc>
                <w:tcPr>
                  <w:tcW w:w="717" w:type="pct"/>
                  <w:tcBorders>
                    <w:tl2br w:val="nil"/>
                    <w:tr2bl w:val="nil"/>
                  </w:tcBorders>
                  <w:noWrap w:val="0"/>
                  <w:vAlign w:val="center"/>
                </w:tcPr>
                <w:p>
                  <w:pPr>
                    <w:pStyle w:val="37"/>
                    <w:bidi w:val="0"/>
                    <w:rPr>
                      <w:rFonts w:hint="default"/>
                      <w:color w:val="auto"/>
                      <w:u w:val="none"/>
                    </w:rPr>
                  </w:pPr>
                  <w:r>
                    <w:rPr>
                      <w:rFonts w:hint="default"/>
                      <w:color w:val="auto"/>
                      <w:u w:val="none"/>
                    </w:rPr>
                    <w:t>0.255</w:t>
                  </w:r>
                </w:p>
              </w:tc>
              <w:tc>
                <w:tcPr>
                  <w:tcW w:w="717" w:type="pct"/>
                  <w:tcBorders>
                    <w:tl2br w:val="nil"/>
                    <w:tr2bl w:val="nil"/>
                  </w:tcBorders>
                  <w:noWrap w:val="0"/>
                  <w:vAlign w:val="center"/>
                </w:tcPr>
                <w:p>
                  <w:pPr>
                    <w:pStyle w:val="37"/>
                    <w:bidi w:val="0"/>
                    <w:rPr>
                      <w:rFonts w:hint="default"/>
                      <w:color w:val="auto"/>
                      <w:u w:val="none"/>
                    </w:rPr>
                  </w:pPr>
                  <w:r>
                    <w:rPr>
                      <w:rFonts w:hint="default"/>
                      <w:color w:val="auto"/>
                      <w:u w:val="none"/>
                    </w:rPr>
                    <w:t>0.429</w:t>
                  </w:r>
                </w:p>
              </w:tc>
              <w:tc>
                <w:tcPr>
                  <w:tcW w:w="718" w:type="pct"/>
                  <w:tcBorders>
                    <w:tl2br w:val="nil"/>
                    <w:tr2bl w:val="nil"/>
                  </w:tcBorders>
                  <w:noWrap w:val="0"/>
                  <w:vAlign w:val="center"/>
                </w:tcPr>
                <w:p>
                  <w:pPr>
                    <w:pStyle w:val="37"/>
                    <w:bidi w:val="0"/>
                    <w:rPr>
                      <w:rFonts w:hint="default"/>
                      <w:color w:val="auto"/>
                      <w:u w:val="none"/>
                    </w:rPr>
                  </w:pPr>
                  <w:r>
                    <w:rPr>
                      <w:rFonts w:hint="default"/>
                      <w:color w:val="auto"/>
                      <w:u w:val="none"/>
                    </w:rPr>
                    <w:t>0.582</w:t>
                  </w:r>
                </w:p>
              </w:tc>
              <w:tc>
                <w:tcPr>
                  <w:tcW w:w="718" w:type="pct"/>
                  <w:tcBorders>
                    <w:tl2br w:val="nil"/>
                    <w:tr2bl w:val="nil"/>
                  </w:tcBorders>
                  <w:noWrap w:val="0"/>
                  <w:vAlign w:val="center"/>
                </w:tcPr>
                <w:p>
                  <w:pPr>
                    <w:pStyle w:val="37"/>
                    <w:bidi w:val="0"/>
                    <w:rPr>
                      <w:rFonts w:hint="default"/>
                      <w:color w:val="auto"/>
                      <w:u w:val="none"/>
                    </w:rPr>
                  </w:pPr>
                  <w:r>
                    <w:rPr>
                      <w:rFonts w:hint="default"/>
                      <w:color w:val="auto"/>
                      <w:u w:val="none"/>
                    </w:rPr>
                    <w:t>0.722</w:t>
                  </w:r>
                </w:p>
              </w:tc>
              <w:tc>
                <w:tcPr>
                  <w:tcW w:w="719" w:type="pct"/>
                  <w:tcBorders>
                    <w:tl2br w:val="nil"/>
                    <w:tr2bl w:val="nil"/>
                  </w:tcBorders>
                  <w:noWrap w:val="0"/>
                  <w:vAlign w:val="center"/>
                </w:tcPr>
                <w:p>
                  <w:pPr>
                    <w:pStyle w:val="37"/>
                    <w:bidi w:val="0"/>
                    <w:rPr>
                      <w:rFonts w:hint="default"/>
                      <w:color w:val="auto"/>
                      <w:u w:val="none"/>
                    </w:rPr>
                  </w:pPr>
                  <w:r>
                    <w:rPr>
                      <w:rFonts w:hint="default"/>
                      <w:color w:val="auto"/>
                      <w:u w:val="none"/>
                    </w:rPr>
                    <w:t>0.853</w:t>
                  </w:r>
                </w:p>
              </w:tc>
              <w:tc>
                <w:tcPr>
                  <w:tcW w:w="719" w:type="pct"/>
                  <w:tcBorders>
                    <w:tl2br w:val="nil"/>
                    <w:tr2bl w:val="nil"/>
                  </w:tcBorders>
                  <w:noWrap w:val="0"/>
                  <w:vAlign w:val="center"/>
                </w:tcPr>
                <w:p>
                  <w:pPr>
                    <w:pStyle w:val="37"/>
                    <w:bidi w:val="0"/>
                    <w:rPr>
                      <w:rFonts w:hint="default"/>
                      <w:color w:val="auto"/>
                      <w:u w:val="none"/>
                    </w:rPr>
                  </w:pPr>
                  <w:r>
                    <w:rPr>
                      <w:rFonts w:hint="default"/>
                      <w:color w:val="auto"/>
                      <w:u w:val="none"/>
                    </w:rPr>
                    <w:t>1.435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一般情况下，施工工地、道路在自然风作用下产生的扬尘所影响的范围在100m以内。如果在施工期间对车辆行驶的路面实施洒水抑尘，</w:t>
            </w:r>
            <w:r>
              <w:rPr>
                <w:rFonts w:hint="eastAsia"/>
                <w:color w:val="auto"/>
                <w:u w:val="none"/>
                <w:lang w:val="en-US" w:eastAsia="zh-CN"/>
              </w:rPr>
              <w:t>下</w:t>
            </w:r>
            <w:r>
              <w:rPr>
                <w:rFonts w:hint="eastAsia"/>
                <w:color w:val="auto"/>
                <w:u w:val="none"/>
              </w:rPr>
              <w:t>表是洒水抑尘的试验效果。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color w:val="auto"/>
                <w:u w:val="none"/>
                <w:lang w:val="en-US" w:eastAsia="zh-CN"/>
              </w:rPr>
            </w:pPr>
            <w:r>
              <w:rPr>
                <w:rFonts w:hint="eastAsia"/>
                <w:b/>
                <w:bCs/>
                <w:color w:val="auto"/>
                <w:u w:val="none"/>
              </w:rPr>
              <w:t>表</w:t>
            </w:r>
            <w:r>
              <w:rPr>
                <w:rFonts w:hint="eastAsia"/>
                <w:b/>
                <w:bCs/>
                <w:color w:val="auto"/>
                <w:u w:val="none"/>
                <w:lang w:val="en-US" w:eastAsia="zh-CN"/>
              </w:rPr>
              <w:t>4</w:t>
            </w:r>
            <w:r>
              <w:rPr>
                <w:rFonts w:hint="eastAsia"/>
                <w:b/>
                <w:bCs/>
                <w:color w:val="auto"/>
                <w:u w:val="none"/>
              </w:rPr>
              <w:t>-</w:t>
            </w:r>
            <w:r>
              <w:rPr>
                <w:rFonts w:hint="eastAsia"/>
                <w:b/>
                <w:bCs/>
                <w:color w:val="auto"/>
                <w:u w:val="none"/>
                <w:lang w:val="en-US" w:eastAsia="zh-CN"/>
              </w:rPr>
              <w:t>2  施工阶段使用洒水降尘试验结果一览表</w:t>
            </w:r>
          </w:p>
          <w:tbl>
            <w:tblPr>
              <w:tblStyle w:val="27"/>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325"/>
              <w:gridCol w:w="1327"/>
              <w:gridCol w:w="1327"/>
              <w:gridCol w:w="1327"/>
              <w:gridCol w:w="132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vertAlign w:val="baseline"/>
                    </w:rPr>
                  </w:pPr>
                  <w:r>
                    <w:rPr>
                      <w:rFonts w:hint="eastAsia"/>
                      <w:color w:val="auto"/>
                      <w:sz w:val="21"/>
                      <w:szCs w:val="21"/>
                      <w:u w:val="none"/>
                      <w:vertAlign w:val="baseline"/>
                      <w:lang w:val="en-US" w:eastAsia="zh-CN"/>
                    </w:rPr>
                    <w:t>距路边距离（m）</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u w:val="none"/>
                      <w:vertAlign w:val="baseline"/>
                      <w:lang w:val="en-US" w:eastAsia="zh-CN"/>
                    </w:rPr>
                  </w:pPr>
                  <w:r>
                    <w:rPr>
                      <w:rFonts w:hint="eastAsia"/>
                      <w:color w:val="auto"/>
                      <w:sz w:val="21"/>
                      <w:szCs w:val="21"/>
                      <w:u w:val="none"/>
                      <w:vertAlign w:val="baseline"/>
                      <w:lang w:val="en-US" w:eastAsia="zh-CN"/>
                    </w:rPr>
                    <w:t>10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20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50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100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TSP浓度</w:t>
                  </w: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u w:val="none"/>
                      <w:vertAlign w:val="baseline"/>
                      <w:lang w:val="en-US" w:eastAsia="zh-CN"/>
                    </w:rPr>
                  </w:pPr>
                  <w:r>
                    <w:rPr>
                      <w:rFonts w:hint="eastAsia"/>
                      <w:color w:val="auto"/>
                      <w:sz w:val="21"/>
                      <w:szCs w:val="21"/>
                      <w:u w:val="none"/>
                      <w:vertAlign w:val="baseline"/>
                      <w:lang w:val="en-US" w:eastAsia="zh-CN"/>
                    </w:rPr>
                    <w:t>不洒水</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11.03</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2.89</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1.15</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0.86</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vertAlign w:val="baseline"/>
                    </w:rPr>
                  </w:pPr>
                </w:p>
              </w:tc>
              <w:tc>
                <w:tcPr>
                  <w:tcW w:w="7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u w:val="none"/>
                      <w:vertAlign w:val="baseline"/>
                      <w:lang w:val="en-US" w:eastAsia="zh-CN"/>
                    </w:rPr>
                  </w:pPr>
                  <w:r>
                    <w:rPr>
                      <w:rFonts w:hint="eastAsia"/>
                      <w:color w:val="auto"/>
                      <w:sz w:val="21"/>
                      <w:szCs w:val="21"/>
                      <w:u w:val="none"/>
                      <w:vertAlign w:val="baseline"/>
                      <w:lang w:val="en-US" w:eastAsia="zh-CN"/>
                    </w:rPr>
                    <w:t>洒水</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2.11</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1.40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0.68</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0.60</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除尘效果（%）</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80.2</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51.6</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41.7</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30.2</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u w:val="none"/>
                      <w:vertAlign w:val="baseline"/>
                      <w:lang w:val="en-US" w:eastAsia="zh-CN"/>
                    </w:rPr>
                  </w:pPr>
                  <w:r>
                    <w:rPr>
                      <w:rFonts w:hint="eastAsia"/>
                      <w:color w:val="auto"/>
                      <w:sz w:val="21"/>
                      <w:szCs w:val="21"/>
                      <w:u w:val="none"/>
                      <w:vertAlign w:val="baseline"/>
                      <w:lang w:val="en-US" w:eastAsia="zh-CN"/>
                    </w:rPr>
                    <w:t>48.2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由上表可知，如果在施工期间对车辆行驶的路面实施洒水抑尘，每天洒水4-5次，可使扬尘减少70%左右，能有效地控制施工扬尘，可将TSP的污染距离缩小到20-50m范围。环评要求施工单位要配备一定数量的洒水车，在施工场地安排员工定期对未铺筑的临时道路进行洒水处理，以减少扬尘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②施工期场地风力扬尘的影响分析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rPr>
            </w:pPr>
            <w:r>
              <w:rPr>
                <w:rFonts w:hint="eastAsia"/>
                <w:color w:val="auto"/>
                <w:u w:val="none"/>
              </w:rPr>
              <w:t>施工期扬尘的另一个主要原因是露天堆场和裸露场地的风力扬尘。由于施工的需要，一些建材需露天堆放；一些施工点表层土壤需人工开挖、堆放，在气候干燥又有风的情况下，会产生扬尘，堆场物料的种类、性质及风速与起尘量有很大关系，比重小的物料容易受扰动而起尘，物料中小颗粒比例大时起尘量相应也大。堆场的扬尘包括料堆的风吹扬尘、装卸扬尘和过往车辆引起路面积尘二次扬尘等，这将产生较大的扬尘污染，会对周围环境带来一定的影响，但通过洒水可有效地抑制扬尘量，可使扬尘量减少70%。此外，对一些粉状材料采取一些防风措施也将有效减少扬尘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其扬尘量可按堆场起尘的经验公式计算：</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u w:val="none"/>
              </w:rPr>
            </w:pPr>
            <w:r>
              <w:rPr>
                <w:rFonts w:hint="default" w:ascii="Times New Roman" w:hAnsi="Times New Roman" w:cs="Times New Roman"/>
                <w:bCs/>
                <w:color w:val="auto"/>
                <w:sz w:val="24"/>
                <w:u w:val="none"/>
              </w:rPr>
              <w:t>Q=2.1(V</w:t>
            </w:r>
            <w:r>
              <w:rPr>
                <w:rFonts w:hint="default" w:ascii="Times New Roman" w:hAnsi="Times New Roman" w:cs="Times New Roman"/>
                <w:bCs/>
                <w:color w:val="auto"/>
                <w:sz w:val="24"/>
                <w:u w:val="none"/>
                <w:vertAlign w:val="subscript"/>
              </w:rPr>
              <w:t>50</w:t>
            </w:r>
            <w:r>
              <w:rPr>
                <w:rFonts w:hint="default" w:ascii="Times New Roman" w:hAnsi="Times New Roman" w:cs="Times New Roman"/>
                <w:bCs/>
                <w:color w:val="auto"/>
                <w:sz w:val="24"/>
                <w:u w:val="none"/>
              </w:rPr>
              <w:t>-V</w:t>
            </w:r>
            <w:r>
              <w:rPr>
                <w:rFonts w:hint="default" w:ascii="Times New Roman" w:hAnsi="Times New Roman" w:cs="Times New Roman"/>
                <w:bCs/>
                <w:color w:val="auto"/>
                <w:sz w:val="24"/>
                <w:u w:val="none"/>
                <w:vertAlign w:val="subscript"/>
              </w:rPr>
              <w:t>0</w:t>
            </w:r>
            <w:r>
              <w:rPr>
                <w:rFonts w:hint="default" w:ascii="Times New Roman" w:hAnsi="Times New Roman" w:cs="Times New Roman"/>
                <w:bCs/>
                <w:color w:val="auto"/>
                <w:sz w:val="24"/>
                <w:u w:val="none"/>
              </w:rPr>
              <w:t>)3e</w:t>
            </w:r>
            <w:r>
              <w:rPr>
                <w:rFonts w:hint="default" w:ascii="Times New Roman" w:hAnsi="Times New Roman" w:cs="Times New Roman"/>
                <w:bCs/>
                <w:color w:val="auto"/>
                <w:sz w:val="24"/>
                <w:u w:val="none"/>
                <w:vertAlign w:val="superscript"/>
              </w:rPr>
              <w:t>-1.023W</w:t>
            </w:r>
          </w:p>
          <w:p>
            <w:pPr>
              <w:snapToGrid w:val="0"/>
              <w:spacing w:line="480" w:lineRule="exact"/>
              <w:ind w:firstLine="480" w:firstLineChars="200"/>
              <w:rPr>
                <w:rFonts w:hint="default" w:ascii="Times New Roman" w:hAnsi="Times New Roman" w:cs="Times New Roman"/>
                <w:bCs/>
                <w:color w:val="auto"/>
                <w:sz w:val="24"/>
                <w:u w:val="none"/>
              </w:rPr>
            </w:pPr>
            <w:r>
              <w:rPr>
                <w:rFonts w:hint="default" w:ascii="Times New Roman" w:hAnsi="Times New Roman" w:cs="Times New Roman"/>
                <w:bCs/>
                <w:color w:val="auto"/>
                <w:sz w:val="24"/>
                <w:u w:val="none"/>
              </w:rPr>
              <w:t>式中：Q—起尘量，kg/</w:t>
            </w:r>
            <w:r>
              <w:rPr>
                <w:rFonts w:hint="eastAsia" w:cs="Times New Roman"/>
                <w:bCs/>
                <w:color w:val="auto"/>
                <w:sz w:val="24"/>
                <w:u w:val="none"/>
                <w:lang w:val="en-US" w:eastAsia="zh-CN"/>
              </w:rPr>
              <w:t>t</w:t>
            </w:r>
            <w:r>
              <w:rPr>
                <w:rFonts w:hint="default" w:ascii="Times New Roman" w:hAnsi="Times New Roman" w:cs="Times New Roman"/>
                <w:bCs/>
                <w:color w:val="auto"/>
                <w:sz w:val="24"/>
                <w:u w:val="none"/>
              </w:rPr>
              <w:t>·年；</w:t>
            </w:r>
          </w:p>
          <w:p>
            <w:pPr>
              <w:tabs>
                <w:tab w:val="left" w:pos="1260"/>
              </w:tabs>
              <w:snapToGrid w:val="0"/>
              <w:spacing w:line="480" w:lineRule="exact"/>
              <w:ind w:firstLine="1200" w:firstLineChars="500"/>
              <w:rPr>
                <w:rFonts w:hint="default" w:ascii="Times New Roman" w:hAnsi="Times New Roman" w:cs="Times New Roman"/>
                <w:bCs/>
                <w:color w:val="auto"/>
                <w:sz w:val="24"/>
                <w:u w:val="none"/>
              </w:rPr>
            </w:pPr>
            <w:r>
              <w:rPr>
                <w:rFonts w:hint="default" w:ascii="Times New Roman" w:hAnsi="Times New Roman" w:cs="Times New Roman"/>
                <w:bCs/>
                <w:color w:val="auto"/>
                <w:sz w:val="24"/>
                <w:u w:val="none"/>
              </w:rPr>
              <w:t>V</w:t>
            </w:r>
            <w:r>
              <w:rPr>
                <w:rFonts w:hint="default" w:ascii="Times New Roman" w:hAnsi="Times New Roman" w:cs="Times New Roman"/>
                <w:bCs/>
                <w:color w:val="auto"/>
                <w:sz w:val="24"/>
                <w:u w:val="none"/>
                <w:vertAlign w:val="subscript"/>
              </w:rPr>
              <w:t>50</w:t>
            </w:r>
            <w:r>
              <w:rPr>
                <w:rFonts w:hint="default" w:ascii="Times New Roman" w:hAnsi="Times New Roman" w:cs="Times New Roman"/>
                <w:bCs/>
                <w:color w:val="auto"/>
                <w:sz w:val="24"/>
                <w:u w:val="none"/>
              </w:rPr>
              <w:t>—距地面50m处风速，m/s；</w:t>
            </w:r>
          </w:p>
          <w:p>
            <w:pPr>
              <w:snapToGrid w:val="0"/>
              <w:spacing w:line="480" w:lineRule="exact"/>
              <w:ind w:firstLine="1200" w:firstLineChars="500"/>
              <w:rPr>
                <w:rFonts w:hint="default" w:ascii="Times New Roman" w:hAnsi="Times New Roman" w:cs="Times New Roman"/>
                <w:bCs/>
                <w:color w:val="auto"/>
                <w:sz w:val="24"/>
                <w:u w:val="none"/>
              </w:rPr>
            </w:pPr>
            <w:r>
              <w:rPr>
                <w:rFonts w:hint="default" w:ascii="Times New Roman" w:hAnsi="Times New Roman" w:cs="Times New Roman"/>
                <w:bCs/>
                <w:color w:val="auto"/>
                <w:sz w:val="24"/>
                <w:u w:val="none"/>
              </w:rPr>
              <w:t>V</w:t>
            </w:r>
            <w:r>
              <w:rPr>
                <w:rFonts w:hint="default" w:ascii="Times New Roman" w:hAnsi="Times New Roman" w:cs="Times New Roman"/>
                <w:bCs/>
                <w:color w:val="auto"/>
                <w:sz w:val="24"/>
                <w:u w:val="none"/>
                <w:vertAlign w:val="subscript"/>
              </w:rPr>
              <w:t>0</w:t>
            </w:r>
            <w:r>
              <w:rPr>
                <w:rFonts w:hint="default" w:ascii="Times New Roman" w:hAnsi="Times New Roman" w:cs="Times New Roman"/>
                <w:bCs/>
                <w:color w:val="auto"/>
                <w:sz w:val="24"/>
                <w:u w:val="none"/>
              </w:rPr>
              <w:t>—起尘风速，m/s；</w:t>
            </w:r>
          </w:p>
          <w:p>
            <w:pPr>
              <w:snapToGrid w:val="0"/>
              <w:spacing w:line="480" w:lineRule="exact"/>
              <w:ind w:firstLine="1200" w:firstLineChars="500"/>
              <w:rPr>
                <w:rFonts w:hint="default" w:ascii="Times New Roman" w:hAnsi="Times New Roman" w:cs="Times New Roman"/>
                <w:bCs/>
                <w:color w:val="auto"/>
                <w:sz w:val="24"/>
                <w:u w:val="none"/>
              </w:rPr>
            </w:pPr>
            <w:r>
              <w:rPr>
                <w:rFonts w:hint="default" w:ascii="Times New Roman" w:hAnsi="Times New Roman" w:cs="Times New Roman"/>
                <w:bCs/>
                <w:color w:val="auto"/>
                <w:sz w:val="24"/>
                <w:u w:val="none"/>
              </w:rPr>
              <w:t>W—尘粒的含水率，%。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V</w:t>
            </w:r>
            <w:r>
              <w:rPr>
                <w:rFonts w:hint="default" w:ascii="Times New Roman" w:hAnsi="Times New Roman" w:cs="Times New Roman"/>
                <w:bCs/>
                <w:color w:val="auto"/>
                <w:sz w:val="24"/>
                <w:u w:val="none"/>
                <w:vertAlign w:val="subscript"/>
              </w:rPr>
              <w:t>0</w:t>
            </w:r>
            <w:r>
              <w:rPr>
                <w:rFonts w:hint="eastAsia"/>
                <w:color w:val="auto"/>
                <w:u w:val="none"/>
              </w:rPr>
              <w:t>与粒径和含水率有关，因此，减少露天堆放和保证一定的含水率及减少裸露地面是减少风力起尘的有效手段。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尘粒在空气中的传播扩散情况与风速等气象条件有关，也与尘粒本身的沉降速度有关。不同粒径的尘粒的沉降速度见</w:t>
            </w:r>
            <w:r>
              <w:rPr>
                <w:rFonts w:hint="eastAsia"/>
                <w:color w:val="auto"/>
                <w:u w:val="none"/>
                <w:lang w:val="en-US" w:eastAsia="zh-CN"/>
              </w:rPr>
              <w:t>下</w:t>
            </w:r>
            <w:r>
              <w:rPr>
                <w:rFonts w:hint="eastAsia"/>
                <w:color w:val="auto"/>
                <w:u w:val="none"/>
              </w:rPr>
              <w:t>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u w:val="none"/>
              </w:rPr>
            </w:pPr>
            <w:r>
              <w:rPr>
                <w:rFonts w:hint="eastAsia"/>
                <w:b/>
                <w:bCs/>
                <w:color w:val="auto"/>
                <w:u w:val="none"/>
              </w:rPr>
              <w:t>表</w:t>
            </w:r>
            <w:r>
              <w:rPr>
                <w:rFonts w:hint="eastAsia"/>
                <w:b/>
                <w:bCs/>
                <w:color w:val="auto"/>
                <w:u w:val="none"/>
                <w:lang w:val="en-US" w:eastAsia="zh-CN"/>
              </w:rPr>
              <w:t>4</w:t>
            </w:r>
            <w:r>
              <w:rPr>
                <w:rFonts w:hint="eastAsia"/>
                <w:b/>
                <w:bCs/>
                <w:color w:val="auto"/>
                <w:u w:val="none"/>
              </w:rPr>
              <w:t>-</w:t>
            </w:r>
            <w:r>
              <w:rPr>
                <w:rFonts w:hint="eastAsia"/>
                <w:b/>
                <w:bCs/>
                <w:color w:val="auto"/>
                <w:u w:val="none"/>
                <w:lang w:val="en-US" w:eastAsia="zh-CN"/>
              </w:rPr>
              <w:t>3</w:t>
            </w:r>
            <w:r>
              <w:rPr>
                <w:rFonts w:hint="eastAsia"/>
                <w:b/>
                <w:bCs/>
                <w:color w:val="auto"/>
                <w:u w:val="none"/>
              </w:rPr>
              <w:t xml:space="preserve">  不同粒径的沉降速度</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1049"/>
              <w:gridCol w:w="988"/>
              <w:gridCol w:w="1020"/>
              <w:gridCol w:w="1035"/>
              <w:gridCol w:w="1124"/>
              <w:gridCol w:w="1003"/>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53"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粒径（微米）</w:t>
                  </w:r>
                </w:p>
              </w:tc>
              <w:tc>
                <w:tcPr>
                  <w:tcW w:w="565"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10</w:t>
                  </w:r>
                </w:p>
              </w:tc>
              <w:tc>
                <w:tcPr>
                  <w:tcW w:w="532"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20</w:t>
                  </w:r>
                </w:p>
              </w:tc>
              <w:tc>
                <w:tcPr>
                  <w:tcW w:w="549"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30</w:t>
                  </w:r>
                </w:p>
              </w:tc>
              <w:tc>
                <w:tcPr>
                  <w:tcW w:w="557"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40</w:t>
                  </w:r>
                </w:p>
              </w:tc>
              <w:tc>
                <w:tcPr>
                  <w:tcW w:w="605"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50</w:t>
                  </w:r>
                </w:p>
              </w:tc>
              <w:tc>
                <w:tcPr>
                  <w:tcW w:w="540"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60</w:t>
                  </w:r>
                </w:p>
              </w:tc>
              <w:tc>
                <w:tcPr>
                  <w:tcW w:w="497"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沉降速度（m/s）</w:t>
                  </w:r>
                </w:p>
              </w:tc>
              <w:tc>
                <w:tcPr>
                  <w:tcW w:w="565"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0.0</w:t>
                  </w:r>
                  <w:r>
                    <w:rPr>
                      <w:rFonts w:hint="eastAsia"/>
                      <w:color w:val="auto"/>
                      <w:u w:val="none"/>
                      <w:lang w:val="en-US" w:eastAsia="zh-CN"/>
                    </w:rPr>
                    <w:t>0</w:t>
                  </w:r>
                  <w:r>
                    <w:rPr>
                      <w:rFonts w:hint="default"/>
                      <w:color w:val="auto"/>
                      <w:u w:val="none"/>
                    </w:rPr>
                    <w:t>3</w:t>
                  </w:r>
                </w:p>
              </w:tc>
              <w:tc>
                <w:tcPr>
                  <w:tcW w:w="532"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0.012</w:t>
                  </w:r>
                </w:p>
              </w:tc>
              <w:tc>
                <w:tcPr>
                  <w:tcW w:w="549"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0.027</w:t>
                  </w:r>
                </w:p>
              </w:tc>
              <w:tc>
                <w:tcPr>
                  <w:tcW w:w="557"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0.048</w:t>
                  </w:r>
                </w:p>
              </w:tc>
              <w:tc>
                <w:tcPr>
                  <w:tcW w:w="605"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0.075</w:t>
                  </w:r>
                </w:p>
              </w:tc>
              <w:tc>
                <w:tcPr>
                  <w:tcW w:w="540"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0.108</w:t>
                  </w:r>
                </w:p>
              </w:tc>
              <w:tc>
                <w:tcPr>
                  <w:tcW w:w="497"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粒径（微米）</w:t>
                  </w:r>
                </w:p>
              </w:tc>
              <w:tc>
                <w:tcPr>
                  <w:tcW w:w="565"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80</w:t>
                  </w:r>
                </w:p>
              </w:tc>
              <w:tc>
                <w:tcPr>
                  <w:tcW w:w="532"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90</w:t>
                  </w:r>
                </w:p>
              </w:tc>
              <w:tc>
                <w:tcPr>
                  <w:tcW w:w="549"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100</w:t>
                  </w:r>
                </w:p>
              </w:tc>
              <w:tc>
                <w:tcPr>
                  <w:tcW w:w="557"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150</w:t>
                  </w:r>
                </w:p>
              </w:tc>
              <w:tc>
                <w:tcPr>
                  <w:tcW w:w="605"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200</w:t>
                  </w:r>
                </w:p>
              </w:tc>
              <w:tc>
                <w:tcPr>
                  <w:tcW w:w="540"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250</w:t>
                  </w:r>
                </w:p>
              </w:tc>
              <w:tc>
                <w:tcPr>
                  <w:tcW w:w="497"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沉降速度（m/s）</w:t>
                  </w:r>
                </w:p>
              </w:tc>
              <w:tc>
                <w:tcPr>
                  <w:tcW w:w="565"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0.158</w:t>
                  </w:r>
                </w:p>
              </w:tc>
              <w:tc>
                <w:tcPr>
                  <w:tcW w:w="532"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0.170</w:t>
                  </w:r>
                </w:p>
              </w:tc>
              <w:tc>
                <w:tcPr>
                  <w:tcW w:w="549"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0.182</w:t>
                  </w:r>
                </w:p>
              </w:tc>
              <w:tc>
                <w:tcPr>
                  <w:tcW w:w="557"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0.239</w:t>
                  </w:r>
                </w:p>
              </w:tc>
              <w:tc>
                <w:tcPr>
                  <w:tcW w:w="605"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0.804</w:t>
                  </w:r>
                </w:p>
              </w:tc>
              <w:tc>
                <w:tcPr>
                  <w:tcW w:w="540"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1.005</w:t>
                  </w:r>
                </w:p>
              </w:tc>
              <w:tc>
                <w:tcPr>
                  <w:tcW w:w="497"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粒径（微米）</w:t>
                  </w:r>
                </w:p>
              </w:tc>
              <w:tc>
                <w:tcPr>
                  <w:tcW w:w="565"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450</w:t>
                  </w:r>
                </w:p>
              </w:tc>
              <w:tc>
                <w:tcPr>
                  <w:tcW w:w="532"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550</w:t>
                  </w:r>
                </w:p>
              </w:tc>
              <w:tc>
                <w:tcPr>
                  <w:tcW w:w="549"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650</w:t>
                  </w:r>
                </w:p>
              </w:tc>
              <w:tc>
                <w:tcPr>
                  <w:tcW w:w="557"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750</w:t>
                  </w:r>
                </w:p>
              </w:tc>
              <w:tc>
                <w:tcPr>
                  <w:tcW w:w="605"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850</w:t>
                  </w:r>
                </w:p>
              </w:tc>
              <w:tc>
                <w:tcPr>
                  <w:tcW w:w="540"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950</w:t>
                  </w:r>
                </w:p>
              </w:tc>
              <w:tc>
                <w:tcPr>
                  <w:tcW w:w="497"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3"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沉降速度（m/s）</w:t>
                  </w:r>
                </w:p>
              </w:tc>
              <w:tc>
                <w:tcPr>
                  <w:tcW w:w="565"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2.211</w:t>
                  </w:r>
                </w:p>
              </w:tc>
              <w:tc>
                <w:tcPr>
                  <w:tcW w:w="532"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2.614</w:t>
                  </w:r>
                </w:p>
              </w:tc>
              <w:tc>
                <w:tcPr>
                  <w:tcW w:w="549"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3.016</w:t>
                  </w:r>
                </w:p>
              </w:tc>
              <w:tc>
                <w:tcPr>
                  <w:tcW w:w="557"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3.418</w:t>
                  </w:r>
                </w:p>
              </w:tc>
              <w:tc>
                <w:tcPr>
                  <w:tcW w:w="605"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3.820</w:t>
                  </w:r>
                </w:p>
              </w:tc>
              <w:tc>
                <w:tcPr>
                  <w:tcW w:w="540"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4.222</w:t>
                  </w:r>
                </w:p>
              </w:tc>
              <w:tc>
                <w:tcPr>
                  <w:tcW w:w="497" w:type="pct"/>
                  <w:tcBorders>
                    <w:tl2br w:val="nil"/>
                    <w:tr2bl w:val="nil"/>
                  </w:tcBorders>
                  <w:noWrap w:val="0"/>
                  <w:vAlign w:val="center"/>
                </w:tcPr>
                <w:p>
                  <w:pPr>
                    <w:pStyle w:val="37"/>
                    <w:bidi w:val="0"/>
                    <w:spacing w:line="240" w:lineRule="auto"/>
                    <w:rPr>
                      <w:rFonts w:hint="default"/>
                      <w:color w:val="auto"/>
                      <w:u w:val="none"/>
                    </w:rPr>
                  </w:pPr>
                  <w:r>
                    <w:rPr>
                      <w:rFonts w:hint="default"/>
                      <w:color w:val="auto"/>
                      <w:u w:val="none"/>
                    </w:rPr>
                    <w:t>4.624</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default" w:ascii="Times New Roman" w:hAnsi="Times New Roman" w:cs="Times New Roman"/>
                <w:bCs/>
                <w:color w:val="auto"/>
                <w:sz w:val="24"/>
                <w:u w:val="none"/>
              </w:rPr>
              <w:t>由</w:t>
            </w:r>
            <w:r>
              <w:rPr>
                <w:rFonts w:hint="eastAsia" w:ascii="Times New Roman" w:hAnsi="Times New Roman" w:cs="Times New Roman"/>
                <w:bCs/>
                <w:color w:val="auto"/>
                <w:sz w:val="24"/>
                <w:u w:val="none"/>
                <w:lang w:val="en-US" w:eastAsia="zh-CN"/>
              </w:rPr>
              <w:t>上</w:t>
            </w:r>
            <w:r>
              <w:rPr>
                <w:rFonts w:hint="default" w:ascii="Times New Roman" w:hAnsi="Times New Roman" w:cs="Times New Roman"/>
                <w:bCs/>
                <w:color w:val="auto"/>
                <w:sz w:val="24"/>
                <w:u w:val="none"/>
              </w:rPr>
              <w:t>表可知，当尘粒粒径大于250μm时，尘粒沉降速度1.005m/s，主要影响为扬尘点下风向近距离范围内，对外界环境产生影响的是一些微小尘粒。气候情况不同，其影响范围也不一样。地表土的露天堆放和使用以及裸露的施工区表层浮尘在风力的作用下较易形成风力扬尘，如遇干旱无雨季节扬尘则更为严重。因此本工程施工期应特别注意防尘问题，制定必要的抑尘措施，以减少施工扬尘对周围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lang w:eastAsia="zh-CN"/>
              </w:rPr>
            </w:pPr>
            <w:r>
              <w:rPr>
                <w:rFonts w:hint="eastAsia"/>
                <w:color w:val="auto"/>
                <w:u w:val="none"/>
                <w:lang w:eastAsia="zh-CN"/>
              </w:rPr>
              <w:t>本环评</w:t>
            </w:r>
            <w:r>
              <w:rPr>
                <w:rFonts w:hint="eastAsia"/>
                <w:color w:val="auto"/>
                <w:u w:val="none"/>
                <w:lang w:val="en-US" w:eastAsia="zh-CN"/>
              </w:rPr>
              <w:t>要求</w:t>
            </w:r>
            <w:r>
              <w:rPr>
                <w:rFonts w:hint="eastAsia"/>
                <w:color w:val="auto"/>
                <w:u w:val="none"/>
                <w:lang w:eastAsia="zh-CN"/>
              </w:rPr>
              <w:t>施工过程中尽量减少施工材料的堆存时间和堆存量，加快物料的周转速度，最大限度减少路面扬尘的产生量，堆放场设置在远离居民宅和水体的一侧，加快施工速度，挖、铺、填同时进行，填土后压实土层。对于运输过程应使用帆布遮盖，避免物料沿途遗洒，减少运输二次扬尘对周围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ascii="宋体" w:hAnsi="宋体" w:eastAsia="宋体" w:cs="宋体"/>
                <w:lang w:val="en-US" w:eastAsia="zh-CN"/>
              </w:rPr>
              <w:t>③</w:t>
            </w:r>
            <w:r>
              <w:rPr>
                <w:rFonts w:hint="eastAsia"/>
                <w:lang w:val="en-US" w:eastAsia="zh-CN"/>
              </w:rPr>
              <w:t>拆除作业粉尘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u w:val="none"/>
                <w:lang w:val="en-US" w:eastAsia="zh-CN"/>
              </w:rPr>
            </w:pPr>
            <w:r>
              <w:rPr>
                <w:rFonts w:hint="eastAsia"/>
                <w:color w:val="auto"/>
                <w:u w:val="none"/>
                <w:lang w:val="en-US" w:eastAsia="zh-CN"/>
              </w:rPr>
              <w:t>本工程拟对穿堤建筑物进行拆除重建，在拆除作业过程中会产生粉尘，建设单位配置有雾炮机和洒水车，边拆除边洒水降尘，以减少粉尘对周边环境的影响。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lang w:eastAsia="zh-CN"/>
              </w:rPr>
              <w:t>（</w:t>
            </w:r>
            <w:r>
              <w:rPr>
                <w:rFonts w:hint="eastAsia"/>
                <w:color w:val="auto"/>
                <w:u w:val="none"/>
                <w:lang w:val="en-US" w:eastAsia="zh-CN"/>
              </w:rPr>
              <w:t>2</w:t>
            </w:r>
            <w:r>
              <w:rPr>
                <w:rFonts w:hint="eastAsia"/>
                <w:color w:val="auto"/>
                <w:u w:val="none"/>
                <w:lang w:eastAsia="zh-CN"/>
              </w:rPr>
              <w:t>）</w:t>
            </w:r>
            <w:r>
              <w:rPr>
                <w:rFonts w:hint="eastAsia"/>
                <w:color w:val="auto"/>
                <w:u w:val="none"/>
              </w:rPr>
              <w:t>汽车尾气及施工机械废气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lang w:eastAsia="zh-CN"/>
              </w:rPr>
            </w:pPr>
            <w:r>
              <w:rPr>
                <w:rFonts w:hint="eastAsia"/>
                <w:color w:val="auto"/>
                <w:u w:val="none"/>
              </w:rPr>
              <w:t>推土机、挖掘机、装载机、运输车辆等因燃油产生的CO、NO</w:t>
            </w:r>
            <w:r>
              <w:rPr>
                <w:rFonts w:hint="eastAsia"/>
                <w:color w:val="auto"/>
                <w:u w:val="none"/>
                <w:vertAlign w:val="subscript"/>
              </w:rPr>
              <w:t>X</w:t>
            </w:r>
            <w:r>
              <w:rPr>
                <w:rFonts w:hint="eastAsia"/>
                <w:color w:val="auto"/>
                <w:u w:val="none"/>
              </w:rPr>
              <w:t>、THC等污染物对局部大气环境将有所影响，但此类污染物排放量不大，多表现为间歇性特征。而且项目地势较为开阔、空气流通性较好，有利于污染物质的扩散等因素综合分析，本工程施工期车辆尾气及施工机械废气对周边大气环境影响较小。</w:t>
            </w:r>
          </w:p>
          <w:p>
            <w:pPr>
              <w:bidi w:val="0"/>
              <w:outlineLvl w:val="9"/>
              <w:rPr>
                <w:rFonts w:hint="default"/>
                <w:b/>
                <w:bCs/>
                <w:color w:val="auto"/>
                <w:sz w:val="24"/>
                <w:szCs w:val="32"/>
                <w:u w:val="none"/>
              </w:rPr>
            </w:pPr>
            <w:r>
              <w:rPr>
                <w:rFonts w:hint="eastAsia"/>
                <w:b/>
                <w:bCs/>
                <w:color w:val="auto"/>
                <w:sz w:val="24"/>
                <w:szCs w:val="32"/>
                <w:u w:val="none"/>
                <w:lang w:val="en-US" w:eastAsia="zh-CN"/>
              </w:rPr>
              <w:t>4.2</w:t>
            </w:r>
            <w:r>
              <w:rPr>
                <w:rFonts w:hint="default"/>
                <w:b/>
                <w:bCs/>
                <w:color w:val="auto"/>
                <w:sz w:val="24"/>
                <w:szCs w:val="32"/>
                <w:u w:val="none"/>
              </w:rPr>
              <w:t>施工期废水环境影响分析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施工过程中产生的废水主要有施工废水</w:t>
            </w:r>
            <w:r>
              <w:rPr>
                <w:rFonts w:hint="eastAsia"/>
                <w:color w:val="auto"/>
                <w:u w:val="none"/>
                <w:lang w:eastAsia="zh-CN"/>
              </w:rPr>
              <w:t>、</w:t>
            </w:r>
            <w:r>
              <w:rPr>
                <w:rFonts w:hint="eastAsia"/>
                <w:color w:val="auto"/>
                <w:u w:val="none"/>
              </w:rPr>
              <w:t>施工人员生活污水。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（1）施工废水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①基坑废水：基坑开挖排放的废水中大多为大颗粒无机物，SS浓度较高，废水经静置</w:t>
            </w:r>
            <w:r>
              <w:rPr>
                <w:rFonts w:hint="eastAsia"/>
                <w:color w:val="auto"/>
                <w:u w:val="none"/>
                <w:lang w:val="en-US" w:eastAsia="zh-CN"/>
              </w:rPr>
              <w:t>8</w:t>
            </w:r>
            <w:r>
              <w:rPr>
                <w:rFonts w:hint="eastAsia"/>
                <w:color w:val="auto"/>
                <w:u w:val="none"/>
              </w:rPr>
              <w:t>小时左右，SS含量可降至200mg/L以下。经临时沉淀池沉淀处理后就回用于现场降尘洒水，不对周边地表水体产生污染影响。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rPr>
            </w:pPr>
            <w:r>
              <w:rPr>
                <w:rFonts w:hint="eastAsia"/>
                <w:color w:val="auto"/>
                <w:u w:val="none"/>
              </w:rPr>
              <w:t>②含油污水：施工期含油污水主要来源于施工机械的修理、维护过程及作业过程中的跑、冒、滴、漏。其成分主要是润滑油、柴油、汽油等石油类物质，这类物质一旦进入水体则漂浮于水面，阻碍气水界面的物质交换，使水体溶解氧得不到及时补给。采取隔油措施</w:t>
            </w:r>
            <w:r>
              <w:rPr>
                <w:rFonts w:hint="eastAsia"/>
                <w:color w:val="auto"/>
                <w:u w:val="none"/>
                <w:lang w:val="en-US" w:eastAsia="zh-CN"/>
              </w:rPr>
              <w:t>处理后回用现场，不会对周边水体产生污染。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lang w:eastAsia="zh-CN"/>
              </w:rPr>
            </w:pPr>
            <w:r>
              <w:rPr>
                <w:rFonts w:hint="eastAsia"/>
                <w:color w:val="auto"/>
                <w:u w:val="none"/>
              </w:rPr>
              <w:t>（2）施工人员生活</w:t>
            </w:r>
            <w:r>
              <w:rPr>
                <w:rFonts w:hint="eastAsia"/>
                <w:color w:val="auto"/>
                <w:u w:val="none"/>
                <w:lang w:val="en-US" w:eastAsia="zh-CN"/>
              </w:rPr>
              <w:t>污水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rPr>
            </w:pPr>
            <w:r>
              <w:rPr>
                <w:rFonts w:hint="eastAsia"/>
                <w:color w:val="auto"/>
                <w:u w:val="none"/>
              </w:rPr>
              <w:t>本项目施工人员来自项目周边区域，施工场地不设施工营地，施工人员日常生活设施采取租用民房，生活污水主要污染物为COD、BOD</w:t>
            </w:r>
            <w:r>
              <w:rPr>
                <w:rFonts w:hint="eastAsia"/>
                <w:color w:val="auto"/>
                <w:u w:val="none"/>
                <w:vertAlign w:val="subscript"/>
              </w:rPr>
              <w:t>5</w:t>
            </w:r>
            <w:r>
              <w:rPr>
                <w:rFonts w:hint="eastAsia"/>
                <w:color w:val="auto"/>
                <w:u w:val="none"/>
              </w:rPr>
              <w:t>、NH</w:t>
            </w:r>
            <w:r>
              <w:rPr>
                <w:rFonts w:hint="eastAsia"/>
                <w:color w:val="auto"/>
                <w:u w:val="none"/>
                <w:vertAlign w:val="subscript"/>
              </w:rPr>
              <w:t>3</w:t>
            </w:r>
            <w:r>
              <w:rPr>
                <w:rFonts w:hint="eastAsia"/>
                <w:color w:val="auto"/>
                <w:u w:val="none"/>
              </w:rPr>
              <w:t>-N、SS</w:t>
            </w:r>
            <w:r>
              <w:rPr>
                <w:rFonts w:hint="eastAsia"/>
                <w:color w:val="auto"/>
                <w:u w:val="none"/>
                <w:lang w:val="en-US" w:eastAsia="zh-CN"/>
              </w:rPr>
              <w:t>及动植物油等，</w:t>
            </w:r>
            <w:r>
              <w:rPr>
                <w:rFonts w:hint="eastAsia"/>
                <w:color w:val="auto"/>
                <w:u w:val="none"/>
              </w:rPr>
              <w:t>施工人员生活污水依托民房化粪池处理后用作农肥，</w:t>
            </w:r>
            <w:r>
              <w:rPr>
                <w:rFonts w:hint="eastAsia"/>
                <w:color w:val="auto"/>
                <w:u w:val="none"/>
                <w:lang w:val="en-US" w:eastAsia="zh-CN"/>
              </w:rPr>
              <w:t>对周边水体不会产生污染。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rPr>
            </w:pPr>
            <w:r>
              <w:rPr>
                <w:rFonts w:hint="eastAsia"/>
                <w:color w:val="auto"/>
                <w:u w:val="none"/>
              </w:rPr>
              <w:t>（3）对下游水质影响的分析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rPr>
            </w:pPr>
            <w:r>
              <w:rPr>
                <w:rFonts w:hint="eastAsia"/>
                <w:color w:val="auto"/>
                <w:u w:val="none"/>
              </w:rPr>
              <w:t>由于施工过程会有悬浮物产生，会对河道下游水质有一定的影响，但通过规范施工，尽量不扰动水体及底泥，使悬浮物产生量尽量小，则对下游水质影响很小。</w:t>
            </w:r>
          </w:p>
          <w:p>
            <w:pPr>
              <w:bidi w:val="0"/>
              <w:outlineLvl w:val="9"/>
              <w:rPr>
                <w:rFonts w:hint="default"/>
                <w:color w:val="auto"/>
                <w:sz w:val="24"/>
                <w:szCs w:val="32"/>
                <w:u w:val="none"/>
              </w:rPr>
            </w:pPr>
            <w:r>
              <w:rPr>
                <w:rFonts w:hint="eastAsia" w:ascii="Times New Roman" w:hAnsi="Times New Roman" w:cs="Times New Roman"/>
                <w:b/>
                <w:bCs/>
                <w:color w:val="auto"/>
                <w:u w:val="none"/>
                <w:lang w:val="en-US" w:eastAsia="zh-CN"/>
              </w:rPr>
              <w:t>4.3施工期噪声环境影响分析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rPr>
            </w:pPr>
            <w:r>
              <w:rPr>
                <w:rFonts w:hint="eastAsia"/>
                <w:color w:val="auto"/>
                <w:u w:val="none"/>
              </w:rPr>
              <w:t>本项目施工期的噪声主要来源于施工机械噪声和运输车辆交通噪声。主要噪声源为挖掘机、推土机、搅拌机</w:t>
            </w:r>
            <w:r>
              <w:rPr>
                <w:rFonts w:hint="eastAsia"/>
                <w:color w:val="auto"/>
                <w:u w:val="none"/>
                <w:lang w:eastAsia="zh-CN"/>
              </w:rPr>
              <w:t>、振捣器、</w:t>
            </w:r>
            <w:r>
              <w:rPr>
                <w:rFonts w:hint="eastAsia"/>
                <w:color w:val="auto"/>
                <w:u w:val="none"/>
                <w:lang w:val="en-US" w:eastAsia="zh-CN"/>
              </w:rPr>
              <w:t>钻机、泵机、空压机、焊机</w:t>
            </w:r>
            <w:r>
              <w:rPr>
                <w:rFonts w:hint="eastAsia"/>
                <w:color w:val="auto"/>
                <w:u w:val="none"/>
              </w:rPr>
              <w:t>等声级较高的机械设备噪声。</w:t>
            </w:r>
          </w:p>
          <w:p>
            <w:pPr>
              <w:ind w:firstLine="480" w:firstLineChars="200"/>
              <w:jc w:val="both"/>
              <w:rPr>
                <w:rFonts w:hint="default" w:ascii="Times New Roman" w:hAnsi="Times New Roman" w:eastAsia="宋体"/>
                <w:lang w:val="en-US" w:eastAsia="zh-CN"/>
              </w:rPr>
            </w:pPr>
            <w:r>
              <w:rPr>
                <w:rFonts w:hint="eastAsia" w:ascii="Times New Roman" w:hAnsi="Times New Roman"/>
                <w:lang w:val="en-US" w:eastAsia="zh-CN"/>
              </w:rPr>
              <w:t>（1）预测模式</w:t>
            </w:r>
          </w:p>
          <w:p>
            <w:pPr>
              <w:ind w:firstLine="480" w:firstLineChars="200"/>
              <w:jc w:val="both"/>
              <w:rPr>
                <w:rFonts w:hint="default" w:ascii="Times New Roman" w:hAnsi="Times New Roman" w:eastAsia="宋体"/>
                <w:lang w:val="en-US" w:eastAsia="zh-CN"/>
              </w:rPr>
            </w:pPr>
            <w:r>
              <w:rPr>
                <w:rFonts w:hint="default" w:ascii="Times New Roman" w:hAnsi="Times New Roman" w:eastAsia="宋体"/>
                <w:lang w:val="en-US" w:eastAsia="zh-CN"/>
              </w:rPr>
              <w:t>通过公式计算噪声的影响，本项目仅考虑噪声随距离衰减，无指向性点声源几何发散衰减的基本公式是：</w:t>
            </w:r>
          </w:p>
          <w:p>
            <w:pPr>
              <w:ind w:firstLine="480" w:firstLineChars="200"/>
              <w:jc w:val="center"/>
              <w:rPr>
                <w:rFonts w:hint="default" w:ascii="Times New Roman" w:hAnsi="Times New Roman" w:eastAsia="宋体" w:cs="Times New Roman"/>
                <w:lang w:val="en-US" w:eastAsia="zh-CN"/>
              </w:rPr>
            </w:pPr>
            <w:r>
              <w:rPr>
                <w:rFonts w:hint="default" w:ascii="Times New Roman" w:hAnsi="Times New Roman" w:eastAsia="宋体" w:cs="Times New Roman"/>
                <w:sz w:val="24"/>
                <w:szCs w:val="24"/>
              </w:rPr>
              <w:t>Lp(r)</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Lp(r0)</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20lg(</w:t>
            </w:r>
            <w:r>
              <w:rPr>
                <w:rFonts w:hint="default" w:ascii="Times New Roman" w:hAnsi="Times New Roman" w:eastAsia="宋体" w:cs="Times New Roman"/>
                <w:sz w:val="24"/>
                <w:szCs w:val="24"/>
                <w:lang w:val="en-US" w:eastAsia="zh-CN"/>
              </w:rPr>
              <w:t>r/r0)</w:t>
            </w:r>
          </w:p>
          <w:p>
            <w:pPr>
              <w:ind w:firstLine="480" w:firstLineChars="200"/>
              <w:jc w:val="both"/>
              <w:rPr>
                <w:rFonts w:hint="default" w:ascii="Times New Roman" w:hAnsi="Times New Roman" w:eastAsia="宋体"/>
                <w:lang w:val="en-US" w:eastAsia="zh-CN"/>
              </w:rPr>
            </w:pPr>
            <w:r>
              <w:rPr>
                <w:rFonts w:hint="eastAsia" w:ascii="Times New Roman" w:hAnsi="Times New Roman"/>
                <w:lang w:val="en-US" w:eastAsia="zh-CN"/>
              </w:rPr>
              <w:t>式中：</w:t>
            </w:r>
            <w:r>
              <w:rPr>
                <w:rFonts w:hint="default" w:ascii="Times New Roman" w:hAnsi="Times New Roman" w:eastAsia="宋体" w:cs="Times New Roman"/>
                <w:sz w:val="24"/>
                <w:szCs w:val="24"/>
              </w:rPr>
              <w:t>Lp(r)</w:t>
            </w:r>
            <w:r>
              <w:rPr>
                <w:rFonts w:hint="eastAsia" w:ascii="Times New Roman" w:hAnsi="Times New Roman" w:eastAsia="宋体" w:cs="Times New Roman"/>
                <w:sz w:val="24"/>
                <w:szCs w:val="24"/>
                <w:lang w:eastAsia="zh-CN"/>
              </w:rPr>
              <w:t>—距离声源 r 处的倍频带声压级，dB(A)；</w:t>
            </w:r>
          </w:p>
          <w:p>
            <w:pPr>
              <w:ind w:firstLine="480" w:firstLineChars="200"/>
              <w:jc w:val="both"/>
              <w:rPr>
                <w:rFonts w:hint="default" w:ascii="Times New Roman" w:hAnsi="Times New Roman" w:eastAsia="宋体"/>
                <w:lang w:val="en-US" w:eastAsia="zh-CN"/>
              </w:rPr>
            </w:pPr>
            <w:r>
              <w:rPr>
                <w:rFonts w:hint="default" w:ascii="Times New Roman" w:hAnsi="Times New Roman" w:eastAsia="宋体" w:cs="Times New Roman"/>
                <w:sz w:val="24"/>
                <w:szCs w:val="24"/>
              </w:rPr>
              <w:t>Lp(r0)</w:t>
            </w:r>
            <w:r>
              <w:rPr>
                <w:rFonts w:hint="eastAsia" w:ascii="Times New Roman" w:hAnsi="Times New Roman" w:eastAsia="宋体" w:cs="Times New Roman"/>
                <w:sz w:val="24"/>
                <w:szCs w:val="24"/>
                <w:lang w:eastAsia="zh-CN"/>
              </w:rPr>
              <w:t>—参考位置 r0处的倍频带声压级，dB(A)；</w:t>
            </w:r>
          </w:p>
          <w:p>
            <w:pPr>
              <w:ind w:firstLine="480" w:firstLineChars="200"/>
              <w:jc w:val="both"/>
              <w:rPr>
                <w:rFonts w:hint="default" w:ascii="Times New Roman" w:hAnsi="Times New Roman" w:eastAsia="宋体"/>
                <w:lang w:val="en-US" w:eastAsia="zh-CN"/>
              </w:rPr>
            </w:pPr>
            <w:r>
              <w:rPr>
                <w:rFonts w:hint="eastAsia" w:ascii="Times New Roman" w:hAnsi="Times New Roman"/>
                <w:lang w:val="en-US" w:eastAsia="zh-CN"/>
              </w:rPr>
              <w:t>r—预测点距离声源的距离，m；</w:t>
            </w:r>
          </w:p>
          <w:p>
            <w:pPr>
              <w:ind w:firstLine="480" w:firstLineChars="200"/>
              <w:jc w:val="both"/>
              <w:rPr>
                <w:rFonts w:hint="default" w:ascii="Times New Roman" w:hAnsi="Times New Roman" w:eastAsia="宋体"/>
                <w:lang w:val="en-US" w:eastAsia="zh-CN"/>
              </w:rPr>
            </w:pPr>
            <w:r>
              <w:rPr>
                <w:rFonts w:hint="eastAsia" w:ascii="Times New Roman" w:hAnsi="Times New Roman"/>
                <w:lang w:val="en-US" w:eastAsia="zh-CN"/>
              </w:rPr>
              <w:t>r0—参考位置距离声源的距离，m</w:t>
            </w:r>
          </w:p>
          <w:p>
            <w:pPr>
              <w:ind w:firstLine="480" w:firstLineChars="200"/>
              <w:jc w:val="both"/>
              <w:rPr>
                <w:rFonts w:hint="default" w:ascii="Times New Roman" w:hAnsi="Times New Roman" w:eastAsia="宋体"/>
                <w:lang w:val="en-US" w:eastAsia="zh-CN"/>
              </w:rPr>
            </w:pPr>
            <w:r>
              <w:rPr>
                <w:rFonts w:hint="eastAsia" w:ascii="Times New Roman" w:hAnsi="Times New Roman"/>
                <w:lang w:val="en-US" w:eastAsia="zh-CN"/>
              </w:rPr>
              <w:t>（2）计算结果</w:t>
            </w:r>
          </w:p>
          <w:p>
            <w:pPr>
              <w:ind w:firstLine="480" w:firstLineChars="200"/>
              <w:jc w:val="both"/>
              <w:rPr>
                <w:rFonts w:hint="default" w:ascii="Times New Roman" w:hAnsi="Times New Roman" w:eastAsia="宋体"/>
                <w:lang w:val="en-US" w:eastAsia="zh-CN"/>
              </w:rPr>
            </w:pPr>
            <w:r>
              <w:rPr>
                <w:rFonts w:hint="default" w:ascii="Times New Roman" w:hAnsi="Times New Roman" w:eastAsia="宋体"/>
                <w:lang w:val="en-US" w:eastAsia="zh-CN"/>
              </w:rPr>
              <w:t>根据前述预测方法和预测模式，主要高噪声施工设备声源在不同距离的衰减计算结果见</w:t>
            </w:r>
            <w:r>
              <w:rPr>
                <w:rFonts w:hint="eastAsia" w:ascii="Times New Roman" w:hAnsi="Times New Roman"/>
                <w:lang w:val="en-US" w:eastAsia="zh-CN"/>
              </w:rPr>
              <w:t>下</w:t>
            </w:r>
            <w:r>
              <w:rPr>
                <w:rFonts w:hint="default" w:ascii="Times New Roman" w:hAnsi="Times New Roman" w:eastAsia="宋体"/>
                <w:lang w:val="en-US" w:eastAsia="zh-CN"/>
              </w:rPr>
              <w:t>表</w:t>
            </w:r>
            <w:r>
              <w:rPr>
                <w:rFonts w:hint="eastAsia" w:ascii="Times New Roman" w:hAnsi="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u w:val="none"/>
                <w:lang w:val="en-US" w:eastAsia="zh-CN"/>
              </w:rPr>
            </w:pPr>
            <w:r>
              <w:rPr>
                <w:rFonts w:hint="default" w:ascii="Times New Roman" w:hAnsi="Times New Roman" w:eastAsia="宋体" w:cs="Times New Roman"/>
                <w:b/>
                <w:bCs/>
                <w:color w:val="auto"/>
                <w:u w:val="none"/>
                <w:lang w:val="en-US" w:eastAsia="zh-CN"/>
              </w:rPr>
              <w:t xml:space="preserve">表 </w:t>
            </w:r>
            <w:r>
              <w:rPr>
                <w:rFonts w:hint="eastAsia" w:ascii="Times New Roman" w:hAnsi="Times New Roman" w:eastAsia="宋体" w:cs="Times New Roman"/>
                <w:b/>
                <w:bCs/>
                <w:color w:val="auto"/>
                <w:u w:val="none"/>
                <w:lang w:val="en-US" w:eastAsia="zh-CN"/>
              </w:rPr>
              <w:t>4</w:t>
            </w:r>
            <w:r>
              <w:rPr>
                <w:rFonts w:hint="default" w:ascii="Times New Roman" w:hAnsi="Times New Roman" w:eastAsia="宋体" w:cs="Times New Roman"/>
                <w:b/>
                <w:bCs/>
                <w:color w:val="auto"/>
                <w:u w:val="none"/>
                <w:lang w:val="en-US" w:eastAsia="zh-CN"/>
              </w:rPr>
              <w:t>-</w:t>
            </w:r>
            <w:r>
              <w:rPr>
                <w:rFonts w:hint="eastAsia" w:ascii="Times New Roman" w:hAnsi="Times New Roman" w:eastAsia="宋体" w:cs="Times New Roman"/>
                <w:b/>
                <w:bCs/>
                <w:color w:val="auto"/>
                <w:u w:val="none"/>
                <w:lang w:val="en-US" w:eastAsia="zh-CN"/>
              </w:rPr>
              <w:t>4</w:t>
            </w:r>
            <w:r>
              <w:rPr>
                <w:rFonts w:hint="default" w:ascii="Times New Roman" w:hAnsi="Times New Roman" w:eastAsia="宋体" w:cs="Times New Roman"/>
                <w:b/>
                <w:bCs/>
                <w:color w:val="auto"/>
                <w:u w:val="none"/>
                <w:lang w:val="en-US" w:eastAsia="zh-CN"/>
              </w:rPr>
              <w:t xml:space="preserve"> 施工期环境噪声预测</w:t>
            </w:r>
            <w:r>
              <w:rPr>
                <w:rFonts w:hint="eastAsia" w:ascii="Times New Roman" w:hAnsi="Times New Roman" w:eastAsia="宋体" w:cs="Times New Roman"/>
                <w:b/>
                <w:bCs/>
                <w:color w:val="auto"/>
                <w:u w:val="none"/>
                <w:lang w:val="en-US" w:eastAsia="zh-CN"/>
              </w:rPr>
              <w:t>结果</w:t>
            </w:r>
          </w:p>
          <w:tbl>
            <w:tblPr>
              <w:tblStyle w:val="27"/>
              <w:tblW w:w="9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923"/>
              <w:gridCol w:w="923"/>
              <w:gridCol w:w="923"/>
              <w:gridCol w:w="923"/>
              <w:gridCol w:w="923"/>
              <w:gridCol w:w="923"/>
              <w:gridCol w:w="923"/>
              <w:gridCol w:w="924"/>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Merge w:val="restart"/>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噪声源</w:t>
                  </w:r>
                </w:p>
              </w:tc>
              <w:tc>
                <w:tcPr>
                  <w:tcW w:w="923" w:type="dxa"/>
                  <w:vMerge w:val="restart"/>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噪声级dB（A）1m</w:t>
                  </w:r>
                </w:p>
              </w:tc>
              <w:tc>
                <w:tcPr>
                  <w:tcW w:w="7386" w:type="dxa"/>
                  <w:gridSpan w:val="8"/>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预测噪声级dB（A）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Merge w:val="continue"/>
                  <w:noWrap w:val="0"/>
                  <w:vAlign w:val="center"/>
                </w:tcPr>
                <w:p>
                  <w:pPr>
                    <w:spacing w:line="240" w:lineRule="auto"/>
                    <w:jc w:val="center"/>
                    <w:rPr>
                      <w:rFonts w:hint="default" w:ascii="Times New Roman" w:hAnsi="Times New Roman" w:cs="Times New Roman"/>
                      <w:sz w:val="21"/>
                      <w:szCs w:val="22"/>
                      <w:lang w:val="en-US" w:eastAsia="zh-CN"/>
                    </w:rPr>
                  </w:pPr>
                </w:p>
              </w:tc>
              <w:tc>
                <w:tcPr>
                  <w:tcW w:w="923" w:type="dxa"/>
                  <w:vMerge w:val="continue"/>
                  <w:noWrap w:val="0"/>
                  <w:vAlign w:val="center"/>
                </w:tcPr>
                <w:p>
                  <w:pPr>
                    <w:spacing w:line="240" w:lineRule="auto"/>
                    <w:jc w:val="center"/>
                    <w:rPr>
                      <w:rFonts w:hint="default" w:ascii="Times New Roman" w:hAnsi="Times New Roman" w:cs="Times New Roman"/>
                      <w:sz w:val="21"/>
                      <w:szCs w:val="22"/>
                      <w:lang w:val="en-US" w:eastAsia="zh-CN"/>
                    </w:rPr>
                  </w:pP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5m</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10m</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20m</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40m</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50m</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80m</w:t>
                  </w:r>
                </w:p>
              </w:tc>
              <w:tc>
                <w:tcPr>
                  <w:tcW w:w="924"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100m</w:t>
                  </w:r>
                </w:p>
              </w:tc>
              <w:tc>
                <w:tcPr>
                  <w:tcW w:w="924"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挖掘机</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95</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82</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76</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69</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62</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60</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57</w:t>
                  </w:r>
                </w:p>
              </w:tc>
              <w:tc>
                <w:tcPr>
                  <w:tcW w:w="924"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56</w:t>
                  </w:r>
                </w:p>
              </w:tc>
              <w:tc>
                <w:tcPr>
                  <w:tcW w:w="924"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推土机</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85</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70</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64</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57</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51</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50</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45</w:t>
                  </w:r>
                </w:p>
              </w:tc>
              <w:tc>
                <w:tcPr>
                  <w:tcW w:w="924"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44</w:t>
                  </w:r>
                </w:p>
              </w:tc>
              <w:tc>
                <w:tcPr>
                  <w:tcW w:w="924"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搅拌机</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95</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82</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75</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68</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62</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60</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56</w:t>
                  </w:r>
                </w:p>
              </w:tc>
              <w:tc>
                <w:tcPr>
                  <w:tcW w:w="924"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55</w:t>
                  </w:r>
                </w:p>
              </w:tc>
              <w:tc>
                <w:tcPr>
                  <w:tcW w:w="924"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振捣器</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85</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70</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64</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57</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51</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50</w:t>
                  </w:r>
                </w:p>
              </w:tc>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45</w:t>
                  </w:r>
                </w:p>
              </w:tc>
              <w:tc>
                <w:tcPr>
                  <w:tcW w:w="924"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44</w:t>
                  </w:r>
                </w:p>
              </w:tc>
              <w:tc>
                <w:tcPr>
                  <w:tcW w:w="924"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0"/>
                  <w:vAlign w:val="center"/>
                </w:tcPr>
                <w:p>
                  <w:pPr>
                    <w:spacing w:line="240" w:lineRule="auto"/>
                    <w:jc w:val="center"/>
                    <w:rPr>
                      <w:rFonts w:hint="default" w:ascii="Times New Roman" w:hAnsi="Times New Roman" w:cs="Times New Roman"/>
                      <w:sz w:val="21"/>
                      <w:szCs w:val="22"/>
                      <w:lang w:val="en-US" w:eastAsia="zh-CN"/>
                    </w:rPr>
                  </w:pPr>
                  <w:r>
                    <w:rPr>
                      <w:rFonts w:hint="eastAsia" w:ascii="Times New Roman" w:hAnsi="Times New Roman" w:cs="Times New Roman"/>
                      <w:sz w:val="21"/>
                      <w:szCs w:val="22"/>
                      <w:lang w:val="en-US" w:eastAsia="zh-CN"/>
                    </w:rPr>
                    <w:t>钻机</w:t>
                  </w:r>
                </w:p>
              </w:tc>
              <w:tc>
                <w:tcPr>
                  <w:tcW w:w="923" w:type="dxa"/>
                  <w:noWrap w:val="0"/>
                  <w:vAlign w:val="center"/>
                </w:tcPr>
                <w:p>
                  <w:pPr>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90</w:t>
                  </w:r>
                </w:p>
              </w:tc>
              <w:tc>
                <w:tcPr>
                  <w:tcW w:w="923" w:type="dxa"/>
                  <w:noWrap w:val="0"/>
                  <w:vAlign w:val="center"/>
                </w:tcPr>
                <w:p>
                  <w:pPr>
                    <w:pStyle w:val="7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bCs/>
                      <w:sz w:val="21"/>
                      <w:szCs w:val="21"/>
                      <w:u w:val="none" w:color="auto"/>
                      <w:vertAlign w:val="baseline"/>
                      <w:lang w:val="en-US" w:eastAsia="zh-CN"/>
                    </w:rPr>
                    <w:t>75</w:t>
                  </w:r>
                </w:p>
              </w:tc>
              <w:tc>
                <w:tcPr>
                  <w:tcW w:w="923" w:type="dxa"/>
                  <w:noWrap w:val="0"/>
                  <w:vAlign w:val="center"/>
                </w:tcPr>
                <w:p>
                  <w:pPr>
                    <w:pStyle w:val="7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bCs/>
                      <w:sz w:val="21"/>
                      <w:szCs w:val="21"/>
                      <w:u w:val="none" w:color="auto"/>
                      <w:vertAlign w:val="baseline"/>
                      <w:lang w:val="en-US" w:eastAsia="zh-CN"/>
                    </w:rPr>
                    <w:t>66</w:t>
                  </w:r>
                </w:p>
              </w:tc>
              <w:tc>
                <w:tcPr>
                  <w:tcW w:w="923" w:type="dxa"/>
                  <w:noWrap w:val="0"/>
                  <w:vAlign w:val="center"/>
                </w:tcPr>
                <w:p>
                  <w:pPr>
                    <w:pStyle w:val="7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bCs/>
                      <w:sz w:val="21"/>
                      <w:szCs w:val="21"/>
                      <w:u w:val="none" w:color="auto"/>
                      <w:vertAlign w:val="baseline"/>
                      <w:lang w:val="en-US" w:eastAsia="zh-CN"/>
                    </w:rPr>
                    <w:t>60</w:t>
                  </w:r>
                </w:p>
              </w:tc>
              <w:tc>
                <w:tcPr>
                  <w:tcW w:w="923" w:type="dxa"/>
                  <w:noWrap w:val="0"/>
                  <w:vAlign w:val="center"/>
                </w:tcPr>
                <w:p>
                  <w:pPr>
                    <w:pStyle w:val="7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bCs/>
                      <w:sz w:val="21"/>
                      <w:szCs w:val="21"/>
                      <w:u w:val="none" w:color="auto"/>
                      <w:vertAlign w:val="baseline"/>
                      <w:lang w:val="en-US" w:eastAsia="zh-CN"/>
                    </w:rPr>
                    <w:t>56</w:t>
                  </w:r>
                </w:p>
              </w:tc>
              <w:tc>
                <w:tcPr>
                  <w:tcW w:w="923" w:type="dxa"/>
                  <w:noWrap w:val="0"/>
                  <w:vAlign w:val="center"/>
                </w:tcPr>
                <w:p>
                  <w:pPr>
                    <w:pStyle w:val="7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bCs/>
                      <w:sz w:val="21"/>
                      <w:szCs w:val="21"/>
                      <w:u w:val="none" w:color="auto"/>
                      <w:vertAlign w:val="baseline"/>
                      <w:lang w:val="en-US" w:eastAsia="zh-CN"/>
                    </w:rPr>
                    <w:t>55</w:t>
                  </w:r>
                </w:p>
              </w:tc>
              <w:tc>
                <w:tcPr>
                  <w:tcW w:w="923" w:type="dxa"/>
                  <w:noWrap w:val="0"/>
                  <w:vAlign w:val="center"/>
                </w:tcPr>
                <w:p>
                  <w:pPr>
                    <w:pStyle w:val="7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bCs/>
                      <w:sz w:val="21"/>
                      <w:szCs w:val="21"/>
                      <w:u w:val="none" w:color="auto"/>
                      <w:vertAlign w:val="baseline"/>
                      <w:lang w:val="en-US" w:eastAsia="zh-CN"/>
                    </w:rPr>
                    <w:t>50</w:t>
                  </w:r>
                </w:p>
              </w:tc>
              <w:tc>
                <w:tcPr>
                  <w:tcW w:w="924" w:type="dxa"/>
                  <w:noWrap w:val="0"/>
                  <w:vAlign w:val="center"/>
                </w:tcPr>
                <w:p>
                  <w:pPr>
                    <w:pStyle w:val="7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bCs/>
                      <w:sz w:val="21"/>
                      <w:szCs w:val="21"/>
                      <w:u w:val="none" w:color="auto"/>
                      <w:vertAlign w:val="baseline"/>
                      <w:lang w:val="en-US" w:eastAsia="zh-CN"/>
                    </w:rPr>
                    <w:t>48</w:t>
                  </w:r>
                </w:p>
              </w:tc>
              <w:tc>
                <w:tcPr>
                  <w:tcW w:w="924" w:type="dxa"/>
                  <w:noWrap w:val="0"/>
                  <w:vAlign w:val="center"/>
                </w:tcPr>
                <w:p>
                  <w:pPr>
                    <w:pStyle w:val="7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bCs/>
                      <w:sz w:val="21"/>
                      <w:szCs w:val="21"/>
                      <w:u w:val="none" w:color="auto"/>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0"/>
                  <w:vAlign w:val="center"/>
                </w:tcPr>
                <w:p>
                  <w:pPr>
                    <w:spacing w:line="240" w:lineRule="auto"/>
                    <w:jc w:val="center"/>
                    <w:rPr>
                      <w:rFonts w:hint="eastAsia" w:ascii="Times New Roman" w:hAnsi="Times New Roman" w:cs="Times New Roman"/>
                      <w:sz w:val="21"/>
                      <w:szCs w:val="22"/>
                      <w:lang w:val="en-US" w:eastAsia="zh-CN"/>
                    </w:rPr>
                  </w:pPr>
                  <w:r>
                    <w:rPr>
                      <w:rFonts w:hint="eastAsia" w:cs="Times New Roman"/>
                      <w:sz w:val="21"/>
                      <w:szCs w:val="22"/>
                      <w:lang w:val="en-US" w:eastAsia="zh-CN"/>
                    </w:rPr>
                    <w:t>泵机</w:t>
                  </w:r>
                </w:p>
              </w:tc>
              <w:tc>
                <w:tcPr>
                  <w:tcW w:w="923" w:type="dxa"/>
                  <w:noWrap w:val="0"/>
                  <w:vAlign w:val="center"/>
                </w:tcPr>
                <w:p>
                  <w:pPr>
                    <w:spacing w:line="24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2"/>
                      <w:lang w:val="en-US" w:eastAsia="zh-CN"/>
                    </w:rPr>
                    <w:t>95</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82</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76</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69</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62</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60</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57</w:t>
                  </w:r>
                </w:p>
              </w:tc>
              <w:tc>
                <w:tcPr>
                  <w:tcW w:w="924"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56</w:t>
                  </w:r>
                </w:p>
              </w:tc>
              <w:tc>
                <w:tcPr>
                  <w:tcW w:w="924"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0"/>
                  <w:vAlign w:val="center"/>
                </w:tcPr>
                <w:p>
                  <w:pPr>
                    <w:spacing w:line="240" w:lineRule="auto"/>
                    <w:jc w:val="center"/>
                    <w:rPr>
                      <w:rFonts w:hint="eastAsia" w:ascii="Times New Roman" w:hAnsi="Times New Roman" w:cs="Times New Roman"/>
                      <w:sz w:val="21"/>
                      <w:szCs w:val="22"/>
                      <w:lang w:val="en-US" w:eastAsia="zh-CN"/>
                    </w:rPr>
                  </w:pPr>
                  <w:r>
                    <w:rPr>
                      <w:rFonts w:hint="eastAsia" w:cs="Times New Roman"/>
                      <w:sz w:val="21"/>
                      <w:szCs w:val="22"/>
                      <w:lang w:val="en-US" w:eastAsia="zh-CN"/>
                    </w:rPr>
                    <w:t>空压机</w:t>
                  </w:r>
                </w:p>
              </w:tc>
              <w:tc>
                <w:tcPr>
                  <w:tcW w:w="923" w:type="dxa"/>
                  <w:noWrap w:val="0"/>
                  <w:vAlign w:val="center"/>
                </w:tcPr>
                <w:p>
                  <w:pPr>
                    <w:spacing w:line="24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2"/>
                      <w:lang w:val="en-US" w:eastAsia="zh-CN"/>
                    </w:rPr>
                    <w:t>85</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70</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64</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57</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51</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50</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45</w:t>
                  </w:r>
                </w:p>
              </w:tc>
              <w:tc>
                <w:tcPr>
                  <w:tcW w:w="924"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44</w:t>
                  </w:r>
                </w:p>
              </w:tc>
              <w:tc>
                <w:tcPr>
                  <w:tcW w:w="924"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0"/>
                  <w:vAlign w:val="center"/>
                </w:tcPr>
                <w:p>
                  <w:pPr>
                    <w:spacing w:line="240" w:lineRule="auto"/>
                    <w:jc w:val="center"/>
                    <w:rPr>
                      <w:rFonts w:hint="eastAsia" w:ascii="Times New Roman" w:hAnsi="Times New Roman" w:cs="Times New Roman"/>
                      <w:sz w:val="21"/>
                      <w:szCs w:val="22"/>
                      <w:lang w:val="en-US" w:eastAsia="zh-CN"/>
                    </w:rPr>
                  </w:pPr>
                  <w:r>
                    <w:rPr>
                      <w:rFonts w:hint="eastAsia" w:cs="Times New Roman"/>
                      <w:sz w:val="21"/>
                      <w:szCs w:val="22"/>
                      <w:lang w:val="en-US" w:eastAsia="zh-CN"/>
                    </w:rPr>
                    <w:t>焊机</w:t>
                  </w:r>
                </w:p>
              </w:tc>
              <w:tc>
                <w:tcPr>
                  <w:tcW w:w="923" w:type="dxa"/>
                  <w:noWrap w:val="0"/>
                  <w:vAlign w:val="center"/>
                </w:tcPr>
                <w:p>
                  <w:pPr>
                    <w:spacing w:line="24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2"/>
                      <w:lang w:val="en-US" w:eastAsia="zh-CN"/>
                    </w:rPr>
                    <w:t>85</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70</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64</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57</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51</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50</w:t>
                  </w:r>
                </w:p>
              </w:tc>
              <w:tc>
                <w:tcPr>
                  <w:tcW w:w="923"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45</w:t>
                  </w:r>
                </w:p>
              </w:tc>
              <w:tc>
                <w:tcPr>
                  <w:tcW w:w="924"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44</w:t>
                  </w:r>
                </w:p>
              </w:tc>
              <w:tc>
                <w:tcPr>
                  <w:tcW w:w="924" w:type="dxa"/>
                  <w:noWrap w:val="0"/>
                  <w:vAlign w:val="center"/>
                </w:tcPr>
                <w:p>
                  <w:pPr>
                    <w:spacing w:line="240" w:lineRule="auto"/>
                    <w:jc w:val="center"/>
                    <w:rPr>
                      <w:rFonts w:hint="eastAsia" w:ascii="Times New Roman" w:hAnsi="Times New Roman" w:cs="Times New Roman"/>
                      <w:bCs/>
                      <w:sz w:val="21"/>
                      <w:szCs w:val="21"/>
                      <w:u w:val="none" w:color="auto"/>
                      <w:vertAlign w:val="baseline"/>
                      <w:lang w:val="en-US" w:eastAsia="zh-CN"/>
                    </w:rPr>
                  </w:pPr>
                  <w:r>
                    <w:rPr>
                      <w:rFonts w:hint="eastAsia" w:ascii="Times New Roman" w:hAnsi="Times New Roman" w:cs="Times New Roman"/>
                      <w:sz w:val="21"/>
                      <w:szCs w:val="22"/>
                      <w:lang w:val="en-US" w:eastAsia="zh-CN"/>
                    </w:rPr>
                    <w:t>40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lang w:val="en-US" w:eastAsia="zh-CN"/>
              </w:rPr>
            </w:pPr>
            <w:r>
              <w:rPr>
                <w:rFonts w:hint="eastAsia" w:eastAsia="宋体"/>
                <w:color w:val="auto"/>
                <w:u w:val="none"/>
                <w:lang w:val="en-US" w:eastAsia="zh-CN"/>
              </w:rPr>
              <w:t>附近</w:t>
            </w:r>
            <w:r>
              <w:rPr>
                <w:rFonts w:hint="eastAsia"/>
                <w:color w:val="auto"/>
                <w:u w:val="none"/>
                <w:lang w:val="en-US" w:eastAsia="zh-CN"/>
              </w:rPr>
              <w:t>分布有</w:t>
            </w:r>
            <w:r>
              <w:rPr>
                <w:rFonts w:hint="eastAsia" w:eastAsia="宋体"/>
                <w:color w:val="auto"/>
                <w:u w:val="none"/>
                <w:lang w:val="en-US" w:eastAsia="zh-CN"/>
              </w:rPr>
              <w:t>居民点，施工场地产生的噪声对其影响较大，</w:t>
            </w:r>
            <w:r>
              <w:rPr>
                <w:rFonts w:hint="eastAsia" w:ascii="Times New Roman" w:hAnsi="Times New Roman" w:eastAsia="宋体" w:cs="Times New Roman"/>
                <w:color w:val="auto"/>
                <w:sz w:val="24"/>
                <w:szCs w:val="24"/>
                <w:u w:val="none"/>
                <w:lang w:val="en-US" w:eastAsia="zh-CN"/>
              </w:rPr>
              <w:t>本评价要求</w:t>
            </w:r>
            <w:r>
              <w:rPr>
                <w:rFonts w:hint="default" w:ascii="Times New Roman" w:hAnsi="Times New Roman" w:eastAsia="宋体" w:cs="Times New Roman"/>
                <w:color w:val="auto"/>
                <w:sz w:val="24"/>
                <w:szCs w:val="24"/>
                <w:u w:val="none"/>
              </w:rPr>
              <w:t>应采取措施予以控制</w:t>
            </w:r>
            <w:r>
              <w:rPr>
                <w:rFonts w:hint="eastAsia" w:ascii="Times New Roman" w:hAnsi="Times New Roman" w:cs="Times New Roman"/>
                <w:color w:val="auto"/>
                <w:sz w:val="24"/>
                <w:szCs w:val="24"/>
                <w:u w:val="none"/>
                <w:lang w:eastAsia="zh-CN"/>
              </w:rPr>
              <w:t>，</w:t>
            </w:r>
            <w:r>
              <w:rPr>
                <w:rFonts w:hint="eastAsia" w:ascii="Times New Roman" w:hAnsi="Times New Roman" w:cs="Times New Roman"/>
                <w:color w:val="auto"/>
                <w:sz w:val="24"/>
                <w:szCs w:val="24"/>
                <w:u w:val="none"/>
                <w:lang w:val="en-US" w:eastAsia="zh-CN"/>
              </w:rPr>
              <w:t>按照本评价提出的措施要求</w:t>
            </w:r>
            <w:r>
              <w:rPr>
                <w:rFonts w:hint="eastAsia" w:eastAsia="宋体"/>
                <w:color w:val="auto"/>
                <w:u w:val="none"/>
                <w:lang w:val="en-US" w:eastAsia="zh-CN"/>
              </w:rPr>
              <w:t>合理安排施工时间，并提前告知附近居民施工作业时间，并选用噪声较低设备，并在施工区周围设置简易围栏进行阻隔噪声传播，</w:t>
            </w:r>
            <w:r>
              <w:rPr>
                <w:rFonts w:hint="default" w:ascii="Times New Roman" w:hAnsi="Times New Roman" w:eastAsia="宋体" w:cs="Times New Roman"/>
                <w:color w:val="auto"/>
                <w:sz w:val="24"/>
                <w:szCs w:val="24"/>
                <w:u w:val="none"/>
              </w:rPr>
              <w:t>将施工噪声影响减至最低</w:t>
            </w:r>
            <w:r>
              <w:rPr>
                <w:rFonts w:hint="eastAsia" w:ascii="Times New Roman" w:hAnsi="Times New Roman" w:cs="Times New Roman"/>
                <w:color w:val="auto"/>
                <w:sz w:val="24"/>
                <w:szCs w:val="24"/>
                <w:u w:val="none"/>
                <w:lang w:eastAsia="zh-CN"/>
              </w:rPr>
              <w:t>。</w:t>
            </w:r>
            <w:r>
              <w:rPr>
                <w:rFonts w:hint="eastAsia" w:ascii="Times New Roman" w:hAnsi="Times New Roman" w:cs="Times New Roman"/>
                <w:color w:val="auto"/>
                <w:sz w:val="24"/>
                <w:szCs w:val="24"/>
                <w:u w:val="none"/>
                <w:lang w:val="en-US" w:eastAsia="zh-CN"/>
              </w:rPr>
              <w:t>施工期</w:t>
            </w:r>
            <w:r>
              <w:rPr>
                <w:rFonts w:hint="eastAsia" w:eastAsia="宋体"/>
                <w:color w:val="auto"/>
                <w:u w:val="none"/>
                <w:lang w:val="en-US" w:eastAsia="zh-CN"/>
              </w:rPr>
              <w:t>噪声为间歇性排放</w:t>
            </w:r>
            <w:r>
              <w:rPr>
                <w:rFonts w:hint="eastAsia"/>
                <w:color w:val="auto"/>
                <w:u w:val="none"/>
                <w:lang w:val="en-US" w:eastAsia="zh-CN"/>
              </w:rPr>
              <w:t>、暂时的</w:t>
            </w:r>
            <w:r>
              <w:rPr>
                <w:rFonts w:hint="eastAsia" w:eastAsia="宋体"/>
                <w:color w:val="auto"/>
                <w:u w:val="none"/>
                <w:lang w:val="en-US" w:eastAsia="zh-CN"/>
              </w:rPr>
              <w:t>，随着施工结束而结束，不会对居民产生较大</w:t>
            </w:r>
            <w:r>
              <w:rPr>
                <w:rFonts w:hint="eastAsia"/>
                <w:color w:val="auto"/>
                <w:u w:val="none"/>
                <w:lang w:val="en-US" w:eastAsia="zh-CN"/>
              </w:rPr>
              <w:t>、长期的</w:t>
            </w:r>
            <w:r>
              <w:rPr>
                <w:rFonts w:hint="eastAsia" w:eastAsia="宋体"/>
                <w:color w:val="auto"/>
                <w:u w:val="none"/>
                <w:lang w:val="en-US" w:eastAsia="zh-CN"/>
              </w:rPr>
              <w:t>影响。</w:t>
            </w:r>
            <w:r>
              <w:rPr>
                <w:rFonts w:hint="eastAsia"/>
                <w:color w:val="auto"/>
                <w:u w:val="none"/>
                <w:lang w:val="en-US" w:eastAsia="zh-CN"/>
              </w:rPr>
              <w:t>为</w:t>
            </w:r>
            <w:r>
              <w:rPr>
                <w:rFonts w:hint="eastAsia" w:eastAsia="宋体"/>
                <w:color w:val="auto"/>
                <w:u w:val="none"/>
                <w:lang w:val="en-US" w:eastAsia="zh-CN"/>
              </w:rPr>
              <w:t>降低施工期噪声对周边环境的影响，环评建议施工期应采取以下措施：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lang w:val="en-US" w:eastAsia="zh-CN"/>
              </w:rPr>
            </w:pPr>
            <w:r>
              <w:rPr>
                <w:rFonts w:hint="eastAsia" w:eastAsia="宋体"/>
                <w:color w:val="auto"/>
                <w:u w:val="none"/>
                <w:lang w:val="en-US" w:eastAsia="zh-CN"/>
              </w:rPr>
              <w:t>①对大于</w:t>
            </w:r>
            <w:r>
              <w:rPr>
                <w:rFonts w:hint="eastAsia"/>
                <w:color w:val="auto"/>
                <w:u w:val="none"/>
                <w:lang w:val="en-US" w:eastAsia="zh-CN"/>
              </w:rPr>
              <w:t>90</w:t>
            </w:r>
            <w:r>
              <w:rPr>
                <w:rFonts w:hint="eastAsia" w:eastAsia="宋体"/>
                <w:color w:val="auto"/>
                <w:u w:val="none"/>
                <w:lang w:val="en-US" w:eastAsia="zh-CN"/>
              </w:rPr>
              <w:t>dB（A）的施工机械应合理安排施工时间，严禁夜间施工。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lang w:val="en-US" w:eastAsia="zh-CN"/>
              </w:rPr>
            </w:pPr>
            <w:r>
              <w:rPr>
                <w:rFonts w:hint="eastAsia" w:eastAsia="宋体"/>
                <w:color w:val="auto"/>
                <w:u w:val="none"/>
                <w:lang w:val="en-US" w:eastAsia="zh-CN"/>
              </w:rPr>
              <w:t>②合理选择施工机械、施工方法、施工现场，尽量选用低噪声设备，在施工过程中，应经常对施工设备进行维修保养，避免由于设备性能减退使噪声增强现象的发生。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lang w:val="en-US" w:eastAsia="zh-CN"/>
              </w:rPr>
            </w:pPr>
            <w:r>
              <w:rPr>
                <w:rFonts w:hint="eastAsia" w:eastAsia="宋体"/>
                <w:color w:val="auto"/>
                <w:u w:val="none"/>
                <w:lang w:val="en-US" w:eastAsia="zh-CN"/>
              </w:rPr>
              <w:t>总体来说，施工机械噪声对施工区周边的敏感目标短期内可能会产生短暂的影响，但由于施工过程是临时性的，施工期噪声对敏感点的影响也是短暂的，施工结束后即可恢复；施工期严格采取各类噪声防护措施的情况下可有效控制施工噪声对各敏感点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lang w:val="en-US" w:eastAsia="zh-CN"/>
              </w:rPr>
            </w:pPr>
            <w:r>
              <w:rPr>
                <w:rFonts w:hint="eastAsia" w:eastAsia="宋体"/>
                <w:color w:val="auto"/>
                <w:u w:val="none"/>
                <w:lang w:val="en-US" w:eastAsia="zh-CN"/>
              </w:rPr>
              <w:t>（2）运输车辆交通噪声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lang w:val="en-US" w:eastAsia="zh-CN"/>
              </w:rPr>
            </w:pPr>
            <w:r>
              <w:rPr>
                <w:rFonts w:hint="eastAsia" w:eastAsia="宋体"/>
                <w:color w:val="auto"/>
                <w:u w:val="none"/>
                <w:lang w:val="en-US" w:eastAsia="zh-CN"/>
              </w:rPr>
              <w:t>项目建设期间，进出项目施工场地、材料的运输车辆将使项目所在地及运输沿线的车流量增大，导致项目地、运输沿线附近交通噪声增高。但这种噪声具有间歇性和可逆性，随着施工期的结束而消失。</w:t>
            </w:r>
          </w:p>
          <w:p>
            <w:pPr>
              <w:bidi w:val="0"/>
              <w:outlineLvl w:val="9"/>
              <w:rPr>
                <w:rFonts w:hint="default" w:eastAsia="宋体"/>
                <w:b/>
                <w:bCs/>
                <w:color w:val="auto"/>
                <w:sz w:val="24"/>
                <w:szCs w:val="32"/>
                <w:u w:val="none"/>
                <w:lang w:val="en-US" w:eastAsia="zh-CN"/>
              </w:rPr>
            </w:pPr>
            <w:r>
              <w:rPr>
                <w:rFonts w:hint="eastAsia"/>
                <w:b/>
                <w:bCs/>
                <w:color w:val="auto"/>
                <w:sz w:val="24"/>
                <w:szCs w:val="32"/>
                <w:u w:val="none"/>
                <w:lang w:val="en-US" w:eastAsia="zh-CN"/>
              </w:rPr>
              <w:t>4.4施工期固体废物</w:t>
            </w:r>
            <w:r>
              <w:rPr>
                <w:rFonts w:hint="eastAsia" w:ascii="Times New Roman" w:hAnsi="Times New Roman" w:cs="Times New Roman"/>
                <w:b/>
                <w:bCs/>
                <w:color w:val="auto"/>
                <w:u w:val="none"/>
                <w:lang w:val="en-US" w:eastAsia="zh-CN"/>
              </w:rPr>
              <w:t>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0" w:author="willin" w:date="2022-10-25T15:24:55Z"/>
                <w:rFonts w:hint="eastAsia"/>
                <w:color w:val="auto"/>
                <w:u w:val="none"/>
              </w:rPr>
            </w:pPr>
            <w:r>
              <w:rPr>
                <w:rFonts w:hint="eastAsia"/>
                <w:color w:val="auto"/>
                <w:u w:val="none"/>
              </w:rPr>
              <w:t>施工期产生固体废物主要为生活垃圾</w:t>
            </w:r>
            <w:r>
              <w:rPr>
                <w:rFonts w:hint="eastAsia"/>
                <w:color w:val="auto"/>
                <w:u w:val="none"/>
                <w:lang w:eastAsia="zh-CN"/>
              </w:rPr>
              <w:t>、</w:t>
            </w:r>
            <w:r>
              <w:rPr>
                <w:rFonts w:hint="eastAsia"/>
                <w:color w:val="auto"/>
                <w:u w:val="none"/>
              </w:rPr>
              <w:t>废土石方、建筑弃渣</w:t>
            </w:r>
            <w:r>
              <w:rPr>
                <w:rFonts w:hint="eastAsia"/>
                <w:color w:val="auto"/>
                <w:u w:val="none"/>
                <w:lang w:val="en-US" w:eastAsia="zh-CN"/>
              </w:rPr>
              <w:t>以及废油</w:t>
            </w:r>
            <w:r>
              <w:rPr>
                <w:rFonts w:hint="eastAsia"/>
                <w:color w:val="auto"/>
                <w:u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土石方</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本项目产生的弃土方为1.94万m</w:t>
            </w:r>
            <w:r>
              <w:rPr>
                <w:rFonts w:hint="default" w:ascii="Times New Roman" w:hAnsi="Times New Roman" w:eastAsia="宋体" w:cs="Times New Roman"/>
                <w:color w:val="auto"/>
                <w:sz w:val="24"/>
                <w:szCs w:val="24"/>
                <w:u w:val="none"/>
                <w:vertAlign w:val="superscript"/>
                <w:lang w:val="en-US" w:eastAsia="zh-CN"/>
              </w:rPr>
              <w:t>3</w:t>
            </w:r>
            <w:r>
              <w:rPr>
                <w:rFonts w:hint="default" w:ascii="Times New Roman" w:hAnsi="Times New Roman" w:eastAsia="宋体" w:cs="Times New Roman"/>
                <w:color w:val="auto"/>
                <w:sz w:val="24"/>
                <w:szCs w:val="24"/>
                <w:u w:val="none"/>
              </w:rPr>
              <w:t>，按照水土保持方案要求及时清运至指定地。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rPr>
              <w:t>建筑</w:t>
            </w:r>
            <w:r>
              <w:rPr>
                <w:rFonts w:hint="eastAsia"/>
                <w:color w:val="auto"/>
                <w:u w:val="none"/>
              </w:rPr>
              <w:t>弃渣</w:t>
            </w:r>
            <w:r>
              <w:rPr>
                <w:rFonts w:hint="default" w:ascii="Times New Roman" w:hAnsi="Times New Roman" w:eastAsia="宋体" w:cs="Times New Roman"/>
                <w:color w:val="auto"/>
                <w:sz w:val="24"/>
                <w:szCs w:val="24"/>
                <w:u w:val="none"/>
                <w:lang w:eastAsia="zh-CN"/>
              </w:rPr>
              <w:t>；</w:t>
            </w:r>
            <w:r>
              <w:rPr>
                <w:rFonts w:hint="eastAsia"/>
                <w:color w:val="auto"/>
                <w:u w:val="none"/>
                <w:lang w:eastAsia="zh-CN"/>
              </w:rPr>
              <w:t>主要来自施工作业，包括砂石、石块、废钢筋等杂物，</w:t>
            </w:r>
            <w:r>
              <w:rPr>
                <w:rFonts w:hint="default" w:ascii="Times New Roman" w:hAnsi="Times New Roman" w:eastAsia="宋体" w:cs="Times New Roman"/>
                <w:color w:val="auto"/>
                <w:sz w:val="24"/>
                <w:szCs w:val="24"/>
                <w:u w:val="none"/>
              </w:rPr>
              <w:t>本工程共产生约为建筑垃圾</w:t>
            </w:r>
            <w:r>
              <w:rPr>
                <w:rFonts w:hint="eastAsia" w:cs="Times New Roman"/>
                <w:color w:val="auto"/>
                <w:sz w:val="24"/>
                <w:szCs w:val="24"/>
                <w:u w:val="none"/>
                <w:lang w:val="en-US" w:eastAsia="zh-CN"/>
              </w:rPr>
              <w:t>10341</w:t>
            </w:r>
            <w:r>
              <w:rPr>
                <w:rFonts w:hint="default" w:ascii="Times New Roman" w:hAnsi="Times New Roman" w:eastAsia="宋体" w:cs="Times New Roman"/>
                <w:color w:val="auto"/>
                <w:sz w:val="24"/>
                <w:szCs w:val="24"/>
                <w:u w:val="none"/>
              </w:rPr>
              <w:t>t</w:t>
            </w:r>
            <w:r>
              <w:rPr>
                <w:rFonts w:hint="default" w:ascii="Times New Roman" w:hAnsi="Times New Roman" w:eastAsia="宋体" w:cs="Times New Roman"/>
                <w:color w:val="auto"/>
                <w:sz w:val="24"/>
                <w:szCs w:val="24"/>
                <w:u w:val="none"/>
                <w:lang w:eastAsia="zh-CN"/>
              </w:rPr>
              <w:t>，</w:t>
            </w:r>
            <w:r>
              <w:rPr>
                <w:rFonts w:hint="eastAsia"/>
                <w:color w:val="auto"/>
                <w:u w:val="none"/>
                <w:lang w:eastAsia="zh-CN"/>
              </w:rPr>
              <w:t>尽量回收其中可利用的部分建筑材料，对</w:t>
            </w:r>
            <w:r>
              <w:rPr>
                <w:rFonts w:hint="eastAsia"/>
                <w:color w:val="auto"/>
                <w:u w:val="none"/>
                <w:lang w:val="en-US" w:eastAsia="zh-CN"/>
              </w:rPr>
              <w:t>不能回收</w:t>
            </w:r>
            <w:r>
              <w:rPr>
                <w:rFonts w:hint="eastAsia"/>
                <w:color w:val="auto"/>
                <w:u w:val="none"/>
                <w:lang w:eastAsia="zh-CN"/>
              </w:rPr>
              <w:t>利用</w:t>
            </w:r>
            <w:r>
              <w:rPr>
                <w:rFonts w:hint="eastAsia"/>
                <w:color w:val="auto"/>
                <w:u w:val="none"/>
                <w:lang w:val="en-US" w:eastAsia="zh-CN"/>
              </w:rPr>
              <w:t>的</w:t>
            </w:r>
            <w:r>
              <w:rPr>
                <w:rFonts w:hint="default" w:ascii="Times New Roman" w:hAnsi="Times New Roman" w:eastAsia="宋体" w:cs="Times New Roman"/>
                <w:color w:val="auto"/>
                <w:sz w:val="24"/>
                <w:szCs w:val="24"/>
                <w:u w:val="none"/>
              </w:rPr>
              <w:t>应委托相关土方单位及时清运至指定地点进行妥善处置，不得倾倒入河。</w:t>
            </w:r>
          </w:p>
          <w:p>
            <w:pPr>
              <w:pStyle w:val="71"/>
              <w:ind w:firstLine="480"/>
              <w:rPr>
                <w:rFonts w:hint="default" w:ascii="Times New Roman" w:hAnsi="Times New Roman" w:eastAsia="宋体" w:cs="Times New Roman"/>
                <w:color w:val="auto"/>
                <w:u w:val="none"/>
                <w:lang w:eastAsia="zh-CN"/>
              </w:rPr>
            </w:pPr>
            <w:r>
              <w:rPr>
                <w:rFonts w:hint="default" w:ascii="Times New Roman" w:hAnsi="Times New Roman" w:eastAsia="宋体" w:cs="Times New Roman"/>
                <w:color w:val="auto"/>
                <w:sz w:val="24"/>
                <w:szCs w:val="24"/>
                <w:u w:val="none"/>
                <w:lang w:val="en-US" w:eastAsia="zh-CN"/>
              </w:rPr>
              <w:t>3、</w:t>
            </w:r>
            <w:r>
              <w:rPr>
                <w:rFonts w:hint="default" w:ascii="Times New Roman" w:hAnsi="Times New Roman" w:eastAsia="宋体" w:cs="Times New Roman"/>
                <w:color w:val="auto"/>
                <w:sz w:val="24"/>
                <w:szCs w:val="24"/>
                <w:u w:val="none"/>
              </w:rPr>
              <w:t>生活垃圾</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本项目</w:t>
            </w:r>
            <w:r>
              <w:rPr>
                <w:rFonts w:hint="eastAsia"/>
                <w:color w:val="auto"/>
                <w:u w:val="none"/>
              </w:rPr>
              <w:t>生活垃圾依托于租用民房垃圾</w:t>
            </w:r>
            <w:r>
              <w:rPr>
                <w:rFonts w:hint="eastAsia"/>
                <w:color w:val="auto"/>
                <w:u w:val="none"/>
                <w:lang w:val="en-US" w:eastAsia="zh-CN"/>
              </w:rPr>
              <w:t>收集</w:t>
            </w:r>
            <w:r>
              <w:rPr>
                <w:rFonts w:hint="eastAsia"/>
                <w:color w:val="auto"/>
                <w:u w:val="none"/>
              </w:rPr>
              <w:t>设施</w:t>
            </w:r>
            <w:r>
              <w:rPr>
                <w:rFonts w:hint="eastAsia"/>
                <w:color w:val="auto"/>
                <w:kern w:val="0"/>
                <w:szCs w:val="24"/>
                <w:u w:val="none"/>
                <w:lang w:eastAsia="zh-CN" w:bidi="ar"/>
              </w:rPr>
              <w:t>，</w:t>
            </w:r>
            <w:r>
              <w:rPr>
                <w:rFonts w:hint="eastAsia"/>
                <w:color w:val="auto"/>
                <w:kern w:val="0"/>
                <w:szCs w:val="24"/>
                <w:u w:val="none"/>
                <w:lang w:val="en-US" w:eastAsia="zh-CN" w:bidi="ar"/>
              </w:rPr>
              <w:t>统一由环卫部门清运处置，</w:t>
            </w:r>
            <w:r>
              <w:rPr>
                <w:rFonts w:hint="eastAsia" w:ascii="Times New Roman" w:hAnsi="Times New Roman" w:eastAsia="宋体"/>
                <w:color w:val="auto"/>
                <w:kern w:val="0"/>
                <w:szCs w:val="24"/>
                <w:u w:val="none"/>
                <w:lang w:bidi="ar"/>
              </w:rPr>
              <w:t>对周围环境影响较小</w:t>
            </w:r>
            <w:r>
              <w:rPr>
                <w:rFonts w:hint="default" w:ascii="Times New Roman" w:hAnsi="Times New Roman" w:eastAsia="宋体" w:cs="Times New Roman"/>
                <w:color w:val="auto"/>
                <w:u w:val="none"/>
                <w:lang w:eastAsia="zh-CN"/>
              </w:rPr>
              <w:t>。</w:t>
            </w:r>
          </w:p>
          <w:p>
            <w:pPr>
              <w:pStyle w:val="71"/>
              <w:ind w:firstLine="480"/>
              <w:rPr>
                <w:rFonts w:hint="default" w:ascii="Times New Roman" w:hAnsi="Times New Roman" w:eastAsia="宋体" w:cs="Times New Roman"/>
                <w:color w:val="auto"/>
                <w:sz w:val="24"/>
                <w:szCs w:val="24"/>
                <w:u w:val="none"/>
                <w:lang w:val="en-US"/>
              </w:rPr>
            </w:pPr>
            <w:r>
              <w:rPr>
                <w:rFonts w:hint="eastAsia" w:cs="Times New Roman"/>
                <w:color w:val="auto"/>
                <w:u w:val="none"/>
                <w:lang w:val="en-US" w:eastAsia="zh-CN"/>
              </w:rPr>
              <w:t>4、废油；含油废水经隔油处理产生的废油属于危险废物，废物类别为“HW08 废矿物油，应由施工单位交由有危废处理资质的单位进行处置。</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eastAsia="宋体"/>
                <w:color w:val="auto"/>
                <w:u w:val="none"/>
                <w:lang w:val="en-US" w:eastAsia="zh-CN"/>
              </w:rPr>
            </w:pPr>
            <w:r>
              <w:rPr>
                <w:rFonts w:hint="default" w:ascii="Times New Roman" w:hAnsi="Times New Roman" w:cs="Times New Roman"/>
                <w:color w:val="auto"/>
                <w:spacing w:val="-10"/>
                <w:sz w:val="24"/>
                <w:szCs w:val="24"/>
                <w:u w:val="none"/>
              </w:rPr>
              <w:t>综上分析，工程施工期产生的固体废弃物均得到了有效处理，不会对环境造成二</w:t>
            </w:r>
            <w:r>
              <w:rPr>
                <w:rFonts w:hint="default" w:ascii="Times New Roman" w:hAnsi="Times New Roman" w:cs="Times New Roman"/>
                <w:color w:val="auto"/>
                <w:sz w:val="24"/>
                <w:szCs w:val="24"/>
                <w:u w:val="none"/>
              </w:rPr>
              <w:t>次污染，对区域环境影响不大。</w:t>
            </w:r>
          </w:p>
          <w:p>
            <w:pPr>
              <w:bidi w:val="0"/>
              <w:outlineLvl w:val="9"/>
              <w:rPr>
                <w:rFonts w:hint="default" w:eastAsia="宋体"/>
                <w:b/>
                <w:bCs/>
                <w:color w:val="auto"/>
                <w:sz w:val="24"/>
                <w:szCs w:val="32"/>
                <w:u w:val="none"/>
                <w:lang w:val="en-US" w:eastAsia="zh-CN"/>
              </w:rPr>
            </w:pPr>
            <w:r>
              <w:rPr>
                <w:rFonts w:hint="eastAsia"/>
                <w:b/>
                <w:bCs/>
                <w:color w:val="auto"/>
                <w:sz w:val="24"/>
                <w:szCs w:val="32"/>
                <w:u w:val="none"/>
                <w:lang w:val="en-US" w:eastAsia="zh-CN"/>
              </w:rPr>
              <w:t>4.5施工期生态环境影响分析</w:t>
            </w:r>
          </w:p>
          <w:p>
            <w:pPr>
              <w:bidi w:val="0"/>
              <w:ind w:firstLine="480" w:firstLineChars="200"/>
              <w:outlineLvl w:val="9"/>
              <w:rPr>
                <w:rFonts w:hint="eastAsia" w:eastAsia="宋体"/>
                <w:color w:val="auto"/>
                <w:sz w:val="24"/>
                <w:szCs w:val="32"/>
                <w:u w:val="none"/>
                <w:lang w:val="en-US" w:eastAsia="zh-CN"/>
              </w:rPr>
            </w:pPr>
            <w:r>
              <w:rPr>
                <w:rFonts w:hint="default"/>
                <w:color w:val="auto"/>
                <w:sz w:val="24"/>
                <w:szCs w:val="32"/>
                <w:u w:val="none"/>
              </w:rPr>
              <w:t>（1）占地影响</w:t>
            </w:r>
            <w:r>
              <w:rPr>
                <w:rFonts w:hint="eastAsia"/>
                <w:color w:val="auto"/>
                <w:sz w:val="24"/>
                <w:szCs w:val="32"/>
                <w:u w:val="none"/>
                <w:lang w:val="en-US" w:eastAsia="zh-CN"/>
              </w:rPr>
              <w:t>分析</w:t>
            </w:r>
          </w:p>
          <w:p>
            <w:pPr>
              <w:bidi w:val="0"/>
              <w:ind w:firstLine="480" w:firstLineChars="200"/>
              <w:outlineLvl w:val="9"/>
              <w:rPr>
                <w:rFonts w:hint="default"/>
                <w:color w:val="auto"/>
                <w:sz w:val="24"/>
                <w:szCs w:val="32"/>
                <w:u w:val="none"/>
              </w:rPr>
            </w:pPr>
            <w:r>
              <w:rPr>
                <w:rFonts w:hint="eastAsia"/>
                <w:color w:val="auto"/>
                <w:sz w:val="24"/>
                <w:szCs w:val="32"/>
                <w:u w:val="none"/>
                <w:lang w:val="en-US" w:eastAsia="zh-CN"/>
              </w:rPr>
              <w:t>本工程占地主要是施工河段沿线，项目不设置施工营地，占地较小</w:t>
            </w:r>
            <w:r>
              <w:rPr>
                <w:rFonts w:hint="eastAsia"/>
                <w:color w:val="auto"/>
                <w:sz w:val="24"/>
                <w:szCs w:val="32"/>
                <w:u w:val="none"/>
                <w:lang w:eastAsia="zh-CN"/>
              </w:rPr>
              <w:t>，</w:t>
            </w:r>
            <w:r>
              <w:rPr>
                <w:rFonts w:hint="default" w:ascii="Times New Roman" w:hAnsi="Times New Roman" w:cs="Times New Roman"/>
                <w:color w:val="auto"/>
                <w:szCs w:val="24"/>
                <w:u w:val="none"/>
              </w:rPr>
              <w:t>对沿线土地利用总体格局影响不大。项目临时占地待施工结束后，经过清理、整治，占用的临时施工用地经迹地恢复后可继续使用，不会</w:t>
            </w:r>
            <w:r>
              <w:rPr>
                <w:rFonts w:hint="eastAsia" w:ascii="Times New Roman" w:hAnsi="Times New Roman" w:cs="Times New Roman"/>
                <w:color w:val="auto"/>
                <w:szCs w:val="24"/>
                <w:u w:val="none"/>
                <w:lang w:val="en-US" w:eastAsia="zh-CN"/>
              </w:rPr>
              <w:t>影响</w:t>
            </w:r>
            <w:r>
              <w:rPr>
                <w:rFonts w:hint="default" w:ascii="Times New Roman" w:hAnsi="Times New Roman" w:cs="Times New Roman"/>
                <w:color w:val="auto"/>
                <w:szCs w:val="24"/>
                <w:u w:val="none"/>
              </w:rPr>
              <w:t>区域</w:t>
            </w:r>
            <w:r>
              <w:rPr>
                <w:rFonts w:hint="eastAsia" w:ascii="Times New Roman" w:hAnsi="Times New Roman" w:cs="Times New Roman"/>
                <w:color w:val="auto"/>
                <w:szCs w:val="24"/>
                <w:u w:val="none"/>
                <w:lang w:val="en-US" w:eastAsia="zh-CN"/>
              </w:rPr>
              <w:t>土地利</w:t>
            </w:r>
            <w:r>
              <w:rPr>
                <w:rFonts w:hint="default" w:ascii="Times New Roman" w:hAnsi="Times New Roman" w:cs="Times New Roman"/>
                <w:color w:val="auto"/>
                <w:szCs w:val="24"/>
                <w:u w:val="none"/>
              </w:rPr>
              <w:t>用</w:t>
            </w:r>
            <w:r>
              <w:rPr>
                <w:rFonts w:hint="eastAsia" w:ascii="Times New Roman" w:hAnsi="Times New Roman" w:cs="Times New Roman"/>
                <w:color w:val="auto"/>
                <w:szCs w:val="24"/>
                <w:u w:val="none"/>
                <w:lang w:val="en-US" w:eastAsia="zh-CN"/>
              </w:rPr>
              <w:t>格局和</w:t>
            </w:r>
            <w:r>
              <w:rPr>
                <w:rFonts w:hint="default"/>
                <w:color w:val="auto"/>
                <w:sz w:val="24"/>
                <w:szCs w:val="32"/>
                <w:u w:val="none"/>
              </w:rPr>
              <w:t>改变其原有土地利用性质</w:t>
            </w:r>
            <w:r>
              <w:rPr>
                <w:rFonts w:hint="eastAsia" w:ascii="Times New Roman" w:hAnsi="Times New Roman" w:cs="Times New Roman"/>
                <w:color w:val="auto"/>
                <w:szCs w:val="24"/>
                <w:u w:val="none"/>
                <w:lang w:eastAsia="zh-CN"/>
              </w:rPr>
              <w:t>。</w:t>
            </w:r>
            <w:r>
              <w:rPr>
                <w:rFonts w:hint="default" w:ascii="Times New Roman" w:hAnsi="Times New Roman" w:cs="Times New Roman"/>
                <w:color w:val="auto"/>
                <w:szCs w:val="24"/>
                <w:u w:val="none"/>
              </w:rPr>
              <w:t>施工完成后应及时将临时用地进行绿化、恢复耕种或种植树木，草籽等进行</w:t>
            </w:r>
            <w:r>
              <w:rPr>
                <w:rFonts w:hint="default"/>
                <w:color w:val="auto"/>
                <w:sz w:val="24"/>
                <w:szCs w:val="32"/>
                <w:u w:val="none"/>
              </w:rPr>
              <w:t>地貌</w:t>
            </w:r>
            <w:r>
              <w:rPr>
                <w:rFonts w:hint="default" w:ascii="Times New Roman" w:hAnsi="Times New Roman" w:cs="Times New Roman"/>
                <w:color w:val="auto"/>
                <w:szCs w:val="24"/>
                <w:u w:val="none"/>
              </w:rPr>
              <w:t>恢复</w:t>
            </w:r>
            <w:r>
              <w:rPr>
                <w:rFonts w:hint="eastAsia" w:ascii="Times New Roman" w:hAnsi="Times New Roman" w:cs="Times New Roman"/>
                <w:color w:val="auto"/>
                <w:szCs w:val="24"/>
                <w:u w:val="none"/>
                <w:lang w:eastAsia="zh-CN"/>
              </w:rPr>
              <w:t>，</w:t>
            </w:r>
            <w:r>
              <w:rPr>
                <w:rFonts w:hint="default"/>
                <w:color w:val="auto"/>
                <w:sz w:val="24"/>
                <w:szCs w:val="32"/>
                <w:u w:val="none"/>
              </w:rPr>
              <w:t>该影响将逐渐消失。</w:t>
            </w:r>
          </w:p>
          <w:p>
            <w:pPr>
              <w:bidi w:val="0"/>
              <w:ind w:firstLine="480" w:firstLineChars="200"/>
              <w:outlineLvl w:val="9"/>
              <w:rPr>
                <w:rFonts w:hint="eastAsia" w:eastAsia="宋体"/>
                <w:color w:val="auto"/>
                <w:sz w:val="24"/>
                <w:szCs w:val="32"/>
                <w:u w:val="none"/>
                <w:lang w:val="en-US" w:eastAsia="zh-CN"/>
              </w:rPr>
            </w:pPr>
            <w:r>
              <w:rPr>
                <w:rFonts w:hint="default"/>
                <w:color w:val="auto"/>
                <w:sz w:val="24"/>
                <w:szCs w:val="32"/>
                <w:u w:val="none"/>
              </w:rPr>
              <w:t>（2）对</w:t>
            </w:r>
            <w:r>
              <w:rPr>
                <w:rFonts w:hint="eastAsia"/>
                <w:color w:val="auto"/>
                <w:sz w:val="24"/>
                <w:szCs w:val="32"/>
                <w:u w:val="none"/>
                <w:lang w:val="en-US" w:eastAsia="zh-CN"/>
              </w:rPr>
              <w:t>陆生动植物</w:t>
            </w:r>
            <w:r>
              <w:rPr>
                <w:rFonts w:hint="default"/>
                <w:color w:val="auto"/>
                <w:sz w:val="24"/>
                <w:szCs w:val="32"/>
                <w:u w:val="none"/>
              </w:rPr>
              <w:t>的影响</w:t>
            </w:r>
            <w:r>
              <w:rPr>
                <w:rFonts w:hint="eastAsia"/>
                <w:color w:val="auto"/>
                <w:sz w:val="24"/>
                <w:szCs w:val="32"/>
                <w:u w:val="none"/>
                <w:lang w:val="en-US" w:eastAsia="zh-CN"/>
              </w:rPr>
              <w:t>分析</w:t>
            </w:r>
          </w:p>
          <w:p>
            <w:pPr>
              <w:bidi w:val="0"/>
              <w:ind w:firstLine="480" w:firstLineChars="200"/>
              <w:outlineLvl w:val="9"/>
              <w:rPr>
                <w:rFonts w:hint="eastAsia"/>
                <w:color w:val="auto"/>
                <w:sz w:val="24"/>
                <w:szCs w:val="32"/>
                <w:u w:val="none"/>
                <w:lang w:eastAsia="zh-CN"/>
              </w:rPr>
            </w:pPr>
            <w:r>
              <w:rPr>
                <w:rFonts w:hint="eastAsia"/>
                <w:color w:val="auto"/>
                <w:sz w:val="24"/>
                <w:szCs w:val="32"/>
                <w:u w:val="none"/>
                <w:lang w:val="en-US" w:eastAsia="zh-CN"/>
              </w:rPr>
              <w:t>本工程占地较小，根据现场调查，施工区域及周围</w:t>
            </w:r>
            <w:r>
              <w:rPr>
                <w:rFonts w:hint="default"/>
                <w:color w:val="auto"/>
                <w:sz w:val="24"/>
                <w:szCs w:val="32"/>
                <w:u w:val="none"/>
              </w:rPr>
              <w:t>未发现有国家及地方保护珍稀濒危</w:t>
            </w:r>
            <w:r>
              <w:rPr>
                <w:rFonts w:hint="eastAsia"/>
                <w:color w:val="auto"/>
                <w:sz w:val="24"/>
                <w:szCs w:val="32"/>
                <w:u w:val="none"/>
                <w:lang w:val="en-US" w:eastAsia="zh-CN"/>
              </w:rPr>
              <w:t>动</w:t>
            </w:r>
            <w:r>
              <w:rPr>
                <w:rFonts w:hint="default"/>
                <w:color w:val="auto"/>
                <w:sz w:val="24"/>
                <w:szCs w:val="32"/>
                <w:u w:val="none"/>
              </w:rPr>
              <w:t>植物资源</w:t>
            </w:r>
            <w:r>
              <w:rPr>
                <w:rFonts w:hint="eastAsia"/>
                <w:color w:val="auto"/>
                <w:sz w:val="24"/>
                <w:szCs w:val="32"/>
                <w:u w:val="none"/>
                <w:lang w:eastAsia="zh-CN"/>
              </w:rPr>
              <w:t>，</w:t>
            </w:r>
            <w:r>
              <w:rPr>
                <w:rFonts w:hint="eastAsia" w:ascii="宋体" w:hAnsi="Times New Roman" w:eastAsia="宋体" w:cs="Times New Roman"/>
                <w:color w:val="auto"/>
                <w:sz w:val="24"/>
                <w:szCs w:val="24"/>
                <w:u w:val="none"/>
                <w:lang w:val="en-US" w:eastAsia="zh-CN"/>
              </w:rPr>
              <w:t>项目所在地主要还是受人类活动的影响，生物总量不大，生物种群数量较少，生物多样性一般。</w:t>
            </w:r>
          </w:p>
          <w:p>
            <w:pPr>
              <w:pStyle w:val="48"/>
              <w:keepNext w:val="0"/>
              <w:keepLines w:val="0"/>
              <w:pageBreakBefore w:val="0"/>
              <w:widowControl w:val="0"/>
              <w:numPr>
                <w:ilvl w:val="0"/>
                <w:numId w:val="0"/>
              </w:numPr>
              <w:tabs>
                <w:tab w:val="left" w:pos="2041"/>
              </w:tabs>
              <w:kinsoku/>
              <w:wordWrap/>
              <w:overflowPunct/>
              <w:topLinePunct w:val="0"/>
              <w:autoSpaceDE/>
              <w:autoSpaceDN/>
              <w:bidi w:val="0"/>
              <w:adjustRightInd/>
              <w:snapToGrid/>
              <w:spacing w:after="0" w:line="360" w:lineRule="auto"/>
              <w:ind w:right="0" w:rightChars="0" w:firstLine="480" w:firstLineChars="200"/>
              <w:jc w:val="both"/>
              <w:textAlignment w:val="auto"/>
              <w:rPr>
                <w:rFonts w:hint="eastAsia" w:ascii="Times New Roman" w:hAnsi="Times New Roman" w:eastAsia="宋体" w:cs="Times New Roman"/>
                <w:color w:val="auto"/>
                <w:sz w:val="24"/>
                <w:szCs w:val="24"/>
                <w:u w:val="none"/>
                <w:lang w:val="en-US" w:eastAsia="zh-CN" w:bidi="ar-SA"/>
              </w:rPr>
            </w:pPr>
            <w:r>
              <w:rPr>
                <w:rFonts w:hint="eastAsia"/>
                <w:color w:val="auto"/>
                <w:sz w:val="24"/>
                <w:szCs w:val="32"/>
                <w:u w:val="none"/>
                <w:lang w:val="en-US" w:eastAsia="zh-CN"/>
              </w:rPr>
              <w:t>施工阶段在施工区会在一定程度由于原材料堆放、</w:t>
            </w:r>
            <w:r>
              <w:rPr>
                <w:rFonts w:hint="default"/>
                <w:color w:val="auto"/>
                <w:sz w:val="24"/>
                <w:szCs w:val="32"/>
                <w:u w:val="none"/>
              </w:rPr>
              <w:t>施工</w:t>
            </w:r>
            <w:r>
              <w:rPr>
                <w:rFonts w:hint="eastAsia"/>
                <w:color w:val="auto"/>
                <w:sz w:val="24"/>
                <w:szCs w:val="32"/>
                <w:u w:val="none"/>
                <w:lang w:val="en-US" w:eastAsia="zh-CN"/>
              </w:rPr>
              <w:t>作业</w:t>
            </w:r>
            <w:r>
              <w:rPr>
                <w:rFonts w:hint="default"/>
                <w:color w:val="auto"/>
                <w:sz w:val="24"/>
                <w:szCs w:val="32"/>
                <w:u w:val="none"/>
              </w:rPr>
              <w:t>、车辆</w:t>
            </w:r>
            <w:r>
              <w:rPr>
                <w:rFonts w:hint="eastAsia"/>
                <w:color w:val="auto"/>
                <w:sz w:val="24"/>
                <w:szCs w:val="32"/>
                <w:u w:val="none"/>
                <w:lang w:val="en-US" w:eastAsia="zh-CN"/>
              </w:rPr>
              <w:t>运输会导致占地范围内</w:t>
            </w:r>
            <w:r>
              <w:rPr>
                <w:rFonts w:hint="default"/>
                <w:color w:val="auto"/>
                <w:sz w:val="24"/>
                <w:szCs w:val="32"/>
                <w:u w:val="none"/>
              </w:rPr>
              <w:t>植物死亡</w:t>
            </w:r>
            <w:r>
              <w:rPr>
                <w:rFonts w:hint="eastAsia"/>
                <w:color w:val="auto"/>
                <w:sz w:val="24"/>
                <w:szCs w:val="32"/>
                <w:u w:val="none"/>
                <w:lang w:eastAsia="zh-CN"/>
              </w:rPr>
              <w:t>，</w:t>
            </w:r>
            <w:r>
              <w:rPr>
                <w:rFonts w:hint="eastAsia"/>
                <w:color w:val="auto"/>
                <w:sz w:val="24"/>
                <w:szCs w:val="32"/>
                <w:u w:val="none"/>
                <w:lang w:val="en-US" w:eastAsia="zh-CN"/>
              </w:rPr>
              <w:t>地表裸露，对周围动物造成惊扰，生境发生变化，在一定范围内</w:t>
            </w:r>
            <w:r>
              <w:rPr>
                <w:rFonts w:hint="eastAsia" w:ascii="Times New Roman" w:hAnsi="Times New Roman" w:cs="Times New Roman"/>
                <w:color w:val="auto"/>
                <w:sz w:val="24"/>
                <w:szCs w:val="24"/>
                <w:u w:val="none"/>
                <w:lang w:val="en-US" w:eastAsia="zh-CN" w:bidi="ar-SA"/>
              </w:rPr>
              <w:t>可能使项目地原有栖息、觅食的动物受到影响和惊吓而迁移出项目周边环境，动物数量可能有所减少。但相对区域生态环境系统而言，因本项目建设产生的动植物量的变化基本可以忽略，且项目建设未阻断区域生态环境，区域生物总量基本不变，生物种群和结构未发生变化，生物多样性保持连续，生态系统总体是稳定的，</w:t>
            </w:r>
            <w:r>
              <w:rPr>
                <w:rFonts w:hint="default"/>
                <w:color w:val="auto"/>
                <w:sz w:val="24"/>
                <w:szCs w:val="32"/>
                <w:u w:val="none"/>
              </w:rPr>
              <w:t>随着施工结束，采取恢复地表、生态补偿措施后，生态环境逐步改善，野生动物种群数量会得到恢复。</w:t>
            </w:r>
            <w:r>
              <w:rPr>
                <w:rFonts w:hint="eastAsia" w:ascii="Times New Roman" w:hAnsi="Times New Roman" w:cs="Times New Roman"/>
                <w:color w:val="auto"/>
                <w:sz w:val="24"/>
                <w:szCs w:val="24"/>
                <w:u w:val="none"/>
                <w:lang w:val="en-US" w:eastAsia="zh-CN" w:bidi="ar-SA"/>
              </w:rPr>
              <w:t>因此，项目建设</w:t>
            </w:r>
            <w:r>
              <w:rPr>
                <w:rFonts w:hint="eastAsia" w:ascii="Times New Roman" w:hAnsi="Times New Roman" w:eastAsia="宋体" w:cs="Times New Roman"/>
                <w:color w:val="auto"/>
                <w:sz w:val="24"/>
                <w:szCs w:val="24"/>
                <w:u w:val="none"/>
                <w:lang w:val="en-US" w:eastAsia="zh-CN" w:bidi="ar-SA"/>
              </w:rPr>
              <w:t>对该</w:t>
            </w:r>
            <w:r>
              <w:rPr>
                <w:rFonts w:hint="eastAsia" w:ascii="Times New Roman" w:hAnsi="Times New Roman" w:cs="Times New Roman"/>
                <w:color w:val="auto"/>
                <w:sz w:val="24"/>
                <w:szCs w:val="24"/>
                <w:u w:val="none"/>
                <w:lang w:val="en-US" w:eastAsia="zh-CN" w:bidi="ar-SA"/>
              </w:rPr>
              <w:t>区域</w:t>
            </w:r>
            <w:r>
              <w:rPr>
                <w:rFonts w:hint="eastAsia" w:ascii="Times New Roman" w:hAnsi="Times New Roman" w:eastAsia="宋体" w:cs="Times New Roman"/>
                <w:color w:val="auto"/>
                <w:sz w:val="24"/>
                <w:szCs w:val="24"/>
                <w:u w:val="none"/>
                <w:lang w:val="en-US" w:eastAsia="zh-CN" w:bidi="ar-SA"/>
              </w:rPr>
              <w:t>动</w:t>
            </w:r>
            <w:r>
              <w:rPr>
                <w:rFonts w:hint="eastAsia" w:ascii="Times New Roman" w:hAnsi="Times New Roman" w:cs="Times New Roman"/>
                <w:color w:val="auto"/>
                <w:sz w:val="24"/>
                <w:szCs w:val="24"/>
                <w:u w:val="none"/>
                <w:lang w:val="en-US" w:eastAsia="zh-CN" w:bidi="ar-SA"/>
              </w:rPr>
              <w:t>植</w:t>
            </w:r>
            <w:r>
              <w:rPr>
                <w:rFonts w:hint="eastAsia" w:ascii="Times New Roman" w:hAnsi="Times New Roman" w:eastAsia="宋体" w:cs="Times New Roman"/>
                <w:color w:val="auto"/>
                <w:sz w:val="24"/>
                <w:szCs w:val="24"/>
                <w:u w:val="none"/>
                <w:lang w:val="en-US" w:eastAsia="zh-CN" w:bidi="ar-SA"/>
              </w:rPr>
              <w:t>物生态</w:t>
            </w:r>
            <w:r>
              <w:rPr>
                <w:rFonts w:hint="eastAsia" w:ascii="Times New Roman" w:hAnsi="Times New Roman" w:cs="Times New Roman"/>
                <w:color w:val="auto"/>
                <w:sz w:val="24"/>
                <w:szCs w:val="24"/>
                <w:u w:val="none"/>
                <w:lang w:val="en-US" w:eastAsia="zh-CN" w:bidi="ar-SA"/>
              </w:rPr>
              <w:t>环境</w:t>
            </w:r>
            <w:r>
              <w:rPr>
                <w:rFonts w:hint="eastAsia" w:ascii="Times New Roman" w:hAnsi="Times New Roman" w:eastAsia="宋体" w:cs="Times New Roman"/>
                <w:color w:val="auto"/>
                <w:sz w:val="24"/>
                <w:szCs w:val="24"/>
                <w:u w:val="none"/>
                <w:lang w:val="en-US" w:eastAsia="zh-CN" w:bidi="ar-SA"/>
              </w:rPr>
              <w:t>影响不大。</w:t>
            </w:r>
          </w:p>
          <w:p>
            <w:pPr>
              <w:bidi w:val="0"/>
              <w:ind w:firstLine="480" w:firstLineChars="200"/>
              <w:outlineLvl w:val="9"/>
              <w:rPr>
                <w:rFonts w:hint="eastAsia" w:eastAsia="宋体"/>
                <w:color w:val="auto"/>
                <w:sz w:val="24"/>
                <w:szCs w:val="32"/>
                <w:u w:val="none"/>
                <w:lang w:val="en-US" w:eastAsia="zh-CN"/>
              </w:rPr>
            </w:pPr>
            <w:r>
              <w:rPr>
                <w:rFonts w:hint="default"/>
                <w:color w:val="auto"/>
                <w:sz w:val="24"/>
                <w:szCs w:val="32"/>
                <w:u w:val="none"/>
              </w:rPr>
              <w:t>（3）对</w:t>
            </w:r>
            <w:r>
              <w:rPr>
                <w:rFonts w:hint="eastAsia"/>
                <w:color w:val="auto"/>
                <w:sz w:val="24"/>
                <w:szCs w:val="32"/>
                <w:u w:val="none"/>
                <w:lang w:val="en-US" w:eastAsia="zh-CN"/>
              </w:rPr>
              <w:t>水生生物</w:t>
            </w:r>
            <w:r>
              <w:rPr>
                <w:rFonts w:hint="default"/>
                <w:color w:val="auto"/>
                <w:sz w:val="24"/>
                <w:szCs w:val="32"/>
                <w:u w:val="none"/>
              </w:rPr>
              <w:t>的影响</w:t>
            </w:r>
            <w:r>
              <w:rPr>
                <w:rFonts w:hint="eastAsia"/>
                <w:color w:val="auto"/>
                <w:sz w:val="24"/>
                <w:szCs w:val="32"/>
                <w:u w:val="none"/>
                <w:lang w:val="en-US" w:eastAsia="zh-CN"/>
              </w:rPr>
              <w:t>分析</w:t>
            </w:r>
          </w:p>
          <w:p>
            <w:pPr>
              <w:spacing w:line="360" w:lineRule="auto"/>
              <w:ind w:firstLine="480" w:firstLineChars="200"/>
              <w:rPr>
                <w:rFonts w:hint="default" w:ascii="Times New Roman" w:hAnsi="Times New Roman" w:cs="Times New Roman"/>
                <w:color w:val="auto"/>
                <w:sz w:val="24"/>
                <w:u w:val="none"/>
              </w:rPr>
            </w:pPr>
            <w:r>
              <w:rPr>
                <w:rFonts w:hint="eastAsia" w:ascii="Times New Roman" w:hAnsi="Times New Roman" w:cs="Times New Roman"/>
                <w:color w:val="auto"/>
                <w:szCs w:val="24"/>
                <w:u w:val="none"/>
                <w:lang w:val="en-US" w:eastAsia="zh-CN"/>
              </w:rPr>
              <w:t>本工程</w:t>
            </w:r>
            <w:r>
              <w:rPr>
                <w:rFonts w:hint="default" w:ascii="Times New Roman" w:hAnsi="Times New Roman" w:cs="Times New Roman"/>
                <w:color w:val="auto"/>
                <w:szCs w:val="24"/>
                <w:u w:val="none"/>
                <w:lang w:val="en-US" w:eastAsia="zh-CN"/>
              </w:rPr>
              <w:t>不对</w:t>
            </w:r>
            <w:r>
              <w:rPr>
                <w:rFonts w:hint="default" w:ascii="Times New Roman" w:hAnsi="Times New Roman" w:cs="Times New Roman"/>
                <w:color w:val="auto"/>
                <w:szCs w:val="24"/>
                <w:u w:val="none"/>
              </w:rPr>
              <w:t>河道</w:t>
            </w:r>
            <w:r>
              <w:rPr>
                <w:rFonts w:hint="default" w:ascii="Times New Roman" w:hAnsi="Times New Roman" w:cs="Times New Roman"/>
                <w:color w:val="auto"/>
                <w:szCs w:val="24"/>
                <w:u w:val="none"/>
                <w:lang w:val="en-US" w:eastAsia="zh-CN"/>
              </w:rPr>
              <w:t>进行</w:t>
            </w:r>
            <w:r>
              <w:rPr>
                <w:rFonts w:hint="default" w:ascii="Times New Roman" w:hAnsi="Times New Roman" w:cs="Times New Roman"/>
                <w:color w:val="auto"/>
                <w:szCs w:val="24"/>
                <w:u w:val="none"/>
              </w:rPr>
              <w:t>疏浚</w:t>
            </w:r>
            <w:r>
              <w:rPr>
                <w:rFonts w:hint="default" w:ascii="Times New Roman" w:hAnsi="Times New Roman" w:cs="Times New Roman"/>
                <w:color w:val="auto"/>
                <w:szCs w:val="24"/>
                <w:u w:val="none"/>
                <w:lang w:eastAsia="zh-CN"/>
              </w:rPr>
              <w:t>，</w:t>
            </w:r>
            <w:r>
              <w:rPr>
                <w:rFonts w:hint="default" w:ascii="Times New Roman" w:hAnsi="Times New Roman" w:cs="Times New Roman"/>
                <w:color w:val="auto"/>
                <w:szCs w:val="24"/>
                <w:u w:val="none"/>
                <w:lang w:val="en-US" w:eastAsia="zh-CN"/>
              </w:rPr>
              <w:t>因此，</w:t>
            </w:r>
            <w:r>
              <w:rPr>
                <w:rFonts w:hint="default" w:ascii="Times New Roman" w:hAnsi="Times New Roman" w:cs="Times New Roman"/>
                <w:color w:val="auto"/>
                <w:szCs w:val="24"/>
                <w:u w:val="none"/>
              </w:rPr>
              <w:t>工程</w:t>
            </w:r>
            <w:r>
              <w:rPr>
                <w:rFonts w:hint="default" w:ascii="Times New Roman" w:hAnsi="Times New Roman" w:cs="Times New Roman"/>
                <w:color w:val="auto"/>
                <w:szCs w:val="24"/>
                <w:u w:val="none"/>
                <w:lang w:val="en-US" w:eastAsia="zh-CN"/>
              </w:rPr>
              <w:t>不会</w:t>
            </w:r>
            <w:r>
              <w:rPr>
                <w:rFonts w:hint="default" w:ascii="Times New Roman" w:hAnsi="Times New Roman" w:cs="Times New Roman"/>
                <w:color w:val="auto"/>
                <w:szCs w:val="24"/>
                <w:u w:val="none"/>
              </w:rPr>
              <w:t>对水生生物的生活环境产生</w:t>
            </w:r>
            <w:r>
              <w:rPr>
                <w:rFonts w:hint="default" w:ascii="Times New Roman" w:hAnsi="Times New Roman" w:cs="Times New Roman"/>
                <w:color w:val="auto"/>
                <w:szCs w:val="24"/>
                <w:u w:val="none"/>
                <w:lang w:val="en-US" w:eastAsia="zh-CN"/>
              </w:rPr>
              <w:t>较大</w:t>
            </w:r>
            <w:r>
              <w:rPr>
                <w:rFonts w:hint="default" w:ascii="Times New Roman" w:hAnsi="Times New Roman" w:cs="Times New Roman"/>
                <w:color w:val="auto"/>
                <w:szCs w:val="24"/>
                <w:u w:val="none"/>
              </w:rPr>
              <w:t>的影响，</w:t>
            </w:r>
            <w:r>
              <w:rPr>
                <w:rFonts w:hint="eastAsia" w:ascii="Times New Roman" w:hAnsi="Times New Roman" w:cs="Times New Roman"/>
                <w:color w:val="auto"/>
                <w:szCs w:val="24"/>
                <w:u w:val="none"/>
                <w:lang w:val="en-US" w:eastAsia="zh-CN"/>
              </w:rPr>
              <w:t>主要是主要是</w:t>
            </w:r>
            <w:r>
              <w:rPr>
                <w:rFonts w:hint="eastAsia" w:cs="Times New Roman"/>
                <w:color w:val="auto"/>
                <w:szCs w:val="24"/>
                <w:u w:val="none"/>
                <w:lang w:val="en-US" w:eastAsia="zh-CN"/>
              </w:rPr>
              <w:t>防洪闸施工</w:t>
            </w:r>
            <w:r>
              <w:rPr>
                <w:rFonts w:hint="eastAsia" w:ascii="Times New Roman" w:hAnsi="Times New Roman" w:cs="Times New Roman"/>
                <w:color w:val="auto"/>
                <w:szCs w:val="24"/>
                <w:u w:val="none"/>
                <w:lang w:val="en-US" w:eastAsia="zh-CN"/>
              </w:rPr>
              <w:t>对沿岸</w:t>
            </w:r>
            <w:r>
              <w:rPr>
                <w:rFonts w:hint="default" w:ascii="Times New Roman" w:hAnsi="Times New Roman" w:cs="Times New Roman"/>
                <w:color w:val="auto"/>
                <w:sz w:val="24"/>
                <w:u w:val="none"/>
              </w:rPr>
              <w:t>水体的扰动，</w:t>
            </w:r>
            <w:r>
              <w:rPr>
                <w:rFonts w:hint="eastAsia" w:cs="Times New Roman"/>
                <w:color w:val="auto"/>
                <w:sz w:val="24"/>
                <w:u w:val="none"/>
                <w:lang w:val="en-US" w:eastAsia="zh-CN"/>
              </w:rPr>
              <w:t>以及</w:t>
            </w:r>
            <w:r>
              <w:rPr>
                <w:rFonts w:hint="default" w:ascii="Times New Roman" w:hAnsi="Times New Roman" w:cs="Times New Roman"/>
                <w:color w:val="auto"/>
                <w:sz w:val="24"/>
                <w:u w:val="none"/>
              </w:rPr>
              <w:t>少量扬尘沉降后进入河中，致使河水SS升高，导致</w:t>
            </w:r>
            <w:r>
              <w:rPr>
                <w:rFonts w:hint="eastAsia" w:ascii="Times New Roman" w:hAnsi="Times New Roman" w:cs="Times New Roman"/>
                <w:color w:val="auto"/>
                <w:sz w:val="24"/>
                <w:u w:val="none"/>
                <w:lang w:val="en-US" w:eastAsia="zh-CN"/>
              </w:rPr>
              <w:t>河水</w:t>
            </w:r>
            <w:r>
              <w:rPr>
                <w:rFonts w:hint="default" w:ascii="Times New Roman" w:hAnsi="Times New Roman" w:cs="Times New Roman"/>
                <w:color w:val="auto"/>
                <w:sz w:val="24"/>
                <w:u w:val="none"/>
              </w:rPr>
              <w:t>水质</w:t>
            </w:r>
            <w:r>
              <w:rPr>
                <w:rFonts w:hint="eastAsia" w:ascii="Times New Roman" w:hAnsi="Times New Roman" w:cs="Times New Roman"/>
                <w:color w:val="auto"/>
                <w:sz w:val="24"/>
                <w:u w:val="none"/>
                <w:lang w:val="en-US" w:eastAsia="zh-CN"/>
              </w:rPr>
              <w:t>局部</w:t>
            </w:r>
            <w:r>
              <w:rPr>
                <w:rFonts w:hint="default" w:ascii="Times New Roman" w:hAnsi="Times New Roman" w:cs="Times New Roman"/>
                <w:color w:val="auto"/>
                <w:sz w:val="24"/>
                <w:u w:val="none"/>
              </w:rPr>
              <w:t>混浊</w:t>
            </w:r>
            <w:r>
              <w:rPr>
                <w:rFonts w:hint="eastAsia" w:ascii="Times New Roman" w:hAnsi="Times New Roman" w:cs="Times New Roman"/>
                <w:color w:val="auto"/>
                <w:sz w:val="24"/>
                <w:u w:val="none"/>
                <w:lang w:eastAsia="zh-CN"/>
              </w:rPr>
              <w:t>，</w:t>
            </w:r>
            <w:r>
              <w:rPr>
                <w:rFonts w:hint="eastAsia" w:ascii="Times New Roman" w:hAnsi="Times New Roman" w:cs="Times New Roman"/>
                <w:color w:val="auto"/>
                <w:sz w:val="24"/>
                <w:u w:val="none"/>
                <w:lang w:val="en-US" w:eastAsia="zh-CN"/>
              </w:rPr>
              <w:t>改变</w:t>
            </w:r>
            <w:r>
              <w:rPr>
                <w:rFonts w:hint="default" w:ascii="Times New Roman" w:hAnsi="Times New Roman" w:cs="Times New Roman"/>
                <w:color w:val="auto"/>
                <w:sz w:val="24"/>
                <w:u w:val="none"/>
              </w:rPr>
              <w:t>水生动植物</w:t>
            </w:r>
            <w:r>
              <w:rPr>
                <w:rFonts w:hint="eastAsia" w:ascii="Times New Roman" w:hAnsi="Times New Roman" w:cs="Times New Roman"/>
                <w:color w:val="auto"/>
                <w:sz w:val="24"/>
                <w:u w:val="none"/>
                <w:lang w:val="en-US" w:eastAsia="zh-CN"/>
              </w:rPr>
              <w:t>施工沿岸的</w:t>
            </w:r>
            <w:r>
              <w:rPr>
                <w:rFonts w:hint="default" w:ascii="Times New Roman" w:hAnsi="Times New Roman" w:cs="Times New Roman"/>
                <w:color w:val="auto"/>
                <w:sz w:val="24"/>
                <w:u w:val="none"/>
              </w:rPr>
              <w:t>生境，受影响最明显的是鱼类</w:t>
            </w:r>
            <w:r>
              <w:rPr>
                <w:rFonts w:hint="eastAsia" w:ascii="Times New Roman" w:hAnsi="Times New Roman" w:cs="Times New Roman"/>
                <w:color w:val="auto"/>
                <w:sz w:val="24"/>
                <w:u w:val="none"/>
                <w:lang w:eastAsia="zh-CN"/>
              </w:rPr>
              <w:t>，</w:t>
            </w:r>
            <w:r>
              <w:rPr>
                <w:rFonts w:hint="eastAsia" w:ascii="Times New Roman" w:hAnsi="Times New Roman" w:cs="Times New Roman"/>
                <w:color w:val="auto"/>
                <w:sz w:val="24"/>
                <w:u w:val="none"/>
                <w:lang w:val="en-US" w:eastAsia="zh-CN"/>
              </w:rPr>
              <w:t>其次是</w:t>
            </w:r>
            <w:r>
              <w:rPr>
                <w:rFonts w:hint="default"/>
                <w:color w:val="auto"/>
                <w:sz w:val="24"/>
                <w:szCs w:val="32"/>
                <w:u w:val="none"/>
              </w:rPr>
              <w:t>浮游生物</w:t>
            </w:r>
            <w:r>
              <w:rPr>
                <w:rFonts w:hint="eastAsia" w:ascii="Times New Roman" w:hAnsi="Times New Roman" w:cs="Times New Roman"/>
                <w:color w:val="auto"/>
                <w:sz w:val="24"/>
                <w:u w:val="none"/>
                <w:lang w:eastAsia="zh-CN"/>
              </w:rPr>
              <w:t>。</w:t>
            </w:r>
            <w:r>
              <w:rPr>
                <w:rFonts w:hint="default" w:ascii="Times New Roman" w:hAnsi="Times New Roman" w:cs="Times New Roman"/>
                <w:color w:val="auto"/>
                <w:szCs w:val="24"/>
                <w:u w:val="none"/>
              </w:rPr>
              <w:t>由于本项目河道中无珍稀水生动植物，</w:t>
            </w:r>
            <w:r>
              <w:rPr>
                <w:rFonts w:hint="eastAsia" w:ascii="Times New Roman" w:hAnsi="Times New Roman" w:cs="Times New Roman"/>
                <w:color w:val="auto"/>
                <w:szCs w:val="24"/>
                <w:u w:val="none"/>
                <w:lang w:val="en-US" w:eastAsia="zh-CN"/>
              </w:rPr>
              <w:t>为一般常见的鱼类</w:t>
            </w:r>
            <w:r>
              <w:rPr>
                <w:rFonts w:hint="default" w:ascii="Times New Roman" w:hAnsi="Times New Roman" w:cs="Times New Roman"/>
                <w:color w:val="auto"/>
                <w:szCs w:val="24"/>
                <w:u w:val="none"/>
              </w:rPr>
              <w:t>，所以在工程结束后，</w:t>
            </w:r>
            <w:r>
              <w:rPr>
                <w:rFonts w:hint="default"/>
                <w:color w:val="auto"/>
                <w:sz w:val="24"/>
                <w:szCs w:val="32"/>
                <w:u w:val="none"/>
              </w:rPr>
              <w:t>随着稀释和水体的自净作用，水质逐渐改良，</w:t>
            </w:r>
            <w:r>
              <w:rPr>
                <w:rFonts w:hint="eastAsia"/>
                <w:color w:val="auto"/>
                <w:sz w:val="24"/>
                <w:szCs w:val="32"/>
                <w:u w:val="none"/>
                <w:lang w:val="en-US" w:eastAsia="zh-CN"/>
              </w:rPr>
              <w:t>水</w:t>
            </w:r>
            <w:r>
              <w:rPr>
                <w:rFonts w:hint="default"/>
                <w:color w:val="auto"/>
                <w:sz w:val="24"/>
                <w:szCs w:val="32"/>
                <w:u w:val="none"/>
              </w:rPr>
              <w:t>生态系统的自我修复</w:t>
            </w:r>
            <w:r>
              <w:rPr>
                <w:rFonts w:hint="eastAsia"/>
                <w:color w:val="auto"/>
                <w:sz w:val="24"/>
                <w:szCs w:val="32"/>
                <w:u w:val="none"/>
                <w:lang w:val="en-US" w:eastAsia="zh-CN"/>
              </w:rPr>
              <w:t>形成新的沿岸水生生态系统，对</w:t>
            </w:r>
            <w:r>
              <w:rPr>
                <w:rFonts w:hint="default" w:ascii="Times New Roman" w:hAnsi="Times New Roman" w:cs="Times New Roman"/>
                <w:color w:val="auto"/>
                <w:szCs w:val="24"/>
                <w:u w:val="none"/>
              </w:rPr>
              <w:t>水生生物的生活环境不会造成明显影响。</w:t>
            </w:r>
            <w:r>
              <w:rPr>
                <w:rFonts w:hint="default" w:ascii="Times New Roman" w:hAnsi="Times New Roman" w:cs="Times New Roman"/>
                <w:color w:val="auto"/>
                <w:sz w:val="24"/>
                <w:u w:val="none"/>
              </w:rPr>
              <w:t>总体来说由于施工在</w:t>
            </w:r>
            <w:r>
              <w:rPr>
                <w:rFonts w:hint="eastAsia" w:ascii="Times New Roman" w:hAnsi="Times New Roman" w:cs="Times New Roman"/>
                <w:color w:val="auto"/>
                <w:sz w:val="24"/>
                <w:u w:val="none"/>
                <w:lang w:val="en-US" w:eastAsia="zh-CN"/>
              </w:rPr>
              <w:t>枯水期，涉水工程量小</w:t>
            </w:r>
            <w:r>
              <w:rPr>
                <w:rFonts w:hint="default" w:ascii="Times New Roman" w:hAnsi="Times New Roman" w:cs="Times New Roman"/>
                <w:color w:val="auto"/>
                <w:sz w:val="24"/>
                <w:u w:val="none"/>
              </w:rPr>
              <w:t>，</w:t>
            </w:r>
            <w:r>
              <w:rPr>
                <w:rFonts w:hint="eastAsia" w:ascii="Times New Roman" w:hAnsi="Times New Roman" w:cs="Times New Roman"/>
                <w:color w:val="auto"/>
                <w:sz w:val="24"/>
                <w:u w:val="none"/>
                <w:lang w:val="en-US" w:eastAsia="zh-CN"/>
              </w:rPr>
              <w:t>无施工废水排放，</w:t>
            </w:r>
            <w:r>
              <w:rPr>
                <w:rFonts w:hint="default" w:ascii="Times New Roman" w:hAnsi="Times New Roman" w:cs="Times New Roman"/>
                <w:color w:val="auto"/>
                <w:sz w:val="24"/>
                <w:u w:val="none"/>
              </w:rPr>
              <w:t>对水质的影响是暂时的，不会导致的水质恶化，对水生物影响较小。</w:t>
            </w:r>
          </w:p>
          <w:p>
            <w:pPr>
              <w:bidi w:val="0"/>
              <w:ind w:firstLine="480" w:firstLineChars="200"/>
              <w:outlineLvl w:val="9"/>
              <w:rPr>
                <w:rFonts w:hint="eastAsia" w:eastAsia="宋体"/>
                <w:color w:val="auto"/>
                <w:sz w:val="24"/>
                <w:szCs w:val="32"/>
                <w:u w:val="none"/>
                <w:lang w:eastAsia="zh-CN"/>
              </w:rPr>
            </w:pPr>
            <w:r>
              <w:rPr>
                <w:rFonts w:hint="eastAsia"/>
                <w:color w:val="auto"/>
                <w:sz w:val="24"/>
                <w:szCs w:val="32"/>
                <w:u w:val="none"/>
                <w:lang w:eastAsia="zh-CN"/>
              </w:rPr>
              <w:t>（</w:t>
            </w:r>
            <w:r>
              <w:rPr>
                <w:rFonts w:hint="eastAsia"/>
                <w:color w:val="auto"/>
                <w:sz w:val="24"/>
                <w:szCs w:val="32"/>
                <w:u w:val="none"/>
                <w:lang w:val="en-US" w:eastAsia="zh-CN"/>
              </w:rPr>
              <w:t>4</w:t>
            </w:r>
            <w:r>
              <w:rPr>
                <w:rFonts w:hint="eastAsia"/>
                <w:color w:val="auto"/>
                <w:sz w:val="24"/>
                <w:szCs w:val="32"/>
                <w:u w:val="none"/>
                <w:lang w:eastAsia="zh-CN"/>
              </w:rPr>
              <w:t>）对生态景观的影响</w:t>
            </w:r>
          </w:p>
          <w:p>
            <w:pPr>
              <w:bidi w:val="0"/>
              <w:ind w:firstLine="480" w:firstLineChars="200"/>
              <w:outlineLvl w:val="9"/>
              <w:rPr>
                <w:rFonts w:hint="default"/>
                <w:color w:val="auto"/>
                <w:sz w:val="24"/>
                <w:szCs w:val="32"/>
                <w:u w:val="none"/>
              </w:rPr>
            </w:pPr>
            <w:r>
              <w:rPr>
                <w:rFonts w:hint="eastAsia"/>
                <w:color w:val="auto"/>
                <w:sz w:val="24"/>
                <w:szCs w:val="32"/>
                <w:u w:val="none"/>
                <w:lang w:val="en-US" w:eastAsia="zh-CN"/>
              </w:rPr>
              <w:t>施工期</w:t>
            </w:r>
            <w:r>
              <w:rPr>
                <w:rFonts w:hint="default"/>
                <w:color w:val="auto"/>
                <w:sz w:val="24"/>
                <w:szCs w:val="32"/>
                <w:u w:val="none"/>
              </w:rPr>
              <w:t>将破坏</w:t>
            </w:r>
            <w:r>
              <w:rPr>
                <w:rFonts w:hint="eastAsia"/>
                <w:color w:val="auto"/>
                <w:sz w:val="24"/>
                <w:szCs w:val="32"/>
                <w:u w:val="none"/>
                <w:lang w:val="en-US" w:eastAsia="zh-CN"/>
              </w:rPr>
              <w:t>占地</w:t>
            </w:r>
            <w:r>
              <w:rPr>
                <w:rFonts w:hint="default"/>
                <w:color w:val="auto"/>
                <w:sz w:val="24"/>
                <w:szCs w:val="32"/>
                <w:u w:val="none"/>
              </w:rPr>
              <w:t>范围内的地表植被，形成与施工场地周围环境反差较大的裸地景观。由于对地表植被的破坏和工程区土壤的扰动，在雨季松散裸露的坡面易形成水土流失，导致区域土壤侵蚀模数增大，从而对区域景观环境质量产生影响。施工活动对植被损害及地表裸露是不可避免的，将直接影响沿线景观整体性。项目施工应合理安排施工进度，可采取分段施工的方法，减小施工作业面积，可在施工围挡周围进行美化，合理选择施工作业时间，及时做好地表植被的恢复工作。控制施工过程中及土方、材料运输过程中的扬尘。通过采取以上措施，项目所造成的景观影响是可以接受的。施工结束后，通过落实相关生态保护和恢复措施，进行土地平整回填和植被恢复，景观影响将逐渐消失。</w:t>
            </w:r>
          </w:p>
          <w:p>
            <w:pPr>
              <w:bidi w:val="0"/>
              <w:outlineLvl w:val="9"/>
              <w:rPr>
                <w:rFonts w:hint="default"/>
                <w:b/>
                <w:bCs/>
                <w:color w:val="auto"/>
                <w:sz w:val="24"/>
                <w:szCs w:val="32"/>
                <w:u w:val="none"/>
              </w:rPr>
            </w:pPr>
            <w:r>
              <w:rPr>
                <w:rFonts w:hint="eastAsia"/>
                <w:b/>
                <w:bCs/>
                <w:color w:val="auto"/>
                <w:sz w:val="24"/>
                <w:szCs w:val="32"/>
                <w:u w:val="none"/>
                <w:lang w:val="en-US" w:eastAsia="zh-CN"/>
              </w:rPr>
              <w:t>4.6施工期</w:t>
            </w:r>
            <w:r>
              <w:rPr>
                <w:rFonts w:hint="default"/>
                <w:b/>
                <w:bCs/>
                <w:color w:val="auto"/>
                <w:sz w:val="24"/>
                <w:szCs w:val="32"/>
                <w:u w:val="none"/>
              </w:rPr>
              <w:t>水土流失的影响</w:t>
            </w:r>
          </w:p>
          <w:p>
            <w:pPr>
              <w:bidi w:val="0"/>
              <w:ind w:firstLine="480" w:firstLineChars="200"/>
              <w:outlineLvl w:val="9"/>
              <w:rPr>
                <w:rFonts w:hint="eastAsia" w:ascii="Times New Roman" w:hAnsi="Times New Roman" w:cs="Times New Roman"/>
                <w:color w:val="auto"/>
                <w:u w:val="none"/>
                <w:lang w:eastAsia="zh-CN"/>
              </w:rPr>
            </w:pPr>
            <w:r>
              <w:rPr>
                <w:rFonts w:hint="eastAsia" w:cs="Times New Roman"/>
                <w:color w:val="auto"/>
                <w:u w:val="none"/>
                <w:lang w:val="en-US" w:eastAsia="zh-CN"/>
              </w:rPr>
              <w:t>①</w:t>
            </w:r>
            <w:r>
              <w:rPr>
                <w:rFonts w:hint="eastAsia" w:ascii="Times New Roman" w:hAnsi="Times New Roman" w:cs="Times New Roman"/>
                <w:color w:val="auto"/>
                <w:u w:val="none"/>
                <w:lang w:eastAsia="zh-CN"/>
              </w:rPr>
              <w:t>对</w:t>
            </w:r>
            <w:r>
              <w:rPr>
                <w:rFonts w:hint="eastAsia" w:cs="Times New Roman"/>
                <w:color w:val="auto"/>
                <w:u w:val="none"/>
                <w:lang w:val="en-US" w:eastAsia="zh-CN"/>
              </w:rPr>
              <w:t>河道</w:t>
            </w:r>
            <w:r>
              <w:rPr>
                <w:rFonts w:hint="eastAsia" w:ascii="Times New Roman" w:hAnsi="Times New Roman" w:cs="Times New Roman"/>
                <w:color w:val="auto"/>
                <w:u w:val="none"/>
                <w:lang w:eastAsia="zh-CN"/>
              </w:rPr>
              <w:t>行洪安全的影响</w:t>
            </w:r>
          </w:p>
          <w:p>
            <w:pPr>
              <w:bidi w:val="0"/>
              <w:ind w:firstLine="480" w:firstLineChars="200"/>
              <w:outlineLvl w:val="9"/>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工程施工过程中，将产生大量的松散土方，且由于项目临近河道，若不采取适当的防护措施，受雨水和地表径流冲刷易产生严重的水土流失。流失的土方进入河道后，导致河道泥沙淤积，洪水水位抬高，加剧洪水危害，影响周围地区人民的生产生活安全。</w:t>
            </w:r>
          </w:p>
          <w:p>
            <w:pPr>
              <w:bidi w:val="0"/>
              <w:ind w:firstLine="480" w:firstLineChars="200"/>
              <w:outlineLvl w:val="9"/>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②对土地及动植的破坏和影响</w:t>
            </w:r>
          </w:p>
          <w:p>
            <w:pPr>
              <w:bidi w:val="0"/>
              <w:ind w:firstLine="480" w:firstLineChars="200"/>
              <w:outlineLvl w:val="9"/>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本工程施工过程及取土，弃土过程中，原地貌形态、土壤结构、地表植物都不同程度受到改变和损坏，经过多年自然和人为改造形成的地表耕作层和植被生长土层土壤被挖损、剥离和压埋，造成土壤肥力和蓄水能力的迅速降低或丧失，其诱发的加速侵蚀又可能使施工区及周边土地的可利用性降低。本工程扰动地表面积和土石方工程量较大，将损坏较大面积的植被，局部改变原地貌，改变土体结构，形成大面积的开挖面和裸露地表，如果不采取有效的水土保持措施（如复垦和植被恢复等措施），对区域生态环境将造成比较大的影响。</w:t>
            </w:r>
          </w:p>
          <w:p>
            <w:pPr>
              <w:bidi w:val="0"/>
              <w:ind w:firstLine="480" w:firstLineChars="200"/>
              <w:outlineLvl w:val="9"/>
              <w:rPr>
                <w:rFonts w:hint="eastAsia" w:ascii="Times New Roman" w:hAnsi="Times New Roman" w:cs="Times New Roman"/>
                <w:color w:val="auto"/>
                <w:u w:val="none"/>
                <w:lang w:eastAsia="zh-CN"/>
              </w:rPr>
            </w:pPr>
            <w:r>
              <w:rPr>
                <w:rFonts w:hint="eastAsia" w:cs="Times New Roman"/>
                <w:color w:val="auto"/>
                <w:u w:val="none"/>
                <w:lang w:val="en-US" w:eastAsia="zh-CN"/>
              </w:rPr>
              <w:t>③</w:t>
            </w:r>
            <w:r>
              <w:rPr>
                <w:rFonts w:hint="eastAsia" w:ascii="Times New Roman" w:hAnsi="Times New Roman" w:cs="Times New Roman"/>
                <w:color w:val="auto"/>
                <w:u w:val="none"/>
                <w:lang w:eastAsia="zh-CN"/>
              </w:rPr>
              <w:t>对周边地区农田和排灌系统可能形成的影响</w:t>
            </w:r>
          </w:p>
          <w:p>
            <w:pPr>
              <w:bidi w:val="0"/>
              <w:ind w:firstLine="480" w:firstLineChars="200"/>
              <w:outlineLvl w:val="9"/>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本工程如果不采取有效的水土保持防治措施，这些新增的土壤流失量可能直接进入项目区域周边的农田、水塘以及排灌沟渠，造成农田耕作层砂化、水塘和沟渠淤积，影响耕作，同时也影响项目区周边的水质。</w:t>
            </w:r>
          </w:p>
          <w:p>
            <w:pPr>
              <w:bidi w:val="0"/>
              <w:ind w:firstLine="480" w:firstLineChars="200"/>
              <w:outlineLvl w:val="9"/>
              <w:rPr>
                <w:rFonts w:hint="eastAsia" w:ascii="Times New Roman" w:hAnsi="Times New Roman" w:cs="Times New Roman"/>
                <w:color w:val="auto"/>
                <w:u w:val="none"/>
                <w:lang w:eastAsia="zh-CN"/>
              </w:rPr>
            </w:pPr>
            <w:r>
              <w:rPr>
                <w:rFonts w:hint="eastAsia" w:cs="Times New Roman"/>
                <w:color w:val="auto"/>
                <w:u w:val="none"/>
                <w:lang w:val="en-US" w:eastAsia="zh-CN"/>
              </w:rPr>
              <w:t>本评价要求施工单位</w:t>
            </w:r>
            <w:r>
              <w:rPr>
                <w:rFonts w:hint="eastAsia" w:ascii="Times New Roman" w:hAnsi="Times New Roman" w:cs="Times New Roman"/>
                <w:color w:val="auto"/>
                <w:u w:val="none"/>
                <w:lang w:eastAsia="zh-CN"/>
              </w:rPr>
              <w:t>严格做好</w:t>
            </w:r>
            <w:r>
              <w:rPr>
                <w:rFonts w:hint="eastAsia" w:cs="Times New Roman"/>
                <w:color w:val="auto"/>
                <w:u w:val="none"/>
                <w:lang w:val="en-US" w:eastAsia="zh-CN"/>
              </w:rPr>
              <w:t>水土</w:t>
            </w:r>
            <w:r>
              <w:rPr>
                <w:rFonts w:hint="eastAsia" w:ascii="Times New Roman" w:hAnsi="Times New Roman" w:cs="Times New Roman"/>
                <w:color w:val="auto"/>
                <w:u w:val="none"/>
                <w:lang w:eastAsia="zh-CN"/>
              </w:rPr>
              <w:t>防护措施</w:t>
            </w:r>
            <w:r>
              <w:rPr>
                <w:rFonts w:hint="eastAsia" w:cs="Times New Roman"/>
                <w:color w:val="auto"/>
                <w:u w:val="none"/>
                <w:lang w:eastAsia="zh-CN"/>
              </w:rPr>
              <w:t>，</w:t>
            </w:r>
            <w:r>
              <w:rPr>
                <w:rFonts w:hint="eastAsia" w:ascii="Times New Roman" w:hAnsi="Times New Roman" w:cs="Times New Roman"/>
                <w:color w:val="auto"/>
                <w:u w:val="none"/>
                <w:lang w:eastAsia="zh-CN"/>
              </w:rPr>
              <w:t>避开雨季进行土方施工并最大限度地采取控制、防护措施的情况下，水土流失影响可以大大减小。随着施工期的进展和结束，其影响也逐渐减弱。</w:t>
            </w:r>
          </w:p>
          <w:p>
            <w:pPr>
              <w:bidi w:val="0"/>
              <w:outlineLvl w:val="9"/>
              <w:rPr>
                <w:rFonts w:hint="default" w:eastAsia="宋体"/>
                <w:b/>
                <w:bCs/>
                <w:color w:val="auto"/>
                <w:u w:val="none"/>
                <w:vertAlign w:val="baseline"/>
                <w:lang w:val="en-US" w:eastAsia="zh-CN"/>
              </w:rPr>
            </w:pPr>
            <w:r>
              <w:rPr>
                <w:rFonts w:hint="default" w:eastAsia="宋体"/>
                <w:b/>
                <w:bCs/>
                <w:color w:val="auto"/>
                <w:u w:val="none"/>
                <w:vertAlign w:val="baseline"/>
                <w:lang w:val="en-US" w:eastAsia="zh-CN"/>
              </w:rPr>
              <w:t>4.</w:t>
            </w:r>
            <w:r>
              <w:rPr>
                <w:rFonts w:hint="eastAsia"/>
                <w:b/>
                <w:bCs/>
                <w:color w:val="auto"/>
                <w:u w:val="none"/>
                <w:vertAlign w:val="baseline"/>
                <w:lang w:val="en-US" w:eastAsia="zh-CN"/>
              </w:rPr>
              <w:t>7</w:t>
            </w:r>
            <w:r>
              <w:rPr>
                <w:rFonts w:hint="default" w:eastAsia="宋体"/>
                <w:b/>
                <w:bCs/>
                <w:color w:val="auto"/>
                <w:u w:val="none"/>
                <w:vertAlign w:val="baseline"/>
                <w:lang w:val="en-US" w:eastAsia="zh-CN"/>
              </w:rPr>
              <w:t>施工期</w:t>
            </w:r>
            <w:r>
              <w:rPr>
                <w:rFonts w:hint="eastAsia"/>
                <w:b/>
                <w:bCs/>
                <w:color w:val="auto"/>
                <w:u w:val="none"/>
                <w:vertAlign w:val="baseline"/>
                <w:lang w:val="en-US" w:eastAsia="zh-CN"/>
              </w:rPr>
              <w:t>对当地交通的</w:t>
            </w:r>
            <w:r>
              <w:rPr>
                <w:rFonts w:hint="default" w:eastAsia="宋体"/>
                <w:b/>
                <w:bCs/>
                <w:color w:val="auto"/>
                <w:u w:val="none"/>
                <w:vertAlign w:val="baseline"/>
                <w:lang w:val="en-US" w:eastAsia="zh-CN"/>
              </w:rPr>
              <w:t>影响分析</w:t>
            </w:r>
          </w:p>
          <w:p>
            <w:pPr>
              <w:bidi w:val="0"/>
              <w:ind w:firstLine="480" w:firstLineChars="200"/>
              <w:outlineLvl w:val="9"/>
              <w:rPr>
                <w:rFonts w:hint="default" w:eastAsia="宋体"/>
                <w:color w:val="auto"/>
                <w:u w:val="none"/>
                <w:vertAlign w:val="baseline"/>
                <w:lang w:val="en-US" w:eastAsia="zh-CN"/>
              </w:rPr>
            </w:pPr>
            <w:r>
              <w:rPr>
                <w:rFonts w:hint="default" w:eastAsia="宋体"/>
                <w:color w:val="auto"/>
                <w:u w:val="none"/>
                <w:vertAlign w:val="baseline"/>
                <w:lang w:val="en-US" w:eastAsia="zh-CN"/>
              </w:rPr>
              <w:t>在工程实施过程中，由于工程占地及施工，短期对工程占地片区内农业生产会有一定程度的不利影响，但这种不利局面是短时的、有限的，工程建成后对区内水质及</w:t>
            </w:r>
            <w:r>
              <w:rPr>
                <w:rFonts w:hint="eastAsia"/>
                <w:color w:val="auto"/>
                <w:u w:val="none"/>
                <w:vertAlign w:val="baseline"/>
                <w:lang w:val="en-US" w:eastAsia="zh-CN"/>
              </w:rPr>
              <w:t>防洪</w:t>
            </w:r>
            <w:r>
              <w:rPr>
                <w:rFonts w:hint="default" w:eastAsia="宋体"/>
                <w:color w:val="auto"/>
                <w:u w:val="none"/>
                <w:vertAlign w:val="baseline"/>
                <w:lang w:val="en-US" w:eastAsia="zh-CN"/>
              </w:rPr>
              <w:t>等的提高带来的有利影响将是长期的。本项目施工期间占用周边现有村道、农用道路等，对周边民众的生活、生产、出行造成一定的影响。土石方、建筑材料的运输将对项目所在区域及其周边环境造成交通拥挤、居民出行不便的影响。建设单位应在施工期加强交通管理，避免造成因为施工占道而造成交通拥堵现象</w:t>
            </w:r>
            <w:r>
              <w:rPr>
                <w:rFonts w:hint="eastAsia"/>
                <w:color w:val="auto"/>
                <w:u w:val="none"/>
                <w:vertAlign w:val="baseline"/>
                <w:lang w:val="en-US" w:eastAsia="zh-CN"/>
              </w:rPr>
              <w:t>。</w:t>
            </w:r>
          </w:p>
          <w:p>
            <w:pPr>
              <w:bidi w:val="0"/>
              <w:outlineLvl w:val="9"/>
              <w:rPr>
                <w:rFonts w:hint="default" w:eastAsia="宋体"/>
                <w:b/>
                <w:bCs/>
                <w:color w:val="auto"/>
                <w:u w:val="none"/>
                <w:vertAlign w:val="baseline"/>
                <w:lang w:val="en-US" w:eastAsia="zh-CN"/>
              </w:rPr>
            </w:pPr>
            <w:r>
              <w:rPr>
                <w:rFonts w:hint="eastAsia"/>
                <w:b/>
                <w:bCs/>
                <w:color w:val="auto"/>
                <w:u w:val="none"/>
                <w:vertAlign w:val="baseline"/>
                <w:lang w:val="en-US" w:eastAsia="zh-CN"/>
              </w:rPr>
              <w:t>4.8施工废气对敏感点的影响</w:t>
            </w:r>
          </w:p>
          <w:p>
            <w:pPr>
              <w:bidi w:val="0"/>
              <w:ind w:firstLine="480" w:firstLineChars="200"/>
              <w:outlineLvl w:val="9"/>
              <w:rPr>
                <w:rFonts w:hint="eastAsia" w:cs="Times New Roman"/>
                <w:color w:val="auto"/>
                <w:u w:val="none"/>
                <w:lang w:val="en-US" w:eastAsia="zh-CN"/>
              </w:rPr>
            </w:pPr>
            <w:r>
              <w:rPr>
                <w:rFonts w:hint="eastAsia" w:cs="Times New Roman"/>
                <w:color w:val="auto"/>
                <w:u w:val="none"/>
                <w:lang w:val="en-US" w:eastAsia="zh-CN"/>
              </w:rPr>
              <w:t>根据前面施工期废气对环境的影响分析，扬尘为施工期主要影响。扬尘影响范围主要集中在施工场地200米范围内。拟建工程在施工过程中扬尘等对该附近居民周边环境有一定的影响。</w:t>
            </w:r>
          </w:p>
          <w:p>
            <w:pPr>
              <w:bidi w:val="0"/>
              <w:ind w:firstLine="480" w:firstLineChars="200"/>
              <w:outlineLvl w:val="9"/>
              <w:rPr>
                <w:rFonts w:hint="eastAsia" w:cs="Times New Roman"/>
                <w:color w:val="auto"/>
                <w:u w:val="none"/>
                <w:lang w:val="en-US" w:eastAsia="zh-CN"/>
              </w:rPr>
            </w:pPr>
            <w:r>
              <w:rPr>
                <w:rFonts w:hint="eastAsia" w:cs="Times New Roman"/>
                <w:color w:val="auto"/>
                <w:u w:val="none"/>
                <w:lang w:val="en-US" w:eastAsia="zh-CN"/>
              </w:rPr>
              <w:t>因此要按照相关管理要求采取有效的施工扬尘污染控制措施，防治建设及运输过程中的扬尘对环境空气的影响。主要包括如下控制措施：</w:t>
            </w:r>
          </w:p>
          <w:p>
            <w:pPr>
              <w:bidi w:val="0"/>
              <w:ind w:firstLine="480" w:firstLineChars="200"/>
              <w:outlineLvl w:val="9"/>
              <w:rPr>
                <w:rFonts w:hint="eastAsia" w:cs="Times New Roman"/>
                <w:color w:val="auto"/>
                <w:u w:val="none"/>
                <w:lang w:val="en-US" w:eastAsia="zh-CN"/>
              </w:rPr>
            </w:pPr>
            <w:r>
              <w:rPr>
                <w:rFonts w:hint="eastAsia" w:cs="Times New Roman"/>
                <w:color w:val="auto"/>
                <w:u w:val="none"/>
                <w:lang w:val="en-US" w:eastAsia="zh-CN"/>
              </w:rPr>
              <w:t>①严格按照《湘潭市城区扬尘污染防治管理办法》及《湘潭市深入打好污染防治攻坚战2021年度实施方案》有关规定要求进行文明、安全、环保施工。</w:t>
            </w:r>
          </w:p>
          <w:p>
            <w:pPr>
              <w:bidi w:val="0"/>
              <w:ind w:firstLine="480" w:firstLineChars="200"/>
              <w:outlineLvl w:val="9"/>
              <w:rPr>
                <w:rFonts w:hint="eastAsia" w:cs="Times New Roman"/>
                <w:color w:val="auto"/>
                <w:u w:val="none"/>
                <w:lang w:val="en-US" w:eastAsia="zh-CN"/>
              </w:rPr>
            </w:pPr>
            <w:r>
              <w:rPr>
                <w:rFonts w:hint="eastAsia" w:cs="Times New Roman"/>
                <w:color w:val="auto"/>
                <w:u w:val="none"/>
                <w:lang w:val="en-US" w:eastAsia="zh-CN"/>
              </w:rPr>
              <w:t>②在施工过程中，作业场地将采取围挡、围护以减少扬尘扩散，围挡、围护对减少扬尘对环境的污染有明显作用，当风速为2.5m/s时可使影响距离缩短40%。在主干道两侧的施工现场周围，连续设置不低于2.5m高的围挡，在一般路段应连续设置不低于1.8m的围挡，并做到坚固美观。围护高度按略高于建筑物高度设置为宜。</w:t>
            </w:r>
          </w:p>
          <w:p>
            <w:pPr>
              <w:bidi w:val="0"/>
              <w:ind w:firstLine="480" w:firstLineChars="200"/>
              <w:outlineLvl w:val="9"/>
              <w:rPr>
                <w:rFonts w:hint="eastAsia" w:cs="Times New Roman"/>
                <w:color w:val="auto"/>
                <w:u w:val="none"/>
                <w:lang w:val="en-US" w:eastAsia="zh-CN"/>
              </w:rPr>
            </w:pPr>
            <w:r>
              <w:rPr>
                <w:rFonts w:hint="eastAsia" w:cs="Times New Roman"/>
                <w:color w:val="auto"/>
                <w:u w:val="none"/>
                <w:lang w:val="en-US" w:eastAsia="zh-CN"/>
              </w:rPr>
              <w:t>③在施工场地安排员工定期对施工场地洒水以减少扬尘量，洒水次数根据天气状况而定。一般每天洒水1～2次；若遇到大风或干燥天气可适当增加洒水次数。施工场地洒水与否对扬尘的影响较大，场地洒水后，扬尘量将减低，大大减少了其对环境的影响。</w:t>
            </w:r>
          </w:p>
          <w:p>
            <w:pPr>
              <w:bidi w:val="0"/>
              <w:ind w:firstLine="480" w:firstLineChars="200"/>
              <w:outlineLvl w:val="9"/>
              <w:rPr>
                <w:rFonts w:hint="eastAsia" w:cs="Times New Roman"/>
                <w:color w:val="auto"/>
                <w:u w:val="none"/>
                <w:lang w:val="en-US" w:eastAsia="zh-CN"/>
              </w:rPr>
            </w:pPr>
            <w:r>
              <w:rPr>
                <w:rFonts w:hint="eastAsia" w:cs="Times New Roman"/>
                <w:color w:val="auto"/>
                <w:u w:val="none"/>
                <w:lang w:val="en-US" w:eastAsia="zh-CN"/>
              </w:rPr>
              <w:t>④对运输建筑材料及建筑垃圾的车辆加盖蓬布减少洒落。同时，车辆进出、装卸场地时应用水将轮胎冲洗干净。</w:t>
            </w:r>
          </w:p>
          <w:p>
            <w:pPr>
              <w:bidi w:val="0"/>
              <w:ind w:firstLine="480" w:firstLineChars="200"/>
              <w:outlineLvl w:val="9"/>
              <w:rPr>
                <w:rFonts w:hint="eastAsia" w:cs="Times New Roman"/>
                <w:color w:val="auto"/>
                <w:u w:val="none"/>
                <w:lang w:val="en-US" w:eastAsia="zh-CN"/>
              </w:rPr>
            </w:pPr>
            <w:r>
              <w:rPr>
                <w:rFonts w:hint="eastAsia" w:cs="Times New Roman"/>
                <w:color w:val="auto"/>
                <w:u w:val="none"/>
                <w:lang w:val="en-US" w:eastAsia="zh-CN"/>
              </w:rPr>
              <w:t>⑤尽量避免在大风天气下进行施工作业。</w:t>
            </w:r>
          </w:p>
          <w:p>
            <w:pPr>
              <w:bidi w:val="0"/>
              <w:ind w:firstLine="480" w:firstLineChars="200"/>
              <w:outlineLvl w:val="9"/>
              <w:rPr>
                <w:rFonts w:hint="eastAsia" w:cs="Times New Roman"/>
                <w:color w:val="auto"/>
                <w:u w:val="none"/>
                <w:lang w:val="en-US" w:eastAsia="zh-CN"/>
              </w:rPr>
            </w:pPr>
            <w:r>
              <w:rPr>
                <w:rFonts w:hint="eastAsia" w:cs="Times New Roman"/>
                <w:color w:val="auto"/>
                <w:u w:val="none"/>
                <w:lang w:val="en-US" w:eastAsia="zh-CN"/>
              </w:rPr>
              <w:t>⑥在施工场地上设置专人负责弃土、建筑垃圾、建筑材料的处置、清运和堆放，堆放场地应避开居民区的上风向，必要时加盖蓬布或洒水，防止二次扬尘。</w:t>
            </w:r>
          </w:p>
          <w:p>
            <w:pPr>
              <w:bidi w:val="0"/>
              <w:ind w:firstLine="480" w:firstLineChars="200"/>
              <w:outlineLvl w:val="9"/>
              <w:rPr>
                <w:rFonts w:hint="eastAsia" w:cs="Times New Roman"/>
                <w:color w:val="auto"/>
                <w:u w:val="none"/>
                <w:lang w:val="en-US" w:eastAsia="zh-CN"/>
              </w:rPr>
            </w:pPr>
            <w:r>
              <w:rPr>
                <w:rFonts w:hint="eastAsia" w:cs="Times New Roman"/>
                <w:color w:val="auto"/>
                <w:u w:val="none"/>
                <w:lang w:val="en-US" w:eastAsia="zh-CN"/>
              </w:rPr>
              <w:t>⑦对建筑垃圾及弃土应及时处理、清运、以减少占地，防止扬尘污染，改善施工场地的环境。严禁焚烧施工生活垃圾和建筑垃圾。</w:t>
            </w:r>
          </w:p>
          <w:p>
            <w:pPr>
              <w:bidi w:val="0"/>
              <w:ind w:firstLine="480" w:firstLineChars="200"/>
              <w:outlineLvl w:val="9"/>
              <w:rPr>
                <w:rFonts w:hint="eastAsia" w:cs="Times New Roman"/>
                <w:color w:val="auto"/>
                <w:u w:val="none"/>
                <w:lang w:val="en-US" w:eastAsia="zh-CN"/>
              </w:rPr>
            </w:pPr>
            <w:r>
              <w:rPr>
                <w:rFonts w:hint="eastAsia" w:cs="Times New Roman"/>
                <w:color w:val="auto"/>
                <w:u w:val="none"/>
                <w:lang w:val="en-US" w:eastAsia="zh-CN"/>
              </w:rPr>
              <w:t>⑧施工过程废弃材料运输采用编织袋包装、溜槽、严禁散料直接抛洒。</w:t>
            </w:r>
          </w:p>
          <w:p>
            <w:pPr>
              <w:bidi w:val="0"/>
              <w:ind w:firstLine="480" w:firstLineChars="200"/>
              <w:outlineLvl w:val="9"/>
              <w:rPr>
                <w:rFonts w:hint="default" w:eastAsia="宋体" w:cs="Times New Roman"/>
                <w:color w:val="auto"/>
                <w:u w:val="none"/>
                <w:lang w:val="en-US" w:eastAsia="zh-CN"/>
              </w:rPr>
            </w:pPr>
            <w:r>
              <w:rPr>
                <w:rFonts w:hint="eastAsia" w:ascii="宋体" w:hAnsi="宋体" w:eastAsia="宋体" w:cs="宋体"/>
                <w:color w:val="auto"/>
                <w:u w:val="none"/>
                <w:lang w:val="en-US" w:eastAsia="zh-CN"/>
              </w:rPr>
              <w:t>⑨</w:t>
            </w:r>
            <w:r>
              <w:rPr>
                <w:rFonts w:hint="eastAsia"/>
                <w:lang w:val="en-US" w:eastAsia="zh-CN"/>
              </w:rPr>
              <w:t>取弃土场均设置围挡及防风遮盖措施，防止二次扬尘。</w:t>
            </w:r>
          </w:p>
          <w:p>
            <w:pPr>
              <w:bidi w:val="0"/>
              <w:ind w:firstLine="480" w:firstLineChars="200"/>
              <w:outlineLvl w:val="9"/>
              <w:rPr>
                <w:rFonts w:hint="default" w:eastAsia="宋体"/>
                <w:color w:val="auto"/>
                <w:u w:val="none"/>
                <w:vertAlign w:val="baseline"/>
                <w:lang w:val="en-US" w:eastAsia="zh-CN"/>
              </w:rPr>
            </w:pPr>
            <w:r>
              <w:rPr>
                <w:rFonts w:hint="eastAsia" w:cs="Times New Roman"/>
                <w:color w:val="auto"/>
                <w:u w:val="none"/>
                <w:lang w:val="en-US" w:eastAsia="zh-CN"/>
              </w:rPr>
              <w:t>综上，只要加强管理、切实落实好上述措施，施工场地扬尘对环境的影响将会大大降低，同时其对环境的影响也将随施工的结束而消失。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53" w:hRule="atLeast"/>
          <w:jc w:val="center"/>
        </w:trPr>
        <w:tc>
          <w:tcPr>
            <w:tcW w:w="229" w:type="pct"/>
            <w:tcBorders>
              <w:tl2br w:val="nil"/>
              <w:tr2bl w:val="nil"/>
            </w:tcBorders>
            <w:vAlign w:val="center"/>
          </w:tcPr>
          <w:p>
            <w:pPr>
              <w:bidi w:val="0"/>
              <w:jc w:val="center"/>
              <w:outlineLvl w:val="9"/>
              <w:rPr>
                <w:rFonts w:hint="default" w:eastAsia="宋体"/>
                <w:color w:val="auto"/>
                <w:u w:val="none"/>
                <w:vertAlign w:val="baseline"/>
                <w:lang w:val="en-US" w:eastAsia="zh-CN"/>
              </w:rPr>
            </w:pPr>
            <w:r>
              <w:rPr>
                <w:rFonts w:hint="default" w:eastAsia="宋体"/>
                <w:color w:val="auto"/>
                <w:u w:val="none"/>
                <w:vertAlign w:val="baseline"/>
                <w:lang w:val="en-US" w:eastAsia="zh-CN"/>
              </w:rPr>
              <w:t>运营期生态环境影响分析</w:t>
            </w:r>
          </w:p>
        </w:tc>
        <w:tc>
          <w:tcPr>
            <w:tcW w:w="4770" w:type="pct"/>
            <w:tcBorders>
              <w:tl2br w:val="nil"/>
              <w:tr2bl w:val="nil"/>
            </w:tcBorders>
          </w:tcPr>
          <w:p>
            <w:pPr>
              <w:bidi w:val="0"/>
              <w:ind w:firstLine="480" w:firstLineChars="200"/>
              <w:outlineLvl w:val="9"/>
              <w:rPr>
                <w:rFonts w:hint="default" w:eastAsia="宋体"/>
                <w:color w:val="auto"/>
                <w:u w:val="none"/>
                <w:vertAlign w:val="baseline"/>
                <w:lang w:val="en-US" w:eastAsia="zh-CN"/>
              </w:rPr>
            </w:pPr>
            <w:r>
              <w:rPr>
                <w:rFonts w:hint="default" w:eastAsia="宋体"/>
                <w:color w:val="auto"/>
                <w:u w:val="none"/>
                <w:vertAlign w:val="baseline"/>
                <w:lang w:val="en-US" w:eastAsia="zh-CN"/>
              </w:rPr>
              <w:t>本项目为</w:t>
            </w:r>
            <w:r>
              <w:rPr>
                <w:rFonts w:hint="eastAsia" w:cs="Times New Roman"/>
                <w:color w:val="auto"/>
                <w:u w:val="none"/>
                <w:lang w:val="en-US" w:eastAsia="zh-CN"/>
              </w:rPr>
              <w:t>防洪除涝工程</w:t>
            </w:r>
            <w:r>
              <w:rPr>
                <w:rFonts w:hint="default" w:eastAsia="宋体"/>
                <w:color w:val="auto"/>
                <w:u w:val="none"/>
                <w:vertAlign w:val="baseline"/>
                <w:lang w:val="en-US" w:eastAsia="zh-CN"/>
              </w:rPr>
              <w:t>，对周边环境的影响主要集中在施工期，运营期无污染物产生，对周边生态环境的影响较小。</w:t>
            </w:r>
          </w:p>
          <w:p>
            <w:pPr>
              <w:bidi w:val="0"/>
              <w:ind w:firstLine="480" w:firstLineChars="200"/>
              <w:outlineLvl w:val="9"/>
              <w:rPr>
                <w:rFonts w:hint="default" w:eastAsia="宋体"/>
                <w:color w:val="auto"/>
                <w:u w:val="none"/>
                <w:vertAlign w:val="baseline"/>
                <w:lang w:val="en-US" w:eastAsia="zh-CN"/>
              </w:rPr>
            </w:pPr>
            <w:r>
              <w:rPr>
                <w:rFonts w:ascii="宋体" w:hAnsi="宋体" w:eastAsia="宋体" w:cs="宋体"/>
                <w:color w:val="auto"/>
                <w:sz w:val="24"/>
                <w:szCs w:val="24"/>
                <w:u w:val="none"/>
              </w:rPr>
              <w:t>项目</w:t>
            </w:r>
            <w:r>
              <w:rPr>
                <w:rFonts w:hint="eastAsia" w:ascii="宋体" w:hAnsi="宋体" w:eastAsia="宋体" w:cs="宋体"/>
                <w:color w:val="auto"/>
                <w:sz w:val="24"/>
                <w:szCs w:val="24"/>
                <w:u w:val="none"/>
                <w:lang w:val="en-US" w:eastAsia="zh-CN"/>
              </w:rPr>
              <w:t>运营</w:t>
            </w:r>
            <w:r>
              <w:rPr>
                <w:rFonts w:ascii="宋体" w:hAnsi="宋体" w:eastAsia="宋体" w:cs="宋体"/>
                <w:color w:val="auto"/>
                <w:sz w:val="24"/>
                <w:szCs w:val="24"/>
                <w:u w:val="none"/>
              </w:rPr>
              <w:t>后，有利于提高当地的防洪泄洪能力，</w:t>
            </w:r>
            <w:r>
              <w:rPr>
                <w:rFonts w:hint="default" w:ascii="Times New Roman" w:hAnsi="Times New Roman" w:eastAsia="宋体" w:cs="Times New Roman"/>
                <w:color w:val="auto"/>
                <w:sz w:val="24"/>
                <w:szCs w:val="24"/>
                <w:u w:val="none"/>
              </w:rPr>
              <w:t>更有利于防止水土流失，岸上雨水径流中夹带的污染物质不易直接排入河道，水质的改善势必有利于鱼类等水生生物生存环境的优化</w:t>
            </w:r>
            <w:r>
              <w:rPr>
                <w:rFonts w:hint="eastAsia" w:ascii="Times New Roman" w:hAnsi="Times New Roman" w:eastAsia="宋体" w:cs="Times New Roman"/>
                <w:color w:val="auto"/>
                <w:sz w:val="24"/>
                <w:szCs w:val="24"/>
                <w:u w:val="none"/>
                <w:lang w:eastAsia="zh-CN"/>
              </w:rPr>
              <w:t>，</w:t>
            </w:r>
            <w:r>
              <w:rPr>
                <w:rFonts w:ascii="宋体" w:hAnsi="宋体" w:eastAsia="宋体" w:cs="宋体"/>
                <w:color w:val="auto"/>
                <w:sz w:val="24"/>
                <w:szCs w:val="24"/>
                <w:u w:val="none"/>
              </w:rPr>
              <w:t>沿堤绿化带的建设能美化周围环境，</w:t>
            </w:r>
            <w:r>
              <w:rPr>
                <w:rFonts w:hint="eastAsia" w:ascii="宋体" w:hAnsi="宋体" w:eastAsia="宋体" w:cs="宋体"/>
                <w:color w:val="auto"/>
                <w:sz w:val="24"/>
                <w:szCs w:val="24"/>
                <w:u w:val="none"/>
                <w:lang w:val="en-US" w:eastAsia="zh-CN"/>
              </w:rPr>
              <w:t>改善</w:t>
            </w:r>
            <w:r>
              <w:rPr>
                <w:rFonts w:ascii="宋体" w:hAnsi="宋体" w:eastAsia="宋体" w:cs="宋体"/>
                <w:color w:val="auto"/>
                <w:sz w:val="24"/>
                <w:szCs w:val="24"/>
                <w:u w:val="none"/>
              </w:rPr>
              <w:t>当地景观，不会对</w:t>
            </w:r>
            <w:r>
              <w:rPr>
                <w:rFonts w:hint="eastAsia" w:ascii="宋体" w:hAnsi="宋体" w:eastAsia="宋体" w:cs="宋体"/>
                <w:color w:val="auto"/>
                <w:sz w:val="24"/>
                <w:szCs w:val="24"/>
                <w:u w:val="none"/>
                <w:lang w:val="en-US" w:eastAsia="zh-CN"/>
              </w:rPr>
              <w:t>生态</w:t>
            </w:r>
            <w:r>
              <w:rPr>
                <w:rFonts w:ascii="宋体" w:hAnsi="宋体" w:eastAsia="宋体" w:cs="宋体"/>
                <w:color w:val="auto"/>
                <w:sz w:val="24"/>
                <w:szCs w:val="24"/>
                <w:u w:val="none"/>
              </w:rPr>
              <w:t>环境产生不利影响</w:t>
            </w:r>
            <w:r>
              <w:rPr>
                <w:rFonts w:hint="eastAsia" w:ascii="宋体" w:hAnsi="宋体" w:eastAsia="宋体" w:cs="宋体"/>
                <w:color w:val="auto"/>
                <w:sz w:val="24"/>
                <w:szCs w:val="24"/>
                <w:u w:val="none"/>
                <w:lang w:eastAsia="zh-CN"/>
              </w:rPr>
              <w:t>，</w:t>
            </w:r>
            <w:r>
              <w:rPr>
                <w:rFonts w:hint="default"/>
                <w:color w:val="auto"/>
                <w:sz w:val="24"/>
                <w:szCs w:val="32"/>
                <w:u w:val="none"/>
              </w:rPr>
              <w:t>具有明显的环境正效应</w:t>
            </w:r>
            <w:r>
              <w:rPr>
                <w:rFonts w:hint="eastAsia" w:ascii="宋体" w:hAnsi="宋体" w:eastAsia="宋体" w:cs="宋体"/>
                <w:color w:val="auto"/>
                <w:sz w:val="24"/>
                <w:szCs w:val="24"/>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jc w:val="center"/>
        </w:trPr>
        <w:tc>
          <w:tcPr>
            <w:tcW w:w="229" w:type="pct"/>
            <w:tcBorders>
              <w:tl2br w:val="nil"/>
              <w:tr2bl w:val="nil"/>
            </w:tcBorders>
            <w:vAlign w:val="center"/>
          </w:tcPr>
          <w:p>
            <w:pPr>
              <w:bidi w:val="0"/>
              <w:jc w:val="center"/>
              <w:outlineLvl w:val="9"/>
              <w:rPr>
                <w:rFonts w:hint="default" w:eastAsia="宋体"/>
                <w:color w:val="auto"/>
                <w:u w:val="none"/>
                <w:vertAlign w:val="baseline"/>
                <w:lang w:val="en-US" w:eastAsia="zh-CN"/>
              </w:rPr>
            </w:pPr>
            <w:r>
              <w:rPr>
                <w:rFonts w:hint="default" w:eastAsia="宋体"/>
                <w:color w:val="auto"/>
                <w:u w:val="none"/>
                <w:vertAlign w:val="baseline"/>
                <w:lang w:val="en-US" w:eastAsia="zh-CN"/>
              </w:rPr>
              <w:t>选址选线环境合理性分析</w:t>
            </w:r>
          </w:p>
        </w:tc>
        <w:tc>
          <w:tcPr>
            <w:tcW w:w="4770" w:type="pct"/>
            <w:tcBorders>
              <w:tl2br w:val="nil"/>
              <w:tr2bl w:val="nil"/>
            </w:tcBorders>
          </w:tcPr>
          <w:p>
            <w:pPr>
              <w:bidi w:val="0"/>
              <w:outlineLvl w:val="9"/>
              <w:rPr>
                <w:rFonts w:hint="default"/>
                <w:color w:val="auto"/>
                <w:sz w:val="24"/>
                <w:szCs w:val="32"/>
                <w:u w:val="none"/>
                <w:lang w:val="en-US"/>
              </w:rPr>
            </w:pPr>
            <w:r>
              <w:rPr>
                <w:rFonts w:hint="default" w:eastAsia="宋体"/>
                <w:b/>
                <w:bCs/>
                <w:color w:val="auto"/>
                <w:u w:val="none"/>
                <w:vertAlign w:val="baseline"/>
                <w:lang w:val="en-US" w:eastAsia="zh-CN"/>
              </w:rPr>
              <w:t>4.</w:t>
            </w:r>
            <w:r>
              <w:rPr>
                <w:rFonts w:hint="eastAsia"/>
                <w:b/>
                <w:bCs/>
                <w:color w:val="auto"/>
                <w:u w:val="none"/>
                <w:vertAlign w:val="baseline"/>
                <w:lang w:val="en-US" w:eastAsia="zh-CN"/>
              </w:rPr>
              <w:t>9项目选址合理性分析</w:t>
            </w:r>
          </w:p>
          <w:p>
            <w:pPr>
              <w:bidi w:val="0"/>
              <w:ind w:firstLine="480" w:firstLineChars="200"/>
              <w:outlineLvl w:val="9"/>
              <w:rPr>
                <w:rFonts w:hint="default"/>
                <w:color w:val="auto"/>
                <w:sz w:val="24"/>
                <w:szCs w:val="32"/>
                <w:u w:val="none"/>
              </w:rPr>
            </w:pPr>
            <w:r>
              <w:rPr>
                <w:rFonts w:hint="default"/>
                <w:color w:val="auto"/>
                <w:sz w:val="24"/>
                <w:szCs w:val="32"/>
                <w:u w:val="none"/>
              </w:rPr>
              <w:t>本项目</w:t>
            </w:r>
            <w:r>
              <w:rPr>
                <w:rFonts w:hint="eastAsia"/>
                <w:color w:val="auto"/>
                <w:sz w:val="24"/>
                <w:szCs w:val="32"/>
                <w:u w:val="none"/>
                <w:lang w:val="en-US" w:eastAsia="zh-CN"/>
              </w:rPr>
              <w:t>为</w:t>
            </w:r>
            <w:r>
              <w:rPr>
                <w:rFonts w:hint="eastAsia" w:cs="Times New Roman"/>
                <w:color w:val="auto"/>
                <w:u w:val="none"/>
                <w:lang w:val="en-US" w:eastAsia="zh-CN"/>
              </w:rPr>
              <w:t>防洪除涝工程</w:t>
            </w:r>
            <w:r>
              <w:rPr>
                <w:rFonts w:hint="eastAsia"/>
                <w:color w:val="auto"/>
                <w:sz w:val="24"/>
                <w:szCs w:val="32"/>
                <w:u w:val="none"/>
                <w:lang w:eastAsia="zh-CN"/>
              </w:rPr>
              <w:t>、</w:t>
            </w:r>
            <w:r>
              <w:rPr>
                <w:rFonts w:hint="default"/>
                <w:color w:val="auto"/>
                <w:sz w:val="24"/>
                <w:szCs w:val="32"/>
                <w:u w:val="none"/>
              </w:rPr>
              <w:t>堤防加固项目，项目建成后可以</w:t>
            </w:r>
            <w:r>
              <w:rPr>
                <w:rFonts w:hint="eastAsia"/>
                <w:color w:val="auto"/>
                <w:sz w:val="24"/>
                <w:szCs w:val="32"/>
                <w:u w:val="none"/>
                <w:lang w:val="en-US" w:eastAsia="zh-CN"/>
              </w:rPr>
              <w:t>提升防洪能力</w:t>
            </w:r>
            <w:r>
              <w:rPr>
                <w:rFonts w:hint="default"/>
                <w:color w:val="auto"/>
                <w:sz w:val="24"/>
                <w:szCs w:val="32"/>
                <w:u w:val="none"/>
              </w:rPr>
              <w:t>，保证</w:t>
            </w:r>
            <w:r>
              <w:rPr>
                <w:rFonts w:hint="default" w:ascii="Times New Roman" w:hAnsi="Times New Roman" w:cs="Times New Roman"/>
                <w:color w:val="auto"/>
                <w:u w:val="none"/>
                <w:lang w:val="zh-CN"/>
              </w:rPr>
              <w:t>大堤内居民和农田的安全</w:t>
            </w:r>
            <w:r>
              <w:rPr>
                <w:rFonts w:hint="default"/>
                <w:color w:val="auto"/>
                <w:sz w:val="24"/>
                <w:szCs w:val="32"/>
                <w:u w:val="none"/>
              </w:rPr>
              <w:t>。项目不占用永久基本农田</w:t>
            </w:r>
            <w:r>
              <w:rPr>
                <w:rFonts w:hint="eastAsia"/>
                <w:color w:val="auto"/>
                <w:sz w:val="24"/>
                <w:szCs w:val="32"/>
                <w:u w:val="none"/>
                <w:lang w:eastAsia="zh-CN"/>
              </w:rPr>
              <w:t>，</w:t>
            </w:r>
            <w:r>
              <w:rPr>
                <w:rFonts w:hint="default"/>
                <w:color w:val="auto"/>
                <w:sz w:val="24"/>
                <w:szCs w:val="32"/>
                <w:u w:val="none"/>
              </w:rPr>
              <w:t>不涉及自然保护区、</w:t>
            </w:r>
            <w:r>
              <w:rPr>
                <w:rFonts w:hint="eastAsia"/>
                <w:color w:val="auto"/>
                <w:sz w:val="24"/>
                <w:szCs w:val="32"/>
                <w:u w:val="none"/>
                <w:lang w:val="en-US" w:eastAsia="zh-CN"/>
              </w:rPr>
              <w:t>森林公园</w:t>
            </w:r>
            <w:r>
              <w:rPr>
                <w:rFonts w:hint="default"/>
                <w:color w:val="auto"/>
                <w:sz w:val="24"/>
                <w:szCs w:val="32"/>
                <w:u w:val="none"/>
              </w:rPr>
              <w:t>、风景名胜区等生态敏感区</w:t>
            </w:r>
            <w:r>
              <w:rPr>
                <w:rFonts w:hint="eastAsia"/>
                <w:color w:val="auto"/>
                <w:sz w:val="24"/>
                <w:szCs w:val="32"/>
                <w:u w:val="none"/>
                <w:lang w:eastAsia="zh-CN"/>
              </w:rPr>
              <w:t>，无珍稀濒危野生动植物，无高大古木等需要保护的敏感点，</w:t>
            </w:r>
            <w:r>
              <w:rPr>
                <w:rFonts w:hint="eastAsia"/>
                <w:color w:val="auto"/>
                <w:sz w:val="24"/>
                <w:szCs w:val="32"/>
                <w:u w:val="none"/>
                <w:lang w:val="en-US" w:eastAsia="zh-CN"/>
              </w:rPr>
              <w:t>不在生态红线范围内</w:t>
            </w:r>
            <w:r>
              <w:rPr>
                <w:rFonts w:hint="default"/>
                <w:color w:val="auto"/>
                <w:sz w:val="24"/>
                <w:szCs w:val="32"/>
                <w:u w:val="none"/>
              </w:rPr>
              <w:t>。</w:t>
            </w:r>
          </w:p>
          <w:p>
            <w:pPr>
              <w:bidi w:val="0"/>
              <w:ind w:firstLine="480" w:firstLineChars="200"/>
              <w:outlineLvl w:val="9"/>
              <w:rPr>
                <w:rFonts w:hint="default" w:eastAsia="宋体"/>
                <w:color w:val="auto"/>
                <w:u w:val="none"/>
                <w:vertAlign w:val="baseline"/>
                <w:lang w:val="en-US" w:eastAsia="zh-CN"/>
              </w:rPr>
            </w:pPr>
            <w:r>
              <w:rPr>
                <w:rFonts w:hint="eastAsia"/>
                <w:color w:val="auto"/>
                <w:sz w:val="24"/>
                <w:szCs w:val="32"/>
                <w:u w:val="none"/>
                <w:lang w:val="en-US" w:eastAsia="zh-CN"/>
              </w:rPr>
              <w:t>项目</w:t>
            </w:r>
            <w:r>
              <w:rPr>
                <w:rFonts w:hint="default"/>
                <w:color w:val="auto"/>
                <w:sz w:val="24"/>
                <w:szCs w:val="32"/>
                <w:u w:val="none"/>
              </w:rPr>
              <w:t>所在区域周围环境质量现状良好，符合环境</w:t>
            </w:r>
            <w:r>
              <w:rPr>
                <w:rFonts w:hint="eastAsia"/>
                <w:color w:val="auto"/>
                <w:sz w:val="24"/>
                <w:szCs w:val="32"/>
                <w:u w:val="none"/>
                <w:lang w:val="en-US" w:eastAsia="zh-CN"/>
              </w:rPr>
              <w:t>功能</w:t>
            </w:r>
            <w:r>
              <w:rPr>
                <w:rFonts w:hint="default"/>
                <w:color w:val="auto"/>
                <w:sz w:val="24"/>
                <w:szCs w:val="32"/>
                <w:u w:val="none"/>
              </w:rPr>
              <w:t>规划</w:t>
            </w:r>
            <w:r>
              <w:rPr>
                <w:rFonts w:hint="eastAsia"/>
                <w:color w:val="auto"/>
                <w:sz w:val="24"/>
                <w:szCs w:val="32"/>
                <w:u w:val="none"/>
                <w:lang w:eastAsia="zh-CN"/>
              </w:rPr>
              <w:t>。</w:t>
            </w:r>
            <w:r>
              <w:rPr>
                <w:rFonts w:hint="default"/>
                <w:color w:val="auto"/>
                <w:sz w:val="24"/>
                <w:szCs w:val="32"/>
                <w:u w:val="none"/>
              </w:rPr>
              <w:t>工程主要影响存在于工程的施工期，但这些不利影响是局部</w:t>
            </w:r>
            <w:r>
              <w:rPr>
                <w:rFonts w:hint="eastAsia"/>
                <w:color w:val="auto"/>
                <w:sz w:val="24"/>
                <w:szCs w:val="32"/>
                <w:u w:val="none"/>
                <w:lang w:val="en-US" w:eastAsia="zh-CN"/>
              </w:rPr>
              <w:t>和</w:t>
            </w:r>
            <w:r>
              <w:rPr>
                <w:rFonts w:hint="default"/>
                <w:color w:val="auto"/>
                <w:sz w:val="24"/>
                <w:szCs w:val="32"/>
                <w:u w:val="none"/>
              </w:rPr>
              <w:t>暂时的，加强环境管理和采用适当的环保治理措施后，污染可以得到有效控制。施工期结束后，建设单位将恢复临时用地的生态环境，不会改变周边用地规划，本工程占地与土地利用规划相符</w:t>
            </w:r>
            <w:r>
              <w:rPr>
                <w:rFonts w:hint="eastAsia"/>
                <w:color w:val="auto"/>
                <w:sz w:val="24"/>
                <w:szCs w:val="32"/>
                <w:u w:val="none"/>
                <w:lang w:eastAsia="zh-CN"/>
              </w:rPr>
              <w:t>。</w:t>
            </w:r>
            <w:r>
              <w:rPr>
                <w:rFonts w:hint="eastAsia"/>
                <w:color w:val="auto"/>
                <w:sz w:val="24"/>
                <w:szCs w:val="32"/>
                <w:u w:val="none"/>
                <w:lang w:val="en-US" w:eastAsia="zh-CN"/>
              </w:rPr>
              <w:t>且</w:t>
            </w:r>
            <w:r>
              <w:rPr>
                <w:rFonts w:hint="default"/>
                <w:color w:val="auto"/>
                <w:sz w:val="24"/>
                <w:szCs w:val="32"/>
                <w:u w:val="none"/>
              </w:rPr>
              <w:t>项目建成后，有利于提高当地的防洪能力，具有明显的环境正效应。</w:t>
            </w:r>
            <w:r>
              <w:rPr>
                <w:rFonts w:hint="eastAsia"/>
                <w:color w:val="auto"/>
                <w:u w:val="none"/>
                <w:lang w:val="en-US" w:eastAsia="zh-CN"/>
              </w:rPr>
              <w:t>因此，本项目选址选线从环境的角度分析是合理的。</w:t>
            </w:r>
          </w:p>
        </w:tc>
      </w:tr>
    </w:tbl>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color w:val="auto"/>
        </w:rPr>
      </w:pPr>
    </w:p>
    <w:p>
      <w:pPr>
        <w:bidi w:val="0"/>
        <w:outlineLvl w:val="9"/>
        <w:rPr>
          <w:rFonts w:hint="eastAsia"/>
          <w:b/>
          <w:bCs/>
          <w:color w:val="auto"/>
          <w:sz w:val="30"/>
          <w:szCs w:val="30"/>
        </w:rPr>
        <w:sectPr>
          <w:pgSz w:w="11906" w:h="16838"/>
          <w:pgMar w:top="1077" w:right="1077" w:bottom="1077" w:left="1077" w:header="851" w:footer="510" w:gutter="0"/>
          <w:pgBorders>
            <w:top w:val="none" w:sz="0" w:space="0"/>
            <w:left w:val="none" w:sz="0" w:space="0"/>
            <w:bottom w:val="none" w:sz="0" w:space="0"/>
            <w:right w:val="none" w:sz="0" w:space="0"/>
          </w:pgBorders>
          <w:pgNumType w:fmt="decimal"/>
          <w:cols w:space="425" w:num="1"/>
          <w:docGrid w:type="lines" w:linePitch="312" w:charSpace="0"/>
        </w:sectPr>
      </w:pPr>
    </w:p>
    <w:p>
      <w:pPr>
        <w:bidi w:val="0"/>
        <w:jc w:val="center"/>
        <w:outlineLvl w:val="0"/>
        <w:rPr>
          <w:b/>
          <w:bCs/>
          <w:color w:val="auto"/>
          <w:sz w:val="30"/>
          <w:szCs w:val="30"/>
        </w:rPr>
      </w:pPr>
      <w:bookmarkStart w:id="20" w:name="_Toc23699"/>
      <w:bookmarkStart w:id="21" w:name="_Toc10204"/>
      <w:bookmarkStart w:id="22" w:name="_Toc20439"/>
      <w:bookmarkStart w:id="23" w:name="_Toc11853"/>
      <w:r>
        <w:rPr>
          <w:rFonts w:hint="eastAsia"/>
          <w:b/>
          <w:bCs/>
          <w:color w:val="auto"/>
          <w:sz w:val="30"/>
          <w:szCs w:val="30"/>
          <w:lang w:val="en-US" w:eastAsia="zh-CN"/>
        </w:rPr>
        <w:t>五</w:t>
      </w:r>
      <w:r>
        <w:rPr>
          <w:rFonts w:hint="eastAsia"/>
          <w:b/>
          <w:bCs/>
          <w:color w:val="auto"/>
          <w:sz w:val="30"/>
          <w:szCs w:val="30"/>
        </w:rPr>
        <w:t>、</w:t>
      </w:r>
      <w:bookmarkEnd w:id="20"/>
      <w:bookmarkEnd w:id="21"/>
      <w:r>
        <w:rPr>
          <w:rFonts w:hint="eastAsia"/>
          <w:b/>
          <w:bCs/>
          <w:color w:val="auto"/>
          <w:sz w:val="30"/>
          <w:szCs w:val="30"/>
        </w:rPr>
        <w:t>主要生态环境保护措施</w:t>
      </w:r>
      <w:bookmarkEnd w:id="22"/>
      <w:bookmarkEnd w:id="23"/>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441"/>
        <w:gridCol w:w="9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221" w:type="pct"/>
            <w:tcBorders>
              <w:tl2br w:val="nil"/>
              <w:tr2bl w:val="nil"/>
            </w:tcBorders>
            <w:vAlign w:val="center"/>
          </w:tcPr>
          <w:p>
            <w:pPr>
              <w:bidi w:val="0"/>
              <w:jc w:val="center"/>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施工期生态环境保护措施</w:t>
            </w:r>
          </w:p>
        </w:tc>
        <w:tc>
          <w:tcPr>
            <w:tcW w:w="4778" w:type="pct"/>
            <w:tcBorders>
              <w:tl2br w:val="nil"/>
              <w:tr2bl w:val="nil"/>
            </w:tcBorders>
          </w:tcPr>
          <w:p>
            <w:pPr>
              <w:bidi w:val="0"/>
              <w:outlineLvl w:val="9"/>
              <w:rPr>
                <w:rFonts w:hint="default" w:ascii="Times New Roman" w:hAnsi="Times New Roman" w:cs="Times New Roman"/>
                <w:b/>
                <w:bCs/>
                <w:color w:val="auto"/>
                <w:u w:val="none" w:color="auto"/>
                <w:lang w:val="en-US" w:eastAsia="zh-CN"/>
              </w:rPr>
            </w:pPr>
            <w:r>
              <w:rPr>
                <w:rFonts w:hint="eastAsia" w:cs="Times New Roman"/>
                <w:b/>
                <w:bCs/>
                <w:color w:val="auto"/>
                <w:u w:val="none" w:color="auto"/>
                <w:lang w:val="en-US" w:eastAsia="zh-CN"/>
              </w:rPr>
              <w:t>5</w:t>
            </w:r>
            <w:r>
              <w:rPr>
                <w:rFonts w:hint="eastAsia" w:ascii="Times New Roman" w:hAnsi="Times New Roman" w:cs="Times New Roman"/>
                <w:b/>
                <w:bCs/>
                <w:color w:val="auto"/>
                <w:u w:val="none" w:color="auto"/>
                <w:lang w:val="en-US" w:eastAsia="zh-CN"/>
              </w:rPr>
              <w:t>.1施工期大气环境</w:t>
            </w:r>
            <w:r>
              <w:rPr>
                <w:rFonts w:hint="eastAsia" w:cs="Times New Roman"/>
                <w:b/>
                <w:bCs/>
                <w:color w:val="auto"/>
                <w:u w:val="none" w:color="auto"/>
                <w:lang w:val="en-US" w:eastAsia="zh-CN"/>
              </w:rPr>
              <w:t>保护</w:t>
            </w:r>
            <w:r>
              <w:rPr>
                <w:rFonts w:hint="eastAsia" w:ascii="Times New Roman" w:hAnsi="Times New Roman" w:cs="Times New Roman"/>
                <w:b/>
                <w:bCs/>
                <w:color w:val="auto"/>
                <w:u w:val="none" w:color="auto"/>
                <w:lang w:val="en-US" w:eastAsia="zh-CN"/>
              </w:rPr>
              <w:t>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color="auto"/>
              </w:rPr>
            </w:pPr>
            <w:r>
              <w:rPr>
                <w:rFonts w:hint="eastAsia"/>
                <w:color w:val="auto"/>
                <w:u w:val="none" w:color="auto"/>
              </w:rPr>
              <w:t>施工期产生</w:t>
            </w:r>
            <w:r>
              <w:rPr>
                <w:rFonts w:hint="eastAsia"/>
                <w:color w:val="auto"/>
                <w:u w:val="none" w:color="auto"/>
                <w:lang w:val="en-US" w:eastAsia="zh-CN"/>
              </w:rPr>
              <w:t>的</w:t>
            </w:r>
            <w:r>
              <w:rPr>
                <w:rFonts w:hint="eastAsia"/>
                <w:color w:val="auto"/>
                <w:u w:val="none" w:color="auto"/>
              </w:rPr>
              <w:t>废气主要为施工扬尘、施工机械</w:t>
            </w:r>
            <w:r>
              <w:rPr>
                <w:rFonts w:hint="eastAsia"/>
                <w:color w:val="auto"/>
                <w:u w:val="none" w:color="auto"/>
                <w:lang w:val="en-US" w:eastAsia="zh-CN"/>
              </w:rPr>
              <w:t>和</w:t>
            </w:r>
            <w:r>
              <w:rPr>
                <w:rFonts w:hint="eastAsia"/>
                <w:color w:val="auto"/>
                <w:u w:val="none" w:color="auto"/>
              </w:rPr>
              <w:t>运输车辆废气</w:t>
            </w:r>
            <w:r>
              <w:rPr>
                <w:rFonts w:hint="eastAsia"/>
                <w:color w:val="auto"/>
                <w:u w:val="none" w:color="auto"/>
                <w:lang w:eastAsia="zh-CN"/>
              </w:rPr>
              <w:t>，为了抑制扬尘产生，减少施工扬尘对区域大气环境的影响，本环评要求施工单位在施工过程中采取如下措施：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color="auto"/>
                <w:lang w:val="en-US" w:eastAsia="zh-CN"/>
              </w:rPr>
            </w:pPr>
            <w:r>
              <w:rPr>
                <w:rFonts w:hint="eastAsia"/>
                <w:color w:val="auto"/>
                <w:u w:val="none" w:color="auto"/>
                <w:lang w:val="en-US" w:eastAsia="zh-CN"/>
              </w:rPr>
              <w:t>1、</w:t>
            </w:r>
            <w:r>
              <w:rPr>
                <w:rFonts w:hint="eastAsia"/>
                <w:color w:val="auto"/>
                <w:u w:val="none" w:color="auto"/>
              </w:rPr>
              <w:t>施工扬尘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color="auto"/>
              </w:rPr>
            </w:pPr>
            <w:r>
              <w:rPr>
                <w:rFonts w:hint="eastAsia"/>
                <w:color w:val="auto"/>
                <w:u w:val="none" w:color="auto"/>
              </w:rPr>
              <w:t>①根据相关</w:t>
            </w:r>
            <w:r>
              <w:rPr>
                <w:rFonts w:hint="eastAsia"/>
                <w:color w:val="auto"/>
                <w:u w:val="none" w:color="auto"/>
                <w:lang w:val="en-US" w:eastAsia="zh-CN"/>
              </w:rPr>
              <w:t>管理</w:t>
            </w:r>
            <w:r>
              <w:rPr>
                <w:rFonts w:hint="eastAsia"/>
                <w:color w:val="auto"/>
                <w:u w:val="none" w:color="auto"/>
              </w:rPr>
              <w:t>要求，严格执行建筑施工扬尘污染防治“8个100%”抑尘措施（建筑施工100%围挡、路面硬化100%、洒水抑尘100%、裸土覆盖100%、进出车辆100%清洗、渣土实施100%密闭运输、建筑垃圾100%规范管理、工程机械尾气排放100%达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color="auto"/>
                <w:lang w:eastAsia="zh-CN"/>
              </w:rPr>
            </w:pPr>
            <w:r>
              <w:rPr>
                <w:rFonts w:hint="eastAsia"/>
                <w:color w:val="auto"/>
                <w:u w:val="none" w:color="auto"/>
              </w:rPr>
              <w:t>②</w:t>
            </w:r>
            <w:r>
              <w:rPr>
                <w:rFonts w:hint="eastAsia"/>
                <w:color w:val="auto"/>
                <w:u w:val="none" w:color="auto"/>
                <w:lang w:val="en-US" w:eastAsia="zh-CN"/>
              </w:rPr>
              <w:t>施工场地要设置1.8m以上硬质连续围挡，围挡底端应设置防溢座，围挡之间以及围挡与防溢座之间无缝隙。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color="auto"/>
                <w:lang w:eastAsia="zh-CN"/>
              </w:rPr>
            </w:pPr>
            <w:r>
              <w:rPr>
                <w:rFonts w:hint="eastAsia"/>
                <w:color w:val="auto"/>
                <w:u w:val="none" w:color="auto"/>
              </w:rPr>
              <w:t>③在施工场地安排专人定期对路面和施工场区洒水，保持下垫面和空气湿润，减少起尘量，洒水频率视天气情况调整，原则上晴天每天不少于</w:t>
            </w:r>
            <w:r>
              <w:rPr>
                <w:rFonts w:hint="eastAsia"/>
                <w:color w:val="auto"/>
                <w:u w:val="none" w:color="auto"/>
                <w:lang w:val="en-US" w:eastAsia="zh-CN"/>
              </w:rPr>
              <w:t>4</w:t>
            </w:r>
            <w:r>
              <w:rPr>
                <w:rFonts w:hint="eastAsia"/>
                <w:color w:val="auto"/>
                <w:u w:val="none" w:color="auto"/>
              </w:rPr>
              <w:t>次，若遇大风或干燥天气应适当增加洒水次数；指定专人清扫工地路面</w:t>
            </w:r>
            <w:r>
              <w:rPr>
                <w:rFonts w:hint="eastAsia"/>
                <w:color w:val="auto"/>
                <w:u w:val="none" w:color="auto"/>
                <w:lang w:eastAsia="zh-CN"/>
              </w:rPr>
              <w:t>，</w:t>
            </w:r>
            <w:r>
              <w:rPr>
                <w:rFonts w:hint="eastAsia"/>
                <w:color w:val="auto"/>
                <w:u w:val="none" w:color="auto"/>
              </w:rPr>
              <w:t>减少对沿线居民的影响。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color="auto"/>
                <w:lang w:val="en-US" w:eastAsia="zh-CN"/>
              </w:rPr>
            </w:pPr>
            <w:r>
              <w:rPr>
                <w:rFonts w:hint="eastAsia"/>
                <w:color w:val="auto"/>
                <w:u w:val="none" w:color="auto"/>
              </w:rPr>
              <w:t>④施工期还应备齐防止暴雨的挡护设备如盖网、苫布或草帘等，在暴雨来临前覆盖施工作业破坏面，可极大地防止水土流失；备齐大风的挡护设备，在大风天气可有效防止施工现场起尘污染；4级以上大风天气，不得进行土方回填、转运以及拆除作业和其他可能产生扬尘污染的施工，并对施工场地做好遮掩工</w:t>
            </w:r>
            <w:r>
              <w:rPr>
                <w:rFonts w:hint="eastAsia"/>
                <w:color w:val="auto"/>
                <w:u w:val="none" w:color="auto"/>
                <w:lang w:val="en-US" w:eastAsia="zh-CN"/>
              </w:rPr>
              <w:t>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color="auto"/>
                <w:lang w:eastAsia="zh-CN"/>
              </w:rPr>
            </w:pPr>
            <w:r>
              <w:rPr>
                <w:rFonts w:hint="eastAsia"/>
                <w:color w:val="auto"/>
                <w:u w:val="none" w:color="auto"/>
              </w:rPr>
              <w:t>⑤施工现场要做到物料堆放覆盖、土方开挖湿法作业、渣土运输车密闭运输；实行分段施工等。施工过程中大型车辆和施工机械会有一定量的尾气排放。施工单位所有施工机械和车辆拟配置尾气处理设备，施工机械和车辆处理后尾气经稀释后各项环保指标符合尾气排放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color="auto"/>
                <w:lang w:val="en-US" w:eastAsia="zh-CN"/>
              </w:rPr>
            </w:pPr>
            <w:r>
              <w:rPr>
                <w:rFonts w:hint="eastAsia"/>
                <w:color w:val="auto"/>
                <w:u w:val="none" w:color="auto"/>
                <w:lang w:val="en-US" w:eastAsia="zh-CN"/>
              </w:rPr>
              <w:t>⑥加强运输管理，严禁未采取密闭措施或者其它防护措施的施工垃圾、散装货物运输车辆上路行驶。所有来往施工场地的多尘物料均应用帆布覆盖；散装货车不得超高超载，以免车辆颠簸物料洒出；土方和施工垃圾应采用密闭式车辆运输，严禁沿途遗撒，运输施工垃圾应当随车携带处置核准证件，按照规定的运输路线、时间运行；运输车辆进入施工场地低速行驶，或限速行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⑦取土场在运输过程中会产生大量的扬尘，取土场周围需设置围挡，</w:t>
            </w:r>
            <w:r>
              <w:rPr>
                <w:rFonts w:hint="eastAsia" w:cs="Times New Roman"/>
                <w:color w:val="auto"/>
                <w:sz w:val="24"/>
                <w:szCs w:val="24"/>
                <w:u w:val="none" w:color="auto"/>
                <w:lang w:val="en-US" w:eastAsia="zh-CN"/>
              </w:rPr>
              <w:t>并采取防风遮盖以及洒水降尘等措施，</w:t>
            </w:r>
            <w:r>
              <w:rPr>
                <w:rFonts w:hint="default" w:ascii="Times New Roman" w:hAnsi="Times New Roman" w:eastAsia="宋体" w:cs="Times New Roman"/>
                <w:color w:val="auto"/>
                <w:sz w:val="24"/>
                <w:szCs w:val="24"/>
                <w:u w:val="none" w:color="auto"/>
              </w:rPr>
              <w:t>对位于居民密集区沿线的施工堤段，应采用支架纤维布幕材料进行阻隔，以减弱扬尘对居民区的污染。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⑧混凝土搅拌站周围需设置围挡，并采取洒水抑尘的措施。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color="auto"/>
              </w:rPr>
            </w:pPr>
            <w:r>
              <w:rPr>
                <w:rFonts w:hint="eastAsia"/>
                <w:color w:val="auto"/>
                <w:u w:val="none" w:color="auto"/>
              </w:rPr>
              <w:t>2、施工机械</w:t>
            </w:r>
            <w:r>
              <w:rPr>
                <w:rFonts w:hint="eastAsia"/>
                <w:color w:val="auto"/>
                <w:u w:val="none" w:color="auto"/>
                <w:lang w:val="en-US" w:eastAsia="zh-CN"/>
              </w:rPr>
              <w:t>和</w:t>
            </w:r>
            <w:r>
              <w:rPr>
                <w:rFonts w:hint="eastAsia"/>
                <w:color w:val="auto"/>
                <w:u w:val="none" w:color="auto"/>
              </w:rPr>
              <w:t>运输车辆废气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u w:val="none" w:color="auto"/>
                <w:lang w:eastAsia="zh-CN"/>
              </w:rPr>
            </w:pPr>
            <w:r>
              <w:rPr>
                <w:rFonts w:hint="eastAsia"/>
                <w:color w:val="auto"/>
                <w:u w:val="none" w:color="auto"/>
              </w:rPr>
              <w:t>运输汽车、施工机械等燃油会排放少量尾气，对空气环境也有一定的影响。本项目施工期对燃油施工机械废气控制采取如下措施</w:t>
            </w:r>
            <w:r>
              <w:rPr>
                <w:rFonts w:hint="eastAsia"/>
                <w:color w:val="auto"/>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color="auto"/>
              </w:rPr>
            </w:pPr>
            <w:r>
              <w:rPr>
                <w:rFonts w:hint="eastAsia"/>
                <w:color w:val="auto"/>
                <w:u w:val="none" w:color="auto"/>
              </w:rPr>
              <w:t>①加强大型施工机械和车辆的管理。对所有车辆及大型施工机械定期检查、定期维护。燃油机械和车辆尾气排放应执行GB3847-2005《车用压燃式发动机和压燃式发动机汽车排气烟度排放限值及测量方法》，尾气不能达标排放的汽车，必须配置尾气净化器。施工机械使用无铅汽油等优质燃料。发动机耗油多、效率低、排放尾气严重超标的老旧车辆，应予更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color="auto"/>
              </w:rPr>
            </w:pPr>
            <w:r>
              <w:rPr>
                <w:rFonts w:hint="eastAsia"/>
                <w:color w:val="auto"/>
                <w:u w:val="none" w:color="auto"/>
              </w:rPr>
              <w:t>②加强施工汽车、推土机、挖掘机等燃油设备的维护，保持设备的良好运行。同时尽量利用电力作为施工机械能源，减少燃油污染物的产生。加强车辆运输的合理调配，尽量压缩工区汽车数量与行车密度，减少汽车尾气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u w:val="none" w:color="auto"/>
              </w:rPr>
            </w:pPr>
            <w:r>
              <w:rPr>
                <w:rFonts w:hint="eastAsia"/>
                <w:color w:val="auto"/>
                <w:u w:val="none" w:color="auto"/>
              </w:rPr>
              <w:t>综上所述，在施工期间，通过采取上述的一系列措施，能够减少施工扬尘废气对区域大气环境的影响，且施工扬尘、粉尘和机械废气对大气环境质量的这些不利影响是偶然的、短暂的、局部的，也是施工中不可避免的，其将随施工的结束而消失。</w:t>
            </w:r>
          </w:p>
          <w:p>
            <w:pPr>
              <w:bidi w:val="0"/>
              <w:outlineLvl w:val="9"/>
              <w:rPr>
                <w:rFonts w:hint="default"/>
                <w:b/>
                <w:bCs/>
                <w:color w:val="auto"/>
                <w:sz w:val="24"/>
                <w:szCs w:val="32"/>
                <w:u w:val="none" w:color="auto"/>
              </w:rPr>
            </w:pPr>
            <w:r>
              <w:rPr>
                <w:rFonts w:hint="eastAsia"/>
                <w:b/>
                <w:bCs/>
                <w:color w:val="auto"/>
                <w:sz w:val="24"/>
                <w:szCs w:val="32"/>
                <w:u w:val="none" w:color="auto"/>
                <w:lang w:val="en-US" w:eastAsia="zh-CN"/>
              </w:rPr>
              <w:t>5.2</w:t>
            </w:r>
            <w:r>
              <w:rPr>
                <w:rFonts w:hint="default"/>
                <w:b/>
                <w:bCs/>
                <w:color w:val="auto"/>
                <w:sz w:val="24"/>
                <w:szCs w:val="32"/>
                <w:u w:val="none" w:color="auto"/>
              </w:rPr>
              <w:t>施工期废水</w:t>
            </w:r>
            <w:r>
              <w:rPr>
                <w:rFonts w:hint="eastAsia" w:ascii="Times New Roman" w:hAnsi="Times New Roman" w:cs="Times New Roman"/>
                <w:b/>
                <w:bCs/>
                <w:color w:val="auto"/>
                <w:u w:val="none" w:color="auto"/>
                <w:lang w:val="en-US" w:eastAsia="zh-CN"/>
              </w:rPr>
              <w:t>环境</w:t>
            </w:r>
            <w:r>
              <w:rPr>
                <w:rFonts w:hint="eastAsia" w:cs="Times New Roman"/>
                <w:b/>
                <w:bCs/>
                <w:color w:val="auto"/>
                <w:u w:val="none" w:color="auto"/>
                <w:lang w:val="en-US" w:eastAsia="zh-CN"/>
              </w:rPr>
              <w:t>保护</w:t>
            </w:r>
            <w:r>
              <w:rPr>
                <w:rFonts w:hint="eastAsia" w:ascii="Times New Roman" w:hAnsi="Times New Roman" w:cs="Times New Roman"/>
                <w:b/>
                <w:bCs/>
                <w:color w:val="auto"/>
                <w:u w:val="none" w:color="auto"/>
                <w:lang w:val="en-US" w:eastAsia="zh-CN"/>
              </w:rPr>
              <w:t>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u w:val="none" w:color="auto"/>
                <w:lang w:val="en-US" w:eastAsia="zh-CN"/>
              </w:rPr>
            </w:pPr>
            <w:r>
              <w:rPr>
                <w:rFonts w:hint="default" w:eastAsia="宋体"/>
                <w:color w:val="auto"/>
                <w:u w:val="none" w:color="auto"/>
                <w:lang w:val="en-US" w:eastAsia="zh-CN"/>
              </w:rPr>
              <w:t>项目不设施工营地，施工人员租用当地民房</w:t>
            </w:r>
            <w:r>
              <w:rPr>
                <w:rFonts w:hint="eastAsia"/>
                <w:color w:val="auto"/>
                <w:u w:val="none" w:color="auto"/>
                <w:lang w:val="en-US" w:eastAsia="zh-CN"/>
              </w:rPr>
              <w:t>；</w:t>
            </w:r>
            <w:r>
              <w:rPr>
                <w:rFonts w:hint="default" w:eastAsia="宋体"/>
                <w:color w:val="auto"/>
                <w:u w:val="none" w:color="auto"/>
                <w:lang w:val="en-US" w:eastAsia="zh-CN"/>
              </w:rPr>
              <w:t>本项目施工期间将修建临时沉淀池，施工废水经沉淀池处理后回用于场地洒水降尘，不外排。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u w:val="none" w:color="auto"/>
                <w:lang w:val="en-US" w:eastAsia="zh-CN"/>
              </w:rPr>
            </w:pPr>
            <w:r>
              <w:rPr>
                <w:rFonts w:hint="eastAsia"/>
                <w:color w:val="auto"/>
                <w:u w:val="none" w:color="auto"/>
                <w:lang w:val="en-US" w:eastAsia="zh-CN"/>
              </w:rPr>
              <w:t>①</w:t>
            </w:r>
            <w:r>
              <w:rPr>
                <w:rFonts w:hint="default" w:eastAsia="宋体"/>
                <w:color w:val="auto"/>
                <w:u w:val="none" w:color="auto"/>
                <w:lang w:val="en-US" w:eastAsia="zh-CN"/>
              </w:rPr>
              <w:t>加强施工期管理，针对施工期污水产生过程不连续、废水种类较单一等特点，采取相应措施有效控制污水中污染物的产生量；在施工过程中，定时清洁建筑施工机械表面不必要的润滑油及其它油污，尽量减少建筑施工机械设备与水体直接接触；加强施工机械设备的维修保养，避免施工机械在施工过程中燃料用油跑、冒、滴、漏等现象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u w:val="none" w:color="auto"/>
                <w:lang w:val="en-US" w:eastAsia="zh-CN"/>
              </w:rPr>
            </w:pPr>
            <w:r>
              <w:rPr>
                <w:rFonts w:hint="eastAsia"/>
                <w:color w:val="auto"/>
                <w:u w:val="none" w:color="auto"/>
                <w:lang w:val="en-US" w:eastAsia="zh-CN"/>
              </w:rPr>
              <w:t>②</w:t>
            </w:r>
            <w:r>
              <w:rPr>
                <w:rFonts w:hint="default" w:eastAsia="宋体"/>
                <w:color w:val="auto"/>
                <w:u w:val="none" w:color="auto"/>
                <w:lang w:val="en-US" w:eastAsia="zh-CN"/>
              </w:rPr>
              <w:t>建筑材料集中堆放，并采取一定的防雨淋措施，及时清扫施工运输过程中抛洒的建筑材料，保证这些物质不受雨水冲刷而污染纳污水体。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u w:val="none" w:color="auto"/>
                <w:lang w:val="en-US" w:eastAsia="zh-CN"/>
              </w:rPr>
            </w:pPr>
            <w:r>
              <w:rPr>
                <w:rFonts w:hint="eastAsia"/>
                <w:color w:val="auto"/>
                <w:u w:val="none" w:color="auto"/>
                <w:lang w:val="en-US" w:eastAsia="zh-CN"/>
              </w:rPr>
              <w:t>③</w:t>
            </w:r>
            <w:r>
              <w:rPr>
                <w:rFonts w:hint="default" w:eastAsia="宋体"/>
                <w:color w:val="auto"/>
                <w:u w:val="none" w:color="auto"/>
                <w:lang w:val="en-US" w:eastAsia="zh-CN"/>
              </w:rPr>
              <w:t>施工废水经沉淀池处理后循环使用，多余的废水回用于场地洒水降尘，施工生产废水禁止直接外排。</w:t>
            </w:r>
          </w:p>
          <w:p>
            <w:pPr>
              <w:bidi w:val="0"/>
              <w:outlineLvl w:val="9"/>
              <w:rPr>
                <w:rFonts w:hint="default"/>
                <w:color w:val="auto"/>
                <w:sz w:val="24"/>
                <w:szCs w:val="32"/>
                <w:u w:val="none" w:color="auto"/>
              </w:rPr>
            </w:pPr>
            <w:r>
              <w:rPr>
                <w:rFonts w:hint="eastAsia" w:cs="Times New Roman"/>
                <w:b/>
                <w:bCs/>
                <w:color w:val="auto"/>
                <w:u w:val="none" w:color="auto"/>
                <w:lang w:val="en-US" w:eastAsia="zh-CN"/>
              </w:rPr>
              <w:t>5</w:t>
            </w:r>
            <w:r>
              <w:rPr>
                <w:rFonts w:hint="eastAsia" w:ascii="Times New Roman" w:hAnsi="Times New Roman" w:cs="Times New Roman"/>
                <w:b/>
                <w:bCs/>
                <w:color w:val="auto"/>
                <w:u w:val="none" w:color="auto"/>
                <w:lang w:val="en-US" w:eastAsia="zh-CN"/>
              </w:rPr>
              <w:t>.3施工期噪声环境</w:t>
            </w:r>
            <w:r>
              <w:rPr>
                <w:rFonts w:hint="eastAsia" w:cs="Times New Roman"/>
                <w:b/>
                <w:bCs/>
                <w:color w:val="auto"/>
                <w:u w:val="none" w:color="auto"/>
                <w:lang w:val="en-US" w:eastAsia="zh-CN"/>
              </w:rPr>
              <w:t>保护</w:t>
            </w:r>
            <w:r>
              <w:rPr>
                <w:rFonts w:hint="eastAsia" w:ascii="Times New Roman" w:hAnsi="Times New Roman" w:cs="Times New Roman"/>
                <w:b/>
                <w:bCs/>
                <w:color w:val="auto"/>
                <w:u w:val="none" w:color="auto"/>
                <w:lang w:val="en-US" w:eastAsia="zh-CN"/>
              </w:rPr>
              <w:t>措施</w:t>
            </w:r>
          </w:p>
          <w:p>
            <w:pPr>
              <w:bidi w:val="0"/>
              <w:ind w:firstLine="480" w:firstLineChars="200"/>
              <w:rPr>
                <w:rFonts w:hint="eastAsia"/>
                <w:color w:val="auto"/>
                <w:u w:val="none" w:color="auto"/>
              </w:rPr>
            </w:pPr>
            <w:r>
              <w:rPr>
                <w:rFonts w:hint="eastAsia"/>
                <w:color w:val="auto"/>
                <w:u w:val="none" w:color="auto"/>
              </w:rPr>
              <w:t>为了尽量减小本项目建设施工排放噪声对周围环境可能造成的影响，建设单位和工程施工单位应采取一系列切实可行的措施来防治噪声污染：</w:t>
            </w:r>
          </w:p>
          <w:p>
            <w:pPr>
              <w:bidi w:val="0"/>
              <w:ind w:firstLine="480" w:firstLineChars="200"/>
              <w:rPr>
                <w:rFonts w:hint="eastAsia" w:eastAsia="宋体"/>
                <w:color w:val="auto"/>
                <w:u w:val="none" w:color="auto"/>
                <w:lang w:eastAsia="zh-CN"/>
              </w:rPr>
            </w:pPr>
            <w:r>
              <w:rPr>
                <w:rFonts w:hint="eastAsia"/>
                <w:color w:val="auto"/>
                <w:u w:val="none" w:color="auto"/>
              </w:rPr>
              <w:t>①优先采用低噪声机械，工程施工所用的施工机械设备应事先对其常规工作状态下的噪声测量，超过国家标准的机械应禁止入场施工。施工过程中还应经常对设备进行维修保养，避免因使用的设备性能差而使噪声增加的现象发生；整体设备安装应安放稳固，并与地面保持良好接触，必要时加装减震底座，降低施工噪声对周围环境的影响。</w:t>
            </w:r>
          </w:p>
          <w:p>
            <w:pPr>
              <w:bidi w:val="0"/>
              <w:ind w:firstLine="480" w:firstLineChars="200"/>
              <w:rPr>
                <w:rFonts w:hint="eastAsia" w:eastAsia="宋体"/>
                <w:color w:val="auto"/>
                <w:u w:val="none" w:color="auto"/>
                <w:lang w:eastAsia="zh-CN"/>
              </w:rPr>
            </w:pPr>
            <w:r>
              <w:rPr>
                <w:rFonts w:hint="eastAsia"/>
                <w:color w:val="auto"/>
                <w:u w:val="none" w:color="auto"/>
              </w:rPr>
              <w:t>②在靠近居民附近地段的施工、运输，应调整作业时间，要求施工单位通过文明施工、加强有效管理加以缓解敲击等施工活动的声源。同时采用临时性降噪措施，如采取隔声板等。施工方应该合理有效的制定施工计划，提高工作效率，把施工时间控制在最短范围内，并提起发布公告，最大限度的争取民众支持。</w:t>
            </w:r>
          </w:p>
          <w:p>
            <w:pPr>
              <w:bidi w:val="0"/>
              <w:ind w:firstLine="480" w:firstLineChars="200"/>
              <w:rPr>
                <w:rFonts w:hint="eastAsia" w:eastAsia="宋体"/>
                <w:color w:val="auto"/>
                <w:u w:val="none" w:color="auto"/>
                <w:lang w:eastAsia="zh-CN"/>
              </w:rPr>
            </w:pPr>
            <w:r>
              <w:rPr>
                <w:rFonts w:hint="eastAsia"/>
                <w:color w:val="auto"/>
                <w:u w:val="none" w:color="auto"/>
              </w:rPr>
              <w:t>③合理安排施工时间和布局和施工现场。尽可能避免大量高噪声设备同时施工，以避免局部声级过高。高噪声设备施工时间尽量安排在日间。同时应尽量缩短敏感点附近的高强度噪声设备的施工时间。</w:t>
            </w:r>
          </w:p>
          <w:p>
            <w:pPr>
              <w:bidi w:val="0"/>
              <w:ind w:firstLine="480" w:firstLineChars="200"/>
              <w:rPr>
                <w:rFonts w:hint="eastAsia" w:eastAsia="宋体"/>
                <w:color w:val="auto"/>
                <w:u w:val="none" w:color="auto"/>
                <w:lang w:eastAsia="zh-CN"/>
              </w:rPr>
            </w:pPr>
            <w:r>
              <w:rPr>
                <w:rFonts w:hint="eastAsia"/>
                <w:color w:val="auto"/>
                <w:u w:val="none" w:color="auto"/>
              </w:rPr>
              <w:t>④合理疏导进入施工区的车辆，减少汽车会车时的鸣笛噪声</w:t>
            </w:r>
            <w:r>
              <w:rPr>
                <w:rFonts w:hint="eastAsia"/>
                <w:color w:val="auto"/>
                <w:u w:val="none" w:color="auto"/>
                <w:lang w:eastAsia="zh-CN"/>
              </w:rPr>
              <w:t>。加强车辆管理，控制车辆噪声，施工车辆在经过居民区时，应适当减速，禁止大声鸣笛，以减小噪声污染。</w:t>
            </w:r>
          </w:p>
          <w:p>
            <w:pPr>
              <w:bidi w:val="0"/>
              <w:ind w:firstLine="480" w:firstLineChars="200"/>
              <w:rPr>
                <w:rFonts w:hint="eastAsia" w:eastAsia="宋体"/>
                <w:color w:val="auto"/>
                <w:u w:val="none" w:color="auto"/>
                <w:lang w:eastAsia="zh-CN"/>
              </w:rPr>
            </w:pPr>
            <w:r>
              <w:rPr>
                <w:rFonts w:hint="eastAsia"/>
                <w:color w:val="auto"/>
                <w:u w:val="none" w:color="auto"/>
              </w:rPr>
              <w:t>⑤优化施工方案，合理安排工期，将建筑施工环境噪声危害降到最低程度，施工单位在工程承包时，应把施工噪声控制列入承包内容，并确保各项控制措施的实施。对违反国家规定造成严重后果的，施工单位要承担相应责任</w:t>
            </w:r>
            <w:r>
              <w:rPr>
                <w:rFonts w:hint="eastAsia"/>
                <w:color w:val="auto"/>
                <w:u w:val="none" w:color="auto"/>
                <w:lang w:eastAsia="zh-CN"/>
              </w:rPr>
              <w:t>。</w:t>
            </w:r>
          </w:p>
          <w:p>
            <w:pPr>
              <w:bidi w:val="0"/>
              <w:ind w:firstLine="480" w:firstLineChars="200"/>
              <w:rPr>
                <w:rFonts w:hint="eastAsia"/>
                <w:color w:val="auto"/>
                <w:u w:val="none" w:color="auto"/>
              </w:rPr>
            </w:pPr>
            <w:r>
              <w:rPr>
                <w:rFonts w:hint="eastAsia"/>
                <w:color w:val="auto"/>
                <w:u w:val="none" w:color="auto"/>
              </w:rPr>
              <w:t>⑥施工单位定期对施工场界噪声进行监测，如发现有超标现象，应采取必要的临时降噪措施，减缓可能对周围敏感点造成的环境影响。</w:t>
            </w:r>
          </w:p>
          <w:p>
            <w:pPr>
              <w:bidi w:val="0"/>
              <w:ind w:firstLine="480" w:firstLineChars="200"/>
              <w:outlineLvl w:val="9"/>
              <w:rPr>
                <w:rFonts w:hint="eastAsia" w:ascii="Times New Roman" w:hAnsi="Times New Roman" w:cs="Times New Roman"/>
                <w:color w:val="auto"/>
                <w:u w:val="none" w:color="auto"/>
                <w:lang w:eastAsia="zh-CN"/>
              </w:rPr>
            </w:pPr>
            <w:r>
              <w:rPr>
                <w:rFonts w:hint="eastAsia"/>
                <w:color w:val="auto"/>
                <w:u w:val="none" w:color="auto"/>
              </w:rPr>
              <w:t>综上所述，通过采取以上噪声防控措施后，项目施工不会对周边环境造成明显影响。</w:t>
            </w:r>
          </w:p>
          <w:p>
            <w:pPr>
              <w:bidi w:val="0"/>
              <w:outlineLvl w:val="9"/>
              <w:rPr>
                <w:rFonts w:hint="default" w:eastAsia="宋体"/>
                <w:b/>
                <w:bCs/>
                <w:color w:val="auto"/>
                <w:sz w:val="24"/>
                <w:szCs w:val="32"/>
                <w:u w:val="none" w:color="auto"/>
                <w:lang w:val="en-US" w:eastAsia="zh-CN"/>
              </w:rPr>
            </w:pPr>
            <w:r>
              <w:rPr>
                <w:rFonts w:hint="eastAsia"/>
                <w:b/>
                <w:bCs/>
                <w:color w:val="auto"/>
                <w:sz w:val="24"/>
                <w:szCs w:val="32"/>
                <w:u w:val="none" w:color="auto"/>
                <w:lang w:val="en-US" w:eastAsia="zh-CN"/>
              </w:rPr>
              <w:t>5.4施工期固体废物</w:t>
            </w:r>
            <w:r>
              <w:rPr>
                <w:rFonts w:hint="eastAsia" w:ascii="Times New Roman" w:hAnsi="Times New Roman" w:cs="Times New Roman"/>
                <w:b/>
                <w:bCs/>
                <w:color w:val="auto"/>
                <w:u w:val="none" w:color="auto"/>
                <w:lang w:val="en-US" w:eastAsia="zh-CN"/>
              </w:rPr>
              <w:t>环境</w:t>
            </w:r>
            <w:r>
              <w:rPr>
                <w:rFonts w:hint="eastAsia" w:cs="Times New Roman"/>
                <w:b/>
                <w:bCs/>
                <w:color w:val="auto"/>
                <w:u w:val="none" w:color="auto"/>
                <w:lang w:val="en-US" w:eastAsia="zh-CN"/>
              </w:rPr>
              <w:t>保护</w:t>
            </w:r>
            <w:r>
              <w:rPr>
                <w:rFonts w:hint="eastAsia" w:ascii="Times New Roman" w:hAnsi="Times New Roman" w:cs="Times New Roman"/>
                <w:b/>
                <w:bCs/>
                <w:color w:val="auto"/>
                <w:u w:val="none" w:color="auto"/>
                <w:lang w:val="en-US" w:eastAsia="zh-CN"/>
              </w:rPr>
              <w:t>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u w:val="none" w:color="auto"/>
              </w:rPr>
            </w:pPr>
            <w:r>
              <w:rPr>
                <w:rFonts w:hint="eastAsia"/>
                <w:color w:val="auto"/>
                <w:u w:val="none" w:color="auto"/>
              </w:rPr>
              <w:t>施工期产生固体废物主要为生活垃圾</w:t>
            </w:r>
            <w:r>
              <w:rPr>
                <w:rFonts w:hint="eastAsia"/>
                <w:color w:val="auto"/>
                <w:u w:val="none" w:color="auto"/>
                <w:lang w:eastAsia="zh-CN"/>
              </w:rPr>
              <w:t>、</w:t>
            </w:r>
            <w:r>
              <w:rPr>
                <w:rFonts w:hint="eastAsia"/>
                <w:color w:val="auto"/>
                <w:u w:val="none" w:color="auto"/>
              </w:rPr>
              <w:t>废土石方、建筑弃渣</w:t>
            </w:r>
            <w:r>
              <w:rPr>
                <w:rFonts w:hint="eastAsia"/>
                <w:color w:val="auto"/>
                <w:u w:val="none" w:color="auto"/>
                <w:lang w:val="en-US" w:eastAsia="zh-CN"/>
              </w:rPr>
              <w:t>以及废油</w:t>
            </w:r>
            <w:r>
              <w:rPr>
                <w:rFonts w:hint="eastAsia"/>
                <w:color w:val="auto"/>
                <w:u w:val="none" w:color="auto"/>
              </w:rPr>
              <w:t>。生活垃圾可依托于租用民房垃圾处理设施</w:t>
            </w:r>
            <w:r>
              <w:rPr>
                <w:rFonts w:hint="eastAsia"/>
                <w:color w:val="auto"/>
                <w:kern w:val="0"/>
                <w:szCs w:val="24"/>
                <w:u w:val="none" w:color="auto"/>
                <w:lang w:eastAsia="zh-CN" w:bidi="ar"/>
              </w:rPr>
              <w:t>，</w:t>
            </w:r>
            <w:r>
              <w:rPr>
                <w:rFonts w:hint="eastAsia" w:ascii="Times New Roman" w:hAnsi="Times New Roman" w:eastAsia="宋体"/>
                <w:color w:val="auto"/>
                <w:kern w:val="0"/>
                <w:szCs w:val="24"/>
                <w:u w:val="none" w:color="auto"/>
                <w:lang w:bidi="ar"/>
              </w:rPr>
              <w:t>对周围环境影响较小</w:t>
            </w:r>
            <w:r>
              <w:rPr>
                <w:rFonts w:hint="eastAsia"/>
                <w:color w:val="auto"/>
                <w:kern w:val="0"/>
                <w:szCs w:val="24"/>
                <w:u w:val="none" w:color="auto"/>
                <w:lang w:eastAsia="zh-CN" w:bidi="ar"/>
              </w:rPr>
              <w:t>；</w:t>
            </w:r>
            <w:r>
              <w:rPr>
                <w:rFonts w:hint="eastAsia"/>
                <w:color w:val="auto"/>
              </w:rPr>
              <w:t>废土石方</w:t>
            </w:r>
            <w:r>
              <w:rPr>
                <w:rFonts w:hint="eastAsia"/>
                <w:color w:val="auto"/>
                <w:kern w:val="0"/>
                <w:szCs w:val="24"/>
                <w:lang w:eastAsia="zh-CN" w:bidi="ar"/>
              </w:rPr>
              <w:t>按照水土保持方案要求及时清运至指定地</w:t>
            </w:r>
            <w:r>
              <w:rPr>
                <w:rFonts w:hint="eastAsia"/>
                <w:color w:val="auto"/>
                <w:u w:val="none" w:color="auto"/>
                <w:lang w:eastAsia="zh-CN"/>
              </w:rPr>
              <w:t>；建筑弃渣主要来自施工作业，包括砂石、石块、碎砖瓦、废钢筋等杂物。建设单位要求施工单位规范处理，首先分类收集，尽量回收其中可利用的部分建筑材料，对</w:t>
            </w:r>
            <w:r>
              <w:rPr>
                <w:rFonts w:hint="eastAsia"/>
                <w:color w:val="auto"/>
                <w:u w:val="none" w:color="auto"/>
                <w:lang w:val="en-US" w:eastAsia="zh-CN"/>
              </w:rPr>
              <w:t>不能回收</w:t>
            </w:r>
            <w:r>
              <w:rPr>
                <w:rFonts w:hint="eastAsia"/>
                <w:color w:val="auto"/>
                <w:u w:val="none" w:color="auto"/>
                <w:lang w:eastAsia="zh-CN"/>
              </w:rPr>
              <w:t>利用</w:t>
            </w:r>
            <w:r>
              <w:rPr>
                <w:rFonts w:hint="eastAsia"/>
                <w:color w:val="auto"/>
                <w:u w:val="none" w:color="auto"/>
                <w:lang w:val="en-US" w:eastAsia="zh-CN"/>
              </w:rPr>
              <w:t>的统一</w:t>
            </w:r>
            <w:r>
              <w:rPr>
                <w:rFonts w:hint="eastAsia"/>
                <w:color w:val="auto"/>
                <w:u w:val="none" w:color="auto"/>
                <w:lang w:eastAsia="zh-CN"/>
              </w:rPr>
              <w:t>运至指定地点处置；</w:t>
            </w:r>
            <w:r>
              <w:rPr>
                <w:rFonts w:hint="eastAsia"/>
                <w:color w:val="auto"/>
                <w:u w:val="none" w:color="auto"/>
                <w:lang w:val="en-US" w:eastAsia="zh-CN"/>
              </w:rPr>
              <w:t>废油交由有资质单位处置</w:t>
            </w:r>
            <w:r>
              <w:rPr>
                <w:rFonts w:hint="eastAsia"/>
                <w:color w:val="auto"/>
                <w:u w:val="none" w:color="auto"/>
                <w:lang w:eastAsia="zh-CN"/>
              </w:rPr>
              <w:t>。</w:t>
            </w:r>
          </w:p>
          <w:p>
            <w:pPr>
              <w:bidi w:val="0"/>
              <w:ind w:firstLine="480" w:firstLineChars="200"/>
              <w:rPr>
                <w:rFonts w:hint="eastAsia"/>
                <w:color w:val="auto"/>
                <w:u w:val="none" w:color="auto"/>
              </w:rPr>
            </w:pPr>
            <w:r>
              <w:rPr>
                <w:rFonts w:hint="eastAsia"/>
                <w:color w:val="auto"/>
                <w:u w:val="none" w:color="auto"/>
              </w:rPr>
              <w:t>项目施工期固体废物经采取上述措施后，均能得到有效利用或妥善处理，不会对环境造成不利影响。</w:t>
            </w:r>
          </w:p>
          <w:p>
            <w:pPr>
              <w:bidi w:val="0"/>
              <w:outlineLvl w:val="9"/>
              <w:rPr>
                <w:rFonts w:hint="default" w:ascii="Times New Roman" w:hAnsi="Times New Roman" w:cs="Times New Roman"/>
                <w:color w:val="auto"/>
                <w:u w:val="none" w:color="auto"/>
                <w:lang w:val="en-US" w:eastAsia="zh-CN"/>
              </w:rPr>
            </w:pPr>
            <w:r>
              <w:rPr>
                <w:rFonts w:hint="eastAsia" w:cs="Times New Roman"/>
                <w:b/>
                <w:bCs/>
                <w:color w:val="auto"/>
                <w:u w:val="none" w:color="auto"/>
                <w:lang w:val="en-US" w:eastAsia="zh-CN"/>
              </w:rPr>
              <w:t>5</w:t>
            </w:r>
            <w:r>
              <w:rPr>
                <w:rFonts w:hint="eastAsia" w:ascii="Times New Roman" w:hAnsi="Times New Roman" w:cs="Times New Roman"/>
                <w:b/>
                <w:bCs/>
                <w:color w:val="auto"/>
                <w:u w:val="none" w:color="auto"/>
                <w:lang w:val="en-US" w:eastAsia="zh-CN"/>
              </w:rPr>
              <w:t>.5</w:t>
            </w:r>
            <w:r>
              <w:rPr>
                <w:rFonts w:hint="eastAsia"/>
                <w:b/>
                <w:bCs/>
                <w:color w:val="auto"/>
                <w:u w:val="none" w:color="auto"/>
              </w:rPr>
              <w:t>施工期生态环境影响</w:t>
            </w:r>
            <w:r>
              <w:rPr>
                <w:rFonts w:hint="eastAsia" w:ascii="Times New Roman" w:hAnsi="Times New Roman" w:cs="Times New Roman"/>
                <w:b/>
                <w:bCs/>
                <w:color w:val="auto"/>
                <w:u w:val="none" w:color="auto"/>
                <w:lang w:val="en-US" w:eastAsia="zh-CN"/>
              </w:rPr>
              <w:t>环境</w:t>
            </w:r>
            <w:r>
              <w:rPr>
                <w:rFonts w:hint="eastAsia" w:cs="Times New Roman"/>
                <w:b/>
                <w:bCs/>
                <w:color w:val="auto"/>
                <w:u w:val="none" w:color="auto"/>
                <w:lang w:val="en-US" w:eastAsia="zh-CN"/>
              </w:rPr>
              <w:t>保护</w:t>
            </w:r>
            <w:r>
              <w:rPr>
                <w:rFonts w:hint="eastAsia" w:ascii="Times New Roman" w:hAnsi="Times New Roman" w:cs="Times New Roman"/>
                <w:b/>
                <w:bCs/>
                <w:color w:val="auto"/>
                <w:u w:val="none" w:color="auto"/>
                <w:lang w:val="en-US" w:eastAsia="zh-CN"/>
              </w:rPr>
              <w:t>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工程建设中有土方开挖、机械碾压等作业，这样势必会造成占地范围植被的破坏，部分施工活动会影响区域周边动物的栖息和觅食等。同时会带来扬尘、水土流失等环境问题。为了有效保护工程所在区域的动植物资源，本评价在水土保持等工程措施的基础上提出施工期生态破坏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（1）工程临时占地范围生态环境保护措施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施工场区布设应结合当地条件，因地制宜，合理规划堆料场，</w:t>
            </w:r>
            <w:r>
              <w:rPr>
                <w:rFonts w:hint="eastAsia"/>
                <w:b w:val="0"/>
                <w:bCs w:val="0"/>
                <w:color w:val="auto"/>
                <w:u w:val="none" w:color="auto"/>
                <w:lang w:val="en-US" w:eastAsia="zh-CN"/>
              </w:rPr>
              <w:t>不得占用基本农田</w:t>
            </w:r>
            <w:r>
              <w:rPr>
                <w:rFonts w:hint="eastAsia"/>
                <w:b w:val="0"/>
                <w:bCs w:val="0"/>
                <w:color w:val="auto"/>
                <w:u w:val="none" w:color="auto"/>
              </w:rPr>
              <w:t>，施工场区选择在植被少、距离区域道路较近的场地。对于植被生长较好的地段。对临时占地范围的树苗采取移栽措施，禁止砍伐。施工结束时，及时恢复临时占地范围的土地使用功能。从严控制管理用地，在施工结束后对临时设施进行恢复，是道路的恢复道路，并在道路两侧加固，是绿地的恢复绿地，是耕地的恢复耕种。具体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①在工程的建设中施工单位应注意识别工程沿线保护动植物资源，加强保护动植物的保护和宣传工作，一旦在施工中遇到需要保护的动植物，应当立即向当地林业部门汇报，协商采取妥善的保护措施后才能进行下一步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②从生态和环境的角度出发，建议项目开工建设前，应尽量做好相应的前期宣传和准备工作，施工期严格落实水土保持措施，加强施工管理，尽量减少因植被破坏、水土流失、水质污染等对动植物带来的不利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（2）陆生植物保护措施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①工程占地均为岸线堤坝及岸线沿线居民住房，工程实施后永久占用的这些非绿化用地将种植树木进行绿化，临时占用的土地，工程完工后，将根据其原有的土地利用性质，按照原规模进行恢复。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auto"/>
                <w:u w:val="none" w:color="auto"/>
              </w:rPr>
            </w:pPr>
            <w:r>
              <w:rPr>
                <w:rFonts w:hint="eastAsia"/>
                <w:b w:val="0"/>
                <w:bCs w:val="0"/>
                <w:color w:val="auto"/>
                <w:u w:val="none" w:color="auto"/>
              </w:rPr>
              <w:t>②工程施工时，开挖、堆渣等工程活动将对工程区域部分地表植被造成直接损害，工程竣工后需对施工迹地采取植树、种草、复耕等方式进行绿化，防止水土流失。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③规范施工行为，合理有序施工，优化施工组织，同一施工段实行同向逐步推进施工，相邻施工段错开施工高峰期，避免同一片区出现大规模的会战施工，减少无序施工对陆生植物的破坏。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④施工期间，在岸坡施工区域设置生态警示牌，标明工程施工区范围，禁止越界施工占地或砍伐林木，减少占地造成的植被损失。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（3）陆生动物保护措施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①工程施工期间，加强施工管理与监理，加强对施工人员的环境保护宣传教育，增强大家的环境保护意识。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②施工期间禁止施工人员猎捕蛙类、蛇类、鸟类等野生动物和从事其它有碍生态环境保护的活动，发现珍稀野生动物立即上报林业管理部门。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（3）水生生态保护措施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施工期间，加强施工管理，除种植水生植物净化水体外，禁止施工人员非法捕捞水体内的鱼类或伤害其它水生动物。禁止将废渣等固废弃入</w:t>
            </w:r>
            <w:r>
              <w:rPr>
                <w:rFonts w:hint="eastAsia"/>
                <w:b w:val="0"/>
                <w:bCs w:val="0"/>
                <w:color w:val="auto"/>
                <w:u w:val="none" w:color="auto"/>
                <w:lang w:val="en-US" w:eastAsia="zh-CN"/>
              </w:rPr>
              <w:t>河流</w:t>
            </w:r>
            <w:r>
              <w:rPr>
                <w:rFonts w:hint="eastAsia"/>
                <w:b w:val="0"/>
                <w:bCs w:val="0"/>
                <w:color w:val="auto"/>
                <w:u w:val="none" w:color="auto"/>
              </w:rPr>
              <w:t>。施工过程中不得有采砂、洗砂行为。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val="0"/>
                <w:bCs w:val="0"/>
                <w:color w:val="auto"/>
                <w:u w:val="none" w:color="auto"/>
              </w:rPr>
            </w:pPr>
            <w:r>
              <w:rPr>
                <w:rFonts w:hint="eastAsia"/>
                <w:b w:val="0"/>
                <w:bCs w:val="0"/>
                <w:color w:val="auto"/>
                <w:u w:val="none" w:color="auto"/>
              </w:rPr>
              <w:t>①加强宣传，制定生态环境保护手册，增强环保人员环保意识。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②合理调整施工进度和施工期。涉水工程避开鱼类繁殖期，减小工程施工对鱼类繁殖活动的影响，同时也可降低工程施工对鱼类群体的伤害几率。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③加强监管，严格按照环保要求施工，施工生产废水按环保要求达标后利用，不外排，防止影响水生生物。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lang w:val="en-US" w:eastAsia="zh-CN"/>
              </w:rPr>
            </w:pPr>
            <w:r>
              <w:rPr>
                <w:rFonts w:hint="eastAsia"/>
                <w:b w:val="0"/>
                <w:bCs w:val="0"/>
                <w:color w:val="auto"/>
                <w:u w:val="none" w:color="auto"/>
                <w:lang w:val="en-US" w:eastAsia="zh-CN"/>
              </w:rPr>
              <w:t>④</w:t>
            </w:r>
            <w:r>
              <w:rPr>
                <w:rFonts w:hint="eastAsia"/>
                <w:b w:val="0"/>
                <w:bCs w:val="0"/>
                <w:color w:val="auto"/>
                <w:u w:val="none" w:color="auto"/>
              </w:rPr>
              <w:t>加强对涉水工程施工的管理，及时将渣土、建筑垃圾等运出至渣场堆放，最大限度减少施工废物对河流水质的不利影响。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u w:val="none" w:color="auto"/>
              </w:rPr>
            </w:pPr>
            <w:r>
              <w:rPr>
                <w:rFonts w:hint="eastAsia"/>
                <w:b w:val="0"/>
                <w:bCs w:val="0"/>
                <w:color w:val="auto"/>
                <w:u w:val="none" w:color="auto"/>
              </w:rPr>
              <w:t>综上所述，通过采取以上生态环境保护措施后，项目施工对周边动植物及生态环境造成影响很小。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b/>
                <w:bCs/>
                <w:color w:val="auto"/>
                <w:u w:val="none" w:color="auto"/>
                <w:lang w:val="en-US" w:eastAsia="zh-CN"/>
              </w:rPr>
            </w:pPr>
            <w:r>
              <w:rPr>
                <w:rFonts w:hint="eastAsia"/>
                <w:b/>
                <w:bCs/>
                <w:color w:val="auto"/>
                <w:u w:val="none" w:color="auto"/>
                <w:lang w:val="en-US" w:eastAsia="zh-CN"/>
              </w:rPr>
              <w:t>5.6</w:t>
            </w:r>
            <w:r>
              <w:rPr>
                <w:rFonts w:hint="eastAsia"/>
                <w:b/>
                <w:bCs/>
                <w:color w:val="auto"/>
                <w:u w:val="none" w:color="auto"/>
              </w:rPr>
              <w:t>施工期</w:t>
            </w:r>
            <w:r>
              <w:rPr>
                <w:rFonts w:hint="eastAsia"/>
                <w:b/>
                <w:bCs/>
                <w:color w:val="auto"/>
                <w:u w:val="none" w:color="auto"/>
                <w:lang w:val="en-US" w:eastAsia="zh-CN"/>
              </w:rPr>
              <w:t>水土流失防治措施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 w:val="0"/>
                <w:bCs w:val="0"/>
                <w:color w:val="auto"/>
                <w:u w:val="none" w:color="auto"/>
                <w:lang w:eastAsia="zh-CN"/>
              </w:rPr>
            </w:pPr>
            <w:r>
              <w:rPr>
                <w:rFonts w:hint="eastAsia"/>
                <w:b w:val="0"/>
                <w:bCs w:val="0"/>
                <w:color w:val="auto"/>
                <w:u w:val="none" w:color="auto"/>
                <w:lang w:eastAsia="zh-CN"/>
              </w:rPr>
              <w:t>（</w:t>
            </w:r>
            <w:r>
              <w:rPr>
                <w:rFonts w:hint="eastAsia"/>
                <w:b w:val="0"/>
                <w:bCs w:val="0"/>
                <w:color w:val="auto"/>
                <w:u w:val="none" w:color="auto"/>
                <w:lang w:val="en-US" w:eastAsia="zh-CN"/>
              </w:rPr>
              <w:t>1</w:t>
            </w:r>
            <w:r>
              <w:rPr>
                <w:rFonts w:hint="eastAsia"/>
                <w:b w:val="0"/>
                <w:bCs w:val="0"/>
                <w:color w:val="auto"/>
                <w:u w:val="none" w:color="auto"/>
                <w:lang w:eastAsia="zh-CN"/>
              </w:rPr>
              <w:t>）堤防工程区</w:t>
            </w:r>
          </w:p>
          <w:p>
            <w:pPr>
              <w:bidi w:val="0"/>
              <w:ind w:firstLine="480" w:firstLineChars="200"/>
              <w:outlineLvl w:val="9"/>
              <w:rPr>
                <w:rFonts w:hint="eastAsia" w:cs="Times New Roman"/>
                <w:color w:val="auto"/>
                <w:u w:val="none" w:color="auto"/>
                <w:lang w:val="en-US" w:eastAsia="zh-CN"/>
              </w:rPr>
            </w:pPr>
            <w:r>
              <w:rPr>
                <w:rFonts w:hint="eastAsia"/>
                <w:color w:val="auto"/>
                <w:u w:val="none" w:color="auto"/>
              </w:rPr>
              <w:t>主体工程在堤防坡面布设草皮护坡，堤防加固区域通过撒播草籽进行绿化防护</w:t>
            </w:r>
            <w:r>
              <w:rPr>
                <w:rFonts w:hint="eastAsia"/>
                <w:color w:val="auto"/>
                <w:u w:val="none" w:color="auto"/>
                <w:lang w:eastAsia="zh-CN"/>
              </w:rPr>
              <w:t>；</w:t>
            </w:r>
            <w:r>
              <w:rPr>
                <w:rFonts w:hint="eastAsia"/>
                <w:color w:val="auto"/>
                <w:u w:val="none" w:color="auto"/>
              </w:rPr>
              <w:t>施工过程中对开挖裸露坡面进行临时苫盖，开挖坡面顶部设置截水沟，防止降雨冲刷，有效减小了水土流失。施工结束后，回覆表土，采取绿化措施进行防护。</w:t>
            </w:r>
            <w:r>
              <w:rPr>
                <w:rFonts w:hint="eastAsia" w:cs="Times New Roman"/>
                <w:color w:val="auto"/>
                <w:u w:val="none" w:color="auto"/>
                <w:lang w:val="en-US" w:eastAsia="zh-CN"/>
              </w:rPr>
              <w:t>施工结束后，场地需进行土地平整。堤防坡面采取草皮护坡进行绿化防护。堤防加固区域通过撒播草籽进行绿化防护。草籽用量按照65kg/hm</w:t>
            </w:r>
            <w:r>
              <w:rPr>
                <w:rFonts w:hint="eastAsia" w:cs="Times New Roman"/>
                <w:color w:val="auto"/>
                <w:u w:val="none" w:color="auto"/>
                <w:vertAlign w:val="superscript"/>
                <w:lang w:val="en-US" w:eastAsia="zh-CN"/>
              </w:rPr>
              <w:t>2</w:t>
            </w:r>
            <w:r>
              <w:rPr>
                <w:rFonts w:hint="eastAsia" w:cs="Times New Roman"/>
                <w:color w:val="auto"/>
                <w:u w:val="none" w:color="auto"/>
                <w:lang w:val="en-US" w:eastAsia="zh-CN"/>
              </w:rPr>
              <w:t>。用白三叶和狗牙根等草籽。施工过程中对开挖裸露坡面及堆放表土进行临时苫盖，防止降雨冲刷，有效减小水土流失。</w:t>
            </w:r>
          </w:p>
          <w:p>
            <w:pPr>
              <w:bidi w:val="0"/>
              <w:ind w:firstLine="480" w:firstLineChars="200"/>
              <w:outlineLvl w:val="9"/>
              <w:rPr>
                <w:rFonts w:hint="eastAsia" w:cs="Times New Roman"/>
                <w:color w:val="auto"/>
                <w:u w:val="none" w:color="auto"/>
                <w:lang w:val="en-US" w:eastAsia="zh-CN"/>
              </w:rPr>
            </w:pPr>
            <w:r>
              <w:rPr>
                <w:rFonts w:hint="eastAsia" w:cs="Times New Roman"/>
                <w:color w:val="auto"/>
                <w:u w:val="none" w:color="auto"/>
                <w:lang w:val="en-US" w:eastAsia="zh-CN"/>
              </w:rPr>
              <w:t>（2）</w:t>
            </w:r>
            <w:r>
              <w:rPr>
                <w:rFonts w:hint="eastAsia"/>
                <w:color w:val="auto"/>
                <w:u w:val="none" w:color="auto"/>
              </w:rPr>
              <w:t>施工临建</w:t>
            </w:r>
            <w:r>
              <w:rPr>
                <w:color w:val="auto"/>
                <w:u w:val="none" w:color="auto"/>
              </w:rPr>
              <w:t>区</w:t>
            </w:r>
          </w:p>
          <w:p>
            <w:pPr>
              <w:ind w:firstLine="480"/>
              <w:rPr>
                <w:color w:val="auto"/>
                <w:u w:val="none" w:color="auto"/>
              </w:rPr>
            </w:pPr>
            <w:r>
              <w:rPr>
                <w:rFonts w:hint="eastAsia"/>
                <w:color w:val="auto"/>
                <w:u w:val="none" w:color="auto"/>
              </w:rPr>
              <w:t>根据堤防施工特点，在施工时需布置临时堆土场。施工期间设置临时苫盖、临时排水沟、临时沉沙池：</w:t>
            </w:r>
            <w:r>
              <w:rPr>
                <w:color w:val="auto"/>
                <w:u w:val="none" w:color="auto"/>
              </w:rPr>
              <w:t>施工结束后恢复原地貌，撒播草籽进行绿化。为配合</w:t>
            </w:r>
            <w:r>
              <w:rPr>
                <w:rFonts w:hint="eastAsia"/>
                <w:color w:val="auto"/>
                <w:u w:val="none" w:color="auto"/>
              </w:rPr>
              <w:t>临时堆土</w:t>
            </w:r>
            <w:r>
              <w:rPr>
                <w:color w:val="auto"/>
                <w:u w:val="none" w:color="auto"/>
              </w:rPr>
              <w:t>区水土保持措施实施，并加强水土保持宣教力度，设置了水土保持宣传牌和警示牌各1个，施工出入口布设冲洗设施，对施工车辆进行冲洗。</w:t>
            </w:r>
            <w:r>
              <w:rPr>
                <w:rFonts w:hint="eastAsia"/>
                <w:color w:val="auto"/>
                <w:u w:val="none" w:color="auto"/>
              </w:rPr>
              <w:t>施工临建区</w:t>
            </w:r>
            <w:r>
              <w:rPr>
                <w:color w:val="auto"/>
                <w:u w:val="none" w:color="auto"/>
              </w:rPr>
              <w:t>防治措施具体如下：</w:t>
            </w:r>
          </w:p>
          <w:p>
            <w:pPr>
              <w:ind w:firstLine="480"/>
              <w:rPr>
                <w:color w:val="auto"/>
                <w:u w:val="none" w:color="auto"/>
              </w:rPr>
            </w:pPr>
            <w:r>
              <w:rPr>
                <w:rFonts w:hint="eastAsia"/>
                <w:color w:val="auto"/>
                <w:u w:val="none" w:color="auto"/>
              </w:rPr>
              <w:t>①工程措施：表土剥离</w:t>
            </w:r>
            <w:r>
              <w:rPr>
                <w:color w:val="auto"/>
                <w:u w:val="none" w:color="auto"/>
              </w:rPr>
              <w:t>600m</w:t>
            </w:r>
            <w:r>
              <w:rPr>
                <w:color w:val="auto"/>
                <w:u w:val="none" w:color="auto"/>
                <w:vertAlign w:val="superscript"/>
              </w:rPr>
              <w:t>3</w:t>
            </w:r>
            <w:r>
              <w:rPr>
                <w:rFonts w:hint="eastAsia"/>
                <w:color w:val="auto"/>
                <w:u w:val="none" w:color="auto"/>
              </w:rPr>
              <w:t>，表土回填</w:t>
            </w:r>
            <w:r>
              <w:rPr>
                <w:color w:val="auto"/>
                <w:u w:val="none" w:color="auto"/>
              </w:rPr>
              <w:t>600m</w:t>
            </w:r>
            <w:r>
              <w:rPr>
                <w:color w:val="auto"/>
                <w:u w:val="none" w:color="auto"/>
                <w:vertAlign w:val="superscript"/>
              </w:rPr>
              <w:t>3</w:t>
            </w:r>
            <w:r>
              <w:rPr>
                <w:rFonts w:hint="eastAsia"/>
                <w:color w:val="auto"/>
                <w:u w:val="none" w:color="auto"/>
              </w:rPr>
              <w:t>；</w:t>
            </w:r>
          </w:p>
          <w:p>
            <w:pPr>
              <w:ind w:firstLine="480"/>
              <w:rPr>
                <w:color w:val="auto"/>
                <w:u w:val="none" w:color="auto"/>
              </w:rPr>
            </w:pPr>
            <w:r>
              <w:rPr>
                <w:rFonts w:hint="eastAsia"/>
                <w:color w:val="auto"/>
                <w:u w:val="none" w:color="auto"/>
              </w:rPr>
              <w:t>②植物措施</w:t>
            </w:r>
            <w:r>
              <w:rPr>
                <w:rFonts w:hint="eastAsia"/>
                <w:color w:val="auto"/>
                <w:u w:val="none" w:color="auto"/>
                <w:lang w:eastAsia="zh-CN"/>
              </w:rPr>
              <w:t>：</w:t>
            </w:r>
            <w:r>
              <w:rPr>
                <w:rFonts w:hint="eastAsia"/>
                <w:color w:val="auto"/>
                <w:u w:val="none" w:color="auto"/>
              </w:rPr>
              <w:t>撒播草籽</w:t>
            </w:r>
            <w:r>
              <w:rPr>
                <w:color w:val="auto"/>
                <w:u w:val="none" w:color="auto"/>
              </w:rPr>
              <w:t>16kg</w:t>
            </w:r>
            <w:r>
              <w:rPr>
                <w:rFonts w:hint="eastAsia"/>
                <w:color w:val="auto"/>
                <w:u w:val="none" w:color="auto"/>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32"/>
                <w:u w:val="none" w:color="auto"/>
                <w:lang w:val="en-US" w:eastAsia="zh-CN"/>
              </w:rPr>
            </w:pPr>
            <w:r>
              <w:rPr>
                <w:rFonts w:hint="eastAsia"/>
                <w:color w:val="auto"/>
                <w:u w:val="none" w:color="auto"/>
              </w:rPr>
              <w:t>③临时措施</w:t>
            </w:r>
            <w:r>
              <w:rPr>
                <w:rFonts w:hint="eastAsia"/>
                <w:color w:val="auto"/>
                <w:u w:val="none" w:color="auto"/>
                <w:lang w:eastAsia="zh-CN"/>
              </w:rPr>
              <w:t>：</w:t>
            </w:r>
            <w:r>
              <w:rPr>
                <w:rFonts w:hint="eastAsia"/>
                <w:color w:val="auto"/>
                <w:u w:val="none" w:color="auto"/>
              </w:rPr>
              <w:t>临时沉砂池2座，临时排水沟</w:t>
            </w:r>
            <w:r>
              <w:rPr>
                <w:color w:val="auto"/>
                <w:u w:val="none" w:color="auto"/>
              </w:rPr>
              <w:t>57m。</w:t>
            </w:r>
          </w:p>
          <w:p>
            <w:pPr>
              <w:bidi w:val="0"/>
              <w:outlineLvl w:val="9"/>
              <w:rPr>
                <w:rFonts w:hint="default" w:eastAsia="宋体"/>
                <w:b/>
                <w:bCs/>
                <w:color w:val="auto"/>
                <w:u w:val="none" w:color="auto"/>
                <w:vertAlign w:val="baseline"/>
                <w:lang w:val="en-US" w:eastAsia="zh-CN"/>
              </w:rPr>
            </w:pPr>
            <w:r>
              <w:rPr>
                <w:rFonts w:hint="eastAsia"/>
                <w:b/>
                <w:bCs/>
                <w:color w:val="auto"/>
                <w:u w:val="none" w:color="auto"/>
                <w:vertAlign w:val="baseline"/>
                <w:lang w:val="en-US" w:eastAsia="zh-CN"/>
              </w:rPr>
              <w:t>5.7</w:t>
            </w:r>
            <w:r>
              <w:rPr>
                <w:rFonts w:hint="eastAsia"/>
                <w:b/>
                <w:bCs/>
                <w:color w:val="auto"/>
                <w:vertAlign w:val="baseline"/>
                <w:lang w:val="en-US" w:eastAsia="zh-CN"/>
              </w:rPr>
              <w:t>施工期环境风险防范措施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32"/>
                <w:u w:val="none" w:color="auto"/>
                <w:lang w:val="en-US" w:eastAsia="zh-CN"/>
              </w:rPr>
            </w:pPr>
            <w:r>
              <w:rPr>
                <w:rFonts w:hint="eastAsia" w:cs="Times New Roman"/>
                <w:b w:val="0"/>
                <w:bCs w:val="0"/>
                <w:color w:val="auto"/>
                <w:sz w:val="24"/>
                <w:szCs w:val="32"/>
                <w:u w:val="none" w:color="auto"/>
                <w:lang w:val="en-US" w:eastAsia="zh-CN"/>
              </w:rPr>
              <w:t>施工期间可能发生的环境风险事故主要为施工机械及运输车辆可能发生燃料油泄漏事故以及取弃土场可能发生成滑坡或开挖面垮塌的事故风险。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32"/>
                <w:u w:val="none" w:color="auto"/>
                <w:lang w:val="en-US" w:eastAsia="zh-CN"/>
              </w:rPr>
            </w:pPr>
            <w:r>
              <w:rPr>
                <w:rFonts w:hint="eastAsia" w:cs="Times New Roman"/>
                <w:b w:val="0"/>
                <w:bCs w:val="0"/>
                <w:color w:val="auto"/>
                <w:sz w:val="24"/>
                <w:szCs w:val="32"/>
                <w:u w:val="none" w:color="auto"/>
                <w:lang w:val="en-US" w:eastAsia="zh-CN"/>
              </w:rPr>
              <w:t>燃料油进入河道水体会导致水体中石油类含量增加，水体表面覆盖油层，对水源地水质及水生生态环境造成较大的影响。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32"/>
                <w:u w:val="none" w:color="auto"/>
                <w:lang w:val="en-US" w:eastAsia="zh-CN"/>
              </w:rPr>
            </w:pPr>
            <w:r>
              <w:rPr>
                <w:rFonts w:hint="eastAsia" w:cs="Times New Roman"/>
                <w:b w:val="0"/>
                <w:bCs w:val="0"/>
                <w:color w:val="auto"/>
                <w:sz w:val="24"/>
                <w:szCs w:val="32"/>
                <w:u w:val="none" w:color="auto"/>
                <w:lang w:val="en-US" w:eastAsia="zh-CN"/>
              </w:rPr>
              <w:t>由于工程边坡开挖或其它不可预见的因素，在暴雨来临时，可能使尚未进行防护的土堆、堤岸或山坡开挖面冲塌造成的渣料、石料滑坡等，从而可能引起农田压占、增加河道淤积、影响行洪能力和局部交通堵塞、人员伤亡等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施工单位应制定事故风险溢油应急计划，并按计划中的步骤执行；对施工机械进行定期维修保养，避免发生溢油事故；在施工时，必须配备足够的油污染净化、清理器材和防护设备。若施工期施工机械发生泄露事故，在有关部门的指导和配合下，及时采取浮油拦截和吸附措施，直至油污消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u w:val="none" w:color="auto"/>
                <w:vertAlign w:val="baseline"/>
                <w:lang w:val="en-US" w:eastAsia="zh-CN"/>
              </w:rPr>
            </w:pPr>
            <w:r>
              <w:rPr>
                <w:rFonts w:hint="default" w:ascii="Times New Roman" w:hAnsi="Times New Roman" w:eastAsia="宋体" w:cs="Times New Roman"/>
                <w:color w:val="auto"/>
                <w:kern w:val="2"/>
                <w:sz w:val="24"/>
                <w:szCs w:val="24"/>
                <w:u w:val="none" w:color="auto"/>
                <w:vertAlign w:val="baseline"/>
                <w:lang w:val="en-US" w:eastAsia="zh-CN" w:bidi="ar-SA"/>
              </w:rPr>
              <w:t>施工单位</w:t>
            </w:r>
            <w:r>
              <w:rPr>
                <w:rFonts w:hint="eastAsia" w:ascii="Times New Roman" w:hAnsi="Times New Roman" w:eastAsia="宋体" w:cs="Times New Roman"/>
                <w:color w:val="auto"/>
                <w:kern w:val="2"/>
                <w:sz w:val="24"/>
                <w:szCs w:val="24"/>
                <w:u w:val="none" w:color="auto"/>
                <w:vertAlign w:val="baseline"/>
                <w:lang w:val="en-US" w:eastAsia="zh-CN" w:bidi="ar-SA"/>
              </w:rPr>
              <w:t>应</w:t>
            </w:r>
            <w:r>
              <w:rPr>
                <w:rFonts w:hint="default" w:ascii="Times New Roman" w:hAnsi="Times New Roman" w:eastAsia="宋体" w:cs="Times New Roman"/>
                <w:color w:val="auto"/>
                <w:kern w:val="2"/>
                <w:sz w:val="24"/>
                <w:szCs w:val="24"/>
                <w:u w:val="none" w:color="auto"/>
                <w:vertAlign w:val="baseline"/>
                <w:lang w:val="en-US" w:eastAsia="zh-CN" w:bidi="ar-SA"/>
              </w:rPr>
              <w:t>请专业有资质的单位对</w:t>
            </w:r>
            <w:r>
              <w:rPr>
                <w:rFonts w:hint="eastAsia" w:ascii="Times New Roman" w:hAnsi="Times New Roman" w:eastAsia="宋体" w:cs="Times New Roman"/>
                <w:color w:val="auto"/>
                <w:kern w:val="2"/>
                <w:sz w:val="24"/>
                <w:szCs w:val="24"/>
                <w:u w:val="none" w:color="auto"/>
                <w:vertAlign w:val="baseline"/>
                <w:lang w:val="en-US" w:eastAsia="zh-CN" w:bidi="ar-SA"/>
              </w:rPr>
              <w:t>取弃土场进行</w:t>
            </w:r>
            <w:r>
              <w:rPr>
                <w:rFonts w:hint="default" w:ascii="Times New Roman" w:hAnsi="Times New Roman" w:eastAsia="宋体" w:cs="Times New Roman"/>
                <w:color w:val="auto"/>
                <w:kern w:val="2"/>
                <w:sz w:val="24"/>
                <w:szCs w:val="24"/>
                <w:u w:val="none" w:color="auto"/>
                <w:vertAlign w:val="baseline"/>
                <w:lang w:val="en-US" w:eastAsia="zh-CN" w:bidi="ar-SA"/>
              </w:rPr>
              <w:t>截排水沟的设计，并采取专门的防护措施</w:t>
            </w:r>
            <w:r>
              <w:rPr>
                <w:rFonts w:hint="eastAsia" w:ascii="Times New Roman" w:hAnsi="Times New Roman" w:eastAsia="宋体" w:cs="Times New Roman"/>
                <w:color w:val="auto"/>
                <w:kern w:val="2"/>
                <w:sz w:val="24"/>
                <w:szCs w:val="24"/>
                <w:u w:val="none" w:color="auto"/>
                <w:vertAlign w:val="baseline"/>
                <w:lang w:val="en-US" w:eastAsia="zh-CN" w:bidi="ar-SA"/>
              </w:rPr>
              <w:t>，及时进行复绿措施等。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221" w:type="pct"/>
            <w:tcBorders>
              <w:tl2br w:val="nil"/>
              <w:tr2bl w:val="nil"/>
            </w:tcBorders>
            <w:vAlign w:val="center"/>
          </w:tcPr>
          <w:p>
            <w:pPr>
              <w:bidi w:val="0"/>
              <w:jc w:val="center"/>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运营期生态环境保护措施</w:t>
            </w:r>
          </w:p>
        </w:tc>
        <w:tc>
          <w:tcPr>
            <w:tcW w:w="4778" w:type="pct"/>
            <w:tcBorders>
              <w:tl2br w:val="nil"/>
              <w:tr2bl w:val="nil"/>
            </w:tcBorders>
          </w:tcPr>
          <w:p>
            <w:pPr>
              <w:bidi w:val="0"/>
              <w:outlineLvl w:val="9"/>
              <w:rPr>
                <w:rFonts w:hint="default" w:eastAsia="宋体"/>
                <w:b/>
                <w:bCs/>
                <w:color w:val="auto"/>
                <w:u w:val="none" w:color="auto"/>
                <w:vertAlign w:val="baseline"/>
                <w:lang w:val="en-US" w:eastAsia="zh-CN"/>
              </w:rPr>
            </w:pPr>
            <w:r>
              <w:rPr>
                <w:rFonts w:hint="eastAsia"/>
                <w:b/>
                <w:bCs/>
                <w:color w:val="auto"/>
                <w:u w:val="none" w:color="auto"/>
                <w:vertAlign w:val="baseline"/>
                <w:lang w:val="en-US" w:eastAsia="zh-CN"/>
              </w:rPr>
              <w:t>5.8运营期</w:t>
            </w:r>
            <w:r>
              <w:rPr>
                <w:rFonts w:hint="default" w:eastAsia="宋体"/>
                <w:b/>
                <w:bCs/>
                <w:color w:val="auto"/>
                <w:u w:val="none" w:color="auto"/>
                <w:vertAlign w:val="baseline"/>
                <w:lang w:val="en-US" w:eastAsia="zh-CN"/>
              </w:rPr>
              <w:t>生态环境防治措施</w:t>
            </w:r>
          </w:p>
          <w:p>
            <w:pPr>
              <w:bidi w:val="0"/>
              <w:ind w:firstLine="480" w:firstLineChars="200"/>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本工程建成运行后，由工程施工造成的地表植被破坏等影响将逐步得到恢复，同时工程影响区的生态环境也将逐步恢复到工程建设前的状态，因此营运期的生态环境保护措施主要有：</w:t>
            </w:r>
          </w:p>
          <w:p>
            <w:pPr>
              <w:bidi w:val="0"/>
              <w:ind w:firstLine="480" w:firstLineChars="200"/>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①为保护河道的水质和感观的要求，必须制定禁止向河道扔垃圾、杂物等管理制度，并严格管理，经常监督检查，保证水质能真正达到水质和景观的要求。</w:t>
            </w:r>
          </w:p>
          <w:p>
            <w:pPr>
              <w:bidi w:val="0"/>
              <w:ind w:firstLine="480" w:firstLineChars="200"/>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②禁止新建、改建、扩建与供水设施和保护水源无关的建设项目</w:t>
            </w:r>
            <w:r>
              <w:rPr>
                <w:rFonts w:hint="eastAsia"/>
                <w:color w:val="auto"/>
                <w:u w:val="none" w:color="auto"/>
                <w:vertAlign w:val="baseline"/>
                <w:lang w:val="en-US" w:eastAsia="zh-CN"/>
              </w:rPr>
              <w:t>。</w:t>
            </w:r>
          </w:p>
          <w:p>
            <w:pPr>
              <w:bidi w:val="0"/>
              <w:ind w:firstLine="480" w:firstLineChars="200"/>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③开展水源保护区相关宣传活动，加深周边村民对水源保护区的了解，加强周边群众水源保护区保护意识。</w:t>
            </w:r>
          </w:p>
          <w:p>
            <w:pPr>
              <w:bidi w:val="0"/>
              <w:ind w:firstLine="480" w:firstLineChars="200"/>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④对本项目工程影响区实施生态恢复的监控，保证生态恢复的预期效果。</w:t>
            </w:r>
          </w:p>
          <w:p>
            <w:pPr>
              <w:bidi w:val="0"/>
              <w:ind w:firstLine="480" w:firstLineChars="200"/>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⑤禁止在河道管理范国内建设妨碍行洪的建</w:t>
            </w:r>
            <w:r>
              <w:rPr>
                <w:rFonts w:hint="eastAsia"/>
                <w:color w:val="auto"/>
                <w:u w:val="none" w:color="auto"/>
                <w:vertAlign w:val="baseline"/>
                <w:lang w:val="en-US" w:eastAsia="zh-CN"/>
              </w:rPr>
              <w:t>（构）</w:t>
            </w:r>
            <w:r>
              <w:rPr>
                <w:rFonts w:hint="default" w:eastAsia="宋体"/>
                <w:color w:val="auto"/>
                <w:u w:val="none" w:color="auto"/>
                <w:vertAlign w:val="baseline"/>
                <w:lang w:val="en-US" w:eastAsia="zh-CN"/>
              </w:rPr>
              <w:t>筑物、乱倾乱倒、非法采沙取和从事其他妨碍河道行洪的生产经营活动</w:t>
            </w:r>
            <w:r>
              <w:rPr>
                <w:rFonts w:hint="eastAsia"/>
                <w:color w:val="auto"/>
                <w:u w:val="none" w:color="auto"/>
                <w:vertAlign w:val="baseline"/>
                <w:lang w:val="en-US" w:eastAsia="zh-CN"/>
              </w:rPr>
              <w:t>。</w:t>
            </w:r>
          </w:p>
          <w:p>
            <w:pPr>
              <w:bidi w:val="0"/>
              <w:ind w:firstLine="480" w:firstLineChars="200"/>
              <w:outlineLvl w:val="9"/>
              <w:rPr>
                <w:rFonts w:hint="default" w:eastAsia="宋体"/>
                <w:color w:val="auto"/>
                <w:u w:val="none" w:color="auto"/>
                <w:vertAlign w:val="baseline"/>
                <w:lang w:val="en-US" w:eastAsia="zh-CN"/>
              </w:rPr>
            </w:pPr>
            <w:r>
              <w:rPr>
                <w:rFonts w:hint="eastAsia"/>
                <w:color w:val="auto"/>
                <w:u w:val="none" w:color="auto"/>
                <w:vertAlign w:val="baseline"/>
                <w:lang w:val="en-US" w:eastAsia="zh-CN"/>
              </w:rPr>
              <w:t>⑥</w:t>
            </w:r>
            <w:r>
              <w:rPr>
                <w:rFonts w:hint="default" w:eastAsia="宋体"/>
                <w:color w:val="auto"/>
                <w:u w:val="none" w:color="auto"/>
                <w:vertAlign w:val="baseline"/>
                <w:lang w:val="en-US" w:eastAsia="zh-CN"/>
              </w:rPr>
              <w:t>禁止损毁水工程建筑物、划界管理线桩</w:t>
            </w:r>
            <w:r>
              <w:rPr>
                <w:rFonts w:hint="eastAsia"/>
                <w:color w:val="auto"/>
                <w:u w:val="none" w:color="auto"/>
                <w:vertAlign w:val="baseline"/>
                <w:lang w:val="en-US" w:eastAsia="zh-CN"/>
              </w:rPr>
              <w:t>（牌）</w:t>
            </w:r>
            <w:r>
              <w:rPr>
                <w:rFonts w:hint="default" w:eastAsia="宋体"/>
                <w:color w:val="auto"/>
                <w:u w:val="none" w:color="auto"/>
                <w:vertAlign w:val="baseline"/>
                <w:lang w:val="en-US" w:eastAsia="zh-CN"/>
              </w:rPr>
              <w:t>及公示牌和防汛水文设施。</w:t>
            </w:r>
          </w:p>
          <w:p>
            <w:pPr>
              <w:bidi w:val="0"/>
              <w:outlineLvl w:val="9"/>
              <w:rPr>
                <w:rFonts w:hint="default" w:eastAsia="宋体"/>
                <w:b/>
                <w:bCs/>
                <w:color w:val="auto"/>
                <w:u w:val="none" w:color="auto"/>
                <w:vertAlign w:val="baseline"/>
                <w:lang w:val="en-US" w:eastAsia="zh-CN"/>
              </w:rPr>
            </w:pPr>
            <w:r>
              <w:rPr>
                <w:rFonts w:hint="eastAsia"/>
                <w:b/>
                <w:bCs/>
                <w:color w:val="auto"/>
                <w:u w:val="none" w:color="auto"/>
                <w:vertAlign w:val="baseline"/>
                <w:lang w:val="en-US" w:eastAsia="zh-CN"/>
              </w:rPr>
              <w:t>5.9运营期废水、废气、噪声等</w:t>
            </w:r>
            <w:r>
              <w:rPr>
                <w:rFonts w:hint="default" w:eastAsia="宋体"/>
                <w:b/>
                <w:bCs/>
                <w:color w:val="auto"/>
                <w:u w:val="none" w:color="auto"/>
                <w:vertAlign w:val="baseline"/>
                <w:lang w:val="en-US" w:eastAsia="zh-CN"/>
              </w:rPr>
              <w:t>污染防治措施</w:t>
            </w:r>
          </w:p>
          <w:p>
            <w:pPr>
              <w:bidi w:val="0"/>
              <w:ind w:firstLine="480" w:firstLineChars="200"/>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本项目为</w:t>
            </w:r>
            <w:r>
              <w:rPr>
                <w:rFonts w:hint="eastAsia" w:cs="Times New Roman"/>
                <w:color w:val="auto"/>
                <w:u w:val="none" w:color="auto"/>
                <w:lang w:val="en-US" w:eastAsia="zh-CN"/>
              </w:rPr>
              <w:t>防洪除涝工程</w:t>
            </w:r>
            <w:r>
              <w:rPr>
                <w:rFonts w:hint="default" w:eastAsia="宋体"/>
                <w:color w:val="auto"/>
                <w:u w:val="none" w:color="auto"/>
                <w:vertAlign w:val="baseline"/>
                <w:lang w:val="en-US" w:eastAsia="zh-CN"/>
              </w:rPr>
              <w:t>，对周边环境的影响主要集中在施工期，运营期无污染物产生，对周边生态环境的影响较小。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221" w:type="pct"/>
            <w:tcBorders>
              <w:tl2br w:val="nil"/>
              <w:tr2bl w:val="nil"/>
            </w:tcBorders>
            <w:vAlign w:val="center"/>
          </w:tcPr>
          <w:p>
            <w:pPr>
              <w:bidi w:val="0"/>
              <w:jc w:val="center"/>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其他</w:t>
            </w:r>
          </w:p>
        </w:tc>
        <w:tc>
          <w:tcPr>
            <w:tcW w:w="477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b/>
                <w:bCs/>
                <w:color w:val="auto"/>
                <w:u w:val="none" w:color="auto"/>
              </w:rPr>
            </w:pPr>
            <w:r>
              <w:rPr>
                <w:rFonts w:hint="eastAsia"/>
                <w:b/>
                <w:bCs/>
                <w:color w:val="auto"/>
                <w:u w:val="none" w:color="auto"/>
                <w:lang w:val="en-US" w:eastAsia="zh-CN"/>
              </w:rPr>
              <w:t>5.10施工期</w:t>
            </w:r>
            <w:r>
              <w:rPr>
                <w:rFonts w:hint="eastAsia"/>
                <w:b/>
                <w:bCs/>
                <w:color w:val="auto"/>
                <w:u w:val="none" w:color="auto"/>
              </w:rPr>
              <w:t>环境</w:t>
            </w:r>
            <w:r>
              <w:rPr>
                <w:rFonts w:hint="eastAsia"/>
                <w:b/>
                <w:bCs/>
                <w:color w:val="auto"/>
                <w:u w:val="none" w:color="auto"/>
                <w:lang w:val="en-US" w:eastAsia="zh-CN"/>
              </w:rPr>
              <w:t>监理</w:t>
            </w:r>
          </w:p>
          <w:p>
            <w:pPr>
              <w:bidi w:val="0"/>
              <w:ind w:firstLine="480" w:firstLineChars="200"/>
              <w:rPr>
                <w:rFonts w:hint="default" w:eastAsia="宋体"/>
                <w:color w:val="auto"/>
                <w:u w:val="none" w:color="auto"/>
                <w:lang w:val="en-US" w:eastAsia="zh-CN"/>
              </w:rPr>
            </w:pPr>
            <w:r>
              <w:rPr>
                <w:rFonts w:hint="eastAsia"/>
                <w:color w:val="auto"/>
                <w:u w:val="none" w:color="auto"/>
              </w:rPr>
              <w:t>根据施工期污染防治措施制定环境监理方案，具体内容见下表。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val="0"/>
                <w:bCs w:val="0"/>
                <w:color w:val="auto"/>
                <w:u w:val="none" w:color="auto"/>
                <w:lang w:val="en-US" w:eastAsia="zh-CN"/>
              </w:rPr>
            </w:pPr>
            <w:r>
              <w:rPr>
                <w:rFonts w:hint="eastAsia"/>
                <w:b/>
                <w:bCs/>
                <w:color w:val="auto"/>
                <w:u w:val="none" w:color="auto"/>
                <w:lang w:val="en-US" w:eastAsia="zh-CN"/>
              </w:rPr>
              <w:t>表5-1  施工期环境监理计划表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1112"/>
              <w:gridCol w:w="1277"/>
              <w:gridCol w:w="6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u w:val="none" w:color="auto"/>
                    </w:rPr>
                  </w:pPr>
                  <w:r>
                    <w:rPr>
                      <w:rFonts w:hint="eastAsia"/>
                      <w:color w:val="auto"/>
                      <w:sz w:val="21"/>
                      <w:szCs w:val="21"/>
                      <w:u w:val="none" w:color="auto"/>
                      <w:vertAlign w:val="baseline"/>
                    </w:rPr>
                    <w:t>监理项目</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u w:val="none" w:color="auto"/>
                    </w:rPr>
                  </w:pPr>
                  <w:r>
                    <w:rPr>
                      <w:rFonts w:hint="eastAsia"/>
                      <w:color w:val="auto"/>
                      <w:sz w:val="21"/>
                      <w:szCs w:val="21"/>
                      <w:u w:val="none" w:color="auto"/>
                      <w:vertAlign w:val="baseline"/>
                      <w:lang w:val="en-US" w:eastAsia="zh-CN"/>
                    </w:rPr>
                    <w:t>环境</w:t>
                  </w:r>
                  <w:r>
                    <w:rPr>
                      <w:rFonts w:hint="eastAsia"/>
                      <w:color w:val="auto"/>
                      <w:sz w:val="21"/>
                      <w:szCs w:val="21"/>
                      <w:u w:val="none" w:color="auto"/>
                      <w:vertAlign w:val="baseline"/>
                    </w:rPr>
                    <w:t>要素</w:t>
                  </w:r>
                </w:p>
              </w:tc>
              <w:tc>
                <w:tcPr>
                  <w:tcW w:w="6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u w:val="none" w:color="auto"/>
                      <w:lang w:eastAsia="zh-CN"/>
                    </w:rPr>
                  </w:pPr>
                  <w:r>
                    <w:rPr>
                      <w:rFonts w:hint="eastAsia"/>
                      <w:color w:val="auto"/>
                      <w:sz w:val="21"/>
                      <w:szCs w:val="21"/>
                      <w:u w:val="none" w:color="auto"/>
                      <w:vertAlign w:val="baseline"/>
                    </w:rPr>
                    <w:t>监理内容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07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u w:val="none" w:color="auto"/>
                      <w:lang w:val="en-US" w:eastAsia="zh-CN"/>
                    </w:rPr>
                  </w:pPr>
                  <w:r>
                    <w:rPr>
                      <w:rFonts w:hint="eastAsia"/>
                      <w:color w:val="auto"/>
                      <w:sz w:val="21"/>
                      <w:szCs w:val="21"/>
                      <w:u w:val="none" w:color="auto"/>
                      <w:vertAlign w:val="baseline"/>
                    </w:rPr>
                    <w:t>环境保护达标监理</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u w:val="none" w:color="auto"/>
                      <w:lang w:val="en-US" w:eastAsia="zh-CN"/>
                    </w:rPr>
                  </w:pPr>
                  <w:r>
                    <w:rPr>
                      <w:rFonts w:hint="eastAsia"/>
                      <w:color w:val="auto"/>
                      <w:sz w:val="21"/>
                      <w:szCs w:val="21"/>
                      <w:u w:val="none" w:color="auto"/>
                      <w:vertAlign w:val="baseline"/>
                      <w:lang w:val="en-US" w:eastAsia="zh-CN"/>
                    </w:rPr>
                    <w:t>废气</w:t>
                  </w:r>
                </w:p>
              </w:tc>
              <w:tc>
                <w:tcPr>
                  <w:tcW w:w="6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1、监督施工地洒水频次，保持表面潮湿减少扬尘；</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2、合理安排施工工期，大风天气停止施工；</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3、监督施工堆场的覆盖情况；</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4、监督进出口运输车辆车轮清洗情况；</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u w:val="none" w:color="auto"/>
                      <w:lang w:val="en-US" w:eastAsia="zh-CN"/>
                    </w:rPr>
                  </w:pPr>
                  <w:r>
                    <w:rPr>
                      <w:rFonts w:hint="eastAsia"/>
                      <w:color w:val="auto"/>
                      <w:sz w:val="21"/>
                      <w:szCs w:val="21"/>
                      <w:u w:val="none" w:color="auto"/>
                      <w:vertAlign w:val="baseline"/>
                    </w:rPr>
                    <w:t>5、监督进出口路面清洁情况等。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0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u w:val="none" w:color="auto"/>
                      <w:lang w:val="en-US" w:eastAsia="zh-CN"/>
                    </w:rPr>
                  </w:pP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u w:val="none" w:color="auto"/>
                      <w:lang w:val="en-US" w:eastAsia="zh-CN"/>
                    </w:rPr>
                  </w:pPr>
                  <w:r>
                    <w:rPr>
                      <w:rFonts w:hint="eastAsia"/>
                      <w:color w:val="auto"/>
                      <w:sz w:val="21"/>
                      <w:szCs w:val="21"/>
                      <w:u w:val="none" w:color="auto"/>
                      <w:vertAlign w:val="baseline"/>
                      <w:lang w:val="en-US" w:eastAsia="zh-CN"/>
                    </w:rPr>
                    <w:t>废水</w:t>
                  </w:r>
                </w:p>
              </w:tc>
              <w:tc>
                <w:tcPr>
                  <w:tcW w:w="6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1、合理安排施工工期，加强天气预报资料的收集，指挥施工进度，防止雨天施工；</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2、监督施工废水的收集和处理，防止施工废水的排放；</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u w:val="none" w:color="auto"/>
                      <w:lang w:val="en-US" w:eastAsia="zh-CN"/>
                    </w:rPr>
                  </w:pPr>
                  <w:r>
                    <w:rPr>
                      <w:rFonts w:hint="eastAsia"/>
                      <w:color w:val="auto"/>
                      <w:sz w:val="21"/>
                      <w:szCs w:val="21"/>
                      <w:u w:val="none" w:color="auto"/>
                      <w:vertAlign w:val="baseline"/>
                    </w:rPr>
                    <w:t>3、监督施工现场废水处理设施的设置情况及废水处理回用情况。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0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u w:val="none" w:color="auto"/>
                      <w:lang w:val="en-US" w:eastAsia="zh-CN"/>
                    </w:rPr>
                  </w:pP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u w:val="none" w:color="auto"/>
                      <w:lang w:val="en-US" w:eastAsia="zh-CN"/>
                    </w:rPr>
                  </w:pPr>
                  <w:r>
                    <w:rPr>
                      <w:rFonts w:hint="eastAsia"/>
                      <w:color w:val="auto"/>
                      <w:sz w:val="21"/>
                      <w:szCs w:val="21"/>
                      <w:u w:val="none" w:color="auto"/>
                      <w:vertAlign w:val="baseline"/>
                      <w:lang w:val="en-US" w:eastAsia="zh-CN"/>
                    </w:rPr>
                    <w:t>噪声</w:t>
                  </w:r>
                </w:p>
              </w:tc>
              <w:tc>
                <w:tcPr>
                  <w:tcW w:w="6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1、在施工过程中，合理安排施工时间；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2、施工机械应尽量选用低噪设备，从源头上对噪声进行控制；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3、运输车辆进入施工现场应减速，并减少鸣笛；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4、监督各类噪声治理措施的落实情况；</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5、实施高噪声作业时，加强与周围敏感目标的沟通交流，取得周围人群的谅解；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u w:val="none" w:color="auto"/>
                      <w:lang w:val="en-US" w:eastAsia="zh-CN"/>
                    </w:rPr>
                  </w:pPr>
                  <w:r>
                    <w:rPr>
                      <w:rFonts w:hint="eastAsia"/>
                      <w:color w:val="auto"/>
                      <w:sz w:val="21"/>
                      <w:szCs w:val="21"/>
                      <w:u w:val="none" w:color="auto"/>
                      <w:vertAlign w:val="baseline"/>
                    </w:rPr>
                    <w:t>6、减轻人为噪声对声环境的影响，做到文明施工。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0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u w:val="none" w:color="auto"/>
                      <w:lang w:val="en-US" w:eastAsia="zh-CN"/>
                    </w:rPr>
                  </w:pP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u w:val="none" w:color="auto"/>
                      <w:lang w:val="en-US" w:eastAsia="zh-CN"/>
                    </w:rPr>
                  </w:pPr>
                  <w:r>
                    <w:rPr>
                      <w:rFonts w:hint="eastAsia"/>
                      <w:color w:val="auto"/>
                      <w:sz w:val="21"/>
                      <w:szCs w:val="21"/>
                      <w:u w:val="none" w:color="auto"/>
                      <w:vertAlign w:val="baseline"/>
                      <w:lang w:val="en-US" w:eastAsia="zh-CN"/>
                    </w:rPr>
                    <w:t>固体废物</w:t>
                  </w:r>
                </w:p>
              </w:tc>
              <w:tc>
                <w:tcPr>
                  <w:tcW w:w="6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1、合理安排施工工期和施工方案、施工进度；</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u w:val="none" w:color="auto"/>
                      <w:lang w:val="en-US" w:eastAsia="zh-CN"/>
                    </w:rPr>
                  </w:pPr>
                  <w:r>
                    <w:rPr>
                      <w:rFonts w:hint="eastAsia"/>
                      <w:color w:val="auto"/>
                      <w:sz w:val="21"/>
                      <w:szCs w:val="21"/>
                      <w:u w:val="none" w:color="auto"/>
                      <w:vertAlign w:val="baseline"/>
                    </w:rPr>
                    <w:t>2、各类固体废物分类收集处理，施工包装袋等可回收物资应派专人负责分类存放，回收利用。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07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u w:val="none" w:color="auto"/>
                      <w:lang w:val="en-US" w:eastAsia="zh-CN"/>
                    </w:rPr>
                  </w:pPr>
                  <w:r>
                    <w:rPr>
                      <w:rFonts w:hint="eastAsia"/>
                      <w:color w:val="auto"/>
                      <w:sz w:val="21"/>
                      <w:szCs w:val="21"/>
                      <w:u w:val="none" w:color="auto"/>
                      <w:vertAlign w:val="baseline"/>
                    </w:rPr>
                    <w:t>生态保护措施落实</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vertAlign w:val="baseline"/>
                      <w:lang w:val="en-US" w:eastAsia="zh-CN"/>
                    </w:rPr>
                  </w:pPr>
                  <w:r>
                    <w:rPr>
                      <w:rFonts w:hint="eastAsia"/>
                      <w:color w:val="auto"/>
                      <w:sz w:val="21"/>
                      <w:szCs w:val="21"/>
                      <w:u w:val="none" w:color="auto"/>
                      <w:vertAlign w:val="baseline"/>
                    </w:rPr>
                    <w:t>控制施工场界范围</w:t>
                  </w:r>
                </w:p>
              </w:tc>
              <w:tc>
                <w:tcPr>
                  <w:tcW w:w="6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控制施工作业场界，禁止越界施工，占用土地</w:t>
                  </w:r>
                  <w:r>
                    <w:rPr>
                      <w:rFonts w:hint="eastAsia"/>
                      <w:lang w:eastAsia="zh-CN"/>
                    </w:rPr>
                    <w:t>，</w:t>
                  </w:r>
                  <w:r>
                    <w:rPr>
                      <w:rFonts w:hint="eastAsia"/>
                      <w:sz w:val="21"/>
                      <w:szCs w:val="21"/>
                      <w:lang w:eastAsia="zh-CN"/>
                    </w:rPr>
                    <w:t>禁止占用基本农田</w:t>
                  </w:r>
                  <w:r>
                    <w:rPr>
                      <w:rFonts w:hint="eastAsia"/>
                      <w:color w:val="auto"/>
                      <w:sz w:val="21"/>
                      <w:szCs w:val="21"/>
                      <w:u w:val="none" w:color="auto"/>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0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u w:val="none" w:color="auto"/>
                      <w:lang w:val="en-US" w:eastAsia="zh-CN"/>
                    </w:rPr>
                  </w:pP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vertAlign w:val="baseline"/>
                      <w:lang w:val="en-US" w:eastAsia="zh-CN"/>
                    </w:rPr>
                  </w:pPr>
                  <w:r>
                    <w:rPr>
                      <w:rFonts w:hint="eastAsia"/>
                      <w:color w:val="auto"/>
                      <w:sz w:val="21"/>
                      <w:szCs w:val="21"/>
                      <w:u w:val="none" w:color="auto"/>
                      <w:vertAlign w:val="baseline"/>
                    </w:rPr>
                    <w:t>施工过程监理</w:t>
                  </w:r>
                </w:p>
              </w:tc>
              <w:tc>
                <w:tcPr>
                  <w:tcW w:w="6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1、检查监督建设施工场地布置，采取环境友好方案；</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2、合理安排施工时间、顺序，采取对生态环境影响较小施工方法。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07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u w:val="none" w:color="auto"/>
                      <w:lang w:val="en-US" w:eastAsia="zh-CN"/>
                    </w:rPr>
                  </w:pPr>
                  <w:r>
                    <w:rPr>
                      <w:rFonts w:hint="eastAsia"/>
                      <w:color w:val="auto"/>
                      <w:sz w:val="21"/>
                      <w:szCs w:val="21"/>
                      <w:u w:val="none" w:color="auto"/>
                      <w:vertAlign w:val="baseline"/>
                    </w:rPr>
                    <w:t>监理</w:t>
                  </w: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vertAlign w:val="baseline"/>
                      <w:lang w:val="en-US" w:eastAsia="zh-CN"/>
                    </w:rPr>
                  </w:pPr>
                  <w:r>
                    <w:rPr>
                      <w:rFonts w:hint="eastAsia"/>
                      <w:color w:val="auto"/>
                      <w:sz w:val="21"/>
                      <w:szCs w:val="21"/>
                      <w:u w:val="none" w:color="auto"/>
                      <w:vertAlign w:val="baseline"/>
                    </w:rPr>
                    <w:t>因地制宜保护措施</w:t>
                  </w:r>
                </w:p>
              </w:tc>
              <w:tc>
                <w:tcPr>
                  <w:tcW w:w="6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采用必要的生态保护措施，减少和缓和施工过程中对生态的破坏，减小不可避免的生态影响的程度和范围。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0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u w:val="none" w:color="auto"/>
                      <w:lang w:val="en-US" w:eastAsia="zh-CN"/>
                    </w:rPr>
                  </w:pP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vertAlign w:val="baseline"/>
                      <w:lang w:val="en-US" w:eastAsia="zh-CN"/>
                    </w:rPr>
                  </w:pPr>
                  <w:r>
                    <w:rPr>
                      <w:rFonts w:hint="eastAsia"/>
                      <w:color w:val="auto"/>
                      <w:sz w:val="21"/>
                      <w:szCs w:val="21"/>
                      <w:u w:val="none" w:color="auto"/>
                      <w:vertAlign w:val="baseline"/>
                    </w:rPr>
                    <w:t>水土流失防治措施落实</w:t>
                  </w:r>
                </w:p>
              </w:tc>
              <w:tc>
                <w:tcPr>
                  <w:tcW w:w="6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负责监督环境影响评价文件中涉及的防治水土流失措施的落实。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07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u w:val="none" w:color="auto"/>
                      <w:lang w:val="en-US" w:eastAsia="zh-CN"/>
                    </w:rPr>
                  </w:pPr>
                </w:p>
              </w:tc>
              <w:tc>
                <w:tcPr>
                  <w:tcW w:w="12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u w:val="none" w:color="auto"/>
                      <w:vertAlign w:val="baseline"/>
                      <w:lang w:val="en-US" w:eastAsia="zh-CN"/>
                    </w:rPr>
                  </w:pPr>
                  <w:r>
                    <w:rPr>
                      <w:rFonts w:hint="eastAsia"/>
                      <w:color w:val="auto"/>
                      <w:sz w:val="21"/>
                      <w:szCs w:val="21"/>
                      <w:u w:val="none" w:color="auto"/>
                      <w:vertAlign w:val="baseline"/>
                    </w:rPr>
                    <w:t>人群健康保护措施</w:t>
                  </w:r>
                </w:p>
              </w:tc>
              <w:tc>
                <w:tcPr>
                  <w:tcW w:w="66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sz w:val="21"/>
                      <w:szCs w:val="21"/>
                      <w:u w:val="none" w:color="auto"/>
                      <w:vertAlign w:val="baseline"/>
                    </w:rPr>
                  </w:pPr>
                  <w:r>
                    <w:rPr>
                      <w:rFonts w:hint="eastAsia"/>
                      <w:color w:val="auto"/>
                      <w:sz w:val="21"/>
                      <w:szCs w:val="21"/>
                      <w:u w:val="none" w:color="auto"/>
                      <w:vertAlign w:val="baseline"/>
                    </w:rPr>
                    <w:t>督促工程参建各方建立疫情报告和环境卫生监督制度，检查落实制定的保护措施，检查医疗卫生保障机制运行情况。</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eastAsia="宋体"/>
                <w:b/>
                <w:bCs/>
                <w:color w:val="auto"/>
                <w:u w:val="none" w:color="auto"/>
                <w:lang w:val="en-US" w:eastAsia="zh-CN"/>
              </w:rPr>
            </w:pPr>
            <w:r>
              <w:rPr>
                <w:rFonts w:hint="eastAsia"/>
                <w:b/>
                <w:bCs/>
                <w:color w:val="auto"/>
                <w:u w:val="none" w:color="auto"/>
                <w:lang w:val="en-US" w:eastAsia="zh-CN"/>
              </w:rPr>
              <w:t>5.11环境监测计划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b w:val="0"/>
                <w:bCs w:val="0"/>
                <w:color w:val="auto"/>
                <w:u w:val="none" w:color="auto"/>
                <w:lang w:eastAsia="zh-CN"/>
              </w:rPr>
            </w:pPr>
            <w:r>
              <w:rPr>
                <w:rFonts w:hint="default" w:ascii="Times New Roman" w:hAnsi="Times New Roman" w:eastAsia="宋体" w:cs="Times New Roman"/>
                <w:b w:val="0"/>
                <w:bCs w:val="0"/>
                <w:color w:val="auto"/>
                <w:sz w:val="24"/>
                <w:szCs w:val="24"/>
                <w:u w:val="none" w:color="auto"/>
              </w:rPr>
              <w:t>本工程对环境的影响主要集中在施工期，随着施工的结束，工程对环境的影响也随之结束，因此，制定环境监测计划时主要考虑施工期环境监测。</w:t>
            </w:r>
            <w:r>
              <w:rPr>
                <w:rFonts w:hint="eastAsia"/>
                <w:b w:val="0"/>
                <w:bCs w:val="0"/>
                <w:color w:val="auto"/>
                <w:u w:val="none" w:color="auto"/>
              </w:rPr>
              <w:t>本项目环境监测计划具体</w:t>
            </w:r>
            <w:r>
              <w:rPr>
                <w:rFonts w:hint="eastAsia"/>
                <w:b w:val="0"/>
                <w:bCs w:val="0"/>
                <w:color w:val="auto"/>
                <w:u w:val="none" w:color="auto"/>
                <w:lang w:val="en-US" w:eastAsia="zh-CN"/>
              </w:rPr>
              <w:t>详</w:t>
            </w:r>
            <w:r>
              <w:rPr>
                <w:rFonts w:hint="eastAsia"/>
                <w:b w:val="0"/>
                <w:bCs w:val="0"/>
                <w:color w:val="auto"/>
                <w:u w:val="none" w:color="auto"/>
              </w:rPr>
              <w:t>见下表</w:t>
            </w:r>
            <w:r>
              <w:rPr>
                <w:rFonts w:hint="eastAsia"/>
                <w:b w:val="0"/>
                <w:bCs w:val="0"/>
                <w:color w:val="auto"/>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u w:val="none" w:color="auto"/>
              </w:rPr>
            </w:pPr>
            <w:r>
              <w:rPr>
                <w:rFonts w:hint="eastAsia"/>
                <w:b/>
                <w:bCs/>
                <w:color w:val="auto"/>
                <w:u w:val="none" w:color="auto"/>
              </w:rPr>
              <w:t>表</w:t>
            </w:r>
            <w:r>
              <w:rPr>
                <w:rFonts w:hint="eastAsia"/>
                <w:b/>
                <w:bCs/>
                <w:color w:val="auto"/>
                <w:u w:val="none" w:color="auto"/>
                <w:lang w:val="en-US" w:eastAsia="zh-CN"/>
              </w:rPr>
              <w:t>5-2</w:t>
            </w:r>
            <w:r>
              <w:rPr>
                <w:rFonts w:hint="eastAsia"/>
                <w:b/>
                <w:bCs/>
                <w:color w:val="auto"/>
                <w:u w:val="none" w:color="auto"/>
              </w:rPr>
              <w:t xml:space="preserve">  </w:t>
            </w:r>
            <w:r>
              <w:rPr>
                <w:rFonts w:hint="eastAsia"/>
                <w:b/>
                <w:bCs/>
                <w:color w:val="auto"/>
                <w:u w:val="none" w:color="auto"/>
                <w:lang w:val="en-US" w:eastAsia="zh-CN"/>
              </w:rPr>
              <w:t>施工</w:t>
            </w:r>
            <w:r>
              <w:rPr>
                <w:rFonts w:hint="eastAsia"/>
                <w:b/>
                <w:bCs/>
                <w:color w:val="auto"/>
                <w:u w:val="none" w:color="auto"/>
              </w:rPr>
              <w:t>期监测计划一览表</w:t>
            </w:r>
          </w:p>
          <w:tbl>
            <w:tblPr>
              <w:tblStyle w:val="26"/>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921"/>
              <w:gridCol w:w="2534"/>
              <w:gridCol w:w="1964"/>
              <w:gridCol w:w="1161"/>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94" w:type="pct"/>
                  <w:tcBorders>
                    <w:tl2br w:val="nil"/>
                    <w:tr2bl w:val="nil"/>
                  </w:tcBorders>
                  <w:noWrap w:val="0"/>
                  <w:vAlign w:val="center"/>
                </w:tcPr>
                <w:p>
                  <w:pPr>
                    <w:pStyle w:val="37"/>
                    <w:bidi w:val="0"/>
                    <w:rPr>
                      <w:color w:val="auto"/>
                      <w:u w:val="none" w:color="auto"/>
                    </w:rPr>
                  </w:pPr>
                  <w:r>
                    <w:rPr>
                      <w:rFonts w:hint="eastAsia"/>
                      <w:color w:val="auto"/>
                      <w:u w:val="none" w:color="auto"/>
                    </w:rPr>
                    <w:t>环境要素</w:t>
                  </w:r>
                </w:p>
              </w:tc>
              <w:tc>
                <w:tcPr>
                  <w:tcW w:w="1359" w:type="pct"/>
                  <w:tcBorders>
                    <w:tl2br w:val="nil"/>
                    <w:tr2bl w:val="nil"/>
                  </w:tcBorders>
                  <w:noWrap w:val="0"/>
                  <w:vAlign w:val="center"/>
                </w:tcPr>
                <w:p>
                  <w:pPr>
                    <w:pStyle w:val="37"/>
                    <w:bidi w:val="0"/>
                    <w:rPr>
                      <w:color w:val="auto"/>
                      <w:u w:val="none" w:color="auto"/>
                    </w:rPr>
                  </w:pPr>
                  <w:r>
                    <w:rPr>
                      <w:rFonts w:hint="eastAsia"/>
                      <w:color w:val="auto"/>
                      <w:u w:val="none" w:color="auto"/>
                    </w:rPr>
                    <w:t>监测点位</w:t>
                  </w:r>
                </w:p>
              </w:tc>
              <w:tc>
                <w:tcPr>
                  <w:tcW w:w="1053" w:type="pct"/>
                  <w:tcBorders>
                    <w:tl2br w:val="nil"/>
                    <w:tr2bl w:val="nil"/>
                  </w:tcBorders>
                  <w:noWrap w:val="0"/>
                  <w:vAlign w:val="center"/>
                </w:tcPr>
                <w:p>
                  <w:pPr>
                    <w:pStyle w:val="37"/>
                    <w:bidi w:val="0"/>
                    <w:rPr>
                      <w:rFonts w:hint="eastAsia" w:eastAsia="宋体"/>
                      <w:color w:val="auto"/>
                      <w:u w:val="none" w:color="auto"/>
                      <w:lang w:eastAsia="zh-CN"/>
                    </w:rPr>
                  </w:pPr>
                  <w:r>
                    <w:rPr>
                      <w:rFonts w:hint="eastAsia"/>
                      <w:color w:val="auto"/>
                      <w:u w:val="none" w:color="auto"/>
                    </w:rPr>
                    <w:t>监测</w:t>
                  </w:r>
                  <w:r>
                    <w:rPr>
                      <w:rFonts w:hint="eastAsia"/>
                      <w:color w:val="auto"/>
                      <w:u w:val="none" w:color="auto"/>
                      <w:lang w:val="en-US" w:eastAsia="zh-CN"/>
                    </w:rPr>
                    <w:t>因子</w:t>
                  </w:r>
                </w:p>
              </w:tc>
              <w:tc>
                <w:tcPr>
                  <w:tcW w:w="623" w:type="pct"/>
                  <w:tcBorders>
                    <w:tl2br w:val="nil"/>
                    <w:tr2bl w:val="nil"/>
                  </w:tcBorders>
                  <w:noWrap w:val="0"/>
                  <w:vAlign w:val="center"/>
                </w:tcPr>
                <w:p>
                  <w:pPr>
                    <w:pStyle w:val="37"/>
                    <w:bidi w:val="0"/>
                    <w:rPr>
                      <w:color w:val="auto"/>
                      <w:u w:val="none" w:color="auto"/>
                    </w:rPr>
                  </w:pPr>
                  <w:r>
                    <w:rPr>
                      <w:color w:val="auto"/>
                      <w:u w:val="none" w:color="auto"/>
                    </w:rPr>
                    <w:t>监测频次</w:t>
                  </w:r>
                </w:p>
              </w:tc>
              <w:tc>
                <w:tcPr>
                  <w:tcW w:w="1469" w:type="pct"/>
                  <w:tcBorders>
                    <w:tl2br w:val="nil"/>
                    <w:tr2bl w:val="nil"/>
                  </w:tcBorders>
                  <w:noWrap w:val="0"/>
                  <w:vAlign w:val="center"/>
                </w:tcPr>
                <w:p>
                  <w:pPr>
                    <w:pStyle w:val="37"/>
                    <w:bidi w:val="0"/>
                    <w:rPr>
                      <w:color w:val="auto"/>
                      <w:u w:val="none" w:color="auto"/>
                    </w:rPr>
                  </w:pPr>
                  <w:r>
                    <w:rPr>
                      <w:rFonts w:hint="eastAsia"/>
                      <w:color w:val="auto"/>
                      <w:u w:val="none" w:color="auto"/>
                    </w:rPr>
                    <w:t>执行</w:t>
                  </w:r>
                  <w:r>
                    <w:rPr>
                      <w:color w:val="auto"/>
                      <w:u w:val="none" w:color="auto"/>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887" w:type="dxa"/>
                  <w:tcBorders>
                    <w:tl2br w:val="nil"/>
                    <w:tr2bl w:val="nil"/>
                  </w:tcBorders>
                  <w:noWrap w:val="0"/>
                  <w:vAlign w:val="center"/>
                </w:tcPr>
                <w:p>
                  <w:pPr>
                    <w:pStyle w:val="37"/>
                    <w:bidi w:val="0"/>
                    <w:spacing w:line="240" w:lineRule="auto"/>
                    <w:ind w:firstLine="0" w:firstLineChars="0"/>
                    <w:rPr>
                      <w:rFonts w:hint="eastAsia"/>
                      <w:color w:val="auto"/>
                      <w:u w:val="none" w:color="auto"/>
                    </w:rPr>
                  </w:pPr>
                  <w:r>
                    <w:rPr>
                      <w:rFonts w:hint="eastAsia"/>
                      <w:color w:val="auto"/>
                      <w:u w:val="none"/>
                      <w:lang w:val="en-US" w:eastAsia="zh-CN"/>
                    </w:rPr>
                    <w:t>大气环境</w:t>
                  </w:r>
                </w:p>
              </w:tc>
              <w:tc>
                <w:tcPr>
                  <w:tcW w:w="1359" w:type="pct"/>
                  <w:tcBorders>
                    <w:tl2br w:val="nil"/>
                    <w:tr2bl w:val="nil"/>
                  </w:tcBorders>
                  <w:noWrap w:val="0"/>
                  <w:vAlign w:val="center"/>
                </w:tcPr>
                <w:p>
                  <w:pPr>
                    <w:pStyle w:val="37"/>
                    <w:bidi w:val="0"/>
                    <w:rPr>
                      <w:rFonts w:hint="eastAsia"/>
                      <w:color w:val="auto"/>
                      <w:u w:val="none" w:color="auto"/>
                    </w:rPr>
                  </w:pPr>
                  <w:r>
                    <w:rPr>
                      <w:rFonts w:hint="eastAsia"/>
                      <w:u w:val="none"/>
                      <w:lang w:val="en-US" w:eastAsia="zh-CN"/>
                    </w:rPr>
                    <w:t>施工区附近</w:t>
                  </w:r>
                  <w:r>
                    <w:rPr>
                      <w:rFonts w:hint="eastAsia"/>
                      <w:color w:val="auto"/>
                      <w:u w:val="none" w:color="auto"/>
                      <w:lang w:val="en-US" w:eastAsia="zh-CN"/>
                    </w:rPr>
                    <w:t>敏感点</w:t>
                  </w:r>
                </w:p>
              </w:tc>
              <w:tc>
                <w:tcPr>
                  <w:tcW w:w="1891" w:type="dxa"/>
                  <w:tcBorders>
                    <w:tl2br w:val="nil"/>
                    <w:tr2bl w:val="nil"/>
                  </w:tcBorders>
                  <w:noWrap w:val="0"/>
                  <w:vAlign w:val="center"/>
                </w:tcPr>
                <w:p>
                  <w:pPr>
                    <w:pStyle w:val="37"/>
                    <w:bidi w:val="0"/>
                    <w:spacing w:line="240" w:lineRule="auto"/>
                    <w:ind w:firstLine="0" w:firstLineChars="0"/>
                    <w:rPr>
                      <w:rFonts w:hint="eastAsia"/>
                      <w:color w:val="auto"/>
                      <w:u w:val="none" w:color="auto"/>
                    </w:rPr>
                  </w:pPr>
                  <w:r>
                    <w:rPr>
                      <w:rFonts w:hint="eastAsia"/>
                      <w:color w:val="auto"/>
                      <w:u w:val="none"/>
                      <w:lang w:val="en-US" w:eastAsia="zh-CN"/>
                    </w:rPr>
                    <w:t>TSP</w:t>
                  </w:r>
                </w:p>
              </w:tc>
              <w:tc>
                <w:tcPr>
                  <w:tcW w:w="1119" w:type="dxa"/>
                  <w:tcBorders>
                    <w:tl2br w:val="nil"/>
                    <w:tr2bl w:val="nil"/>
                  </w:tcBorders>
                  <w:noWrap w:val="0"/>
                  <w:vAlign w:val="center"/>
                </w:tcPr>
                <w:p>
                  <w:pPr>
                    <w:pStyle w:val="37"/>
                    <w:bidi w:val="0"/>
                    <w:spacing w:line="240" w:lineRule="auto"/>
                    <w:ind w:firstLine="0" w:firstLineChars="0"/>
                    <w:rPr>
                      <w:color w:val="auto"/>
                      <w:u w:val="none" w:color="auto"/>
                    </w:rPr>
                  </w:pPr>
                  <w:r>
                    <w:rPr>
                      <w:rFonts w:hint="eastAsia"/>
                      <w:color w:val="auto"/>
                      <w:u w:val="none"/>
                      <w:lang w:val="en-US" w:eastAsia="zh-CN"/>
                    </w:rPr>
                    <w:t>1次/季度</w:t>
                  </w:r>
                </w:p>
              </w:tc>
              <w:tc>
                <w:tcPr>
                  <w:tcW w:w="2638" w:type="dxa"/>
                  <w:tcBorders>
                    <w:tl2br w:val="nil"/>
                    <w:tr2bl w:val="nil"/>
                  </w:tcBorders>
                  <w:noWrap w:val="0"/>
                  <w:vAlign w:val="center"/>
                </w:tcPr>
                <w:p>
                  <w:pPr>
                    <w:pStyle w:val="37"/>
                    <w:bidi w:val="0"/>
                    <w:spacing w:line="240" w:lineRule="auto"/>
                    <w:ind w:firstLine="0" w:firstLineChars="0"/>
                    <w:rPr>
                      <w:rFonts w:hint="eastAsia"/>
                      <w:color w:val="auto"/>
                      <w:u w:val="none" w:color="auto"/>
                    </w:rPr>
                  </w:pPr>
                  <w:r>
                    <w:rPr>
                      <w:rFonts w:hint="eastAsia"/>
                      <w:color w:val="auto"/>
                    </w:rPr>
                    <w:t>《环境空气质量标准》（GB3095-2012）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887" w:type="dxa"/>
                  <w:tcBorders>
                    <w:tl2br w:val="nil"/>
                    <w:tr2bl w:val="nil"/>
                  </w:tcBorders>
                  <w:noWrap w:val="0"/>
                  <w:vAlign w:val="center"/>
                </w:tcPr>
                <w:p>
                  <w:pPr>
                    <w:pStyle w:val="37"/>
                    <w:bidi w:val="0"/>
                    <w:spacing w:line="240" w:lineRule="auto"/>
                    <w:ind w:firstLine="0" w:firstLineChars="0"/>
                    <w:rPr>
                      <w:rFonts w:hint="default"/>
                      <w:color w:val="auto"/>
                      <w:u w:val="none" w:color="auto"/>
                      <w:lang w:val="en-US" w:eastAsia="zh-CN"/>
                    </w:rPr>
                  </w:pPr>
                  <w:r>
                    <w:rPr>
                      <w:rFonts w:hint="eastAsia"/>
                      <w:color w:val="auto"/>
                      <w:u w:val="none"/>
                      <w:lang w:val="en-US" w:eastAsia="zh-CN"/>
                    </w:rPr>
                    <w:t>声环境</w:t>
                  </w:r>
                </w:p>
              </w:tc>
              <w:tc>
                <w:tcPr>
                  <w:tcW w:w="1359" w:type="pct"/>
                  <w:tcBorders>
                    <w:tl2br w:val="nil"/>
                    <w:tr2bl w:val="nil"/>
                  </w:tcBorders>
                  <w:noWrap w:val="0"/>
                  <w:vAlign w:val="center"/>
                </w:tcPr>
                <w:p>
                  <w:pPr>
                    <w:pStyle w:val="37"/>
                    <w:bidi w:val="0"/>
                    <w:rPr>
                      <w:rFonts w:hint="default" w:eastAsia="宋体"/>
                      <w:color w:val="auto"/>
                      <w:u w:val="none" w:color="auto"/>
                      <w:lang w:val="en-US" w:eastAsia="zh-CN"/>
                    </w:rPr>
                  </w:pPr>
                  <w:r>
                    <w:rPr>
                      <w:rFonts w:hint="eastAsia"/>
                      <w:u w:val="none"/>
                      <w:lang w:val="en-US" w:eastAsia="zh-CN"/>
                    </w:rPr>
                    <w:t>施工区附近</w:t>
                  </w:r>
                  <w:r>
                    <w:rPr>
                      <w:rFonts w:hint="eastAsia"/>
                      <w:color w:val="auto"/>
                      <w:u w:val="none" w:color="auto"/>
                      <w:lang w:val="en-US" w:eastAsia="zh-CN"/>
                    </w:rPr>
                    <w:t>敏感点</w:t>
                  </w:r>
                </w:p>
              </w:tc>
              <w:tc>
                <w:tcPr>
                  <w:tcW w:w="1053" w:type="pct"/>
                  <w:tcBorders>
                    <w:tl2br w:val="nil"/>
                    <w:tr2bl w:val="nil"/>
                  </w:tcBorders>
                  <w:noWrap w:val="0"/>
                  <w:vAlign w:val="center"/>
                </w:tcPr>
                <w:p>
                  <w:pPr>
                    <w:pStyle w:val="37"/>
                    <w:bidi w:val="0"/>
                    <w:rPr>
                      <w:rFonts w:hint="eastAsia"/>
                      <w:color w:val="auto"/>
                      <w:u w:val="none" w:color="auto"/>
                      <w:lang w:val="en-US" w:eastAsia="zh-CN"/>
                    </w:rPr>
                  </w:pPr>
                  <w:r>
                    <w:rPr>
                      <w:rFonts w:hint="eastAsia"/>
                      <w:color w:val="auto"/>
                      <w:u w:val="none" w:color="auto"/>
                      <w:lang w:val="en-US" w:eastAsia="zh-CN"/>
                    </w:rPr>
                    <w:t>Leq（A）</w:t>
                  </w:r>
                </w:p>
              </w:tc>
              <w:tc>
                <w:tcPr>
                  <w:tcW w:w="623" w:type="pct"/>
                  <w:tcBorders>
                    <w:tl2br w:val="nil"/>
                    <w:tr2bl w:val="nil"/>
                  </w:tcBorders>
                  <w:noWrap w:val="0"/>
                  <w:vAlign w:val="center"/>
                </w:tcPr>
                <w:p>
                  <w:pPr>
                    <w:pStyle w:val="37"/>
                    <w:bidi w:val="0"/>
                    <w:rPr>
                      <w:rFonts w:hint="default"/>
                      <w:color w:val="auto"/>
                      <w:u w:val="none" w:color="auto"/>
                      <w:lang w:val="en-US"/>
                    </w:rPr>
                  </w:pPr>
                  <w:r>
                    <w:rPr>
                      <w:rFonts w:hint="eastAsia"/>
                      <w:color w:val="auto"/>
                      <w:u w:val="none" w:color="auto"/>
                      <w:lang w:val="en-US" w:eastAsia="zh-CN"/>
                    </w:rPr>
                    <w:t>1次/季度</w:t>
                  </w:r>
                </w:p>
              </w:tc>
              <w:tc>
                <w:tcPr>
                  <w:tcW w:w="1469" w:type="pct"/>
                  <w:tcBorders>
                    <w:tl2br w:val="nil"/>
                    <w:tr2bl w:val="nil"/>
                  </w:tcBorders>
                  <w:noWrap w:val="0"/>
                  <w:vAlign w:val="center"/>
                </w:tcPr>
                <w:p>
                  <w:pPr>
                    <w:pStyle w:val="37"/>
                    <w:bidi w:val="0"/>
                    <w:rPr>
                      <w:rFonts w:hint="eastAsia"/>
                      <w:color w:val="auto"/>
                      <w:u w:val="none" w:color="auto"/>
                    </w:rPr>
                  </w:pPr>
                  <w:r>
                    <w:rPr>
                      <w:rFonts w:hint="eastAsia"/>
                      <w:color w:val="auto"/>
                      <w:u w:val="none" w:color="auto"/>
                    </w:rPr>
                    <w:t>《声环境质量标准》（GB3096-2008）</w:t>
                  </w:r>
                </w:p>
              </w:tc>
            </w:tr>
          </w:tbl>
          <w:p>
            <w:pPr>
              <w:bidi w:val="0"/>
              <w:jc w:val="center"/>
              <w:outlineLvl w:val="9"/>
              <w:rPr>
                <w:rFonts w:hint="default" w:eastAsia="宋体"/>
                <w:color w:val="auto"/>
                <w:u w:val="none" w:color="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c>
          <w:tcPr>
            <w:tcW w:w="221" w:type="pct"/>
            <w:tcBorders>
              <w:tl2br w:val="nil"/>
              <w:tr2bl w:val="nil"/>
            </w:tcBorders>
            <w:vAlign w:val="center"/>
          </w:tcPr>
          <w:p>
            <w:pPr>
              <w:bidi w:val="0"/>
              <w:jc w:val="center"/>
              <w:outlineLvl w:val="9"/>
              <w:rPr>
                <w:rFonts w:hint="default" w:eastAsia="宋体"/>
                <w:color w:val="auto"/>
                <w:u w:val="none" w:color="auto"/>
                <w:vertAlign w:val="baseline"/>
                <w:lang w:val="en-US" w:eastAsia="zh-CN"/>
              </w:rPr>
            </w:pPr>
            <w:r>
              <w:rPr>
                <w:rFonts w:hint="default" w:eastAsia="宋体"/>
                <w:color w:val="auto"/>
                <w:u w:val="none" w:color="auto"/>
                <w:vertAlign w:val="baseline"/>
                <w:lang w:val="en-US" w:eastAsia="zh-CN"/>
              </w:rPr>
              <w:t>环保投资</w:t>
            </w:r>
          </w:p>
        </w:tc>
        <w:tc>
          <w:tcPr>
            <w:tcW w:w="4778" w:type="pct"/>
            <w:tcBorders>
              <w:tl2br w:val="nil"/>
              <w:tr2bl w:val="nil"/>
            </w:tcBorders>
          </w:tcPr>
          <w:p>
            <w:pPr>
              <w:bidi w:val="0"/>
              <w:ind w:firstLine="480" w:firstLineChars="200"/>
              <w:outlineLvl w:val="9"/>
              <w:rPr>
                <w:rFonts w:hint="eastAsia" w:ascii="Times New Roman" w:hAnsi="Times New Roman" w:cs="Times New Roman"/>
                <w:color w:val="auto"/>
                <w:u w:val="none" w:color="auto"/>
                <w:lang w:eastAsia="zh-CN"/>
              </w:rPr>
            </w:pPr>
            <w:r>
              <w:rPr>
                <w:color w:val="auto"/>
                <w:u w:val="none" w:color="auto"/>
              </w:rPr>
              <w:t>本项目环保投资</w:t>
            </w:r>
            <w:r>
              <w:rPr>
                <w:rFonts w:hint="eastAsia"/>
                <w:color w:val="auto"/>
                <w:u w:val="none" w:color="auto"/>
                <w:lang w:val="en-US" w:eastAsia="zh-CN"/>
              </w:rPr>
              <w:t>141</w:t>
            </w:r>
            <w:r>
              <w:rPr>
                <w:color w:val="auto"/>
                <w:u w:val="none" w:color="auto"/>
              </w:rPr>
              <w:t>万元，占项目总投资</w:t>
            </w:r>
            <w:r>
              <w:rPr>
                <w:rFonts w:hint="eastAsia" w:cs="Times New Roman"/>
                <w:color w:val="auto"/>
                <w:u w:val="none" w:color="auto"/>
                <w:lang w:val="en-US" w:eastAsia="zh-CN"/>
              </w:rPr>
              <w:t>2302.62</w:t>
            </w:r>
            <w:r>
              <w:rPr>
                <w:color w:val="auto"/>
                <w:u w:val="none" w:color="auto"/>
              </w:rPr>
              <w:t>万元的%，项目环保投资估算详见下表。</w:t>
            </w:r>
          </w:p>
          <w:p>
            <w:pPr>
              <w:bidi w:val="0"/>
              <w:jc w:val="center"/>
              <w:rPr>
                <w:rFonts w:hint="default" w:eastAsia="宋体"/>
                <w:b/>
                <w:bCs/>
                <w:color w:val="auto"/>
                <w:u w:val="none" w:color="auto"/>
                <w:lang w:val="en-US" w:eastAsia="zh-CN"/>
              </w:rPr>
            </w:pPr>
            <w:r>
              <w:rPr>
                <w:rFonts w:hint="eastAsia"/>
                <w:b/>
                <w:bCs/>
                <w:color w:val="auto"/>
                <w:u w:val="none" w:color="auto"/>
              </w:rPr>
              <w:t>表</w:t>
            </w:r>
            <w:r>
              <w:rPr>
                <w:rFonts w:hint="eastAsia"/>
                <w:b/>
                <w:bCs/>
                <w:color w:val="auto"/>
                <w:u w:val="none" w:color="auto"/>
                <w:lang w:val="en-US" w:eastAsia="zh-CN"/>
              </w:rPr>
              <w:t>5-3  环保设施与投资一览表</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5"/>
              <w:gridCol w:w="960"/>
              <w:gridCol w:w="6195"/>
              <w:gridCol w:w="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8" w:hRule="atLeast"/>
                <w:jc w:val="center"/>
              </w:trPr>
              <w:tc>
                <w:tcPr>
                  <w:tcW w:w="7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时段</w:t>
                  </w:r>
                </w:p>
              </w:tc>
              <w:tc>
                <w:tcPr>
                  <w:tcW w:w="9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类别</w:t>
                  </w:r>
                </w:p>
              </w:tc>
              <w:tc>
                <w:tcPr>
                  <w:tcW w:w="6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环保措施</w:t>
                  </w:r>
                </w:p>
              </w:tc>
              <w:tc>
                <w:tcPr>
                  <w:tcW w:w="9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投资</w:t>
                  </w:r>
                  <w:r>
                    <w:rPr>
                      <w:rFonts w:hint="eastAsia" w:cs="Times New Roman"/>
                      <w:color w:val="auto"/>
                      <w:sz w:val="21"/>
                      <w:szCs w:val="21"/>
                      <w:u w:val="none" w:color="auto"/>
                      <w:lang w:val="en-US" w:eastAsia="zh-CN"/>
                    </w:rPr>
                    <w:t>额</w:t>
                  </w:r>
                  <w:r>
                    <w:rPr>
                      <w:rFonts w:hint="eastAsia" w:ascii="Times New Roman" w:hAnsi="Times New Roman" w:cs="Times New Roman"/>
                      <w:color w:val="auto"/>
                      <w:sz w:val="21"/>
                      <w:szCs w:val="21"/>
                      <w:u w:val="none" w:color="auto"/>
                      <w:lang w:val="en-US" w:eastAsia="zh-CN"/>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74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施工期</w:t>
                  </w:r>
                </w:p>
              </w:tc>
              <w:tc>
                <w:tcPr>
                  <w:tcW w:w="9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废气</w:t>
                  </w:r>
                </w:p>
              </w:tc>
              <w:tc>
                <w:tcPr>
                  <w:tcW w:w="6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厂界四周设置施工围挡；施工场地设置防尘网；洒水降尘</w:t>
                  </w:r>
                </w:p>
              </w:tc>
              <w:tc>
                <w:tcPr>
                  <w:tcW w:w="9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7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u w:val="none" w:color="auto"/>
                      <w:lang w:val="en-US" w:eastAsia="zh-CN"/>
                    </w:rPr>
                  </w:pPr>
                </w:p>
              </w:tc>
              <w:tc>
                <w:tcPr>
                  <w:tcW w:w="9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废水</w:t>
                  </w:r>
                </w:p>
              </w:tc>
              <w:tc>
                <w:tcPr>
                  <w:tcW w:w="6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施工围挡四周设置排水沟收集施工废水</w:t>
                  </w:r>
                  <w:r>
                    <w:rPr>
                      <w:rFonts w:hint="eastAsia" w:cs="Times New Roman"/>
                      <w:color w:val="auto"/>
                      <w:sz w:val="21"/>
                      <w:szCs w:val="21"/>
                      <w:u w:val="none" w:color="auto"/>
                      <w:lang w:val="en-US" w:eastAsia="zh-CN"/>
                    </w:rPr>
                    <w:t>、设置沉淀池</w:t>
                  </w:r>
                </w:p>
              </w:tc>
              <w:tc>
                <w:tcPr>
                  <w:tcW w:w="9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7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u w:val="none" w:color="auto"/>
                      <w:lang w:val="en-US" w:eastAsia="zh-CN"/>
                    </w:rPr>
                  </w:pPr>
                </w:p>
              </w:tc>
              <w:tc>
                <w:tcPr>
                  <w:tcW w:w="9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噪声</w:t>
                  </w:r>
                </w:p>
              </w:tc>
              <w:tc>
                <w:tcPr>
                  <w:tcW w:w="6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选用低噪设备，设置临时隔声屏障，合理施工，禁鸣标牌</w:t>
                  </w:r>
                </w:p>
              </w:tc>
              <w:tc>
                <w:tcPr>
                  <w:tcW w:w="9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 w:hRule="atLeast"/>
                <w:jc w:val="center"/>
              </w:trPr>
              <w:tc>
                <w:tcPr>
                  <w:tcW w:w="7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u w:val="none" w:color="auto"/>
                      <w:lang w:val="en-US" w:eastAsia="zh-CN"/>
                    </w:rPr>
                  </w:pPr>
                </w:p>
              </w:tc>
              <w:tc>
                <w:tcPr>
                  <w:tcW w:w="9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固废</w:t>
                  </w:r>
                </w:p>
              </w:tc>
              <w:tc>
                <w:tcPr>
                  <w:tcW w:w="6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建筑垃圾委托相关土方单位收集运往指定地点处理</w:t>
                  </w:r>
                  <w:r>
                    <w:rPr>
                      <w:rFonts w:hint="eastAsia" w:cs="Times New Roman"/>
                      <w:color w:val="auto"/>
                      <w:sz w:val="21"/>
                      <w:szCs w:val="21"/>
                      <w:u w:val="none" w:color="auto"/>
                      <w:lang w:val="en-US" w:eastAsia="zh-CN"/>
                    </w:rPr>
                    <w:t>；</w:t>
                  </w:r>
                  <w:r>
                    <w:rPr>
                      <w:rFonts w:hint="eastAsia" w:ascii="Times New Roman" w:hAnsi="Times New Roman" w:cs="Times New Roman"/>
                      <w:color w:val="auto"/>
                      <w:sz w:val="21"/>
                      <w:szCs w:val="21"/>
                      <w:u w:val="none" w:color="auto"/>
                      <w:lang w:val="en-US" w:eastAsia="zh-CN"/>
                    </w:rPr>
                    <w:t>生活垃圾收集，委托环卫部门处理</w:t>
                  </w:r>
                  <w:r>
                    <w:rPr>
                      <w:rFonts w:hint="eastAsia" w:cs="Times New Roman"/>
                      <w:color w:val="auto"/>
                      <w:sz w:val="21"/>
                      <w:szCs w:val="21"/>
                      <w:u w:val="none" w:color="auto"/>
                      <w:lang w:val="en-US" w:eastAsia="zh-CN"/>
                    </w:rPr>
                    <w:t>；</w:t>
                  </w:r>
                  <w:r>
                    <w:rPr>
                      <w:rFonts w:hint="eastAsia"/>
                      <w:sz w:val="21"/>
                      <w:szCs w:val="21"/>
                      <w:u w:val="none" w:color="auto"/>
                      <w:lang w:val="en-US" w:eastAsia="zh-CN"/>
                    </w:rPr>
                    <w:t>废油交由有资质单位处置</w:t>
                  </w:r>
                </w:p>
              </w:tc>
              <w:tc>
                <w:tcPr>
                  <w:tcW w:w="9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 w:hRule="atLeast"/>
                <w:jc w:val="center"/>
              </w:trPr>
              <w:tc>
                <w:tcPr>
                  <w:tcW w:w="7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u w:val="none" w:color="auto"/>
                      <w:lang w:val="en-US" w:eastAsia="zh-CN"/>
                    </w:rPr>
                  </w:pPr>
                </w:p>
              </w:tc>
              <w:tc>
                <w:tcPr>
                  <w:tcW w:w="9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生态</w:t>
                  </w:r>
                </w:p>
              </w:tc>
              <w:tc>
                <w:tcPr>
                  <w:tcW w:w="61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生态保护及施工临时场地复绿，对占用的地方道路造成损坏的进行补偿修复</w:t>
                  </w:r>
                </w:p>
              </w:tc>
              <w:tc>
                <w:tcPr>
                  <w:tcW w:w="9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790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合计</w:t>
                  </w:r>
                </w:p>
              </w:tc>
              <w:tc>
                <w:tcPr>
                  <w:tcW w:w="9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150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eastAsia="宋体"/>
                <w:color w:val="auto"/>
                <w:u w:val="none" w:color="auto"/>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b/>
          <w:bCs/>
          <w:color w:val="auto"/>
          <w:sz w:val="30"/>
          <w:szCs w:val="30"/>
        </w:rPr>
        <w:sectPr>
          <w:pgSz w:w="11906" w:h="16838"/>
          <w:pgMar w:top="1077" w:right="1077" w:bottom="1077" w:left="1077" w:header="851" w:footer="510" w:gutter="0"/>
          <w:pgBorders>
            <w:top w:val="none" w:sz="0" w:space="0"/>
            <w:left w:val="none" w:sz="0" w:space="0"/>
            <w:bottom w:val="none" w:sz="0" w:space="0"/>
            <w:right w:val="none" w:sz="0" w:space="0"/>
          </w:pgBorders>
          <w:pgNumType w:fmt="decimal"/>
          <w:cols w:space="425" w:num="1"/>
          <w:docGrid w:type="lines" w:linePitch="312" w:charSpace="0"/>
        </w:sectPr>
      </w:pPr>
    </w:p>
    <w:p>
      <w:pPr>
        <w:jc w:val="center"/>
        <w:outlineLvl w:val="0"/>
        <w:rPr>
          <w:color w:val="auto"/>
          <w:vertAlign w:val="baseline"/>
        </w:rPr>
      </w:pPr>
      <w:bookmarkStart w:id="24" w:name="_Toc29495"/>
      <w:bookmarkStart w:id="25" w:name="_Toc29541"/>
      <w:bookmarkStart w:id="26" w:name="_Toc31689"/>
      <w:bookmarkStart w:id="27" w:name="_Toc27281"/>
      <w:r>
        <w:rPr>
          <w:rFonts w:hint="eastAsia"/>
          <w:b/>
          <w:bCs/>
          <w:color w:val="auto"/>
          <w:sz w:val="30"/>
          <w:szCs w:val="30"/>
          <w:lang w:val="en-US" w:eastAsia="zh-CN"/>
        </w:rPr>
        <w:t>六</w:t>
      </w:r>
      <w:r>
        <w:rPr>
          <w:rFonts w:hint="eastAsia"/>
          <w:b/>
          <w:bCs/>
          <w:color w:val="auto"/>
          <w:sz w:val="30"/>
          <w:szCs w:val="30"/>
        </w:rPr>
        <w:t>、</w:t>
      </w:r>
      <w:bookmarkEnd w:id="24"/>
      <w:bookmarkEnd w:id="25"/>
      <w:r>
        <w:rPr>
          <w:rFonts w:hint="eastAsia"/>
          <w:b/>
          <w:bCs/>
          <w:color w:val="auto"/>
          <w:sz w:val="30"/>
          <w:szCs w:val="30"/>
        </w:rPr>
        <w:t>生态环境保护措施监督检查清单</w:t>
      </w:r>
      <w:bookmarkEnd w:id="26"/>
      <w:bookmarkEnd w:id="27"/>
    </w:p>
    <w:tbl>
      <w:tblPr>
        <w:tblStyle w:val="26"/>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3364"/>
        <w:gridCol w:w="1907"/>
        <w:gridCol w:w="1648"/>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right"/>
              <w:outlineLvl w:val="9"/>
              <w:rPr>
                <w:rFonts w:hint="eastAsia"/>
                <w:color w:val="auto"/>
                <w:sz w:val="21"/>
                <w:szCs w:val="21"/>
                <w:u w:val="none"/>
              </w:rPr>
            </w:pPr>
            <w:r>
              <w:rPr>
                <w:color w:val="auto"/>
                <w:sz w:val="21"/>
                <w:u w:val="none"/>
              </w:rPr>
              <mc:AlternateContent>
                <mc:Choice Requires="wps">
                  <w:drawing>
                    <wp:anchor distT="0" distB="0" distL="114300" distR="114300" simplePos="0" relativeHeight="251659264" behindDoc="0" locked="0" layoutInCell="1" allowOverlap="1">
                      <wp:simplePos x="0" y="0"/>
                      <wp:positionH relativeFrom="column">
                        <wp:posOffset>-66040</wp:posOffset>
                      </wp:positionH>
                      <wp:positionV relativeFrom="paragraph">
                        <wp:posOffset>-6985</wp:posOffset>
                      </wp:positionV>
                      <wp:extent cx="974090" cy="534670"/>
                      <wp:effectExtent l="3175" t="5715" r="13335" b="12065"/>
                      <wp:wrapNone/>
                      <wp:docPr id="1" name="直接连接符 1"/>
                      <wp:cNvGraphicFramePr/>
                      <a:graphic xmlns:a="http://schemas.openxmlformats.org/drawingml/2006/main">
                        <a:graphicData uri="http://schemas.microsoft.com/office/word/2010/wordprocessingShape">
                          <wps:wsp>
                            <wps:cNvCnPr/>
                            <wps:spPr>
                              <a:xfrm>
                                <a:off x="718185" y="1087120"/>
                                <a:ext cx="974090" cy="53467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pt;margin-top:-0.55pt;height:42.1pt;width:76.7pt;z-index:251659264;mso-width-relative:page;mso-height-relative:page;" filled="f" stroked="t" coordsize="21600,21600" o:gfxdata="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7s77rYAAAACQEAAA8AAAAAAAAAAQAgAAAAIgAAAGRycy9kb3ducmV2LnhtbFBLAQIU&#10;ABQAAAAIAIdO4kCF6OkW8wEAAMEDAAAOAAAAAAAAAAEAIAAAACcBAABkcnMvZTJvRG9jLnhtbFBL&#10;BQYAAAAABgAGAFkBAACMBQAAAAA=&#10;">
                      <v:fill on="f" focussize="0,0"/>
                      <v:stroke weight="1pt" color="#000000 [3213]" miterlimit="8" joinstyle="miter"/>
                      <v:imagedata o:title=""/>
                      <o:lock v:ext="edit" aspectratio="f"/>
                    </v:line>
                  </w:pict>
                </mc:Fallback>
              </mc:AlternateContent>
            </w:r>
            <w:r>
              <w:rPr>
                <w:rFonts w:hint="eastAsia"/>
                <w:color w:val="auto"/>
                <w:sz w:val="21"/>
                <w:szCs w:val="21"/>
                <w:u w:val="none"/>
              </w:rPr>
              <w:t>内容</w:t>
            </w:r>
          </w:p>
          <w:p>
            <w:pPr>
              <w:keepNext w:val="0"/>
              <w:keepLines w:val="0"/>
              <w:pageBreakBefore w:val="0"/>
              <w:widowControl w:val="0"/>
              <w:kinsoku/>
              <w:wordWrap/>
              <w:overflowPunct/>
              <w:topLinePunct w:val="0"/>
              <w:autoSpaceDE/>
              <w:autoSpaceDN/>
              <w:bidi w:val="0"/>
              <w:spacing w:line="300" w:lineRule="exact"/>
              <w:jc w:val="both"/>
              <w:outlineLvl w:val="9"/>
              <w:rPr>
                <w:rFonts w:hint="eastAsia"/>
                <w:color w:val="auto"/>
                <w:sz w:val="21"/>
                <w:szCs w:val="21"/>
                <w:u w:val="none"/>
              </w:rPr>
            </w:pPr>
            <w:r>
              <w:rPr>
                <w:rFonts w:hint="eastAsia"/>
                <w:color w:val="auto"/>
                <w:sz w:val="21"/>
                <w:szCs w:val="21"/>
                <w:u w:val="none"/>
              </w:rPr>
              <w:t>要素</w:t>
            </w:r>
          </w:p>
        </w:tc>
        <w:tc>
          <w:tcPr>
            <w:tcW w:w="265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eastAsia" w:eastAsia="宋体"/>
                <w:color w:val="auto"/>
                <w:sz w:val="21"/>
                <w:szCs w:val="21"/>
                <w:u w:val="none"/>
                <w:lang w:val="en-US" w:eastAsia="zh-CN"/>
              </w:rPr>
            </w:pPr>
            <w:r>
              <w:rPr>
                <w:rFonts w:hint="eastAsia"/>
                <w:color w:val="auto"/>
                <w:sz w:val="21"/>
                <w:szCs w:val="21"/>
                <w:u w:val="none"/>
                <w:lang w:val="en-US" w:eastAsia="zh-CN"/>
              </w:rPr>
              <w:t>施工期</w:t>
            </w:r>
          </w:p>
        </w:tc>
        <w:tc>
          <w:tcPr>
            <w:tcW w:w="156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eastAsia" w:eastAsia="宋体"/>
                <w:color w:val="auto"/>
                <w:sz w:val="21"/>
                <w:szCs w:val="21"/>
                <w:u w:val="none"/>
                <w:lang w:val="en-US" w:eastAsia="zh-CN"/>
              </w:rPr>
            </w:pPr>
            <w:r>
              <w:rPr>
                <w:rFonts w:hint="eastAsia"/>
                <w:color w:val="auto"/>
                <w:sz w:val="21"/>
                <w:szCs w:val="21"/>
                <w:u w:val="none"/>
                <w:lang w:val="en-US" w:eastAsia="zh-CN"/>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eastAsia"/>
                <w:color w:val="auto"/>
                <w:sz w:val="21"/>
                <w:szCs w:val="21"/>
                <w:u w:val="none"/>
              </w:rPr>
            </w:pP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auto"/>
                <w:sz w:val="21"/>
                <w:szCs w:val="21"/>
                <w:u w:val="none"/>
                <w:lang w:val="en-US" w:eastAsia="zh-CN"/>
              </w:rPr>
            </w:pPr>
            <w:r>
              <w:rPr>
                <w:rFonts w:hint="eastAsia"/>
                <w:color w:val="auto"/>
                <w:sz w:val="21"/>
                <w:szCs w:val="21"/>
                <w:u w:val="none"/>
                <w:lang w:val="en-US" w:eastAsia="zh-CN"/>
              </w:rPr>
              <w:t>环境保护措施</w:t>
            </w:r>
          </w:p>
        </w:tc>
        <w:tc>
          <w:tcPr>
            <w:tcW w:w="960"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default" w:eastAsia="宋体"/>
                <w:color w:val="auto"/>
                <w:sz w:val="21"/>
                <w:szCs w:val="21"/>
                <w:u w:val="none"/>
                <w:lang w:val="en-US" w:eastAsia="zh-CN"/>
              </w:rPr>
            </w:pPr>
            <w:r>
              <w:rPr>
                <w:rFonts w:hint="eastAsia"/>
                <w:color w:val="auto"/>
                <w:sz w:val="21"/>
                <w:szCs w:val="21"/>
                <w:u w:val="none"/>
                <w:lang w:val="en-US" w:eastAsia="zh-CN"/>
              </w:rPr>
              <w:t>验收要求</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auto"/>
                <w:sz w:val="21"/>
                <w:szCs w:val="21"/>
                <w:u w:val="none"/>
              </w:rPr>
            </w:pPr>
            <w:r>
              <w:rPr>
                <w:rFonts w:hint="eastAsia"/>
                <w:color w:val="auto"/>
                <w:sz w:val="21"/>
                <w:szCs w:val="21"/>
                <w:u w:val="none"/>
                <w:lang w:val="en-US" w:eastAsia="zh-CN"/>
              </w:rPr>
              <w:t>环境保护措施</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陆生生态</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72" w:leftChars="-30" w:right="-72" w:rightChars="-30"/>
              <w:jc w:val="center"/>
              <w:textAlignment w:val="auto"/>
              <w:rPr>
                <w:rFonts w:hint="default" w:eastAsia="宋体"/>
                <w:color w:val="auto"/>
                <w:sz w:val="21"/>
                <w:szCs w:val="21"/>
                <w:u w:val="none"/>
                <w:lang w:val="en-US" w:eastAsia="zh-CN"/>
              </w:rPr>
            </w:pPr>
            <w:r>
              <w:rPr>
                <w:rFonts w:hint="eastAsia"/>
                <w:color w:val="auto"/>
                <w:sz w:val="21"/>
                <w:szCs w:val="21"/>
                <w:u w:val="none"/>
              </w:rPr>
              <w:t>对临时占用土地进行地貌恢复</w:t>
            </w:r>
            <w:r>
              <w:rPr>
                <w:rFonts w:hint="eastAsia"/>
                <w:color w:val="auto"/>
                <w:sz w:val="21"/>
                <w:szCs w:val="21"/>
                <w:u w:val="none"/>
                <w:lang w:eastAsia="zh-CN"/>
              </w:rPr>
              <w:t>；严格执行各项水土保持措施，严格控制施工范围，禁止破坏项目占地外的植被</w:t>
            </w:r>
          </w:p>
        </w:tc>
        <w:tc>
          <w:tcPr>
            <w:tcW w:w="960"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rPr>
              <w:t>施工期结束后及时对临时占地进行复垦或植被恢复等</w:t>
            </w:r>
          </w:p>
        </w:tc>
        <w:tc>
          <w:tcPr>
            <w:tcW w:w="8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auto"/>
                <w:sz w:val="21"/>
                <w:szCs w:val="21"/>
                <w:u w:val="none"/>
                <w:lang w:eastAsia="zh-CN"/>
              </w:rPr>
            </w:pPr>
            <w:r>
              <w:rPr>
                <w:rFonts w:hint="eastAsia"/>
                <w:color w:val="auto"/>
                <w:sz w:val="21"/>
                <w:szCs w:val="21"/>
                <w:u w:val="none"/>
              </w:rPr>
              <w:t>植被恢复</w:t>
            </w:r>
            <w:r>
              <w:rPr>
                <w:rFonts w:hint="eastAsia"/>
                <w:color w:val="auto"/>
                <w:sz w:val="21"/>
                <w:szCs w:val="21"/>
                <w:u w:val="none"/>
                <w:lang w:eastAsia="zh-CN"/>
              </w:rPr>
              <w:t>，进行生态补偿</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rPr>
              <w:t>植被恢复达到效果要求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水生生态</w:t>
            </w:r>
          </w:p>
        </w:tc>
        <w:tc>
          <w:tcPr>
            <w:tcW w:w="1693"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eastAsia="宋体"/>
                <w:color w:val="auto"/>
                <w:sz w:val="21"/>
                <w:szCs w:val="21"/>
                <w:u w:val="none"/>
                <w:lang w:val="en-US" w:eastAsia="zh-CN"/>
              </w:rPr>
            </w:pPr>
            <w:r>
              <w:rPr>
                <w:rFonts w:hint="eastAsia" w:eastAsia="宋体"/>
                <w:color w:val="auto"/>
                <w:sz w:val="21"/>
                <w:szCs w:val="21"/>
                <w:u w:val="none"/>
                <w:lang w:val="en-US" w:eastAsia="zh-CN"/>
              </w:rPr>
              <w:t>加强施工管理，禁止施工人员非法捕捞渠道等水体内的鱼类或伤害其它水生动物</w:t>
            </w:r>
          </w:p>
        </w:tc>
        <w:tc>
          <w:tcPr>
            <w:tcW w:w="960"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eastAsia="宋体"/>
                <w:color w:val="auto"/>
                <w:sz w:val="21"/>
                <w:szCs w:val="21"/>
                <w:u w:val="none"/>
                <w:lang w:val="en-US" w:eastAsia="zh-CN"/>
              </w:rPr>
            </w:pPr>
            <w:r>
              <w:rPr>
                <w:rFonts w:hint="eastAsia"/>
                <w:color w:val="auto"/>
                <w:sz w:val="21"/>
                <w:szCs w:val="21"/>
                <w:u w:val="none"/>
                <w:lang w:val="en-US" w:eastAsia="zh-CN"/>
              </w:rPr>
              <w:t>/</w:t>
            </w:r>
          </w:p>
        </w:tc>
        <w:tc>
          <w:tcPr>
            <w:tcW w:w="829"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eastAsia="宋体"/>
                <w:color w:val="auto"/>
                <w:sz w:val="21"/>
                <w:szCs w:val="21"/>
                <w:u w:val="none"/>
                <w:lang w:val="en-US" w:eastAsia="zh-CN"/>
              </w:rPr>
            </w:pPr>
            <w:r>
              <w:rPr>
                <w:rFonts w:hint="eastAsia"/>
                <w:color w:val="auto"/>
                <w:sz w:val="21"/>
                <w:szCs w:val="21"/>
                <w:u w:val="none"/>
                <w:lang w:val="en-US" w:eastAsia="zh-CN"/>
              </w:rPr>
              <w:t>/</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地表水环境</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eastAsia" w:eastAsia="宋体"/>
                <w:color w:val="auto"/>
                <w:sz w:val="21"/>
                <w:szCs w:val="21"/>
                <w:u w:val="none"/>
                <w:lang w:eastAsia="zh-CN"/>
              </w:rPr>
            </w:pPr>
            <w:r>
              <w:rPr>
                <w:rFonts w:hint="eastAsia" w:eastAsia="宋体"/>
                <w:color w:val="auto"/>
                <w:sz w:val="21"/>
                <w:szCs w:val="21"/>
                <w:u w:val="none"/>
                <w:lang w:eastAsia="zh-CN"/>
              </w:rPr>
              <w:t>施工废水经沉淀池处理后回用；生活污水依托周边居民现有的设施处理</w:t>
            </w:r>
          </w:p>
        </w:tc>
        <w:tc>
          <w:tcPr>
            <w:tcW w:w="9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auto"/>
                <w:sz w:val="21"/>
                <w:szCs w:val="21"/>
                <w:u w:val="none"/>
              </w:rPr>
            </w:pPr>
            <w:r>
              <w:rPr>
                <w:rFonts w:hint="eastAsia"/>
                <w:color w:val="auto"/>
                <w:sz w:val="21"/>
                <w:szCs w:val="21"/>
                <w:u w:val="none"/>
              </w:rPr>
              <w:t>废水不外排</w:t>
            </w:r>
          </w:p>
        </w:tc>
        <w:tc>
          <w:tcPr>
            <w:tcW w:w="829"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eastAsia="宋体"/>
                <w:color w:val="auto"/>
                <w:sz w:val="21"/>
                <w:szCs w:val="21"/>
                <w:u w:val="none"/>
                <w:lang w:eastAsia="zh-CN"/>
              </w:rPr>
            </w:pPr>
            <w:r>
              <w:rPr>
                <w:rFonts w:hint="eastAsia"/>
                <w:color w:val="auto"/>
                <w:sz w:val="21"/>
                <w:szCs w:val="21"/>
                <w:u w:val="none"/>
                <w:lang w:val="en-US" w:eastAsia="zh-CN"/>
              </w:rPr>
              <w:t>/</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地下水及土壤环境</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设置隔油池、</w:t>
            </w:r>
            <w:r>
              <w:rPr>
                <w:rFonts w:hint="default" w:eastAsia="宋体"/>
                <w:color w:val="auto"/>
                <w:sz w:val="21"/>
                <w:szCs w:val="21"/>
                <w:u w:val="none"/>
                <w:lang w:val="en-US" w:eastAsia="zh-CN"/>
              </w:rPr>
              <w:t>施工结束后对土地进行平整、覆土</w:t>
            </w:r>
          </w:p>
        </w:tc>
        <w:tc>
          <w:tcPr>
            <w:tcW w:w="9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color w:val="auto"/>
                <w:sz w:val="21"/>
                <w:szCs w:val="21"/>
                <w:u w:val="none"/>
                <w:lang w:val="en-US" w:eastAsia="zh-CN"/>
              </w:rPr>
            </w:pPr>
            <w:r>
              <w:rPr>
                <w:rFonts w:hint="eastAsia"/>
                <w:color w:val="auto"/>
                <w:sz w:val="21"/>
                <w:szCs w:val="21"/>
                <w:u w:val="none"/>
                <w:lang w:val="en-US" w:eastAsia="zh-CN"/>
              </w:rPr>
              <w:t>/</w:t>
            </w:r>
          </w:p>
        </w:tc>
        <w:tc>
          <w:tcPr>
            <w:tcW w:w="829"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声环境</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default"/>
                <w:color w:val="auto"/>
                <w:sz w:val="21"/>
                <w:szCs w:val="21"/>
                <w:u w:val="none"/>
                <w:lang w:val="en-US" w:eastAsia="zh-CN"/>
              </w:rPr>
              <w:t>加强机动车运输管理，合理控制道路车流量和车速和车辆鸣号，避免车辆拥挤，并设置限速、禁鸣等标志</w:t>
            </w:r>
          </w:p>
        </w:tc>
        <w:tc>
          <w:tcPr>
            <w:tcW w:w="960"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300" w:lineRule="exact"/>
              <w:ind w:left="-120" w:leftChars="-50" w:right="-120" w:rightChars="-50" w:firstLine="0" w:firstLineChars="0"/>
              <w:textAlignment w:val="center"/>
              <w:rPr>
                <w:rFonts w:hint="eastAsia" w:eastAsia="宋体"/>
                <w:color w:val="auto"/>
                <w:sz w:val="21"/>
                <w:szCs w:val="21"/>
                <w:u w:val="none"/>
                <w:lang w:val="en-US" w:eastAsia="zh-CN"/>
              </w:rPr>
            </w:pPr>
            <w:r>
              <w:rPr>
                <w:rFonts w:hint="eastAsia" w:eastAsia="宋体"/>
                <w:color w:val="auto"/>
                <w:sz w:val="21"/>
                <w:szCs w:val="21"/>
                <w:u w:val="none"/>
                <w:lang w:val="en-US" w:eastAsia="zh-CN"/>
              </w:rPr>
              <w:t>《建筑施工场界环境噪声排放标准》（GB12523-2011）</w:t>
            </w:r>
          </w:p>
        </w:tc>
        <w:tc>
          <w:tcPr>
            <w:tcW w:w="829"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default" w:eastAsia="宋体"/>
                <w:color w:val="auto"/>
                <w:sz w:val="21"/>
                <w:szCs w:val="21"/>
                <w:u w:val="none"/>
                <w:lang w:val="en-US" w:eastAsia="zh-CN"/>
              </w:rPr>
            </w:pPr>
            <w:r>
              <w:rPr>
                <w:rFonts w:hint="eastAsia"/>
                <w:color w:val="auto"/>
                <w:sz w:val="21"/>
                <w:szCs w:val="21"/>
                <w:u w:val="none"/>
                <w:lang w:val="en-US" w:eastAsia="zh-CN"/>
              </w:rPr>
              <w:t>/</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eastAsia" w:eastAsia="宋体"/>
                <w:color w:val="auto"/>
                <w:sz w:val="21"/>
                <w:szCs w:val="21"/>
                <w:u w:val="none"/>
                <w:lang w:val="en-US" w:eastAsia="zh-CN"/>
              </w:rPr>
            </w:pPr>
            <w:r>
              <w:rPr>
                <w:rFonts w:hint="eastAsia"/>
                <w:color w:val="auto"/>
                <w:sz w:val="21"/>
                <w:szCs w:val="21"/>
                <w:u w:val="none"/>
                <w:lang w:val="en-US" w:eastAsia="zh-CN"/>
              </w:rPr>
              <w:t>振动</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w:t>
            </w:r>
          </w:p>
        </w:tc>
        <w:tc>
          <w:tcPr>
            <w:tcW w:w="9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color w:val="auto"/>
                <w:sz w:val="21"/>
                <w:szCs w:val="21"/>
                <w:u w:val="none"/>
                <w:lang w:val="en-US" w:eastAsia="zh-CN"/>
              </w:rPr>
            </w:pPr>
            <w:r>
              <w:rPr>
                <w:rFonts w:hint="eastAsia"/>
                <w:color w:val="auto"/>
                <w:sz w:val="21"/>
                <w:szCs w:val="21"/>
                <w:u w:val="none"/>
                <w:lang w:val="en-US" w:eastAsia="zh-CN"/>
              </w:rPr>
              <w:t>/</w:t>
            </w:r>
          </w:p>
        </w:tc>
        <w:tc>
          <w:tcPr>
            <w:tcW w:w="829"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大气环境</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default" w:eastAsia="宋体"/>
                <w:color w:val="auto"/>
                <w:sz w:val="21"/>
                <w:szCs w:val="21"/>
                <w:u w:val="none"/>
                <w:lang w:val="en-US" w:eastAsia="zh-CN"/>
              </w:rPr>
              <w:t>施工设置</w:t>
            </w:r>
            <w:r>
              <w:rPr>
                <w:rFonts w:hint="eastAsia"/>
                <w:color w:val="auto"/>
                <w:sz w:val="21"/>
                <w:szCs w:val="21"/>
                <w:u w:val="none"/>
                <w:lang w:val="en-US" w:eastAsia="zh-CN"/>
              </w:rPr>
              <w:t>围挡；</w:t>
            </w:r>
            <w:r>
              <w:rPr>
                <w:rFonts w:hint="default" w:eastAsia="宋体"/>
                <w:color w:val="auto"/>
                <w:sz w:val="21"/>
                <w:szCs w:val="21"/>
                <w:u w:val="none"/>
                <w:lang w:val="en-US" w:eastAsia="zh-CN"/>
              </w:rPr>
              <w:t>对道路进行洒水降尘</w:t>
            </w:r>
            <w:r>
              <w:rPr>
                <w:rFonts w:hint="eastAsia"/>
                <w:color w:val="auto"/>
                <w:sz w:val="21"/>
                <w:szCs w:val="21"/>
                <w:u w:val="none"/>
                <w:lang w:val="en-US" w:eastAsia="zh-CN"/>
              </w:rPr>
              <w:t>；</w:t>
            </w:r>
            <w:r>
              <w:rPr>
                <w:rFonts w:hint="default" w:eastAsia="宋体"/>
                <w:color w:val="auto"/>
                <w:sz w:val="21"/>
                <w:szCs w:val="21"/>
                <w:u w:val="none"/>
                <w:lang w:val="en-US" w:eastAsia="zh-CN"/>
              </w:rPr>
              <w:t>加强运输车辆管理，如限载、限速</w:t>
            </w:r>
          </w:p>
        </w:tc>
        <w:tc>
          <w:tcPr>
            <w:tcW w:w="960"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300" w:lineRule="exact"/>
              <w:ind w:left="-120" w:leftChars="-50" w:right="-120" w:rightChars="-50" w:firstLine="0" w:firstLineChars="0"/>
              <w:textAlignment w:val="center"/>
              <w:rPr>
                <w:rFonts w:hint="eastAsia" w:eastAsia="宋体"/>
                <w:color w:val="auto"/>
                <w:sz w:val="21"/>
                <w:szCs w:val="21"/>
                <w:u w:val="none"/>
                <w:lang w:val="en-US" w:eastAsia="zh-CN"/>
              </w:rPr>
            </w:pPr>
            <w:r>
              <w:rPr>
                <w:rFonts w:hint="eastAsia" w:eastAsia="宋体"/>
                <w:color w:val="auto"/>
                <w:sz w:val="21"/>
                <w:szCs w:val="21"/>
                <w:u w:val="none"/>
                <w:lang w:val="en-US" w:eastAsia="zh-CN"/>
              </w:rPr>
              <w:t>《大气污染物综合排放标准》（GB16297-1996）表2中无组织排放浓度监控限值</w:t>
            </w:r>
          </w:p>
        </w:tc>
        <w:tc>
          <w:tcPr>
            <w:tcW w:w="829"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default" w:eastAsia="宋体"/>
                <w:color w:val="auto"/>
                <w:sz w:val="21"/>
                <w:szCs w:val="21"/>
                <w:u w:val="none"/>
                <w:lang w:val="en-US" w:eastAsia="zh-CN"/>
              </w:rPr>
            </w:pPr>
            <w:r>
              <w:rPr>
                <w:rFonts w:hint="eastAsia"/>
                <w:color w:val="auto"/>
                <w:sz w:val="21"/>
                <w:szCs w:val="21"/>
                <w:u w:val="none"/>
                <w:lang w:val="en-US" w:eastAsia="zh-CN"/>
              </w:rPr>
              <w:t>/</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eastAsia="宋体"/>
                <w:color w:val="auto"/>
                <w:sz w:val="21"/>
                <w:szCs w:val="21"/>
                <w:u w:val="none"/>
                <w:lang w:val="en-US" w:eastAsia="zh-CN"/>
              </w:rPr>
            </w:pPr>
            <w:r>
              <w:rPr>
                <w:rFonts w:hint="eastAsia"/>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固体废物</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default"/>
                <w:color w:val="auto"/>
                <w:sz w:val="21"/>
                <w:szCs w:val="21"/>
                <w:u w:val="none"/>
                <w:lang w:val="en-US" w:eastAsia="zh-CN"/>
              </w:rPr>
              <w:t>土石方按照水土保持方案要求</w:t>
            </w:r>
            <w:r>
              <w:rPr>
                <w:rFonts w:hint="eastAsia"/>
                <w:color w:val="auto"/>
                <w:sz w:val="21"/>
                <w:szCs w:val="21"/>
                <w:u w:val="none"/>
                <w:lang w:val="en-US" w:eastAsia="zh-CN"/>
              </w:rPr>
              <w:t>及时清运至指定地；</w:t>
            </w:r>
            <w:r>
              <w:rPr>
                <w:rFonts w:hint="default" w:eastAsia="宋体"/>
                <w:color w:val="auto"/>
                <w:sz w:val="21"/>
                <w:szCs w:val="21"/>
                <w:u w:val="none"/>
                <w:lang w:val="en-US" w:eastAsia="zh-CN"/>
              </w:rPr>
              <w:t>生活垃圾交由环卫部门处理</w:t>
            </w:r>
            <w:r>
              <w:rPr>
                <w:rFonts w:hint="eastAsia" w:eastAsia="宋体"/>
                <w:color w:val="auto"/>
                <w:sz w:val="21"/>
                <w:szCs w:val="21"/>
                <w:u w:val="none"/>
                <w:lang w:val="en-US" w:eastAsia="zh-CN"/>
              </w:rPr>
              <w:t>；</w:t>
            </w:r>
            <w:r>
              <w:rPr>
                <w:rFonts w:hint="default" w:eastAsia="宋体"/>
                <w:color w:val="auto"/>
                <w:sz w:val="21"/>
                <w:szCs w:val="21"/>
                <w:u w:val="none"/>
                <w:lang w:val="en-US" w:eastAsia="zh-CN"/>
              </w:rPr>
              <w:t>建筑垃圾分类收集回收，不能回收的运至指定建筑垃圾填埋场填埋</w:t>
            </w:r>
            <w:r>
              <w:rPr>
                <w:rFonts w:hint="eastAsia"/>
                <w:color w:val="auto"/>
                <w:sz w:val="21"/>
                <w:szCs w:val="21"/>
                <w:u w:val="none"/>
                <w:lang w:val="en-US" w:eastAsia="zh-CN"/>
              </w:rPr>
              <w:t>；</w:t>
            </w:r>
            <w:r>
              <w:rPr>
                <w:rFonts w:hint="eastAsia"/>
                <w:sz w:val="21"/>
                <w:szCs w:val="21"/>
                <w:u w:val="none"/>
                <w:lang w:val="en-US" w:eastAsia="zh-CN"/>
              </w:rPr>
              <w:t>废油交由有资质单位处置</w:t>
            </w:r>
          </w:p>
        </w:tc>
        <w:tc>
          <w:tcPr>
            <w:tcW w:w="960"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300" w:lineRule="exact"/>
              <w:ind w:left="-120" w:leftChars="-50" w:right="-120" w:rightChars="-50" w:firstLine="0" w:firstLineChars="0"/>
              <w:textAlignment w:val="center"/>
              <w:rPr>
                <w:rFonts w:hint="default" w:eastAsia="宋体"/>
                <w:color w:val="auto"/>
                <w:sz w:val="21"/>
                <w:szCs w:val="21"/>
                <w:u w:val="none"/>
                <w:lang w:val="en-US" w:eastAsia="zh-CN"/>
              </w:rPr>
            </w:pPr>
            <w:r>
              <w:rPr>
                <w:rFonts w:hint="default" w:eastAsia="宋体"/>
                <w:color w:val="auto"/>
                <w:sz w:val="21"/>
                <w:szCs w:val="21"/>
                <w:u w:val="none"/>
                <w:lang w:val="en-US" w:eastAsia="zh-CN"/>
              </w:rPr>
              <w:t>《一般工业固体废物贮存和填埋污染控制标准》（GB18599-2020）</w:t>
            </w:r>
            <w:r>
              <w:rPr>
                <w:rFonts w:hint="eastAsia"/>
                <w:color w:val="auto"/>
                <w:sz w:val="21"/>
                <w:szCs w:val="21"/>
                <w:u w:val="none"/>
                <w:lang w:val="en-US" w:eastAsia="zh-CN"/>
              </w:rPr>
              <w:t>、《危险废物贮存污染控制标准》（GB18597-2023）</w:t>
            </w:r>
          </w:p>
        </w:tc>
        <w:tc>
          <w:tcPr>
            <w:tcW w:w="829"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电磁环境</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w:t>
            </w:r>
          </w:p>
        </w:tc>
        <w:tc>
          <w:tcPr>
            <w:tcW w:w="9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color w:val="auto"/>
                <w:sz w:val="21"/>
                <w:szCs w:val="21"/>
                <w:u w:val="none"/>
                <w:lang w:val="en-US"/>
              </w:rPr>
            </w:pPr>
            <w:r>
              <w:rPr>
                <w:rFonts w:hint="eastAsia"/>
                <w:color w:val="auto"/>
                <w:sz w:val="21"/>
                <w:szCs w:val="21"/>
                <w:u w:val="none"/>
                <w:lang w:val="en-US" w:eastAsia="zh-CN"/>
              </w:rPr>
              <w:t>/</w:t>
            </w:r>
          </w:p>
        </w:tc>
        <w:tc>
          <w:tcPr>
            <w:tcW w:w="829"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环境风险</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eastAsia" w:eastAsia="宋体"/>
                <w:color w:val="auto"/>
                <w:sz w:val="21"/>
                <w:szCs w:val="21"/>
                <w:u w:val="none"/>
                <w:lang w:val="en-US" w:eastAsia="zh-CN"/>
              </w:rPr>
            </w:pPr>
            <w:r>
              <w:rPr>
                <w:rFonts w:hint="eastAsia" w:eastAsia="宋体"/>
                <w:color w:val="auto"/>
                <w:sz w:val="21"/>
                <w:szCs w:val="21"/>
                <w:u w:val="none"/>
                <w:lang w:val="en-US" w:eastAsia="zh-CN"/>
              </w:rPr>
              <w:t>施工单位应制定事故风险溢油应急计划，并按计划中的步骤执行；对施工机械进行定期维修保养，避免发生溢油事故；若施工期施工机械发生泄露事故，在有关部门的指导和配合下，及时采取浮油拦截和吸附措施，直至油污消除</w:t>
            </w:r>
          </w:p>
        </w:tc>
        <w:tc>
          <w:tcPr>
            <w:tcW w:w="9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auto"/>
                <w:sz w:val="21"/>
                <w:szCs w:val="21"/>
                <w:u w:val="none"/>
              </w:rPr>
            </w:pPr>
            <w:r>
              <w:rPr>
                <w:rFonts w:hint="eastAsia"/>
                <w:color w:val="auto"/>
                <w:sz w:val="21"/>
                <w:szCs w:val="21"/>
                <w:u w:val="none"/>
                <w:lang w:val="en-US" w:eastAsia="zh-CN"/>
              </w:rPr>
              <w:t>/</w:t>
            </w:r>
          </w:p>
        </w:tc>
        <w:tc>
          <w:tcPr>
            <w:tcW w:w="829"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color w:val="auto"/>
                <w:sz w:val="21"/>
                <w:szCs w:val="21"/>
                <w:u w:val="none"/>
                <w:lang w:val="en-US" w:eastAsia="zh-CN"/>
              </w:rPr>
            </w:pPr>
            <w:r>
              <w:rPr>
                <w:rFonts w:hint="eastAsia"/>
                <w:color w:val="auto"/>
                <w:sz w:val="21"/>
                <w:szCs w:val="21"/>
                <w:u w:val="none"/>
                <w:lang w:val="en-US" w:eastAsia="zh-CN"/>
              </w:rPr>
              <w:t>环境监测</w:t>
            </w:r>
          </w:p>
        </w:tc>
        <w:tc>
          <w:tcPr>
            <w:tcW w:w="33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eastAsia" w:eastAsia="宋体"/>
                <w:color w:val="auto"/>
                <w:sz w:val="21"/>
                <w:szCs w:val="21"/>
                <w:u w:val="none"/>
                <w:lang w:val="en-US" w:eastAsia="zh-CN"/>
              </w:rPr>
            </w:pPr>
            <w:r>
              <w:rPr>
                <w:rFonts w:hint="eastAsia"/>
                <w:color w:val="auto"/>
                <w:sz w:val="21"/>
                <w:szCs w:val="21"/>
                <w:u w:val="none"/>
                <w:lang w:val="en-US" w:eastAsia="zh-CN"/>
              </w:rPr>
              <w:t>/</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color w:val="auto"/>
                <w:sz w:val="21"/>
                <w:szCs w:val="21"/>
                <w:u w:val="none"/>
                <w:lang w:val="en-US"/>
              </w:rPr>
            </w:pPr>
            <w:r>
              <w:rPr>
                <w:rFonts w:hint="eastAsia"/>
                <w:color w:val="auto"/>
                <w:sz w:val="21"/>
                <w:szCs w:val="21"/>
                <w:u w:val="none"/>
                <w:lang w:val="en-US" w:eastAsia="zh-CN"/>
              </w:rPr>
              <w:t>/</w:t>
            </w:r>
          </w:p>
        </w:tc>
        <w:tc>
          <w:tcPr>
            <w:tcW w:w="829"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default" w:eastAsia="宋体"/>
                <w:color w:val="auto"/>
                <w:sz w:val="21"/>
                <w:szCs w:val="21"/>
                <w:u w:val="none"/>
                <w:lang w:val="en-US" w:eastAsia="zh-CN"/>
              </w:rPr>
            </w:pPr>
            <w:r>
              <w:rPr>
                <w:rFonts w:hint="eastAsia"/>
                <w:color w:val="auto"/>
                <w:sz w:val="21"/>
                <w:szCs w:val="21"/>
                <w:u w:val="none"/>
                <w:lang w:val="en-US" w:eastAsia="zh-CN"/>
              </w:rPr>
              <w:t>/</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color w:val="auto"/>
                <w:sz w:val="21"/>
                <w:szCs w:val="21"/>
                <w:u w:val="none"/>
                <w:lang w:val="en-US" w:eastAsia="zh-CN"/>
              </w:rPr>
            </w:pPr>
            <w:r>
              <w:rPr>
                <w:rFonts w:hint="eastAsia"/>
                <w:color w:val="auto"/>
                <w:sz w:val="21"/>
                <w:szCs w:val="21"/>
                <w:u w:val="none"/>
                <w:lang w:val="en-US" w:eastAsia="zh-CN"/>
              </w:rPr>
              <w:t>其他</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00" w:lineRule="exact"/>
              <w:jc w:val="center"/>
              <w:outlineLvl w:val="9"/>
              <w:rPr>
                <w:rFonts w:hint="default" w:eastAsia="宋体"/>
                <w:color w:val="auto"/>
                <w:sz w:val="21"/>
                <w:szCs w:val="21"/>
                <w:u w:val="none"/>
                <w:lang w:val="en-US" w:eastAsia="zh-CN"/>
              </w:rPr>
            </w:pPr>
            <w:r>
              <w:rPr>
                <w:rFonts w:hint="eastAsia"/>
                <w:color w:val="auto"/>
                <w:sz w:val="21"/>
                <w:szCs w:val="21"/>
                <w:u w:val="none"/>
                <w:lang w:val="en-US" w:eastAsia="zh-CN"/>
              </w:rPr>
              <w:t>/</w:t>
            </w:r>
          </w:p>
        </w:tc>
        <w:tc>
          <w:tcPr>
            <w:tcW w:w="9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color w:val="auto"/>
                <w:sz w:val="21"/>
                <w:szCs w:val="21"/>
                <w:u w:val="none"/>
              </w:rPr>
            </w:pPr>
            <w:r>
              <w:rPr>
                <w:rFonts w:hint="eastAsia"/>
                <w:color w:val="auto"/>
                <w:sz w:val="21"/>
                <w:szCs w:val="21"/>
                <w:u w:val="none"/>
                <w:lang w:val="en-US" w:eastAsia="zh-CN"/>
              </w:rPr>
              <w:t>/</w:t>
            </w:r>
          </w:p>
        </w:tc>
        <w:tc>
          <w:tcPr>
            <w:tcW w:w="829"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c>
          <w:tcPr>
            <w:tcW w:w="735" w:type="pct"/>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spacing w:line="300" w:lineRule="exact"/>
              <w:ind w:firstLine="0" w:firstLineChars="0"/>
              <w:rPr>
                <w:rFonts w:hint="eastAsia"/>
                <w:color w:val="auto"/>
                <w:sz w:val="21"/>
                <w:szCs w:val="21"/>
                <w:u w:val="none"/>
              </w:rPr>
            </w:pPr>
            <w:r>
              <w:rPr>
                <w:rFonts w:hint="eastAsia"/>
                <w:color w:val="auto"/>
                <w:sz w:val="21"/>
                <w:szCs w:val="21"/>
                <w:u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auto"/>
          <w:vertAlign w:val="baseline"/>
        </w:rPr>
      </w:pPr>
    </w:p>
    <w:p>
      <w:pPr>
        <w:outlineLvl w:val="0"/>
        <w:rPr>
          <w:color w:val="auto"/>
          <w:vertAlign w:val="baseline"/>
        </w:rPr>
        <w:sectPr>
          <w:pgSz w:w="11906" w:h="16838"/>
          <w:pgMar w:top="1077" w:right="1077" w:bottom="1077" w:left="1077" w:header="851" w:footer="510" w:gutter="0"/>
          <w:pgBorders>
            <w:top w:val="none" w:sz="0" w:space="0"/>
            <w:left w:val="none" w:sz="0" w:space="0"/>
            <w:bottom w:val="none" w:sz="0" w:space="0"/>
            <w:right w:val="none" w:sz="0" w:space="0"/>
          </w:pgBorders>
          <w:pgNumType w:fmt="decimal"/>
          <w:cols w:space="425" w:num="1"/>
          <w:docGrid w:type="lines" w:linePitch="312" w:charSpace="0"/>
        </w:sectPr>
      </w:pPr>
    </w:p>
    <w:p>
      <w:pPr>
        <w:pStyle w:val="21"/>
        <w:ind w:left="0" w:leftChars="0" w:firstLine="0" w:firstLineChars="0"/>
        <w:jc w:val="center"/>
        <w:outlineLvl w:val="0"/>
        <w:rPr>
          <w:color w:val="auto"/>
        </w:rPr>
      </w:pPr>
      <w:bookmarkStart w:id="28" w:name="_Toc23185"/>
      <w:bookmarkStart w:id="29" w:name="_Toc18142"/>
      <w:bookmarkStart w:id="30" w:name="_Toc19646"/>
      <w:bookmarkStart w:id="31" w:name="_Toc30495"/>
      <w:r>
        <w:rPr>
          <w:rFonts w:hint="eastAsia"/>
          <w:b/>
          <w:bCs/>
          <w:color w:val="auto"/>
          <w:sz w:val="30"/>
          <w:szCs w:val="30"/>
          <w:lang w:val="en-US" w:eastAsia="zh-CN"/>
        </w:rPr>
        <w:t>七</w:t>
      </w:r>
      <w:r>
        <w:rPr>
          <w:rFonts w:hint="eastAsia"/>
          <w:b/>
          <w:bCs/>
          <w:color w:val="auto"/>
          <w:sz w:val="30"/>
          <w:szCs w:val="30"/>
        </w:rPr>
        <w:t>、</w:t>
      </w:r>
      <w:bookmarkEnd w:id="28"/>
      <w:bookmarkEnd w:id="29"/>
      <w:r>
        <w:rPr>
          <w:rFonts w:hint="eastAsia"/>
          <w:b/>
          <w:bCs/>
          <w:color w:val="auto"/>
          <w:sz w:val="30"/>
          <w:szCs w:val="30"/>
        </w:rPr>
        <w:t>结论</w:t>
      </w:r>
      <w:bookmarkEnd w:id="30"/>
      <w:bookmarkEnd w:id="31"/>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9968"/>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13323" w:hRule="atLeast"/>
        </w:trPr>
        <w:tc>
          <w:tcPr>
            <w:tcW w:w="5000" w:type="pct"/>
            <w:tcBorders>
              <w:tl2br w:val="nil"/>
              <w:tr2bl w:val="nil"/>
            </w:tcBorders>
          </w:tcPr>
          <w:p>
            <w:pPr>
              <w:bidi w:val="0"/>
              <w:ind w:firstLine="480" w:firstLineChars="200"/>
              <w:rPr>
                <w:rFonts w:hint="eastAsia"/>
                <w:color w:val="auto"/>
              </w:rPr>
            </w:pPr>
            <w:r>
              <w:rPr>
                <w:rFonts w:hint="eastAsia"/>
                <w:color w:val="auto"/>
              </w:rPr>
              <w:t>综上所述，项目符合国家产业政策</w:t>
            </w:r>
            <w:r>
              <w:rPr>
                <w:rFonts w:hint="eastAsia"/>
                <w:color w:val="auto"/>
                <w:lang w:eastAsia="zh-CN"/>
              </w:rPr>
              <w:t>，在施工期对地区的生态环境、</w:t>
            </w:r>
            <w:r>
              <w:rPr>
                <w:rFonts w:hint="eastAsia"/>
                <w:color w:val="auto"/>
                <w:lang w:val="en-US" w:eastAsia="zh-CN"/>
              </w:rPr>
              <w:t>大气</w:t>
            </w:r>
            <w:r>
              <w:rPr>
                <w:rFonts w:hint="eastAsia"/>
                <w:color w:val="auto"/>
                <w:lang w:eastAsia="zh-CN"/>
              </w:rPr>
              <w:t>环境、水环境、声环境等将会带来一定的不利影响，</w:t>
            </w:r>
            <w:r>
              <w:rPr>
                <w:rFonts w:hint="eastAsia"/>
                <w:color w:val="auto"/>
              </w:rPr>
              <w:t>在施工期严格落实环境影响报告表提出的各项污染防治措施、生态保护措施，施工结束后对临时占地及时恢复，合理绿化</w:t>
            </w:r>
            <w:r>
              <w:rPr>
                <w:rFonts w:hint="eastAsia"/>
                <w:color w:val="auto"/>
                <w:lang w:eastAsia="zh-CN"/>
              </w:rPr>
              <w:t>，</w:t>
            </w:r>
            <w:r>
              <w:rPr>
                <w:rFonts w:hint="eastAsia"/>
                <w:color w:val="auto"/>
              </w:rPr>
              <w:t>项目施工期对周围环境的影响可以控制在允许的范围以内</w:t>
            </w:r>
            <w:r>
              <w:rPr>
                <w:rFonts w:hint="eastAsia"/>
                <w:color w:val="auto"/>
                <w:lang w:eastAsia="zh-CN"/>
              </w:rPr>
              <w:t>，</w:t>
            </w:r>
            <w:r>
              <w:rPr>
                <w:rFonts w:hint="eastAsia"/>
                <w:color w:val="auto"/>
              </w:rPr>
              <w:t>对周围</w:t>
            </w:r>
            <w:r>
              <w:rPr>
                <w:rFonts w:hint="eastAsia"/>
                <w:color w:val="auto"/>
                <w:lang w:val="en-US" w:eastAsia="zh-CN"/>
              </w:rPr>
              <w:t>生态</w:t>
            </w:r>
            <w:r>
              <w:rPr>
                <w:rFonts w:hint="eastAsia"/>
                <w:color w:val="auto"/>
              </w:rPr>
              <w:t>环境的影响较小。从环境保护角度而言，本项目建设是可行的。</w:t>
            </w: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rFonts w:hint="eastAsia"/>
                <w:color w:val="auto"/>
              </w:rPr>
            </w:pPr>
          </w:p>
          <w:p>
            <w:pPr>
              <w:bidi w:val="0"/>
              <w:ind w:firstLine="480" w:firstLineChars="200"/>
              <w:rPr>
                <w:color w:val="auto"/>
                <w:vertAlign w:val="baseline"/>
              </w:rPr>
            </w:pPr>
          </w:p>
        </w:tc>
      </w:tr>
    </w:tbl>
    <w:p>
      <w:pPr>
        <w:pStyle w:val="2"/>
        <w:rPr>
          <w:rFonts w:hint="eastAsia"/>
          <w:color w:val="auto"/>
          <w:lang w:val="en-US" w:eastAsia="zh-CN"/>
        </w:rPr>
      </w:pPr>
    </w:p>
    <w:p>
      <w:pPr>
        <w:jc w:val="center"/>
        <w:rPr>
          <w:rFonts w:hint="eastAsia"/>
          <w:lang w:val="en-US" w:eastAsia="zh-CN"/>
        </w:rPr>
        <w:sectPr>
          <w:pgSz w:w="11906" w:h="16838"/>
          <w:pgMar w:top="1077" w:right="1077" w:bottom="1077" w:left="1077" w:header="851" w:footer="992" w:gutter="0"/>
          <w:pgBorders>
            <w:top w:val="none" w:sz="0" w:space="0"/>
            <w:left w:val="none" w:sz="0" w:space="0"/>
            <w:bottom w:val="none" w:sz="0" w:space="0"/>
            <w:right w:val="none" w:sz="0" w:space="0"/>
          </w:pgBorders>
          <w:cols w:space="425" w:num="1"/>
          <w:docGrid w:type="lines" w:linePitch="312" w:charSpace="0"/>
        </w:sectPr>
      </w:pPr>
    </w:p>
    <w:p>
      <w:pPr>
        <w:outlineLvl w:val="0"/>
        <w:rPr>
          <w:rFonts w:hint="default" w:ascii="Times New Roman" w:hAnsi="Times New Roman" w:cs="Times New Roman"/>
          <w:sz w:val="24"/>
          <w:szCs w:val="24"/>
          <w:lang w:val="en-US" w:eastAsia="zh-CN"/>
        </w:rPr>
      </w:pPr>
      <w:r>
        <w:rPr>
          <w:rFonts w:hint="eastAsia"/>
          <w:b/>
          <w:bCs/>
          <w:lang w:val="en-US" w:eastAsia="zh-CN"/>
        </w:rPr>
        <w:t>附件1：委托书</w:t>
      </w:r>
    </w:p>
    <w:p>
      <w:pPr>
        <w:jc w:val="center"/>
        <w:outlineLvl w:val="9"/>
        <w:rPr>
          <w:rFonts w:hint="eastAsia" w:eastAsia="宋体"/>
          <w:lang w:eastAsia="zh-CN"/>
        </w:rPr>
      </w:pPr>
      <w:r>
        <w:drawing>
          <wp:inline distT="0" distB="0" distL="114300" distR="114300">
            <wp:extent cx="4953000" cy="63531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4953000" cy="6353175"/>
                    </a:xfrm>
                    <a:prstGeom prst="rect">
                      <a:avLst/>
                    </a:prstGeom>
                    <a:noFill/>
                    <a:ln>
                      <a:noFill/>
                    </a:ln>
                  </pic:spPr>
                </pic:pic>
              </a:graphicData>
            </a:graphic>
          </wp:inline>
        </w:drawing>
      </w:r>
    </w:p>
    <w:p>
      <w:pPr>
        <w:pStyle w:val="32"/>
        <w:rPr>
          <w:rFonts w:hint="eastAsia"/>
          <w:lang w:eastAsia="zh-CN"/>
        </w:rPr>
        <w:sectPr>
          <w:pgSz w:w="11906" w:h="16838"/>
          <w:pgMar w:top="1077" w:right="1077" w:bottom="1077" w:left="1077" w:header="851" w:footer="992" w:gutter="0"/>
          <w:pgBorders>
            <w:top w:val="none" w:sz="0" w:space="0"/>
            <w:left w:val="none" w:sz="0" w:space="0"/>
            <w:bottom w:val="none" w:sz="0" w:space="0"/>
            <w:right w:val="none" w:sz="0" w:space="0"/>
          </w:pgBorders>
          <w:cols w:space="425" w:num="1"/>
          <w:docGrid w:type="lines" w:linePitch="312" w:charSpace="0"/>
        </w:sectPr>
      </w:pPr>
    </w:p>
    <w:p>
      <w:pPr>
        <w:outlineLvl w:val="0"/>
        <w:rPr>
          <w:rFonts w:hint="default"/>
          <w:b/>
          <w:bCs/>
          <w:lang w:val="en-US" w:eastAsia="zh-CN"/>
        </w:rPr>
      </w:pPr>
      <w:r>
        <w:rPr>
          <w:rFonts w:hint="eastAsia"/>
          <w:b/>
          <w:bCs/>
          <w:lang w:val="en-US" w:eastAsia="zh-CN"/>
        </w:rPr>
        <w:t>附件2：事业单位法人证书</w:t>
      </w:r>
    </w:p>
    <w:p>
      <w:pPr>
        <w:pStyle w:val="2"/>
        <w:jc w:val="center"/>
        <w:rPr>
          <w:rFonts w:hint="default"/>
          <w:lang w:val="en-US" w:eastAsia="zh-CN"/>
        </w:rPr>
        <w:sectPr>
          <w:pgSz w:w="16838" w:h="11906" w:orient="landscape"/>
          <w:pgMar w:top="1077" w:right="1077" w:bottom="1077" w:left="107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7991475" cy="5295900"/>
            <wp:effectExtent l="0" t="0" r="952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7991475" cy="5295900"/>
                    </a:xfrm>
                    <a:prstGeom prst="rect">
                      <a:avLst/>
                    </a:prstGeom>
                    <a:noFill/>
                    <a:ln>
                      <a:noFill/>
                    </a:ln>
                  </pic:spPr>
                </pic:pic>
              </a:graphicData>
            </a:graphic>
          </wp:inline>
        </w:drawing>
      </w:r>
    </w:p>
    <w:p>
      <w:pPr>
        <w:outlineLvl w:val="0"/>
        <w:rPr>
          <w:rFonts w:hint="default"/>
          <w:b/>
          <w:bCs/>
          <w:lang w:val="en-US" w:eastAsia="zh-CN"/>
        </w:rPr>
      </w:pPr>
      <w:r>
        <w:rPr>
          <w:rFonts w:hint="eastAsia"/>
          <w:b/>
          <w:bCs/>
          <w:lang w:val="en-US" w:eastAsia="zh-CN"/>
        </w:rPr>
        <w:t>附件3：项目初步设计报告的批复</w:t>
      </w:r>
    </w:p>
    <w:p>
      <w:pPr>
        <w:jc w:val="center"/>
        <w:sectPr>
          <w:pgSz w:w="11906" w:h="16838"/>
          <w:pgMar w:top="1077" w:right="1077" w:bottom="1077" w:left="107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851525" cy="8318500"/>
            <wp:effectExtent l="0" t="0" r="15875"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0"/>
                    <a:stretch>
                      <a:fillRect/>
                    </a:stretch>
                  </pic:blipFill>
                  <pic:spPr>
                    <a:xfrm>
                      <a:off x="0" y="0"/>
                      <a:ext cx="5851525" cy="8318500"/>
                    </a:xfrm>
                    <a:prstGeom prst="rect">
                      <a:avLst/>
                    </a:prstGeom>
                    <a:noFill/>
                    <a:ln>
                      <a:noFill/>
                    </a:ln>
                  </pic:spPr>
                </pic:pic>
              </a:graphicData>
            </a:graphic>
          </wp:inline>
        </w:drawing>
      </w:r>
      <w:r>
        <w:drawing>
          <wp:inline distT="0" distB="0" distL="114300" distR="114300">
            <wp:extent cx="6055995" cy="8492490"/>
            <wp:effectExtent l="0" t="0" r="1905" b="38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1"/>
                    <a:stretch>
                      <a:fillRect/>
                    </a:stretch>
                  </pic:blipFill>
                  <pic:spPr>
                    <a:xfrm>
                      <a:off x="0" y="0"/>
                      <a:ext cx="6055995" cy="8492490"/>
                    </a:xfrm>
                    <a:prstGeom prst="rect">
                      <a:avLst/>
                    </a:prstGeom>
                    <a:noFill/>
                    <a:ln>
                      <a:noFill/>
                    </a:ln>
                  </pic:spPr>
                </pic:pic>
              </a:graphicData>
            </a:graphic>
          </wp:inline>
        </w:drawing>
      </w:r>
      <w:r>
        <w:drawing>
          <wp:inline distT="0" distB="0" distL="114300" distR="114300">
            <wp:extent cx="6132830" cy="8567420"/>
            <wp:effectExtent l="0" t="0" r="1270" b="508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2"/>
                    <a:stretch>
                      <a:fillRect/>
                    </a:stretch>
                  </pic:blipFill>
                  <pic:spPr>
                    <a:xfrm>
                      <a:off x="0" y="0"/>
                      <a:ext cx="6132830" cy="8567420"/>
                    </a:xfrm>
                    <a:prstGeom prst="rect">
                      <a:avLst/>
                    </a:prstGeom>
                    <a:noFill/>
                    <a:ln>
                      <a:noFill/>
                    </a:ln>
                  </pic:spPr>
                </pic:pic>
              </a:graphicData>
            </a:graphic>
          </wp:inline>
        </w:drawing>
      </w:r>
    </w:p>
    <w:p>
      <w:pPr>
        <w:outlineLvl w:val="0"/>
        <w:rPr>
          <w:rFonts w:hint="default" w:ascii="Times New Roman" w:hAnsi="Times New Roman" w:eastAsia="宋体" w:cs="Times New Roman"/>
          <w:b/>
          <w:bCs/>
          <w:lang w:val="en-US" w:eastAsia="zh-CN"/>
        </w:rPr>
      </w:pPr>
      <w:r>
        <w:rPr>
          <w:rFonts w:hint="eastAsia"/>
          <w:b/>
          <w:bCs/>
          <w:lang w:val="en-US" w:eastAsia="zh-CN"/>
        </w:rPr>
        <w:t>附件4：项目可行性研究报告的批复</w:t>
      </w:r>
    </w:p>
    <w:p>
      <w:pPr>
        <w:jc w:val="center"/>
        <w:outlineLvl w:val="9"/>
        <w:rPr>
          <w:rFonts w:hint="eastAsia"/>
          <w:b/>
          <w:bCs/>
          <w:lang w:val="en-US" w:eastAsia="zh-CN"/>
        </w:rPr>
      </w:pPr>
      <w:r>
        <w:drawing>
          <wp:inline distT="0" distB="0" distL="114300" distR="114300">
            <wp:extent cx="5381625" cy="7429500"/>
            <wp:effectExtent l="0" t="0" r="952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3"/>
                    <a:stretch>
                      <a:fillRect/>
                    </a:stretch>
                  </pic:blipFill>
                  <pic:spPr>
                    <a:xfrm>
                      <a:off x="0" y="0"/>
                      <a:ext cx="5381625" cy="7429500"/>
                    </a:xfrm>
                    <a:prstGeom prst="rect">
                      <a:avLst/>
                    </a:prstGeom>
                    <a:noFill/>
                    <a:ln>
                      <a:noFill/>
                    </a:ln>
                  </pic:spPr>
                </pic:pic>
              </a:graphicData>
            </a:graphic>
          </wp:inline>
        </w:drawing>
      </w:r>
    </w:p>
    <w:p>
      <w:pPr>
        <w:pStyle w:val="2"/>
        <w:jc w:val="center"/>
        <w:rPr>
          <w:rFonts w:hint="eastAsia"/>
          <w:lang w:val="en-US" w:eastAsia="zh-CN"/>
        </w:rPr>
        <w:sectPr>
          <w:pgSz w:w="11906" w:h="16838"/>
          <w:pgMar w:top="1077" w:right="1077" w:bottom="1077" w:left="124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739765" cy="8096885"/>
            <wp:effectExtent l="0" t="0" r="13335" b="184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4"/>
                    <a:stretch>
                      <a:fillRect/>
                    </a:stretch>
                  </pic:blipFill>
                  <pic:spPr>
                    <a:xfrm>
                      <a:off x="0" y="0"/>
                      <a:ext cx="5739765" cy="8096885"/>
                    </a:xfrm>
                    <a:prstGeom prst="rect">
                      <a:avLst/>
                    </a:prstGeom>
                    <a:noFill/>
                    <a:ln>
                      <a:noFill/>
                    </a:ln>
                  </pic:spPr>
                </pic:pic>
              </a:graphicData>
            </a:graphic>
          </wp:inline>
        </w:drawing>
      </w:r>
    </w:p>
    <w:p>
      <w:pPr>
        <w:outlineLvl w:val="0"/>
        <w:rPr>
          <w:rFonts w:hint="default" w:ascii="Times New Roman" w:hAnsi="Times New Roman" w:eastAsia="宋体" w:cs="Times New Roman"/>
          <w:b/>
          <w:bCs/>
          <w:lang w:val="en-US" w:eastAsia="zh-CN"/>
        </w:rPr>
      </w:pPr>
      <w:r>
        <w:rPr>
          <w:rFonts w:hint="eastAsia"/>
          <w:b/>
          <w:bCs/>
          <w:lang w:val="en-US" w:eastAsia="zh-CN"/>
        </w:rPr>
        <w:t>附件5：项目安全鉴定报告</w:t>
      </w:r>
    </w:p>
    <w:p>
      <w:pPr>
        <w:jc w:val="center"/>
        <w:rPr>
          <w:rFonts w:hint="eastAsia"/>
          <w:b/>
          <w:bCs/>
          <w:lang w:val="en-US" w:eastAsia="zh-CN"/>
        </w:rPr>
      </w:pPr>
      <w:r>
        <w:drawing>
          <wp:inline distT="0" distB="0" distL="114300" distR="114300">
            <wp:extent cx="5859780" cy="8334375"/>
            <wp:effectExtent l="0" t="0" r="7620" b="952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5"/>
                    <a:stretch>
                      <a:fillRect/>
                    </a:stretch>
                  </pic:blipFill>
                  <pic:spPr>
                    <a:xfrm>
                      <a:off x="0" y="0"/>
                      <a:ext cx="5859780" cy="8334375"/>
                    </a:xfrm>
                    <a:prstGeom prst="rect">
                      <a:avLst/>
                    </a:prstGeom>
                    <a:noFill/>
                    <a:ln>
                      <a:noFill/>
                    </a:ln>
                  </pic:spPr>
                </pic:pic>
              </a:graphicData>
            </a:graphic>
          </wp:inline>
        </w:drawing>
      </w:r>
      <w:r>
        <w:drawing>
          <wp:inline distT="0" distB="0" distL="114300" distR="114300">
            <wp:extent cx="6065520" cy="8636635"/>
            <wp:effectExtent l="0" t="0" r="11430" b="1206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6"/>
                    <a:stretch>
                      <a:fillRect/>
                    </a:stretch>
                  </pic:blipFill>
                  <pic:spPr>
                    <a:xfrm>
                      <a:off x="0" y="0"/>
                      <a:ext cx="6065520" cy="8636635"/>
                    </a:xfrm>
                    <a:prstGeom prst="rect">
                      <a:avLst/>
                    </a:prstGeom>
                    <a:noFill/>
                    <a:ln>
                      <a:noFill/>
                    </a:ln>
                  </pic:spPr>
                </pic:pic>
              </a:graphicData>
            </a:graphic>
          </wp:inline>
        </w:drawing>
      </w:r>
      <w:r>
        <w:rPr>
          <w:rFonts w:hint="eastAsia"/>
          <w:b/>
          <w:bCs/>
          <w:lang w:val="en-US" w:eastAsia="zh-CN"/>
        </w:rPr>
        <w:br w:type="page"/>
      </w:r>
    </w:p>
    <w:p>
      <w:pPr>
        <w:outlineLvl w:val="0"/>
        <w:rPr>
          <w:rFonts w:hint="eastAsia"/>
          <w:b/>
          <w:bCs/>
          <w:lang w:val="en-US" w:eastAsia="zh-CN"/>
        </w:rPr>
      </w:pPr>
      <w:r>
        <w:rPr>
          <w:rFonts w:hint="eastAsia"/>
          <w:b/>
          <w:bCs/>
          <w:lang w:val="en-US" w:eastAsia="zh-CN"/>
        </w:rPr>
        <w:t>附件6：检测报告</w:t>
      </w:r>
    </w:p>
    <w:p>
      <w:pPr>
        <w:rPr>
          <w:rFonts w:hint="default" w:eastAsia="宋体"/>
          <w:color w:val="auto"/>
          <w:lang w:val="en-US" w:eastAsia="zh-CN"/>
        </w:rPr>
      </w:pPr>
      <w:r>
        <w:rPr>
          <w:rFonts w:hint="default" w:eastAsia="宋体"/>
          <w:color w:val="auto"/>
          <w:lang w:val="en-US" w:eastAsia="zh-CN"/>
        </w:rPr>
        <w:br w:type="page"/>
      </w:r>
    </w:p>
    <w:p>
      <w:pPr>
        <w:pStyle w:val="3"/>
        <w:rPr>
          <w:rFonts w:hint="default"/>
          <w:lang w:val="en-US" w:eastAsia="zh-CN"/>
        </w:rPr>
        <w:sectPr>
          <w:footerReference r:id="rId9" w:type="default"/>
          <w:pgSz w:w="11906" w:h="16838"/>
          <w:pgMar w:top="1440" w:right="1080" w:bottom="1440" w:left="1080" w:header="851" w:footer="510" w:gutter="0"/>
          <w:pgBorders>
            <w:top w:val="none" w:sz="0" w:space="0"/>
            <w:left w:val="none" w:sz="0" w:space="0"/>
            <w:bottom w:val="none" w:sz="0" w:space="0"/>
            <w:right w:val="none" w:sz="0" w:space="0"/>
          </w:pgBorders>
          <w:pgNumType w:fmt="decimal"/>
          <w:cols w:space="0" w:num="1"/>
          <w:rtlGutter w:val="0"/>
          <w:docGrid w:type="lines" w:linePitch="336" w:charSpace="0"/>
        </w:sectPr>
      </w:pPr>
    </w:p>
    <w:p>
      <w:pPr>
        <w:outlineLvl w:val="0"/>
        <w:rPr>
          <w:rFonts w:hint="eastAsia"/>
          <w:b/>
          <w:bCs/>
          <w:lang w:val="en-US" w:eastAsia="zh-CN"/>
        </w:rPr>
      </w:pPr>
      <w:r>
        <w:rPr>
          <w:rFonts w:hint="eastAsia"/>
          <w:b/>
          <w:bCs/>
          <w:lang w:val="en-US" w:eastAsia="zh-CN"/>
        </w:rPr>
        <w:t>附件7：项目用地情况说明</w:t>
      </w:r>
    </w:p>
    <w:p>
      <w:pPr>
        <w:pStyle w:val="2"/>
        <w:jc w:val="center"/>
        <w:rPr>
          <w:rFonts w:hint="eastAsia"/>
          <w:b/>
          <w:bCs/>
          <w:lang w:val="en-US" w:eastAsia="zh-CN"/>
        </w:rPr>
      </w:pPr>
      <w:r>
        <w:drawing>
          <wp:inline distT="0" distB="0" distL="114300" distR="114300">
            <wp:extent cx="6075680" cy="8615680"/>
            <wp:effectExtent l="0" t="0" r="1270" b="1397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7"/>
                    <a:stretch>
                      <a:fillRect/>
                    </a:stretch>
                  </pic:blipFill>
                  <pic:spPr>
                    <a:xfrm>
                      <a:off x="0" y="0"/>
                      <a:ext cx="6075680" cy="8615680"/>
                    </a:xfrm>
                    <a:prstGeom prst="rect">
                      <a:avLst/>
                    </a:prstGeom>
                    <a:noFill/>
                    <a:ln>
                      <a:noFill/>
                    </a:ln>
                  </pic:spPr>
                </pic:pic>
              </a:graphicData>
            </a:graphic>
          </wp:inline>
        </w:drawing>
      </w:r>
    </w:p>
    <w:p>
      <w:pPr>
        <w:pStyle w:val="3"/>
        <w:rPr>
          <w:rFonts w:hint="eastAsia"/>
          <w:lang w:val="en-US" w:eastAsia="zh-CN"/>
        </w:rPr>
        <w:sectPr>
          <w:pgSz w:w="11906" w:h="16838"/>
          <w:pgMar w:top="1077" w:right="1077" w:bottom="1077" w:left="1077" w:header="851" w:footer="992" w:gutter="0"/>
          <w:pgBorders>
            <w:top w:val="none" w:sz="0" w:space="0"/>
            <w:left w:val="none" w:sz="0" w:space="0"/>
            <w:bottom w:val="none" w:sz="0" w:space="0"/>
            <w:right w:val="none" w:sz="0" w:space="0"/>
          </w:pgBorders>
          <w:cols w:space="425" w:num="1"/>
          <w:docGrid w:type="lines" w:linePitch="312" w:charSpace="0"/>
        </w:sectPr>
      </w:pPr>
    </w:p>
    <w:p>
      <w:pPr>
        <w:jc w:val="center"/>
        <w:outlineLvl w:val="9"/>
      </w:pPr>
      <w:r>
        <w:rPr>
          <w:sz w:val="21"/>
          <w:u w:val="none" w:color="auto"/>
        </w:rPr>
        <mc:AlternateContent>
          <mc:Choice Requires="wps">
            <w:drawing>
              <wp:anchor distT="0" distB="0" distL="114300" distR="114300" simplePos="0" relativeHeight="251664384" behindDoc="0" locked="0" layoutInCell="1" allowOverlap="1">
                <wp:simplePos x="0" y="0"/>
                <wp:positionH relativeFrom="column">
                  <wp:posOffset>7068185</wp:posOffset>
                </wp:positionH>
                <wp:positionV relativeFrom="paragraph">
                  <wp:posOffset>2876550</wp:posOffset>
                </wp:positionV>
                <wp:extent cx="1837690" cy="497205"/>
                <wp:effectExtent l="194945" t="5080" r="5715" b="716915"/>
                <wp:wrapNone/>
                <wp:docPr id="18" name="矩形标注 18"/>
                <wp:cNvGraphicFramePr/>
                <a:graphic xmlns:a="http://schemas.openxmlformats.org/drawingml/2006/main">
                  <a:graphicData uri="http://schemas.microsoft.com/office/word/2010/wordprocessingShape">
                    <wps:wsp>
                      <wps:cNvSpPr/>
                      <wps:spPr>
                        <a:xfrm>
                          <a:off x="0" y="0"/>
                          <a:ext cx="1837690" cy="497205"/>
                        </a:xfrm>
                        <a:prstGeom prst="wedgeRectCallout">
                          <a:avLst>
                            <a:gd name="adj1" fmla="val -59500"/>
                            <a:gd name="adj2" fmla="val 187037"/>
                          </a:avLst>
                        </a:prstGeom>
                        <a:noFill/>
                        <a:ln w="9525" cap="flat" cmpd="sng">
                          <a:solidFill>
                            <a:srgbClr val="000000"/>
                          </a:solidFill>
                          <a:prstDash val="solid"/>
                          <a:miter/>
                          <a:headEnd type="none" w="med" len="med"/>
                          <a:tailEnd type="none" w="med" len="med"/>
                        </a:ln>
                      </wps:spPr>
                      <wps:txbx>
                        <w:txbxContent>
                          <w:p>
                            <w:pPr>
                              <w:spacing w:line="240" w:lineRule="auto"/>
                              <w:jc w:val="center"/>
                              <w:rPr>
                                <w:rFonts w:hint="default" w:eastAsia="宋体"/>
                                <w:color w:val="FF0000"/>
                                <w:sz w:val="28"/>
                                <w:szCs w:val="36"/>
                                <w:highlight w:val="none"/>
                                <w:lang w:val="en-US" w:eastAsia="zh-CN"/>
                              </w:rPr>
                            </w:pPr>
                            <w:r>
                              <w:rPr>
                                <w:rFonts w:hint="eastAsia"/>
                                <w:color w:val="FF0000"/>
                                <w:sz w:val="36"/>
                                <w:szCs w:val="44"/>
                                <w:highlight w:val="none"/>
                                <w:lang w:val="en-US" w:eastAsia="zh-CN"/>
                              </w:rPr>
                              <w:t>项目所在位置</w:t>
                            </w:r>
                          </w:p>
                        </w:txbxContent>
                      </wps:txbx>
                      <wps:bodyPr upright="1"/>
                    </wps:wsp>
                  </a:graphicData>
                </a:graphic>
              </wp:anchor>
            </w:drawing>
          </mc:Choice>
          <mc:Fallback>
            <w:pict>
              <v:shape id="_x0000_s1026" o:spid="_x0000_s1026" o:spt="61" type="#_x0000_t61" style="position:absolute;left:0pt;margin-left:556.55pt;margin-top:226.5pt;height:39.15pt;width:144.7pt;z-index:251664384;mso-width-relative:page;mso-height-relative:page;" filled="f" stroked="t" coordsize="21600,21600" o:gfxdata="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UYbfcAAAADQEAAA8AAAAAAAAAAQAgAAAAIgAAAGRycy9k&#10;b3ducmV2LnhtbFBLAQIUABQAAAAIAIdO4kCHPgrKNwIAAGcEAAAOAAAAAAAAAAEAIAAAACsBAABk&#10;cnMvZTJvRG9jLnhtbFBLBQYAAAAABgAGAFkBAADUBQAAAAA=&#10;" adj="-2052,51200">
                <v:fill on="f" focussize="0,0"/>
                <v:stroke color="#000000" joinstyle="miter"/>
                <v:imagedata o:title=""/>
                <o:lock v:ext="edit" aspectratio="f"/>
                <v:textbox>
                  <w:txbxContent>
                    <w:p>
                      <w:pPr>
                        <w:spacing w:line="240" w:lineRule="auto"/>
                        <w:jc w:val="center"/>
                        <w:rPr>
                          <w:rFonts w:hint="default" w:eastAsia="宋体"/>
                          <w:color w:val="FF0000"/>
                          <w:sz w:val="28"/>
                          <w:szCs w:val="36"/>
                          <w:highlight w:val="none"/>
                          <w:lang w:val="en-US" w:eastAsia="zh-CN"/>
                        </w:rPr>
                      </w:pPr>
                      <w:r>
                        <w:rPr>
                          <w:rFonts w:hint="eastAsia"/>
                          <w:color w:val="FF0000"/>
                          <w:sz w:val="36"/>
                          <w:szCs w:val="44"/>
                          <w:highlight w:val="none"/>
                          <w:lang w:val="en-US" w:eastAsia="zh-CN"/>
                        </w:rPr>
                        <w:t>项目所在位置</w:t>
                      </w:r>
                    </w:p>
                  </w:txbxContent>
                </v:textbox>
              </v:shape>
            </w:pict>
          </mc:Fallback>
        </mc:AlternateContent>
      </w:r>
      <w:r>
        <w:rPr>
          <w:sz w:val="21"/>
          <w:u w:val="none" w:color="auto"/>
        </w:rPr>
        <mc:AlternateContent>
          <mc:Choice Requires="wps">
            <w:drawing>
              <wp:anchor distT="0" distB="0" distL="114300" distR="114300" simplePos="0" relativeHeight="251663360" behindDoc="0" locked="0" layoutInCell="1" allowOverlap="1">
                <wp:simplePos x="0" y="0"/>
                <wp:positionH relativeFrom="column">
                  <wp:posOffset>6784975</wp:posOffset>
                </wp:positionH>
                <wp:positionV relativeFrom="paragraph">
                  <wp:posOffset>4049395</wp:posOffset>
                </wp:positionV>
                <wp:extent cx="123190" cy="123825"/>
                <wp:effectExtent l="4445" t="4445" r="5715" b="5080"/>
                <wp:wrapNone/>
                <wp:docPr id="17" name="椭圆 17"/>
                <wp:cNvGraphicFramePr/>
                <a:graphic xmlns:a="http://schemas.openxmlformats.org/drawingml/2006/main">
                  <a:graphicData uri="http://schemas.microsoft.com/office/word/2010/wordprocessingShape">
                    <wps:wsp>
                      <wps:cNvSpPr/>
                      <wps:spPr>
                        <a:xfrm>
                          <a:off x="0" y="0"/>
                          <a:ext cx="123190" cy="123825"/>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534.25pt;margin-top:318.85pt;height:9.75pt;width:9.7pt;z-index:251663360;mso-width-relative:page;mso-height-relative:page;" fillcolor="#FF0000" filled="t" stroked="t" coordsize="21600,21600" o:gfxdata="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riML2QAAAA0BAAAPAAAAAAAAAAEAIAAAACIAAABkcnMvZG93bnJldi54bWxQSwEC&#10;FAAUAAAACACHTuJAy6kSE/MBAAAYBAAADgAAAAAAAAABACAAAAAoAQAAZHJzL2Uyb0RvYy54bWxQ&#10;SwUGAAAAAAYABgBZAQAAjQUAAAAA&#10;">
                <v:fill on="t" focussize="0,0"/>
                <v:stroke color="#FF0000" joinstyle="round"/>
                <v:imagedata o:title=""/>
                <o:lock v:ext="edit" aspectratio="f"/>
              </v:shape>
            </w:pict>
          </mc:Fallback>
        </mc:AlternateContent>
      </w:r>
      <w:r>
        <w:rPr>
          <w:rFonts w:hint="eastAsia" w:eastAsia="宋体"/>
          <w:u w:val="none" w:color="auto"/>
          <w:lang w:val="en-US" w:eastAsia="zh-CN"/>
        </w:rPr>
        <w:drawing>
          <wp:inline distT="0" distB="0" distL="114300" distR="114300">
            <wp:extent cx="7847330" cy="5730240"/>
            <wp:effectExtent l="0" t="0" r="1270" b="3810"/>
            <wp:docPr id="16" name="图片 11" descr="祁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祁东"/>
                    <pic:cNvPicPr>
                      <a:picLocks noChangeAspect="1"/>
                    </pic:cNvPicPr>
                  </pic:nvPicPr>
                  <pic:blipFill>
                    <a:blip r:embed="rId28"/>
                    <a:srcRect l="5392" t="3755" r="5217" b="3911"/>
                    <a:stretch>
                      <a:fillRect/>
                    </a:stretch>
                  </pic:blipFill>
                  <pic:spPr>
                    <a:xfrm>
                      <a:off x="0" y="0"/>
                      <a:ext cx="7847330" cy="5730240"/>
                    </a:xfrm>
                    <a:prstGeom prst="rect">
                      <a:avLst/>
                    </a:prstGeom>
                    <a:noFill/>
                    <a:ln>
                      <a:noFill/>
                    </a:ln>
                  </pic:spPr>
                </pic:pic>
              </a:graphicData>
            </a:graphic>
          </wp:inline>
        </w:drawing>
      </w:r>
    </w:p>
    <w:p>
      <w:pPr>
        <w:jc w:val="center"/>
        <w:outlineLvl w:val="0"/>
        <w:rPr>
          <w:rFonts w:hint="eastAsia"/>
          <w:b/>
          <w:bCs/>
          <w:lang w:val="en-US" w:eastAsia="zh-CN"/>
        </w:rPr>
      </w:pPr>
      <w:r>
        <w:rPr>
          <w:rFonts w:hint="eastAsia"/>
          <w:b/>
          <w:bCs/>
          <w:lang w:val="en-US" w:eastAsia="zh-CN"/>
        </w:rPr>
        <w:t>附图1：项目地理位置图</w:t>
      </w:r>
    </w:p>
    <w:p>
      <w:pPr>
        <w:jc w:val="center"/>
        <w:rPr>
          <w:rFonts w:hint="default"/>
          <w:b/>
          <w:bCs/>
          <w:lang w:val="en-US" w:eastAsia="zh-CN"/>
        </w:rPr>
        <w:sectPr>
          <w:pgSz w:w="16838" w:h="11906" w:orient="landscape"/>
          <w:pgMar w:top="1077" w:right="1077" w:bottom="1077" w:left="1077" w:header="851" w:footer="992" w:gutter="0"/>
          <w:pgBorders>
            <w:top w:val="none" w:sz="0" w:space="0"/>
            <w:left w:val="none" w:sz="0" w:space="0"/>
            <w:bottom w:val="none" w:sz="0" w:space="0"/>
            <w:right w:val="none" w:sz="0" w:space="0"/>
          </w:pgBorders>
          <w:cols w:space="425" w:num="1"/>
          <w:docGrid w:type="lines" w:linePitch="312" w:charSpace="0"/>
        </w:sectPr>
      </w:pPr>
    </w:p>
    <w:p>
      <w:pPr>
        <w:bidi w:val="0"/>
        <w:jc w:val="center"/>
        <w:outlineLvl w:val="9"/>
      </w:pPr>
      <w:r>
        <w:drawing>
          <wp:inline distT="0" distB="0" distL="114300" distR="114300">
            <wp:extent cx="9776460" cy="5765800"/>
            <wp:effectExtent l="0" t="0" r="15240" b="635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9"/>
                    <a:stretch>
                      <a:fillRect/>
                    </a:stretch>
                  </pic:blipFill>
                  <pic:spPr>
                    <a:xfrm>
                      <a:off x="0" y="0"/>
                      <a:ext cx="9776460" cy="5765800"/>
                    </a:xfrm>
                    <a:prstGeom prst="rect">
                      <a:avLst/>
                    </a:prstGeom>
                    <a:noFill/>
                    <a:ln>
                      <a:noFill/>
                    </a:ln>
                  </pic:spPr>
                </pic:pic>
              </a:graphicData>
            </a:graphic>
          </wp:inline>
        </w:drawing>
      </w:r>
    </w:p>
    <w:p>
      <w:pPr>
        <w:bidi w:val="0"/>
        <w:jc w:val="center"/>
        <w:outlineLvl w:val="0"/>
      </w:pPr>
      <w:r>
        <w:rPr>
          <w:rFonts w:hint="eastAsia"/>
          <w:b/>
          <w:bCs/>
          <w:lang w:val="en-US" w:eastAsia="zh-CN"/>
        </w:rPr>
        <w:t>附图2：项目现状总平面布置图</w:t>
      </w:r>
    </w:p>
    <w:p>
      <w:pPr>
        <w:pStyle w:val="25"/>
        <w:ind w:left="0" w:leftChars="0" w:firstLine="0" w:firstLineChars="0"/>
        <w:jc w:val="both"/>
        <w:rPr>
          <w:rFonts w:hint="default"/>
          <w:lang w:val="en-US" w:eastAsia="zh-CN"/>
        </w:r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pPr>
      <w:r>
        <w:drawing>
          <wp:inline distT="0" distB="0" distL="114300" distR="114300">
            <wp:extent cx="9769475" cy="5535930"/>
            <wp:effectExtent l="0" t="0" r="0"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30"/>
                    <a:srcRect b="10740"/>
                    <a:stretch>
                      <a:fillRect/>
                    </a:stretch>
                  </pic:blipFill>
                  <pic:spPr>
                    <a:xfrm>
                      <a:off x="0" y="0"/>
                      <a:ext cx="9769475" cy="5535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b/>
          <w:bCs/>
          <w:lang w:val="en-US" w:eastAsia="zh-CN"/>
        </w:rPr>
      </w:pPr>
      <w:r>
        <w:rPr>
          <w:rFonts w:hint="eastAsia"/>
          <w:b/>
          <w:bCs/>
          <w:lang w:val="en-US" w:eastAsia="zh-CN"/>
        </w:rPr>
        <w:t>附图3：项目水闸枢纽平面布置图</w:t>
      </w:r>
    </w:p>
    <w:p>
      <w:pPr>
        <w:jc w:val="center"/>
        <w:rPr>
          <w:rFonts w:hint="default"/>
          <w:b/>
          <w:bCs/>
          <w:lang w:val="en-US" w:eastAsia="zh-CN"/>
        </w:r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bidi w:val="0"/>
        <w:jc w:val="center"/>
        <w:outlineLvl w:val="9"/>
      </w:pPr>
      <w:r>
        <w:drawing>
          <wp:inline distT="0" distB="0" distL="114300" distR="114300">
            <wp:extent cx="9322435" cy="5391785"/>
            <wp:effectExtent l="0" t="0" r="12065" b="1841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31"/>
                    <a:srcRect b="2336"/>
                    <a:stretch>
                      <a:fillRect/>
                    </a:stretch>
                  </pic:blipFill>
                  <pic:spPr>
                    <a:xfrm>
                      <a:off x="0" y="0"/>
                      <a:ext cx="9322435" cy="5391785"/>
                    </a:xfrm>
                    <a:prstGeom prst="rect">
                      <a:avLst/>
                    </a:prstGeom>
                    <a:noFill/>
                    <a:ln>
                      <a:noFill/>
                    </a:ln>
                  </pic:spPr>
                </pic:pic>
              </a:graphicData>
            </a:graphic>
          </wp:inline>
        </w:drawing>
      </w:r>
      <w:r>
        <w:drawing>
          <wp:inline distT="0" distB="0" distL="114300" distR="114300">
            <wp:extent cx="9323705" cy="5337810"/>
            <wp:effectExtent l="0" t="0" r="10795" b="1524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32"/>
                    <a:stretch>
                      <a:fillRect/>
                    </a:stretch>
                  </pic:blipFill>
                  <pic:spPr>
                    <a:xfrm>
                      <a:off x="0" y="0"/>
                      <a:ext cx="9323705" cy="5337810"/>
                    </a:xfrm>
                    <a:prstGeom prst="rect">
                      <a:avLst/>
                    </a:prstGeom>
                    <a:noFill/>
                    <a:ln>
                      <a:noFill/>
                    </a:ln>
                  </pic:spPr>
                </pic:pic>
              </a:graphicData>
            </a:graphic>
          </wp:inline>
        </w:drawing>
      </w:r>
      <w:r>
        <w:drawing>
          <wp:inline distT="0" distB="0" distL="114300" distR="114300">
            <wp:extent cx="7326630" cy="5231130"/>
            <wp:effectExtent l="0" t="0" r="7620" b="762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33"/>
                    <a:stretch>
                      <a:fillRect/>
                    </a:stretch>
                  </pic:blipFill>
                  <pic:spPr>
                    <a:xfrm>
                      <a:off x="0" y="0"/>
                      <a:ext cx="7326630" cy="5231130"/>
                    </a:xfrm>
                    <a:prstGeom prst="rect">
                      <a:avLst/>
                    </a:prstGeom>
                    <a:noFill/>
                    <a:ln>
                      <a:noFill/>
                    </a:ln>
                  </pic:spPr>
                </pic:pic>
              </a:graphicData>
            </a:graphic>
          </wp:inline>
        </w:drawing>
      </w:r>
    </w:p>
    <w:p>
      <w:pPr>
        <w:bidi w:val="0"/>
        <w:jc w:val="center"/>
        <w:outlineLvl w:val="0"/>
      </w:pPr>
      <w:r>
        <w:rPr>
          <w:rFonts w:hint="eastAsia"/>
          <w:b/>
          <w:bCs/>
          <w:lang w:val="en-US" w:eastAsia="zh-CN"/>
        </w:rPr>
        <w:t>附图4：本次除险加固方案平面布置图</w:t>
      </w:r>
    </w:p>
    <w:p>
      <w:pPr>
        <w:pStyle w:val="25"/>
        <w:ind w:left="0" w:leftChars="0" w:firstLine="0" w:firstLineChars="0"/>
        <w:jc w:val="both"/>
        <w:rPr>
          <w:rFonts w:hint="default"/>
          <w:lang w:val="en-US" w:eastAsia="zh-CN"/>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pPr>
        <w:bidi w:val="0"/>
        <w:jc w:val="center"/>
        <w:outlineLvl w:val="9"/>
        <w:rPr>
          <w:rFonts w:hint="eastAsia"/>
          <w:b/>
          <w:bCs/>
          <w:lang w:val="en-US" w:eastAsia="zh-CN"/>
        </w:rPr>
      </w:pPr>
      <w:r>
        <w:drawing>
          <wp:inline distT="0" distB="0" distL="114300" distR="114300">
            <wp:extent cx="9308465" cy="4638675"/>
            <wp:effectExtent l="0" t="0" r="6985" b="952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34"/>
                    <a:stretch>
                      <a:fillRect/>
                    </a:stretch>
                  </pic:blipFill>
                  <pic:spPr>
                    <a:xfrm>
                      <a:off x="0" y="0"/>
                      <a:ext cx="9308465" cy="4638675"/>
                    </a:xfrm>
                    <a:prstGeom prst="rect">
                      <a:avLst/>
                    </a:prstGeom>
                    <a:noFill/>
                    <a:ln>
                      <a:noFill/>
                    </a:ln>
                  </pic:spPr>
                </pic:pic>
              </a:graphicData>
            </a:graphic>
          </wp:inline>
        </w:drawing>
      </w:r>
    </w:p>
    <w:p>
      <w:pPr>
        <w:bidi w:val="0"/>
        <w:jc w:val="center"/>
        <w:outlineLvl w:val="0"/>
      </w:pPr>
      <w:r>
        <w:rPr>
          <w:rFonts w:hint="eastAsia"/>
          <w:b/>
          <w:bCs/>
          <w:lang w:val="en-US" w:eastAsia="zh-CN"/>
        </w:rPr>
        <w:t>附图5：施工总平面布置图</w:t>
      </w:r>
    </w:p>
    <w:p>
      <w:pPr>
        <w:rPr>
          <w:rFonts w:hint="default"/>
          <w:lang w:val="en-US" w:eastAsia="zh-CN"/>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eastAsia"/>
          <w:b/>
          <w:bCs/>
          <w:lang w:val="en-US" w:eastAsia="zh-CN"/>
        </w:rPr>
      </w:pPr>
      <w:r>
        <w:drawing>
          <wp:inline distT="0" distB="0" distL="114300" distR="114300">
            <wp:extent cx="9307195" cy="5064125"/>
            <wp:effectExtent l="0" t="0" r="8255" b="3175"/>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35"/>
                    <a:stretch>
                      <a:fillRect/>
                    </a:stretch>
                  </pic:blipFill>
                  <pic:spPr>
                    <a:xfrm>
                      <a:off x="0" y="0"/>
                      <a:ext cx="9307195" cy="5064125"/>
                    </a:xfrm>
                    <a:prstGeom prst="rect">
                      <a:avLst/>
                    </a:prstGeom>
                    <a:noFill/>
                    <a:ln>
                      <a:noFill/>
                    </a:ln>
                  </pic:spPr>
                </pic:pic>
              </a:graphicData>
            </a:graphic>
          </wp:inline>
        </w:drawing>
      </w:r>
      <w:r>
        <w:drawing>
          <wp:inline distT="0" distB="0" distL="114300" distR="114300">
            <wp:extent cx="9311005" cy="4803140"/>
            <wp:effectExtent l="0" t="0" r="4445" b="1651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36"/>
                    <a:stretch>
                      <a:fillRect/>
                    </a:stretch>
                  </pic:blipFill>
                  <pic:spPr>
                    <a:xfrm>
                      <a:off x="0" y="0"/>
                      <a:ext cx="9311005" cy="4803140"/>
                    </a:xfrm>
                    <a:prstGeom prst="rect">
                      <a:avLst/>
                    </a:prstGeom>
                    <a:noFill/>
                    <a:ln>
                      <a:noFill/>
                    </a:ln>
                  </pic:spPr>
                </pic:pic>
              </a:graphicData>
            </a:graphic>
          </wp:inline>
        </w:drawing>
      </w:r>
    </w:p>
    <w:p>
      <w:pPr>
        <w:pStyle w:val="2"/>
        <w:jc w:val="center"/>
        <w:outlineLvl w:val="0"/>
        <w:rPr>
          <w:rFonts w:hint="default"/>
          <w:lang w:val="en-US" w:eastAsia="zh-CN"/>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b/>
          <w:bCs/>
          <w:lang w:val="en-US" w:eastAsia="zh-CN"/>
        </w:rPr>
        <w:t>附图6：施工围堰布置图</w:t>
      </w:r>
    </w:p>
    <w:p>
      <w:pPr>
        <w:bidi w:val="0"/>
        <w:jc w:val="center"/>
        <w:outlineLvl w:val="9"/>
      </w:pPr>
      <w:r>
        <w:rPr>
          <w:sz w:val="21"/>
          <w:u w:val="none" w:color="auto"/>
        </w:rPr>
        <mc:AlternateContent>
          <mc:Choice Requires="wps">
            <w:drawing>
              <wp:anchor distT="0" distB="0" distL="114300" distR="114300" simplePos="0" relativeHeight="251666432" behindDoc="0" locked="0" layoutInCell="1" allowOverlap="1">
                <wp:simplePos x="0" y="0"/>
                <wp:positionH relativeFrom="column">
                  <wp:posOffset>1938655</wp:posOffset>
                </wp:positionH>
                <wp:positionV relativeFrom="paragraph">
                  <wp:posOffset>2002790</wp:posOffset>
                </wp:positionV>
                <wp:extent cx="1837690" cy="497205"/>
                <wp:effectExtent l="4445" t="4445" r="405765" b="889000"/>
                <wp:wrapNone/>
                <wp:docPr id="36" name="矩形标注 36"/>
                <wp:cNvGraphicFramePr/>
                <a:graphic xmlns:a="http://schemas.openxmlformats.org/drawingml/2006/main">
                  <a:graphicData uri="http://schemas.microsoft.com/office/word/2010/wordprocessingShape">
                    <wps:wsp>
                      <wps:cNvSpPr/>
                      <wps:spPr>
                        <a:xfrm>
                          <a:off x="0" y="0"/>
                          <a:ext cx="1837690" cy="497205"/>
                        </a:xfrm>
                        <a:prstGeom prst="wedgeRectCallout">
                          <a:avLst>
                            <a:gd name="adj1" fmla="val 70111"/>
                            <a:gd name="adj2" fmla="val 222157"/>
                          </a:avLst>
                        </a:prstGeom>
                        <a:noFill/>
                        <a:ln w="9525" cap="flat" cmpd="sng">
                          <a:solidFill>
                            <a:srgbClr val="000000"/>
                          </a:solidFill>
                          <a:prstDash val="solid"/>
                          <a:miter/>
                          <a:headEnd type="none" w="med" len="med"/>
                          <a:tailEnd type="none" w="med" len="med"/>
                        </a:ln>
                      </wps:spPr>
                      <wps:txbx>
                        <w:txbxContent>
                          <w:p>
                            <w:pPr>
                              <w:spacing w:line="240" w:lineRule="auto"/>
                              <w:jc w:val="center"/>
                              <w:rPr>
                                <w:rFonts w:hint="default" w:eastAsia="宋体"/>
                                <w:color w:val="FF0000"/>
                                <w:sz w:val="28"/>
                                <w:szCs w:val="36"/>
                                <w:highlight w:val="none"/>
                                <w:lang w:val="en-US" w:eastAsia="zh-CN"/>
                              </w:rPr>
                            </w:pPr>
                            <w:r>
                              <w:rPr>
                                <w:rFonts w:hint="eastAsia"/>
                                <w:color w:val="FF0000"/>
                                <w:sz w:val="36"/>
                                <w:szCs w:val="44"/>
                                <w:highlight w:val="none"/>
                                <w:lang w:val="en-US" w:eastAsia="zh-CN"/>
                              </w:rPr>
                              <w:t>本工程所在位置</w:t>
                            </w:r>
                          </w:p>
                        </w:txbxContent>
                      </wps:txbx>
                      <wps:bodyPr upright="1"/>
                    </wps:wsp>
                  </a:graphicData>
                </a:graphic>
              </wp:anchor>
            </w:drawing>
          </mc:Choice>
          <mc:Fallback>
            <w:pict>
              <v:shape id="_x0000_s1026" o:spid="_x0000_s1026" o:spt="61" type="#_x0000_t61" style="position:absolute;left:0pt;margin-left:152.65pt;margin-top:157.7pt;height:39.15pt;width:144.7pt;z-index:251666432;mso-width-relative:page;mso-height-relative:page;" filled="f" stroked="t" coordsize="21600,21600" o:gfxdata="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WQZtsAAAALAQAADwAAAAAAAAABACAAAAAiAAAAZHJzL2Rvd25y&#10;ZXYueG1sUEsBAhQAFAAAAAgAh07iQPTGoBo0AgAAZgQAAA4AAAAAAAAAAQAgAAAAKgEAAGRycy9l&#10;Mm9Eb2MueG1sUEsFBgAAAAAGAAYAWQEAANAFAAAAAA==&#10;" adj="25944,58786">
                <v:fill on="f" focussize="0,0"/>
                <v:stroke color="#000000" joinstyle="miter"/>
                <v:imagedata o:title=""/>
                <o:lock v:ext="edit" aspectratio="f"/>
                <v:textbox>
                  <w:txbxContent>
                    <w:p>
                      <w:pPr>
                        <w:spacing w:line="240" w:lineRule="auto"/>
                        <w:jc w:val="center"/>
                        <w:rPr>
                          <w:rFonts w:hint="default" w:eastAsia="宋体"/>
                          <w:color w:val="FF0000"/>
                          <w:sz w:val="28"/>
                          <w:szCs w:val="36"/>
                          <w:highlight w:val="none"/>
                          <w:lang w:val="en-US" w:eastAsia="zh-CN"/>
                        </w:rPr>
                      </w:pPr>
                      <w:r>
                        <w:rPr>
                          <w:rFonts w:hint="eastAsia"/>
                          <w:color w:val="FF0000"/>
                          <w:sz w:val="36"/>
                          <w:szCs w:val="44"/>
                          <w:highlight w:val="none"/>
                          <w:lang w:val="en-US" w:eastAsia="zh-CN"/>
                        </w:rPr>
                        <w:t>本工程所在位置</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4110990</wp:posOffset>
                </wp:positionH>
                <wp:positionV relativeFrom="paragraph">
                  <wp:posOffset>3352800</wp:posOffset>
                </wp:positionV>
                <wp:extent cx="120650" cy="93345"/>
                <wp:effectExtent l="17145" t="12700" r="33655" b="27305"/>
                <wp:wrapNone/>
                <wp:docPr id="35" name="五角星 35"/>
                <wp:cNvGraphicFramePr/>
                <a:graphic xmlns:a="http://schemas.openxmlformats.org/drawingml/2006/main">
                  <a:graphicData uri="http://schemas.microsoft.com/office/word/2010/wordprocessingShape">
                    <wps:wsp>
                      <wps:cNvSpPr/>
                      <wps:spPr>
                        <a:xfrm>
                          <a:off x="0" y="0"/>
                          <a:ext cx="120650" cy="93345"/>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323.7pt;margin-top:264pt;height:7.35pt;width:9.5pt;z-index:251665408;mso-width-relative:page;mso-height-relative:page;" fillcolor="#FF0000" filled="t" stroked="t" coordsize="120650,93345" o:gfxdata="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VbV8vXAAAACwEAAA8AAAAAAAAAAQAgAAAAIgAAAGRycy9k&#10;b3ducmV2LnhtbFBLAQIUABQAAAAIAIdO4kCNzpJhAwIAACIEAAAOAAAAAAAAAAEAIAAAACYBAABk&#10;cnMvZTJvRG9jLnhtbFBLBQYAAAAABgAGAFkBAACbBQAAAAA=&#10;" path="m0,35654l46084,35654,60325,0,74565,35654,120649,35654,83366,57690,97607,93344,60325,71308,23042,93344,37283,57690xe">
                <v:path o:connectlocs="60325,0;0,35654;23042,93344;97607,93344;120649,35654" o:connectangles="247,164,82,82,0"/>
                <v:fill on="t" focussize="0,0"/>
                <v:stroke color="#000000" joinstyle="miter"/>
                <v:imagedata o:title=""/>
                <o:lock v:ext="edit" aspectratio="f"/>
              </v:shape>
            </w:pict>
          </mc:Fallback>
        </mc:AlternateContent>
      </w:r>
      <w:r>
        <w:drawing>
          <wp:inline distT="0" distB="0" distL="114300" distR="114300">
            <wp:extent cx="6792595" cy="5724525"/>
            <wp:effectExtent l="0" t="0" r="8255" b="952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7"/>
                    <a:stretch>
                      <a:fillRect/>
                    </a:stretch>
                  </pic:blipFill>
                  <pic:spPr>
                    <a:xfrm>
                      <a:off x="0" y="0"/>
                      <a:ext cx="6792595" cy="5724525"/>
                    </a:xfrm>
                    <a:prstGeom prst="rect">
                      <a:avLst/>
                    </a:prstGeom>
                    <a:noFill/>
                    <a:ln>
                      <a:noFill/>
                    </a:ln>
                  </pic:spPr>
                </pic:pic>
              </a:graphicData>
            </a:graphic>
          </wp:inline>
        </w:drawing>
      </w:r>
    </w:p>
    <w:p>
      <w:pPr>
        <w:bidi w:val="0"/>
        <w:jc w:val="center"/>
        <w:outlineLvl w:val="0"/>
        <w:rPr>
          <w:rFonts w:hint="eastAsia" w:eastAsia="宋体"/>
          <w:lang w:eastAsia="zh-CN"/>
        </w:rPr>
      </w:pPr>
      <w:r>
        <w:rPr>
          <w:rFonts w:hint="eastAsia"/>
          <w:b/>
          <w:bCs/>
          <w:lang w:val="en-US" w:eastAsia="zh-CN"/>
        </w:rPr>
        <w:t>附图7：衡阳市环境管控单元图</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lang w:val="en-US" w:eastAsia="zh-CN"/>
        </w:rPr>
      </w:pPr>
      <w:r>
        <w:drawing>
          <wp:anchor distT="0" distB="0" distL="114300" distR="114300" simplePos="0" relativeHeight="251662336" behindDoc="0" locked="0" layoutInCell="1" allowOverlap="1">
            <wp:simplePos x="0" y="0"/>
            <wp:positionH relativeFrom="column">
              <wp:posOffset>8671560</wp:posOffset>
            </wp:positionH>
            <wp:positionV relativeFrom="paragraph">
              <wp:posOffset>7138670</wp:posOffset>
            </wp:positionV>
            <wp:extent cx="495935" cy="327660"/>
            <wp:effectExtent l="0" t="0" r="18415" b="15240"/>
            <wp:wrapNone/>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38"/>
                    <a:stretch>
                      <a:fillRect/>
                    </a:stretch>
                  </pic:blipFill>
                  <pic:spPr>
                    <a:xfrm>
                      <a:off x="0" y="0"/>
                      <a:ext cx="495935" cy="327660"/>
                    </a:xfrm>
                    <a:prstGeom prst="rect">
                      <a:avLst/>
                    </a:prstGeom>
                    <a:noFill/>
                    <a:ln>
                      <a:noFill/>
                    </a:ln>
                  </pic:spPr>
                </pic:pic>
              </a:graphicData>
            </a:graphic>
          </wp:anchor>
        </w:drawing>
      </w:r>
    </w:p>
    <w:sectPr>
      <w:pgSz w:w="16838" w:h="11906" w:orient="landscape"/>
      <w:pgMar w:top="720" w:right="720" w:bottom="720" w:left="720" w:header="851" w:footer="510" w:gutter="0"/>
      <w:pgBorders>
        <w:top w:val="none" w:sz="0" w:space="0"/>
        <w:left w:val="none" w:sz="0" w:space="0"/>
        <w:bottom w:val="none" w:sz="0" w:space="0"/>
        <w:right w:val="none" w:sz="0" w:space="0"/>
      </w:pgBorders>
      <w:pgNumType w:fmt="decimal"/>
      <w:cols w:space="0" w:num="1"/>
      <w:rtlGutter w:val="0"/>
      <w:docGrid w:type="lines" w:linePitch="3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rPr>
        <w:rFonts w:hint="eastAsia"/>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1"/>
      <w:rPr>
        <w:rStyle w:val="30"/>
      </w:rPr>
    </w:pPr>
    <w:r>
      <w:fldChar w:fldCharType="begin"/>
    </w:r>
    <w:r>
      <w:rPr>
        <w:rStyle w:val="30"/>
      </w:rPr>
      <w:instrText xml:space="preserve">PAGE  </w:instrText>
    </w:r>
    <w:r>
      <w:fldChar w:fldCharType="end"/>
    </w:r>
  </w:p>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rPr>
        <w:rFonts w:hint="eastAsia"/>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rPr>
        <w:rFonts w:hint="eastAsia"/>
        <w:sz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rPr>
        <w:rFonts w:hint="eastAsia"/>
        <w:sz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- 12 -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- 12 -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837D12"/>
    <w:multiLevelType w:val="singleLevel"/>
    <w:tmpl w:val="6A837D12"/>
    <w:lvl w:ilvl="0" w:tentative="0">
      <w:start w:val="2"/>
      <w:numFmt w:val="upperLetter"/>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llin">
    <w15:presenceInfo w15:providerId="WPS Office" w15:userId="17583194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lZmI5YjkyNzI1YjU2NTRiN2ZjYjRkNjMxOTc5MTgifQ=="/>
  </w:docVars>
  <w:rsids>
    <w:rsidRoot w:val="00172A27"/>
    <w:rsid w:val="000050B2"/>
    <w:rsid w:val="00017381"/>
    <w:rsid w:val="00047BA4"/>
    <w:rsid w:val="00060C6A"/>
    <w:rsid w:val="00076D34"/>
    <w:rsid w:val="00083C91"/>
    <w:rsid w:val="000B6649"/>
    <w:rsid w:val="000B6911"/>
    <w:rsid w:val="000C14DC"/>
    <w:rsid w:val="000D1465"/>
    <w:rsid w:val="000E28F5"/>
    <w:rsid w:val="00111BBF"/>
    <w:rsid w:val="001137D3"/>
    <w:rsid w:val="0012034A"/>
    <w:rsid w:val="0014195B"/>
    <w:rsid w:val="001421BC"/>
    <w:rsid w:val="00151E23"/>
    <w:rsid w:val="001750E8"/>
    <w:rsid w:val="00175671"/>
    <w:rsid w:val="00185622"/>
    <w:rsid w:val="00196D5F"/>
    <w:rsid w:val="001C2A7A"/>
    <w:rsid w:val="00224B2B"/>
    <w:rsid w:val="00231214"/>
    <w:rsid w:val="00233AF4"/>
    <w:rsid w:val="00243D62"/>
    <w:rsid w:val="002571DD"/>
    <w:rsid w:val="002571F4"/>
    <w:rsid w:val="002743B5"/>
    <w:rsid w:val="002B06D1"/>
    <w:rsid w:val="002B223F"/>
    <w:rsid w:val="002D6E6B"/>
    <w:rsid w:val="002E084A"/>
    <w:rsid w:val="00313727"/>
    <w:rsid w:val="00333A2A"/>
    <w:rsid w:val="00377076"/>
    <w:rsid w:val="00381040"/>
    <w:rsid w:val="0038143E"/>
    <w:rsid w:val="0039474C"/>
    <w:rsid w:val="003E2544"/>
    <w:rsid w:val="00400FB5"/>
    <w:rsid w:val="004125CB"/>
    <w:rsid w:val="00426261"/>
    <w:rsid w:val="00443541"/>
    <w:rsid w:val="00453CB4"/>
    <w:rsid w:val="0048373D"/>
    <w:rsid w:val="00497A3D"/>
    <w:rsid w:val="004C547F"/>
    <w:rsid w:val="004F51E5"/>
    <w:rsid w:val="00501EE6"/>
    <w:rsid w:val="00531779"/>
    <w:rsid w:val="0055574E"/>
    <w:rsid w:val="00572C9B"/>
    <w:rsid w:val="00573D66"/>
    <w:rsid w:val="00577CA7"/>
    <w:rsid w:val="0058523E"/>
    <w:rsid w:val="005C7237"/>
    <w:rsid w:val="005C7758"/>
    <w:rsid w:val="005E0AA6"/>
    <w:rsid w:val="005F5ABF"/>
    <w:rsid w:val="0062078E"/>
    <w:rsid w:val="006327B2"/>
    <w:rsid w:val="00635D87"/>
    <w:rsid w:val="00645F5B"/>
    <w:rsid w:val="00650C0E"/>
    <w:rsid w:val="0066271B"/>
    <w:rsid w:val="006B3CF9"/>
    <w:rsid w:val="006C15B5"/>
    <w:rsid w:val="006D32AD"/>
    <w:rsid w:val="006F4404"/>
    <w:rsid w:val="00703A63"/>
    <w:rsid w:val="007200D1"/>
    <w:rsid w:val="00721393"/>
    <w:rsid w:val="00730FAD"/>
    <w:rsid w:val="0073126C"/>
    <w:rsid w:val="007331E4"/>
    <w:rsid w:val="007364F3"/>
    <w:rsid w:val="007402CA"/>
    <w:rsid w:val="00741300"/>
    <w:rsid w:val="00742885"/>
    <w:rsid w:val="00773E33"/>
    <w:rsid w:val="00776EDB"/>
    <w:rsid w:val="007846FB"/>
    <w:rsid w:val="007848C8"/>
    <w:rsid w:val="007901FD"/>
    <w:rsid w:val="007A76E3"/>
    <w:rsid w:val="007C5086"/>
    <w:rsid w:val="007C548A"/>
    <w:rsid w:val="007E4CA5"/>
    <w:rsid w:val="007F4819"/>
    <w:rsid w:val="00806202"/>
    <w:rsid w:val="008102F1"/>
    <w:rsid w:val="008168D8"/>
    <w:rsid w:val="00825D47"/>
    <w:rsid w:val="0083290F"/>
    <w:rsid w:val="0083666D"/>
    <w:rsid w:val="00844D2F"/>
    <w:rsid w:val="00860007"/>
    <w:rsid w:val="008656E5"/>
    <w:rsid w:val="00871A21"/>
    <w:rsid w:val="008A5481"/>
    <w:rsid w:val="008B4287"/>
    <w:rsid w:val="008C1033"/>
    <w:rsid w:val="008D42D4"/>
    <w:rsid w:val="008E7EC9"/>
    <w:rsid w:val="008F6EB2"/>
    <w:rsid w:val="00902C2A"/>
    <w:rsid w:val="0091427D"/>
    <w:rsid w:val="0092333A"/>
    <w:rsid w:val="0093613D"/>
    <w:rsid w:val="00953E93"/>
    <w:rsid w:val="00956E4E"/>
    <w:rsid w:val="00974B54"/>
    <w:rsid w:val="00980E9E"/>
    <w:rsid w:val="00984CAE"/>
    <w:rsid w:val="009A6724"/>
    <w:rsid w:val="009C6025"/>
    <w:rsid w:val="009D186E"/>
    <w:rsid w:val="009E0D18"/>
    <w:rsid w:val="009E7619"/>
    <w:rsid w:val="00A012C2"/>
    <w:rsid w:val="00A11B3B"/>
    <w:rsid w:val="00A15C51"/>
    <w:rsid w:val="00A249CD"/>
    <w:rsid w:val="00A55499"/>
    <w:rsid w:val="00A63E67"/>
    <w:rsid w:val="00A67223"/>
    <w:rsid w:val="00AA33D7"/>
    <w:rsid w:val="00AA3CEC"/>
    <w:rsid w:val="00AB5E08"/>
    <w:rsid w:val="00AB661B"/>
    <w:rsid w:val="00AC2785"/>
    <w:rsid w:val="00AD1807"/>
    <w:rsid w:val="00AE4805"/>
    <w:rsid w:val="00B03602"/>
    <w:rsid w:val="00B134E9"/>
    <w:rsid w:val="00B20DF2"/>
    <w:rsid w:val="00B21E75"/>
    <w:rsid w:val="00B35C45"/>
    <w:rsid w:val="00B436A8"/>
    <w:rsid w:val="00B44C66"/>
    <w:rsid w:val="00B571F8"/>
    <w:rsid w:val="00B62B4D"/>
    <w:rsid w:val="00BD3688"/>
    <w:rsid w:val="00BE68D1"/>
    <w:rsid w:val="00BE714A"/>
    <w:rsid w:val="00C025D1"/>
    <w:rsid w:val="00C02DB2"/>
    <w:rsid w:val="00C14B91"/>
    <w:rsid w:val="00C203A7"/>
    <w:rsid w:val="00C21412"/>
    <w:rsid w:val="00C34DAD"/>
    <w:rsid w:val="00C44682"/>
    <w:rsid w:val="00C450C3"/>
    <w:rsid w:val="00C45344"/>
    <w:rsid w:val="00C60603"/>
    <w:rsid w:val="00C65D8B"/>
    <w:rsid w:val="00C73441"/>
    <w:rsid w:val="00C8264A"/>
    <w:rsid w:val="00CD170E"/>
    <w:rsid w:val="00CD1F6E"/>
    <w:rsid w:val="00CD79DA"/>
    <w:rsid w:val="00CE4983"/>
    <w:rsid w:val="00CF3795"/>
    <w:rsid w:val="00D1265C"/>
    <w:rsid w:val="00D179C4"/>
    <w:rsid w:val="00D2275D"/>
    <w:rsid w:val="00D45ADA"/>
    <w:rsid w:val="00D54F4B"/>
    <w:rsid w:val="00D7341A"/>
    <w:rsid w:val="00D9012D"/>
    <w:rsid w:val="00DA61B4"/>
    <w:rsid w:val="00DD0A37"/>
    <w:rsid w:val="00DE76B7"/>
    <w:rsid w:val="00DF14BB"/>
    <w:rsid w:val="00DF42C4"/>
    <w:rsid w:val="00E450F5"/>
    <w:rsid w:val="00E46AD2"/>
    <w:rsid w:val="00E54D24"/>
    <w:rsid w:val="00E66A69"/>
    <w:rsid w:val="00E86BEB"/>
    <w:rsid w:val="00EA333B"/>
    <w:rsid w:val="00ED345A"/>
    <w:rsid w:val="00EE76DD"/>
    <w:rsid w:val="00F07365"/>
    <w:rsid w:val="00F17C1F"/>
    <w:rsid w:val="00F2252D"/>
    <w:rsid w:val="00F64177"/>
    <w:rsid w:val="00F8147C"/>
    <w:rsid w:val="00F844B3"/>
    <w:rsid w:val="00F91890"/>
    <w:rsid w:val="00F9432B"/>
    <w:rsid w:val="00F9517B"/>
    <w:rsid w:val="00FD2BCE"/>
    <w:rsid w:val="00FF4299"/>
    <w:rsid w:val="01017684"/>
    <w:rsid w:val="01023B45"/>
    <w:rsid w:val="01047174"/>
    <w:rsid w:val="01072B2D"/>
    <w:rsid w:val="01081CFF"/>
    <w:rsid w:val="01082A09"/>
    <w:rsid w:val="01086C64"/>
    <w:rsid w:val="01096CB6"/>
    <w:rsid w:val="010A0E25"/>
    <w:rsid w:val="010C3457"/>
    <w:rsid w:val="010D6694"/>
    <w:rsid w:val="010D6EBE"/>
    <w:rsid w:val="010F61A2"/>
    <w:rsid w:val="01101675"/>
    <w:rsid w:val="01107A77"/>
    <w:rsid w:val="0111257A"/>
    <w:rsid w:val="01114ACA"/>
    <w:rsid w:val="01126BCE"/>
    <w:rsid w:val="01137D1B"/>
    <w:rsid w:val="011552ED"/>
    <w:rsid w:val="01176E30"/>
    <w:rsid w:val="011A413C"/>
    <w:rsid w:val="011B3786"/>
    <w:rsid w:val="011C2A28"/>
    <w:rsid w:val="011C44BE"/>
    <w:rsid w:val="011D3433"/>
    <w:rsid w:val="011E1AE4"/>
    <w:rsid w:val="011E52E1"/>
    <w:rsid w:val="01213882"/>
    <w:rsid w:val="01223A87"/>
    <w:rsid w:val="012253CA"/>
    <w:rsid w:val="012515C4"/>
    <w:rsid w:val="0125336A"/>
    <w:rsid w:val="01256897"/>
    <w:rsid w:val="01274AC3"/>
    <w:rsid w:val="012855A9"/>
    <w:rsid w:val="012A083E"/>
    <w:rsid w:val="012A7825"/>
    <w:rsid w:val="012E4D52"/>
    <w:rsid w:val="01315A16"/>
    <w:rsid w:val="01336F28"/>
    <w:rsid w:val="0134755F"/>
    <w:rsid w:val="01353714"/>
    <w:rsid w:val="013558BC"/>
    <w:rsid w:val="01361BBA"/>
    <w:rsid w:val="01381D59"/>
    <w:rsid w:val="013D290D"/>
    <w:rsid w:val="013E456C"/>
    <w:rsid w:val="013E5B2E"/>
    <w:rsid w:val="014077B5"/>
    <w:rsid w:val="0141338D"/>
    <w:rsid w:val="014537ED"/>
    <w:rsid w:val="014C3F7C"/>
    <w:rsid w:val="014E49FC"/>
    <w:rsid w:val="014F03EF"/>
    <w:rsid w:val="014F7656"/>
    <w:rsid w:val="015021FE"/>
    <w:rsid w:val="01512F31"/>
    <w:rsid w:val="01514167"/>
    <w:rsid w:val="015228CE"/>
    <w:rsid w:val="0152776C"/>
    <w:rsid w:val="015336C0"/>
    <w:rsid w:val="0156352C"/>
    <w:rsid w:val="01567C26"/>
    <w:rsid w:val="01576837"/>
    <w:rsid w:val="01576E17"/>
    <w:rsid w:val="01577F1E"/>
    <w:rsid w:val="015B6D1E"/>
    <w:rsid w:val="015D0D5E"/>
    <w:rsid w:val="015D1FE2"/>
    <w:rsid w:val="015D22F0"/>
    <w:rsid w:val="015E6884"/>
    <w:rsid w:val="0160766F"/>
    <w:rsid w:val="01610122"/>
    <w:rsid w:val="016144E3"/>
    <w:rsid w:val="01653196"/>
    <w:rsid w:val="01654C5A"/>
    <w:rsid w:val="01681825"/>
    <w:rsid w:val="016A6A12"/>
    <w:rsid w:val="016A792F"/>
    <w:rsid w:val="016C07AD"/>
    <w:rsid w:val="016C2345"/>
    <w:rsid w:val="016C520F"/>
    <w:rsid w:val="016D7686"/>
    <w:rsid w:val="01700022"/>
    <w:rsid w:val="017124F0"/>
    <w:rsid w:val="01730582"/>
    <w:rsid w:val="01735EF1"/>
    <w:rsid w:val="017B061E"/>
    <w:rsid w:val="017B7B70"/>
    <w:rsid w:val="017C2F93"/>
    <w:rsid w:val="0181273D"/>
    <w:rsid w:val="01832D8C"/>
    <w:rsid w:val="01840756"/>
    <w:rsid w:val="018416A3"/>
    <w:rsid w:val="0186410C"/>
    <w:rsid w:val="0187747C"/>
    <w:rsid w:val="018931F6"/>
    <w:rsid w:val="01893AFC"/>
    <w:rsid w:val="018B0647"/>
    <w:rsid w:val="018B23A4"/>
    <w:rsid w:val="01900404"/>
    <w:rsid w:val="0192652E"/>
    <w:rsid w:val="0194674A"/>
    <w:rsid w:val="01970A6F"/>
    <w:rsid w:val="01981D96"/>
    <w:rsid w:val="019B4F10"/>
    <w:rsid w:val="01A06F09"/>
    <w:rsid w:val="01A33B68"/>
    <w:rsid w:val="01A93FA3"/>
    <w:rsid w:val="01A957B5"/>
    <w:rsid w:val="01AC5752"/>
    <w:rsid w:val="01AD5A6D"/>
    <w:rsid w:val="01B03152"/>
    <w:rsid w:val="01B34E22"/>
    <w:rsid w:val="01B365D8"/>
    <w:rsid w:val="01B36D53"/>
    <w:rsid w:val="01B43213"/>
    <w:rsid w:val="01B61672"/>
    <w:rsid w:val="01B75616"/>
    <w:rsid w:val="01B82438"/>
    <w:rsid w:val="01BB7833"/>
    <w:rsid w:val="01BC0ACC"/>
    <w:rsid w:val="01C23B94"/>
    <w:rsid w:val="01C32D42"/>
    <w:rsid w:val="01C3350C"/>
    <w:rsid w:val="01C62856"/>
    <w:rsid w:val="01C77665"/>
    <w:rsid w:val="01C979DB"/>
    <w:rsid w:val="01CA1F4F"/>
    <w:rsid w:val="01CA3F1A"/>
    <w:rsid w:val="01CB04DE"/>
    <w:rsid w:val="01CB3DDB"/>
    <w:rsid w:val="01CB7DA6"/>
    <w:rsid w:val="01CC0A4C"/>
    <w:rsid w:val="01CF2239"/>
    <w:rsid w:val="01CF6DE4"/>
    <w:rsid w:val="01D1680C"/>
    <w:rsid w:val="01D53748"/>
    <w:rsid w:val="01D54D98"/>
    <w:rsid w:val="01D56BD1"/>
    <w:rsid w:val="01D63896"/>
    <w:rsid w:val="01D6466C"/>
    <w:rsid w:val="01D823B1"/>
    <w:rsid w:val="01DA4CE0"/>
    <w:rsid w:val="01DE1773"/>
    <w:rsid w:val="01DE5960"/>
    <w:rsid w:val="01E054EB"/>
    <w:rsid w:val="01E1216A"/>
    <w:rsid w:val="01E45BC6"/>
    <w:rsid w:val="01E62568"/>
    <w:rsid w:val="01E90844"/>
    <w:rsid w:val="01E9141C"/>
    <w:rsid w:val="01E94408"/>
    <w:rsid w:val="01EA636A"/>
    <w:rsid w:val="01EF4A58"/>
    <w:rsid w:val="01EF7336"/>
    <w:rsid w:val="01F27B9F"/>
    <w:rsid w:val="01F33EE0"/>
    <w:rsid w:val="01F433CE"/>
    <w:rsid w:val="01F752D2"/>
    <w:rsid w:val="01FA1D81"/>
    <w:rsid w:val="01FC7386"/>
    <w:rsid w:val="01FD5BFC"/>
    <w:rsid w:val="02025461"/>
    <w:rsid w:val="02026A2E"/>
    <w:rsid w:val="0204742C"/>
    <w:rsid w:val="02072547"/>
    <w:rsid w:val="02073A24"/>
    <w:rsid w:val="02076F1C"/>
    <w:rsid w:val="020A5435"/>
    <w:rsid w:val="020C4532"/>
    <w:rsid w:val="02105E3D"/>
    <w:rsid w:val="02111D80"/>
    <w:rsid w:val="02121A79"/>
    <w:rsid w:val="02123739"/>
    <w:rsid w:val="021372E9"/>
    <w:rsid w:val="021374F9"/>
    <w:rsid w:val="021653B1"/>
    <w:rsid w:val="021752D0"/>
    <w:rsid w:val="021822F8"/>
    <w:rsid w:val="021874FB"/>
    <w:rsid w:val="021C0820"/>
    <w:rsid w:val="021D0A29"/>
    <w:rsid w:val="02204AC3"/>
    <w:rsid w:val="022442A0"/>
    <w:rsid w:val="0224714F"/>
    <w:rsid w:val="02251150"/>
    <w:rsid w:val="02255330"/>
    <w:rsid w:val="02262760"/>
    <w:rsid w:val="022835DC"/>
    <w:rsid w:val="022A458F"/>
    <w:rsid w:val="022B1621"/>
    <w:rsid w:val="022E10CB"/>
    <w:rsid w:val="022E44A8"/>
    <w:rsid w:val="022F004E"/>
    <w:rsid w:val="02304BC8"/>
    <w:rsid w:val="0230692F"/>
    <w:rsid w:val="02322EC2"/>
    <w:rsid w:val="02334AA5"/>
    <w:rsid w:val="02343543"/>
    <w:rsid w:val="023943FD"/>
    <w:rsid w:val="02395177"/>
    <w:rsid w:val="023A30CA"/>
    <w:rsid w:val="023B6805"/>
    <w:rsid w:val="023C3CD4"/>
    <w:rsid w:val="023F4B80"/>
    <w:rsid w:val="024014F1"/>
    <w:rsid w:val="02405F8A"/>
    <w:rsid w:val="02412E9E"/>
    <w:rsid w:val="02421E36"/>
    <w:rsid w:val="02427E1F"/>
    <w:rsid w:val="02433F37"/>
    <w:rsid w:val="0244743E"/>
    <w:rsid w:val="02450951"/>
    <w:rsid w:val="02453C90"/>
    <w:rsid w:val="02460070"/>
    <w:rsid w:val="024701A5"/>
    <w:rsid w:val="02475EB1"/>
    <w:rsid w:val="024770CC"/>
    <w:rsid w:val="02482C07"/>
    <w:rsid w:val="024960FC"/>
    <w:rsid w:val="02497534"/>
    <w:rsid w:val="02497E89"/>
    <w:rsid w:val="024A0A6C"/>
    <w:rsid w:val="024B791F"/>
    <w:rsid w:val="024D5C76"/>
    <w:rsid w:val="024D7497"/>
    <w:rsid w:val="024F79AE"/>
    <w:rsid w:val="02511906"/>
    <w:rsid w:val="02511F45"/>
    <w:rsid w:val="02521369"/>
    <w:rsid w:val="025223C7"/>
    <w:rsid w:val="02530074"/>
    <w:rsid w:val="0253033B"/>
    <w:rsid w:val="02531FC3"/>
    <w:rsid w:val="025610EA"/>
    <w:rsid w:val="02581525"/>
    <w:rsid w:val="025877BC"/>
    <w:rsid w:val="02590E44"/>
    <w:rsid w:val="025911AB"/>
    <w:rsid w:val="025A529E"/>
    <w:rsid w:val="025E2DB9"/>
    <w:rsid w:val="025F0B06"/>
    <w:rsid w:val="025F1159"/>
    <w:rsid w:val="025F5B06"/>
    <w:rsid w:val="025F5E52"/>
    <w:rsid w:val="02601F6E"/>
    <w:rsid w:val="02614FC7"/>
    <w:rsid w:val="02617C9E"/>
    <w:rsid w:val="02623382"/>
    <w:rsid w:val="026420F3"/>
    <w:rsid w:val="026478F5"/>
    <w:rsid w:val="02681684"/>
    <w:rsid w:val="02691984"/>
    <w:rsid w:val="02691B3B"/>
    <w:rsid w:val="026B07D4"/>
    <w:rsid w:val="026E6146"/>
    <w:rsid w:val="02702538"/>
    <w:rsid w:val="02721E6A"/>
    <w:rsid w:val="02722A03"/>
    <w:rsid w:val="02734C41"/>
    <w:rsid w:val="02735D9E"/>
    <w:rsid w:val="02744DF8"/>
    <w:rsid w:val="02753355"/>
    <w:rsid w:val="027840A9"/>
    <w:rsid w:val="02797815"/>
    <w:rsid w:val="027A2479"/>
    <w:rsid w:val="027B0EB2"/>
    <w:rsid w:val="027E755D"/>
    <w:rsid w:val="027F6AB2"/>
    <w:rsid w:val="02803DEF"/>
    <w:rsid w:val="02816CCE"/>
    <w:rsid w:val="028374F8"/>
    <w:rsid w:val="02840270"/>
    <w:rsid w:val="02854FF9"/>
    <w:rsid w:val="02865059"/>
    <w:rsid w:val="02867E41"/>
    <w:rsid w:val="028A06F8"/>
    <w:rsid w:val="028A615F"/>
    <w:rsid w:val="028A6265"/>
    <w:rsid w:val="028B53F1"/>
    <w:rsid w:val="028B7331"/>
    <w:rsid w:val="028B78BE"/>
    <w:rsid w:val="028C74FA"/>
    <w:rsid w:val="028D38B1"/>
    <w:rsid w:val="028E4F4F"/>
    <w:rsid w:val="028E6280"/>
    <w:rsid w:val="028F114B"/>
    <w:rsid w:val="02902A6D"/>
    <w:rsid w:val="02913644"/>
    <w:rsid w:val="029C0027"/>
    <w:rsid w:val="029C6C96"/>
    <w:rsid w:val="029E0044"/>
    <w:rsid w:val="029E4766"/>
    <w:rsid w:val="029F6DA2"/>
    <w:rsid w:val="02A1111E"/>
    <w:rsid w:val="02A20BD7"/>
    <w:rsid w:val="02A37EB5"/>
    <w:rsid w:val="02A46D06"/>
    <w:rsid w:val="02A87E08"/>
    <w:rsid w:val="02A90B9E"/>
    <w:rsid w:val="02A970F2"/>
    <w:rsid w:val="02AB24EC"/>
    <w:rsid w:val="02AB3C57"/>
    <w:rsid w:val="02AB5E36"/>
    <w:rsid w:val="02AD6140"/>
    <w:rsid w:val="02AE13C8"/>
    <w:rsid w:val="02AE5E3F"/>
    <w:rsid w:val="02B072E7"/>
    <w:rsid w:val="02B44273"/>
    <w:rsid w:val="02B726F0"/>
    <w:rsid w:val="02B72B18"/>
    <w:rsid w:val="02B74381"/>
    <w:rsid w:val="02B96605"/>
    <w:rsid w:val="02B966A6"/>
    <w:rsid w:val="02BC3862"/>
    <w:rsid w:val="02BD1CB6"/>
    <w:rsid w:val="02BD3FA0"/>
    <w:rsid w:val="02BF1D0D"/>
    <w:rsid w:val="02BF4917"/>
    <w:rsid w:val="02C02DD6"/>
    <w:rsid w:val="02C05DCE"/>
    <w:rsid w:val="02C10E79"/>
    <w:rsid w:val="02C548C2"/>
    <w:rsid w:val="02C620A0"/>
    <w:rsid w:val="02C646E1"/>
    <w:rsid w:val="02C647F9"/>
    <w:rsid w:val="02C64885"/>
    <w:rsid w:val="02C74197"/>
    <w:rsid w:val="02C8710E"/>
    <w:rsid w:val="02CF7AA9"/>
    <w:rsid w:val="02D106BD"/>
    <w:rsid w:val="02D31F82"/>
    <w:rsid w:val="02D37BFA"/>
    <w:rsid w:val="02D445C7"/>
    <w:rsid w:val="02D50DC8"/>
    <w:rsid w:val="02D60AD7"/>
    <w:rsid w:val="02D71DFC"/>
    <w:rsid w:val="02D768EE"/>
    <w:rsid w:val="02D90492"/>
    <w:rsid w:val="02D9521D"/>
    <w:rsid w:val="02DD37B2"/>
    <w:rsid w:val="02E103E9"/>
    <w:rsid w:val="02E250D7"/>
    <w:rsid w:val="02E32863"/>
    <w:rsid w:val="02E35471"/>
    <w:rsid w:val="02E5725D"/>
    <w:rsid w:val="02E735D3"/>
    <w:rsid w:val="02E7370E"/>
    <w:rsid w:val="02EA149B"/>
    <w:rsid w:val="02ED3781"/>
    <w:rsid w:val="02EE16E6"/>
    <w:rsid w:val="02EE2B12"/>
    <w:rsid w:val="02F13652"/>
    <w:rsid w:val="02F16A56"/>
    <w:rsid w:val="02F2439B"/>
    <w:rsid w:val="02F4745E"/>
    <w:rsid w:val="02F53218"/>
    <w:rsid w:val="02F74159"/>
    <w:rsid w:val="02F84DD4"/>
    <w:rsid w:val="02F94B4A"/>
    <w:rsid w:val="02FA082F"/>
    <w:rsid w:val="02FA17DA"/>
    <w:rsid w:val="02FC0059"/>
    <w:rsid w:val="02FF70D8"/>
    <w:rsid w:val="030240C1"/>
    <w:rsid w:val="0303628C"/>
    <w:rsid w:val="030446C9"/>
    <w:rsid w:val="030500BE"/>
    <w:rsid w:val="03053D35"/>
    <w:rsid w:val="03065425"/>
    <w:rsid w:val="03086FC0"/>
    <w:rsid w:val="030A0565"/>
    <w:rsid w:val="030B2A3C"/>
    <w:rsid w:val="030C49A1"/>
    <w:rsid w:val="030D23EA"/>
    <w:rsid w:val="030D3056"/>
    <w:rsid w:val="030E225F"/>
    <w:rsid w:val="030E4F89"/>
    <w:rsid w:val="03100052"/>
    <w:rsid w:val="03113CE6"/>
    <w:rsid w:val="03125CD8"/>
    <w:rsid w:val="031418F0"/>
    <w:rsid w:val="03146BDF"/>
    <w:rsid w:val="03162856"/>
    <w:rsid w:val="03172131"/>
    <w:rsid w:val="0319066D"/>
    <w:rsid w:val="031933FF"/>
    <w:rsid w:val="031A028E"/>
    <w:rsid w:val="031B62B7"/>
    <w:rsid w:val="031D2783"/>
    <w:rsid w:val="03210000"/>
    <w:rsid w:val="03214DA3"/>
    <w:rsid w:val="03224AE6"/>
    <w:rsid w:val="03237394"/>
    <w:rsid w:val="03287250"/>
    <w:rsid w:val="032C109D"/>
    <w:rsid w:val="032C5D4F"/>
    <w:rsid w:val="032C77A7"/>
    <w:rsid w:val="032D4760"/>
    <w:rsid w:val="03313C30"/>
    <w:rsid w:val="03315BDC"/>
    <w:rsid w:val="033222F8"/>
    <w:rsid w:val="033358B8"/>
    <w:rsid w:val="03364039"/>
    <w:rsid w:val="03366D30"/>
    <w:rsid w:val="033759E7"/>
    <w:rsid w:val="033B2748"/>
    <w:rsid w:val="033B519D"/>
    <w:rsid w:val="033E1E33"/>
    <w:rsid w:val="033F60DF"/>
    <w:rsid w:val="033F6241"/>
    <w:rsid w:val="0340162A"/>
    <w:rsid w:val="03401EB0"/>
    <w:rsid w:val="0342775F"/>
    <w:rsid w:val="03460637"/>
    <w:rsid w:val="03466E4E"/>
    <w:rsid w:val="034712EC"/>
    <w:rsid w:val="03473B78"/>
    <w:rsid w:val="034926DE"/>
    <w:rsid w:val="034A7F6D"/>
    <w:rsid w:val="034B4D86"/>
    <w:rsid w:val="034C2BB8"/>
    <w:rsid w:val="034E3158"/>
    <w:rsid w:val="034F484F"/>
    <w:rsid w:val="03511F22"/>
    <w:rsid w:val="035171B9"/>
    <w:rsid w:val="03535B3A"/>
    <w:rsid w:val="03555A65"/>
    <w:rsid w:val="03562FED"/>
    <w:rsid w:val="0356351C"/>
    <w:rsid w:val="035853FF"/>
    <w:rsid w:val="035E0E5A"/>
    <w:rsid w:val="03632601"/>
    <w:rsid w:val="03641CE8"/>
    <w:rsid w:val="036525D3"/>
    <w:rsid w:val="03654545"/>
    <w:rsid w:val="03666F38"/>
    <w:rsid w:val="036C617D"/>
    <w:rsid w:val="036D1292"/>
    <w:rsid w:val="036D26EF"/>
    <w:rsid w:val="036D62A8"/>
    <w:rsid w:val="036D7A5E"/>
    <w:rsid w:val="036E686A"/>
    <w:rsid w:val="036F2FCB"/>
    <w:rsid w:val="0370027D"/>
    <w:rsid w:val="03706159"/>
    <w:rsid w:val="037256E5"/>
    <w:rsid w:val="03725B35"/>
    <w:rsid w:val="03763D7F"/>
    <w:rsid w:val="03771E75"/>
    <w:rsid w:val="03774F10"/>
    <w:rsid w:val="03782939"/>
    <w:rsid w:val="037A0342"/>
    <w:rsid w:val="037A7C50"/>
    <w:rsid w:val="037B5D5F"/>
    <w:rsid w:val="037C716B"/>
    <w:rsid w:val="037D56E7"/>
    <w:rsid w:val="037E0AD4"/>
    <w:rsid w:val="0382186E"/>
    <w:rsid w:val="03824278"/>
    <w:rsid w:val="03830824"/>
    <w:rsid w:val="0383303A"/>
    <w:rsid w:val="03850843"/>
    <w:rsid w:val="0385314A"/>
    <w:rsid w:val="038560BC"/>
    <w:rsid w:val="0385634A"/>
    <w:rsid w:val="038615FD"/>
    <w:rsid w:val="038720C2"/>
    <w:rsid w:val="03875A72"/>
    <w:rsid w:val="03875A9D"/>
    <w:rsid w:val="038861C2"/>
    <w:rsid w:val="0389340F"/>
    <w:rsid w:val="03897738"/>
    <w:rsid w:val="038C20E2"/>
    <w:rsid w:val="038D3451"/>
    <w:rsid w:val="0390493D"/>
    <w:rsid w:val="03926993"/>
    <w:rsid w:val="03936EA0"/>
    <w:rsid w:val="039446BF"/>
    <w:rsid w:val="03945045"/>
    <w:rsid w:val="03947D7D"/>
    <w:rsid w:val="039603B6"/>
    <w:rsid w:val="03991DF6"/>
    <w:rsid w:val="0399408B"/>
    <w:rsid w:val="039C4C1C"/>
    <w:rsid w:val="039D4942"/>
    <w:rsid w:val="039D4C83"/>
    <w:rsid w:val="039D6B7E"/>
    <w:rsid w:val="039E14A4"/>
    <w:rsid w:val="039E565E"/>
    <w:rsid w:val="039E740C"/>
    <w:rsid w:val="039F616C"/>
    <w:rsid w:val="03A1524D"/>
    <w:rsid w:val="03A5007A"/>
    <w:rsid w:val="03A509D0"/>
    <w:rsid w:val="03A55BE7"/>
    <w:rsid w:val="03A57D86"/>
    <w:rsid w:val="03A63677"/>
    <w:rsid w:val="03AA7B5F"/>
    <w:rsid w:val="03AC03E4"/>
    <w:rsid w:val="03AC070B"/>
    <w:rsid w:val="03AC3B93"/>
    <w:rsid w:val="03AD10D4"/>
    <w:rsid w:val="03AE7F98"/>
    <w:rsid w:val="03AF786B"/>
    <w:rsid w:val="03B05F87"/>
    <w:rsid w:val="03B8114C"/>
    <w:rsid w:val="03B85A47"/>
    <w:rsid w:val="03BA07D3"/>
    <w:rsid w:val="03BB1D6C"/>
    <w:rsid w:val="03BC66B1"/>
    <w:rsid w:val="03BD0061"/>
    <w:rsid w:val="03BF3D97"/>
    <w:rsid w:val="03C06B6D"/>
    <w:rsid w:val="03C22E64"/>
    <w:rsid w:val="03C32422"/>
    <w:rsid w:val="03C36D92"/>
    <w:rsid w:val="03C379A5"/>
    <w:rsid w:val="03C45E8E"/>
    <w:rsid w:val="03C6294E"/>
    <w:rsid w:val="03C74493"/>
    <w:rsid w:val="03C8150F"/>
    <w:rsid w:val="03C875B7"/>
    <w:rsid w:val="03CA6453"/>
    <w:rsid w:val="03CB2949"/>
    <w:rsid w:val="03CB7B24"/>
    <w:rsid w:val="03CD2A5E"/>
    <w:rsid w:val="03CE363E"/>
    <w:rsid w:val="03CE41EA"/>
    <w:rsid w:val="03CF54FC"/>
    <w:rsid w:val="03CF6458"/>
    <w:rsid w:val="03CF6512"/>
    <w:rsid w:val="03CF662F"/>
    <w:rsid w:val="03D02353"/>
    <w:rsid w:val="03D31512"/>
    <w:rsid w:val="03D75A00"/>
    <w:rsid w:val="03D7754A"/>
    <w:rsid w:val="03D80B70"/>
    <w:rsid w:val="03D96696"/>
    <w:rsid w:val="03DA2C38"/>
    <w:rsid w:val="03DA621A"/>
    <w:rsid w:val="03DB525E"/>
    <w:rsid w:val="03DD0B1A"/>
    <w:rsid w:val="03DD4662"/>
    <w:rsid w:val="03DD7F34"/>
    <w:rsid w:val="03DF37F3"/>
    <w:rsid w:val="03E219EE"/>
    <w:rsid w:val="03E3042A"/>
    <w:rsid w:val="03E637D8"/>
    <w:rsid w:val="03E729C2"/>
    <w:rsid w:val="03E96E17"/>
    <w:rsid w:val="03EB12B8"/>
    <w:rsid w:val="03EB69A3"/>
    <w:rsid w:val="03EE2141"/>
    <w:rsid w:val="03EE4ECD"/>
    <w:rsid w:val="03EE66DF"/>
    <w:rsid w:val="03EF79AA"/>
    <w:rsid w:val="03F07C94"/>
    <w:rsid w:val="03F1065E"/>
    <w:rsid w:val="03F4527C"/>
    <w:rsid w:val="03F678D3"/>
    <w:rsid w:val="03F86B1C"/>
    <w:rsid w:val="03FB4891"/>
    <w:rsid w:val="03FC5184"/>
    <w:rsid w:val="03FE7EAB"/>
    <w:rsid w:val="03FF2E49"/>
    <w:rsid w:val="03FF56E1"/>
    <w:rsid w:val="04024FAD"/>
    <w:rsid w:val="0404581B"/>
    <w:rsid w:val="040524A3"/>
    <w:rsid w:val="04062E89"/>
    <w:rsid w:val="040727E4"/>
    <w:rsid w:val="04097864"/>
    <w:rsid w:val="040E10EC"/>
    <w:rsid w:val="040E405C"/>
    <w:rsid w:val="04102C06"/>
    <w:rsid w:val="0413414A"/>
    <w:rsid w:val="041349AF"/>
    <w:rsid w:val="04136D3E"/>
    <w:rsid w:val="0416194D"/>
    <w:rsid w:val="04163B93"/>
    <w:rsid w:val="04170B0D"/>
    <w:rsid w:val="041722B7"/>
    <w:rsid w:val="041A5B95"/>
    <w:rsid w:val="041C0ADC"/>
    <w:rsid w:val="041D6731"/>
    <w:rsid w:val="041E0676"/>
    <w:rsid w:val="041E22FB"/>
    <w:rsid w:val="041E26C2"/>
    <w:rsid w:val="0423582B"/>
    <w:rsid w:val="04237B2C"/>
    <w:rsid w:val="042A3BC4"/>
    <w:rsid w:val="042B1E8E"/>
    <w:rsid w:val="042B2878"/>
    <w:rsid w:val="042E6986"/>
    <w:rsid w:val="042E69E2"/>
    <w:rsid w:val="042F194A"/>
    <w:rsid w:val="043200DD"/>
    <w:rsid w:val="043217AF"/>
    <w:rsid w:val="043421C5"/>
    <w:rsid w:val="0434636C"/>
    <w:rsid w:val="04353B09"/>
    <w:rsid w:val="04357511"/>
    <w:rsid w:val="0436054F"/>
    <w:rsid w:val="04385E02"/>
    <w:rsid w:val="04390EE3"/>
    <w:rsid w:val="04393EEE"/>
    <w:rsid w:val="04395576"/>
    <w:rsid w:val="0439760D"/>
    <w:rsid w:val="0443544F"/>
    <w:rsid w:val="04471852"/>
    <w:rsid w:val="04471DC5"/>
    <w:rsid w:val="04485B8D"/>
    <w:rsid w:val="0449381C"/>
    <w:rsid w:val="044955CA"/>
    <w:rsid w:val="044B61F2"/>
    <w:rsid w:val="044C6E68"/>
    <w:rsid w:val="044D4E73"/>
    <w:rsid w:val="044D6D83"/>
    <w:rsid w:val="044E03A3"/>
    <w:rsid w:val="044E2BE0"/>
    <w:rsid w:val="04504BAA"/>
    <w:rsid w:val="04511131"/>
    <w:rsid w:val="045126D0"/>
    <w:rsid w:val="04514153"/>
    <w:rsid w:val="0452355B"/>
    <w:rsid w:val="04531FA4"/>
    <w:rsid w:val="04534C11"/>
    <w:rsid w:val="04552DBC"/>
    <w:rsid w:val="04554A40"/>
    <w:rsid w:val="0456200F"/>
    <w:rsid w:val="04565F0C"/>
    <w:rsid w:val="0458208A"/>
    <w:rsid w:val="045820D1"/>
    <w:rsid w:val="04590836"/>
    <w:rsid w:val="045B3AE4"/>
    <w:rsid w:val="045B4726"/>
    <w:rsid w:val="045E172E"/>
    <w:rsid w:val="045E35EB"/>
    <w:rsid w:val="045F182A"/>
    <w:rsid w:val="045F48FC"/>
    <w:rsid w:val="04603482"/>
    <w:rsid w:val="0462668B"/>
    <w:rsid w:val="04627332"/>
    <w:rsid w:val="0463147F"/>
    <w:rsid w:val="04645078"/>
    <w:rsid w:val="04651E9B"/>
    <w:rsid w:val="046548BF"/>
    <w:rsid w:val="0467124A"/>
    <w:rsid w:val="04684A20"/>
    <w:rsid w:val="046D3D35"/>
    <w:rsid w:val="046E5030"/>
    <w:rsid w:val="047030A8"/>
    <w:rsid w:val="04754611"/>
    <w:rsid w:val="04756259"/>
    <w:rsid w:val="04767A6F"/>
    <w:rsid w:val="0477007D"/>
    <w:rsid w:val="04781A0B"/>
    <w:rsid w:val="047B37AE"/>
    <w:rsid w:val="047D227E"/>
    <w:rsid w:val="047F4D77"/>
    <w:rsid w:val="048071BA"/>
    <w:rsid w:val="04853043"/>
    <w:rsid w:val="04853BEE"/>
    <w:rsid w:val="04856A55"/>
    <w:rsid w:val="048709A4"/>
    <w:rsid w:val="04884889"/>
    <w:rsid w:val="04890361"/>
    <w:rsid w:val="048A5A25"/>
    <w:rsid w:val="048B0477"/>
    <w:rsid w:val="048B346B"/>
    <w:rsid w:val="048B3D28"/>
    <w:rsid w:val="048C38C0"/>
    <w:rsid w:val="048C769B"/>
    <w:rsid w:val="048E20D5"/>
    <w:rsid w:val="048E4B7A"/>
    <w:rsid w:val="048F215E"/>
    <w:rsid w:val="048F7383"/>
    <w:rsid w:val="04900898"/>
    <w:rsid w:val="049031F8"/>
    <w:rsid w:val="0492278D"/>
    <w:rsid w:val="0492311E"/>
    <w:rsid w:val="04925647"/>
    <w:rsid w:val="049266AE"/>
    <w:rsid w:val="0493087B"/>
    <w:rsid w:val="04935B9A"/>
    <w:rsid w:val="049635D7"/>
    <w:rsid w:val="0497260C"/>
    <w:rsid w:val="049806A8"/>
    <w:rsid w:val="0498401E"/>
    <w:rsid w:val="04984AB0"/>
    <w:rsid w:val="04992DB8"/>
    <w:rsid w:val="04993141"/>
    <w:rsid w:val="049A55D9"/>
    <w:rsid w:val="049D5FC9"/>
    <w:rsid w:val="049E5010"/>
    <w:rsid w:val="049E6582"/>
    <w:rsid w:val="049F5128"/>
    <w:rsid w:val="049F53C7"/>
    <w:rsid w:val="04A22B76"/>
    <w:rsid w:val="04A346DC"/>
    <w:rsid w:val="04A36643"/>
    <w:rsid w:val="04A44EF6"/>
    <w:rsid w:val="04A500D5"/>
    <w:rsid w:val="04A503F1"/>
    <w:rsid w:val="04A52EC0"/>
    <w:rsid w:val="04A96E32"/>
    <w:rsid w:val="04AA44C6"/>
    <w:rsid w:val="04B16F5B"/>
    <w:rsid w:val="04B20C16"/>
    <w:rsid w:val="04B227BB"/>
    <w:rsid w:val="04B24FC4"/>
    <w:rsid w:val="04B43341"/>
    <w:rsid w:val="04B5161E"/>
    <w:rsid w:val="04B6521E"/>
    <w:rsid w:val="04B72FC6"/>
    <w:rsid w:val="04B82C70"/>
    <w:rsid w:val="04BA2023"/>
    <w:rsid w:val="04BB4D08"/>
    <w:rsid w:val="04BC2B83"/>
    <w:rsid w:val="04C17856"/>
    <w:rsid w:val="04C20303"/>
    <w:rsid w:val="04C376F1"/>
    <w:rsid w:val="04C57B52"/>
    <w:rsid w:val="04C63AD1"/>
    <w:rsid w:val="04C74740"/>
    <w:rsid w:val="04C74AD9"/>
    <w:rsid w:val="04C75CCF"/>
    <w:rsid w:val="04C805BE"/>
    <w:rsid w:val="04C81C48"/>
    <w:rsid w:val="04C82992"/>
    <w:rsid w:val="04C82CF5"/>
    <w:rsid w:val="04C957BE"/>
    <w:rsid w:val="04CC3D65"/>
    <w:rsid w:val="04CC5E7E"/>
    <w:rsid w:val="04CD2DF6"/>
    <w:rsid w:val="04D213A5"/>
    <w:rsid w:val="04D303F7"/>
    <w:rsid w:val="04D356AB"/>
    <w:rsid w:val="04D743FA"/>
    <w:rsid w:val="04D74983"/>
    <w:rsid w:val="04D80056"/>
    <w:rsid w:val="04D84974"/>
    <w:rsid w:val="04DD0F0E"/>
    <w:rsid w:val="04DE74F4"/>
    <w:rsid w:val="04E07098"/>
    <w:rsid w:val="04E16DE0"/>
    <w:rsid w:val="04E2636B"/>
    <w:rsid w:val="04E318FB"/>
    <w:rsid w:val="04E47167"/>
    <w:rsid w:val="04E535D4"/>
    <w:rsid w:val="04E67290"/>
    <w:rsid w:val="04E83035"/>
    <w:rsid w:val="04E91568"/>
    <w:rsid w:val="04E920EF"/>
    <w:rsid w:val="04E95724"/>
    <w:rsid w:val="04E962C6"/>
    <w:rsid w:val="04EB158C"/>
    <w:rsid w:val="04EB3BB5"/>
    <w:rsid w:val="04EC7835"/>
    <w:rsid w:val="04EC7A29"/>
    <w:rsid w:val="04EE7D49"/>
    <w:rsid w:val="04EF1556"/>
    <w:rsid w:val="04F12579"/>
    <w:rsid w:val="04F56AB5"/>
    <w:rsid w:val="04F604AE"/>
    <w:rsid w:val="04F834E7"/>
    <w:rsid w:val="04F9637E"/>
    <w:rsid w:val="04F96FF0"/>
    <w:rsid w:val="04FA08A9"/>
    <w:rsid w:val="04FA4B16"/>
    <w:rsid w:val="04FC263C"/>
    <w:rsid w:val="04FD182A"/>
    <w:rsid w:val="04FE1D2C"/>
    <w:rsid w:val="04FE63B4"/>
    <w:rsid w:val="0501576C"/>
    <w:rsid w:val="05025778"/>
    <w:rsid w:val="0503390F"/>
    <w:rsid w:val="050375E0"/>
    <w:rsid w:val="050414F1"/>
    <w:rsid w:val="05047743"/>
    <w:rsid w:val="05050362"/>
    <w:rsid w:val="05057AEE"/>
    <w:rsid w:val="05077CC6"/>
    <w:rsid w:val="0508153D"/>
    <w:rsid w:val="050856E0"/>
    <w:rsid w:val="050A2EF5"/>
    <w:rsid w:val="050B4414"/>
    <w:rsid w:val="050B54B9"/>
    <w:rsid w:val="050D470B"/>
    <w:rsid w:val="050E4025"/>
    <w:rsid w:val="050E55B6"/>
    <w:rsid w:val="05104339"/>
    <w:rsid w:val="05123C0E"/>
    <w:rsid w:val="051244AB"/>
    <w:rsid w:val="05127BB1"/>
    <w:rsid w:val="05157284"/>
    <w:rsid w:val="051575CD"/>
    <w:rsid w:val="05172D08"/>
    <w:rsid w:val="05177476"/>
    <w:rsid w:val="05192CB4"/>
    <w:rsid w:val="051A0A7E"/>
    <w:rsid w:val="051C5298"/>
    <w:rsid w:val="051C7F57"/>
    <w:rsid w:val="052006F9"/>
    <w:rsid w:val="0520298A"/>
    <w:rsid w:val="052054A2"/>
    <w:rsid w:val="052102F4"/>
    <w:rsid w:val="05210A66"/>
    <w:rsid w:val="05214745"/>
    <w:rsid w:val="05215782"/>
    <w:rsid w:val="05236AE4"/>
    <w:rsid w:val="0524076A"/>
    <w:rsid w:val="0525471B"/>
    <w:rsid w:val="05255124"/>
    <w:rsid w:val="05261F60"/>
    <w:rsid w:val="0526590B"/>
    <w:rsid w:val="0528227D"/>
    <w:rsid w:val="0528290F"/>
    <w:rsid w:val="05283431"/>
    <w:rsid w:val="052927E7"/>
    <w:rsid w:val="0529612E"/>
    <w:rsid w:val="05297A73"/>
    <w:rsid w:val="052A1BD0"/>
    <w:rsid w:val="052E6005"/>
    <w:rsid w:val="052F3190"/>
    <w:rsid w:val="053705A1"/>
    <w:rsid w:val="053744CE"/>
    <w:rsid w:val="05380684"/>
    <w:rsid w:val="05387BEF"/>
    <w:rsid w:val="053B27D1"/>
    <w:rsid w:val="053B7608"/>
    <w:rsid w:val="053C6193"/>
    <w:rsid w:val="053D5E76"/>
    <w:rsid w:val="053E22F1"/>
    <w:rsid w:val="053E7690"/>
    <w:rsid w:val="053F5D49"/>
    <w:rsid w:val="053F734C"/>
    <w:rsid w:val="054144F3"/>
    <w:rsid w:val="05440FF5"/>
    <w:rsid w:val="05465384"/>
    <w:rsid w:val="05476584"/>
    <w:rsid w:val="054923C1"/>
    <w:rsid w:val="05495A97"/>
    <w:rsid w:val="054F4745"/>
    <w:rsid w:val="05504C24"/>
    <w:rsid w:val="05507F0F"/>
    <w:rsid w:val="05515962"/>
    <w:rsid w:val="05523600"/>
    <w:rsid w:val="05524952"/>
    <w:rsid w:val="05545C1C"/>
    <w:rsid w:val="0556163F"/>
    <w:rsid w:val="05565B04"/>
    <w:rsid w:val="05573E24"/>
    <w:rsid w:val="05595CE0"/>
    <w:rsid w:val="055D1BAC"/>
    <w:rsid w:val="05604890"/>
    <w:rsid w:val="056051CA"/>
    <w:rsid w:val="0560742B"/>
    <w:rsid w:val="05614B95"/>
    <w:rsid w:val="056175B3"/>
    <w:rsid w:val="056305E6"/>
    <w:rsid w:val="0563603C"/>
    <w:rsid w:val="056371AB"/>
    <w:rsid w:val="05655C62"/>
    <w:rsid w:val="05663F59"/>
    <w:rsid w:val="056703FD"/>
    <w:rsid w:val="056C7348"/>
    <w:rsid w:val="056E2702"/>
    <w:rsid w:val="056E6801"/>
    <w:rsid w:val="0570153B"/>
    <w:rsid w:val="05707368"/>
    <w:rsid w:val="05711647"/>
    <w:rsid w:val="05716E11"/>
    <w:rsid w:val="05717247"/>
    <w:rsid w:val="05720B50"/>
    <w:rsid w:val="0572470C"/>
    <w:rsid w:val="05726DA2"/>
    <w:rsid w:val="05731355"/>
    <w:rsid w:val="057373CA"/>
    <w:rsid w:val="05751A12"/>
    <w:rsid w:val="0577207E"/>
    <w:rsid w:val="05793C8D"/>
    <w:rsid w:val="057A707B"/>
    <w:rsid w:val="057B527C"/>
    <w:rsid w:val="05832073"/>
    <w:rsid w:val="05836029"/>
    <w:rsid w:val="05841F72"/>
    <w:rsid w:val="05856F2B"/>
    <w:rsid w:val="05860CFC"/>
    <w:rsid w:val="05860EB0"/>
    <w:rsid w:val="05862912"/>
    <w:rsid w:val="05896113"/>
    <w:rsid w:val="058A3184"/>
    <w:rsid w:val="058C1C12"/>
    <w:rsid w:val="058D38ED"/>
    <w:rsid w:val="059031DA"/>
    <w:rsid w:val="05926375"/>
    <w:rsid w:val="0594218E"/>
    <w:rsid w:val="05957EBA"/>
    <w:rsid w:val="05964BC9"/>
    <w:rsid w:val="059A2540"/>
    <w:rsid w:val="059B1053"/>
    <w:rsid w:val="059C18BA"/>
    <w:rsid w:val="059E36F3"/>
    <w:rsid w:val="059F7CC6"/>
    <w:rsid w:val="05A056BD"/>
    <w:rsid w:val="05A241C0"/>
    <w:rsid w:val="05A30D0A"/>
    <w:rsid w:val="05A33945"/>
    <w:rsid w:val="05A4091C"/>
    <w:rsid w:val="05A67ECA"/>
    <w:rsid w:val="05A72074"/>
    <w:rsid w:val="05A8344C"/>
    <w:rsid w:val="05A84572"/>
    <w:rsid w:val="05A94AB8"/>
    <w:rsid w:val="05AE663B"/>
    <w:rsid w:val="05AF5494"/>
    <w:rsid w:val="05B10346"/>
    <w:rsid w:val="05B13779"/>
    <w:rsid w:val="05B31A1F"/>
    <w:rsid w:val="05B42328"/>
    <w:rsid w:val="05B82CA8"/>
    <w:rsid w:val="05B85597"/>
    <w:rsid w:val="05B9473E"/>
    <w:rsid w:val="05B971A0"/>
    <w:rsid w:val="05BB42A5"/>
    <w:rsid w:val="05BC4B5A"/>
    <w:rsid w:val="05BE1FE7"/>
    <w:rsid w:val="05C07B0D"/>
    <w:rsid w:val="05C51CB5"/>
    <w:rsid w:val="05C52B50"/>
    <w:rsid w:val="05C55124"/>
    <w:rsid w:val="05C55DBC"/>
    <w:rsid w:val="05C75360"/>
    <w:rsid w:val="05CA357D"/>
    <w:rsid w:val="05CA3B10"/>
    <w:rsid w:val="05CA4CF8"/>
    <w:rsid w:val="05CC26EA"/>
    <w:rsid w:val="05CD3A76"/>
    <w:rsid w:val="05CE01C7"/>
    <w:rsid w:val="05CE1DED"/>
    <w:rsid w:val="05CF1AFF"/>
    <w:rsid w:val="05CF4847"/>
    <w:rsid w:val="05D03E1F"/>
    <w:rsid w:val="05D128F9"/>
    <w:rsid w:val="05D2339D"/>
    <w:rsid w:val="05D33F5F"/>
    <w:rsid w:val="05D35C95"/>
    <w:rsid w:val="05D60786"/>
    <w:rsid w:val="05D71F93"/>
    <w:rsid w:val="05DB04A3"/>
    <w:rsid w:val="05DB3249"/>
    <w:rsid w:val="05DC5681"/>
    <w:rsid w:val="05DF2322"/>
    <w:rsid w:val="05E01F5E"/>
    <w:rsid w:val="05E17674"/>
    <w:rsid w:val="05E32E8D"/>
    <w:rsid w:val="05E462FC"/>
    <w:rsid w:val="05E569E5"/>
    <w:rsid w:val="05E650E7"/>
    <w:rsid w:val="05E8668C"/>
    <w:rsid w:val="05EA0353"/>
    <w:rsid w:val="05EA3BD7"/>
    <w:rsid w:val="05EB4FCC"/>
    <w:rsid w:val="05EC5CFB"/>
    <w:rsid w:val="05F11A75"/>
    <w:rsid w:val="05F21DF0"/>
    <w:rsid w:val="05F31C0E"/>
    <w:rsid w:val="05F477B7"/>
    <w:rsid w:val="05F5096E"/>
    <w:rsid w:val="05F5658A"/>
    <w:rsid w:val="05F5729F"/>
    <w:rsid w:val="05FC435E"/>
    <w:rsid w:val="05FC4B31"/>
    <w:rsid w:val="05FD52F3"/>
    <w:rsid w:val="05FD60B2"/>
    <w:rsid w:val="05FD7F14"/>
    <w:rsid w:val="05FF2B7C"/>
    <w:rsid w:val="0601782E"/>
    <w:rsid w:val="06023CAB"/>
    <w:rsid w:val="06024EA2"/>
    <w:rsid w:val="060329ED"/>
    <w:rsid w:val="060904E0"/>
    <w:rsid w:val="06092E72"/>
    <w:rsid w:val="060A74D0"/>
    <w:rsid w:val="060D1576"/>
    <w:rsid w:val="060D5CF5"/>
    <w:rsid w:val="060D63E8"/>
    <w:rsid w:val="060E7BA9"/>
    <w:rsid w:val="06106CBF"/>
    <w:rsid w:val="0612204C"/>
    <w:rsid w:val="06134CC4"/>
    <w:rsid w:val="06135E8F"/>
    <w:rsid w:val="06163AA7"/>
    <w:rsid w:val="06163BD1"/>
    <w:rsid w:val="0618330F"/>
    <w:rsid w:val="06191C61"/>
    <w:rsid w:val="061C291F"/>
    <w:rsid w:val="061D13B2"/>
    <w:rsid w:val="061D5F2D"/>
    <w:rsid w:val="061D6D0E"/>
    <w:rsid w:val="061D7A0B"/>
    <w:rsid w:val="06207F9D"/>
    <w:rsid w:val="062229DD"/>
    <w:rsid w:val="06255FDE"/>
    <w:rsid w:val="06270CC4"/>
    <w:rsid w:val="0627193B"/>
    <w:rsid w:val="062825F2"/>
    <w:rsid w:val="06287461"/>
    <w:rsid w:val="062971B9"/>
    <w:rsid w:val="062A58D4"/>
    <w:rsid w:val="062C1639"/>
    <w:rsid w:val="062E4A77"/>
    <w:rsid w:val="0630620E"/>
    <w:rsid w:val="06316315"/>
    <w:rsid w:val="06316788"/>
    <w:rsid w:val="063751DF"/>
    <w:rsid w:val="063776C4"/>
    <w:rsid w:val="06381CB5"/>
    <w:rsid w:val="0638654D"/>
    <w:rsid w:val="063A64F5"/>
    <w:rsid w:val="063B0CC4"/>
    <w:rsid w:val="06430492"/>
    <w:rsid w:val="064556EA"/>
    <w:rsid w:val="06466906"/>
    <w:rsid w:val="06474C7A"/>
    <w:rsid w:val="06475D95"/>
    <w:rsid w:val="064A1F7F"/>
    <w:rsid w:val="064B37B6"/>
    <w:rsid w:val="064B54AD"/>
    <w:rsid w:val="064C5268"/>
    <w:rsid w:val="064F2C3F"/>
    <w:rsid w:val="06500B33"/>
    <w:rsid w:val="06500E91"/>
    <w:rsid w:val="06513A19"/>
    <w:rsid w:val="06514C09"/>
    <w:rsid w:val="0654146A"/>
    <w:rsid w:val="065473FB"/>
    <w:rsid w:val="06556DFF"/>
    <w:rsid w:val="06562220"/>
    <w:rsid w:val="06564304"/>
    <w:rsid w:val="06565070"/>
    <w:rsid w:val="06570F7A"/>
    <w:rsid w:val="06592554"/>
    <w:rsid w:val="065B60C4"/>
    <w:rsid w:val="065F7326"/>
    <w:rsid w:val="06610604"/>
    <w:rsid w:val="06620A48"/>
    <w:rsid w:val="06624611"/>
    <w:rsid w:val="066276E9"/>
    <w:rsid w:val="06630AA1"/>
    <w:rsid w:val="066416C9"/>
    <w:rsid w:val="06657EE4"/>
    <w:rsid w:val="06660692"/>
    <w:rsid w:val="066615CD"/>
    <w:rsid w:val="066673A6"/>
    <w:rsid w:val="0667125E"/>
    <w:rsid w:val="066B24DD"/>
    <w:rsid w:val="066E1982"/>
    <w:rsid w:val="066E30C6"/>
    <w:rsid w:val="06704836"/>
    <w:rsid w:val="067070CC"/>
    <w:rsid w:val="06714A12"/>
    <w:rsid w:val="06717A5B"/>
    <w:rsid w:val="0672161D"/>
    <w:rsid w:val="06757B8D"/>
    <w:rsid w:val="06760213"/>
    <w:rsid w:val="06767126"/>
    <w:rsid w:val="067A4E66"/>
    <w:rsid w:val="067B0F23"/>
    <w:rsid w:val="067B1BBA"/>
    <w:rsid w:val="067D155B"/>
    <w:rsid w:val="067E1FA8"/>
    <w:rsid w:val="067E4035"/>
    <w:rsid w:val="068057E5"/>
    <w:rsid w:val="068154EF"/>
    <w:rsid w:val="06844563"/>
    <w:rsid w:val="06845760"/>
    <w:rsid w:val="06853E7E"/>
    <w:rsid w:val="0686152B"/>
    <w:rsid w:val="06865A57"/>
    <w:rsid w:val="06891A4E"/>
    <w:rsid w:val="06896151"/>
    <w:rsid w:val="068A3C77"/>
    <w:rsid w:val="068B7D5E"/>
    <w:rsid w:val="068C109B"/>
    <w:rsid w:val="068C7B18"/>
    <w:rsid w:val="068E3768"/>
    <w:rsid w:val="069019E0"/>
    <w:rsid w:val="0690294A"/>
    <w:rsid w:val="06903F37"/>
    <w:rsid w:val="06906B3B"/>
    <w:rsid w:val="06907E78"/>
    <w:rsid w:val="06915006"/>
    <w:rsid w:val="06954ABC"/>
    <w:rsid w:val="0696086E"/>
    <w:rsid w:val="06975ABF"/>
    <w:rsid w:val="06983C1B"/>
    <w:rsid w:val="069950A3"/>
    <w:rsid w:val="069B3464"/>
    <w:rsid w:val="069C5144"/>
    <w:rsid w:val="069E222A"/>
    <w:rsid w:val="06A0349B"/>
    <w:rsid w:val="06A450CB"/>
    <w:rsid w:val="06A51B74"/>
    <w:rsid w:val="06A76846"/>
    <w:rsid w:val="06A907D0"/>
    <w:rsid w:val="06A95833"/>
    <w:rsid w:val="06A96E1C"/>
    <w:rsid w:val="06AB28DC"/>
    <w:rsid w:val="06AB431A"/>
    <w:rsid w:val="06AC0BF1"/>
    <w:rsid w:val="06AC7C17"/>
    <w:rsid w:val="06AD7FC5"/>
    <w:rsid w:val="06B01E60"/>
    <w:rsid w:val="06B06237"/>
    <w:rsid w:val="06B244F7"/>
    <w:rsid w:val="06B36B9B"/>
    <w:rsid w:val="06B46E17"/>
    <w:rsid w:val="06B616F9"/>
    <w:rsid w:val="06B6359B"/>
    <w:rsid w:val="06B66BED"/>
    <w:rsid w:val="06BA358D"/>
    <w:rsid w:val="06BA77BD"/>
    <w:rsid w:val="06BA7B7F"/>
    <w:rsid w:val="06BC047E"/>
    <w:rsid w:val="06BD1D91"/>
    <w:rsid w:val="06BF3FA4"/>
    <w:rsid w:val="06BF54C1"/>
    <w:rsid w:val="06BF56A1"/>
    <w:rsid w:val="06C118AE"/>
    <w:rsid w:val="06C25BA8"/>
    <w:rsid w:val="06C7174C"/>
    <w:rsid w:val="06C729EE"/>
    <w:rsid w:val="06C90B19"/>
    <w:rsid w:val="06CA3735"/>
    <w:rsid w:val="06CB384A"/>
    <w:rsid w:val="06CE14CC"/>
    <w:rsid w:val="06CE5427"/>
    <w:rsid w:val="06CF5D6F"/>
    <w:rsid w:val="06D30131"/>
    <w:rsid w:val="06D50EAE"/>
    <w:rsid w:val="06D77C57"/>
    <w:rsid w:val="06D9438D"/>
    <w:rsid w:val="06DA5DCB"/>
    <w:rsid w:val="06DD05AA"/>
    <w:rsid w:val="06DD649D"/>
    <w:rsid w:val="06DD6CF7"/>
    <w:rsid w:val="06DE361C"/>
    <w:rsid w:val="06E14E7E"/>
    <w:rsid w:val="06E24753"/>
    <w:rsid w:val="06E2522B"/>
    <w:rsid w:val="06E34B33"/>
    <w:rsid w:val="06E363B4"/>
    <w:rsid w:val="06E4288E"/>
    <w:rsid w:val="06E46DD6"/>
    <w:rsid w:val="06E67265"/>
    <w:rsid w:val="06E74F13"/>
    <w:rsid w:val="06E96506"/>
    <w:rsid w:val="06E978EE"/>
    <w:rsid w:val="06EB72E3"/>
    <w:rsid w:val="06ED4177"/>
    <w:rsid w:val="06EF3081"/>
    <w:rsid w:val="06F15AA5"/>
    <w:rsid w:val="06F16DD5"/>
    <w:rsid w:val="06F242BD"/>
    <w:rsid w:val="06F31051"/>
    <w:rsid w:val="06F34474"/>
    <w:rsid w:val="06F72C2A"/>
    <w:rsid w:val="06F827CC"/>
    <w:rsid w:val="06F909A6"/>
    <w:rsid w:val="06FA0F5D"/>
    <w:rsid w:val="06FB28B5"/>
    <w:rsid w:val="06FB5487"/>
    <w:rsid w:val="06FC0D31"/>
    <w:rsid w:val="06FC242C"/>
    <w:rsid w:val="06FC4377"/>
    <w:rsid w:val="06FE057D"/>
    <w:rsid w:val="06FF299A"/>
    <w:rsid w:val="06FF5FD7"/>
    <w:rsid w:val="07010623"/>
    <w:rsid w:val="07051157"/>
    <w:rsid w:val="07064323"/>
    <w:rsid w:val="07074B6A"/>
    <w:rsid w:val="07074E18"/>
    <w:rsid w:val="07092F81"/>
    <w:rsid w:val="07096006"/>
    <w:rsid w:val="070A4A2D"/>
    <w:rsid w:val="070B300A"/>
    <w:rsid w:val="070C0CBF"/>
    <w:rsid w:val="070C26CF"/>
    <w:rsid w:val="070D0B57"/>
    <w:rsid w:val="070D3824"/>
    <w:rsid w:val="070D5C61"/>
    <w:rsid w:val="070F38AD"/>
    <w:rsid w:val="071023CF"/>
    <w:rsid w:val="07170A7D"/>
    <w:rsid w:val="071A0F11"/>
    <w:rsid w:val="071A149F"/>
    <w:rsid w:val="071D4987"/>
    <w:rsid w:val="071E2D3E"/>
    <w:rsid w:val="071E52D4"/>
    <w:rsid w:val="07201272"/>
    <w:rsid w:val="0721282E"/>
    <w:rsid w:val="072213C4"/>
    <w:rsid w:val="072451C1"/>
    <w:rsid w:val="07263081"/>
    <w:rsid w:val="072639A0"/>
    <w:rsid w:val="07267E44"/>
    <w:rsid w:val="072A6D87"/>
    <w:rsid w:val="072B0FB7"/>
    <w:rsid w:val="072B4513"/>
    <w:rsid w:val="072C408F"/>
    <w:rsid w:val="072C66C1"/>
    <w:rsid w:val="072E1E51"/>
    <w:rsid w:val="072F45F2"/>
    <w:rsid w:val="072F6604"/>
    <w:rsid w:val="073162F8"/>
    <w:rsid w:val="07332FDE"/>
    <w:rsid w:val="0733430F"/>
    <w:rsid w:val="0733457F"/>
    <w:rsid w:val="07367E55"/>
    <w:rsid w:val="07374A72"/>
    <w:rsid w:val="073A136B"/>
    <w:rsid w:val="073C0BC0"/>
    <w:rsid w:val="073D3374"/>
    <w:rsid w:val="07411521"/>
    <w:rsid w:val="074149C9"/>
    <w:rsid w:val="07416A2C"/>
    <w:rsid w:val="074259A9"/>
    <w:rsid w:val="074309F6"/>
    <w:rsid w:val="07447AF0"/>
    <w:rsid w:val="074608A7"/>
    <w:rsid w:val="0749084E"/>
    <w:rsid w:val="074943F2"/>
    <w:rsid w:val="074A741F"/>
    <w:rsid w:val="074C45A3"/>
    <w:rsid w:val="074D375D"/>
    <w:rsid w:val="074D5968"/>
    <w:rsid w:val="074F4034"/>
    <w:rsid w:val="07536C29"/>
    <w:rsid w:val="075820CD"/>
    <w:rsid w:val="075C75B8"/>
    <w:rsid w:val="075D67F3"/>
    <w:rsid w:val="075F0C22"/>
    <w:rsid w:val="07602F6E"/>
    <w:rsid w:val="076213BD"/>
    <w:rsid w:val="076429A5"/>
    <w:rsid w:val="07663A19"/>
    <w:rsid w:val="07665A2A"/>
    <w:rsid w:val="07666493"/>
    <w:rsid w:val="07683FB9"/>
    <w:rsid w:val="076841DA"/>
    <w:rsid w:val="076856CC"/>
    <w:rsid w:val="07686B6F"/>
    <w:rsid w:val="07686D24"/>
    <w:rsid w:val="076931F2"/>
    <w:rsid w:val="076A45C8"/>
    <w:rsid w:val="076A5E30"/>
    <w:rsid w:val="076D68B3"/>
    <w:rsid w:val="076F4BBA"/>
    <w:rsid w:val="076F4C7D"/>
    <w:rsid w:val="07703B8F"/>
    <w:rsid w:val="077114A0"/>
    <w:rsid w:val="07711C04"/>
    <w:rsid w:val="07716AE6"/>
    <w:rsid w:val="07731616"/>
    <w:rsid w:val="07734190"/>
    <w:rsid w:val="0774295E"/>
    <w:rsid w:val="07750340"/>
    <w:rsid w:val="0777244E"/>
    <w:rsid w:val="07797DF2"/>
    <w:rsid w:val="077C2E86"/>
    <w:rsid w:val="077E44D4"/>
    <w:rsid w:val="077F76AC"/>
    <w:rsid w:val="078062B8"/>
    <w:rsid w:val="07812C00"/>
    <w:rsid w:val="07880A40"/>
    <w:rsid w:val="07880F17"/>
    <w:rsid w:val="07884E3D"/>
    <w:rsid w:val="078B0F75"/>
    <w:rsid w:val="078C44CE"/>
    <w:rsid w:val="078F6F9D"/>
    <w:rsid w:val="07940357"/>
    <w:rsid w:val="07944DAE"/>
    <w:rsid w:val="07962321"/>
    <w:rsid w:val="07971200"/>
    <w:rsid w:val="07982EB6"/>
    <w:rsid w:val="0799224D"/>
    <w:rsid w:val="079A16D5"/>
    <w:rsid w:val="079A613C"/>
    <w:rsid w:val="079B438E"/>
    <w:rsid w:val="079D4551"/>
    <w:rsid w:val="079E2E50"/>
    <w:rsid w:val="079E7F01"/>
    <w:rsid w:val="07A24B3D"/>
    <w:rsid w:val="07A45E6B"/>
    <w:rsid w:val="07A505C9"/>
    <w:rsid w:val="07A54CCF"/>
    <w:rsid w:val="07A77ABC"/>
    <w:rsid w:val="07A87452"/>
    <w:rsid w:val="07AC34E7"/>
    <w:rsid w:val="07AC659B"/>
    <w:rsid w:val="07AE48CC"/>
    <w:rsid w:val="07B0512D"/>
    <w:rsid w:val="07B1135E"/>
    <w:rsid w:val="07B17B6C"/>
    <w:rsid w:val="07B43DE5"/>
    <w:rsid w:val="07B47932"/>
    <w:rsid w:val="07B61D37"/>
    <w:rsid w:val="07B828F9"/>
    <w:rsid w:val="07B92A08"/>
    <w:rsid w:val="07B94368"/>
    <w:rsid w:val="07B97990"/>
    <w:rsid w:val="07BB4710"/>
    <w:rsid w:val="07BB5D1B"/>
    <w:rsid w:val="07BC4D41"/>
    <w:rsid w:val="07BE04EA"/>
    <w:rsid w:val="07BF0A20"/>
    <w:rsid w:val="07C06730"/>
    <w:rsid w:val="07C31317"/>
    <w:rsid w:val="07C35693"/>
    <w:rsid w:val="07C50046"/>
    <w:rsid w:val="07C54824"/>
    <w:rsid w:val="07C65568"/>
    <w:rsid w:val="07C86BDA"/>
    <w:rsid w:val="07CB28D2"/>
    <w:rsid w:val="07CC203E"/>
    <w:rsid w:val="07CD0A59"/>
    <w:rsid w:val="07CD7F6D"/>
    <w:rsid w:val="07CE7BC3"/>
    <w:rsid w:val="07CF4038"/>
    <w:rsid w:val="07D000FD"/>
    <w:rsid w:val="07D02AA5"/>
    <w:rsid w:val="07D03C54"/>
    <w:rsid w:val="07D47BD7"/>
    <w:rsid w:val="07D63653"/>
    <w:rsid w:val="07D7360B"/>
    <w:rsid w:val="07D752B3"/>
    <w:rsid w:val="07D8088C"/>
    <w:rsid w:val="07DC6142"/>
    <w:rsid w:val="07E142AB"/>
    <w:rsid w:val="07E20F3A"/>
    <w:rsid w:val="07E37510"/>
    <w:rsid w:val="07E57B47"/>
    <w:rsid w:val="07E625EA"/>
    <w:rsid w:val="07E704AD"/>
    <w:rsid w:val="07E74D23"/>
    <w:rsid w:val="07E92CA1"/>
    <w:rsid w:val="07EA3DB1"/>
    <w:rsid w:val="07EC389C"/>
    <w:rsid w:val="07ED33E0"/>
    <w:rsid w:val="07F04FB3"/>
    <w:rsid w:val="07F36615"/>
    <w:rsid w:val="07F46FEF"/>
    <w:rsid w:val="07F52411"/>
    <w:rsid w:val="07F5751A"/>
    <w:rsid w:val="07F65A68"/>
    <w:rsid w:val="07F75AFB"/>
    <w:rsid w:val="07F7622E"/>
    <w:rsid w:val="07F9021F"/>
    <w:rsid w:val="07FB18BB"/>
    <w:rsid w:val="07FB2AA5"/>
    <w:rsid w:val="07FE2B6F"/>
    <w:rsid w:val="08002443"/>
    <w:rsid w:val="080041F1"/>
    <w:rsid w:val="0804158B"/>
    <w:rsid w:val="080517DB"/>
    <w:rsid w:val="08055813"/>
    <w:rsid w:val="08063007"/>
    <w:rsid w:val="08065580"/>
    <w:rsid w:val="080842C3"/>
    <w:rsid w:val="080A5E6B"/>
    <w:rsid w:val="080B2C5C"/>
    <w:rsid w:val="080C528C"/>
    <w:rsid w:val="080C670B"/>
    <w:rsid w:val="080E22AF"/>
    <w:rsid w:val="080F5CF0"/>
    <w:rsid w:val="0811229B"/>
    <w:rsid w:val="08126F7A"/>
    <w:rsid w:val="08153C18"/>
    <w:rsid w:val="081541D2"/>
    <w:rsid w:val="08181D7F"/>
    <w:rsid w:val="08192F96"/>
    <w:rsid w:val="081A109D"/>
    <w:rsid w:val="081B0418"/>
    <w:rsid w:val="081B6F10"/>
    <w:rsid w:val="081C7CA8"/>
    <w:rsid w:val="081E3021"/>
    <w:rsid w:val="08221C3F"/>
    <w:rsid w:val="082425D6"/>
    <w:rsid w:val="08242B06"/>
    <w:rsid w:val="08273E74"/>
    <w:rsid w:val="08282B5A"/>
    <w:rsid w:val="08296CA4"/>
    <w:rsid w:val="082C03E0"/>
    <w:rsid w:val="082C0F04"/>
    <w:rsid w:val="082C36E2"/>
    <w:rsid w:val="083075F1"/>
    <w:rsid w:val="08346591"/>
    <w:rsid w:val="08353113"/>
    <w:rsid w:val="08396E4C"/>
    <w:rsid w:val="083A2A2E"/>
    <w:rsid w:val="083B2549"/>
    <w:rsid w:val="083D2DFD"/>
    <w:rsid w:val="083E11BD"/>
    <w:rsid w:val="083E7A3A"/>
    <w:rsid w:val="08406CE4"/>
    <w:rsid w:val="08423187"/>
    <w:rsid w:val="08441F21"/>
    <w:rsid w:val="08442441"/>
    <w:rsid w:val="08461A99"/>
    <w:rsid w:val="08471E20"/>
    <w:rsid w:val="08477810"/>
    <w:rsid w:val="08480520"/>
    <w:rsid w:val="08491426"/>
    <w:rsid w:val="08493DEA"/>
    <w:rsid w:val="084E1503"/>
    <w:rsid w:val="084E1932"/>
    <w:rsid w:val="084F28DE"/>
    <w:rsid w:val="084F5307"/>
    <w:rsid w:val="08504A1F"/>
    <w:rsid w:val="08514A4D"/>
    <w:rsid w:val="0852279A"/>
    <w:rsid w:val="085307CF"/>
    <w:rsid w:val="085338D1"/>
    <w:rsid w:val="085D7896"/>
    <w:rsid w:val="085F1FF3"/>
    <w:rsid w:val="085F6179"/>
    <w:rsid w:val="08605B1C"/>
    <w:rsid w:val="08620DA6"/>
    <w:rsid w:val="086302C4"/>
    <w:rsid w:val="08657FB0"/>
    <w:rsid w:val="086600CE"/>
    <w:rsid w:val="08696FD3"/>
    <w:rsid w:val="086A3014"/>
    <w:rsid w:val="086A5A5B"/>
    <w:rsid w:val="086B6B84"/>
    <w:rsid w:val="086B6DF8"/>
    <w:rsid w:val="086C5D2B"/>
    <w:rsid w:val="086D17C4"/>
    <w:rsid w:val="086F132F"/>
    <w:rsid w:val="08700477"/>
    <w:rsid w:val="087070C2"/>
    <w:rsid w:val="08715790"/>
    <w:rsid w:val="08721BD7"/>
    <w:rsid w:val="08732C15"/>
    <w:rsid w:val="08782DE5"/>
    <w:rsid w:val="087A5A59"/>
    <w:rsid w:val="087D5055"/>
    <w:rsid w:val="087D7F38"/>
    <w:rsid w:val="087E72F4"/>
    <w:rsid w:val="08800CA2"/>
    <w:rsid w:val="088124B4"/>
    <w:rsid w:val="08833439"/>
    <w:rsid w:val="08843ACE"/>
    <w:rsid w:val="08854B46"/>
    <w:rsid w:val="08856721"/>
    <w:rsid w:val="08866AEF"/>
    <w:rsid w:val="088778C2"/>
    <w:rsid w:val="088807E8"/>
    <w:rsid w:val="088908AE"/>
    <w:rsid w:val="088C32DE"/>
    <w:rsid w:val="088E58DE"/>
    <w:rsid w:val="088F3E47"/>
    <w:rsid w:val="0890750E"/>
    <w:rsid w:val="08937E64"/>
    <w:rsid w:val="08947AAE"/>
    <w:rsid w:val="08995928"/>
    <w:rsid w:val="089D7C92"/>
    <w:rsid w:val="089E0270"/>
    <w:rsid w:val="089E49B5"/>
    <w:rsid w:val="089E4C05"/>
    <w:rsid w:val="089F5A69"/>
    <w:rsid w:val="089F6692"/>
    <w:rsid w:val="08A14E4D"/>
    <w:rsid w:val="08A31EFC"/>
    <w:rsid w:val="08A4094C"/>
    <w:rsid w:val="08A52EE5"/>
    <w:rsid w:val="08A634E3"/>
    <w:rsid w:val="08A71EBD"/>
    <w:rsid w:val="08A74FB5"/>
    <w:rsid w:val="08AA0470"/>
    <w:rsid w:val="08AA38A9"/>
    <w:rsid w:val="08AA6A49"/>
    <w:rsid w:val="08AC404F"/>
    <w:rsid w:val="08AE437E"/>
    <w:rsid w:val="08B2267B"/>
    <w:rsid w:val="08B35707"/>
    <w:rsid w:val="08B446D3"/>
    <w:rsid w:val="08B51B6E"/>
    <w:rsid w:val="08B82BE8"/>
    <w:rsid w:val="08B9747D"/>
    <w:rsid w:val="08BA39DE"/>
    <w:rsid w:val="08BC6132"/>
    <w:rsid w:val="08BF5E5A"/>
    <w:rsid w:val="08C061D6"/>
    <w:rsid w:val="08C1374F"/>
    <w:rsid w:val="08C14847"/>
    <w:rsid w:val="08C15EE6"/>
    <w:rsid w:val="08C1759F"/>
    <w:rsid w:val="08C220FF"/>
    <w:rsid w:val="08C3398B"/>
    <w:rsid w:val="08C3745F"/>
    <w:rsid w:val="08CA2413"/>
    <w:rsid w:val="08CB2A51"/>
    <w:rsid w:val="08CF66BE"/>
    <w:rsid w:val="08D00E36"/>
    <w:rsid w:val="08D02E3D"/>
    <w:rsid w:val="08D04C94"/>
    <w:rsid w:val="08D05FF4"/>
    <w:rsid w:val="08D13B8E"/>
    <w:rsid w:val="08D24750"/>
    <w:rsid w:val="08D66EA5"/>
    <w:rsid w:val="08D90F40"/>
    <w:rsid w:val="08D91CA0"/>
    <w:rsid w:val="08DA5CEA"/>
    <w:rsid w:val="08DC2A7E"/>
    <w:rsid w:val="08DC4A35"/>
    <w:rsid w:val="08DD5E22"/>
    <w:rsid w:val="08DF0952"/>
    <w:rsid w:val="08E04924"/>
    <w:rsid w:val="08E34C4A"/>
    <w:rsid w:val="08E52597"/>
    <w:rsid w:val="08E538FD"/>
    <w:rsid w:val="08E53F6C"/>
    <w:rsid w:val="08E96AB6"/>
    <w:rsid w:val="08EA43A8"/>
    <w:rsid w:val="08EB6C4F"/>
    <w:rsid w:val="08EC3FC8"/>
    <w:rsid w:val="08F16AD0"/>
    <w:rsid w:val="08F26B3C"/>
    <w:rsid w:val="08F34983"/>
    <w:rsid w:val="08F46BAD"/>
    <w:rsid w:val="08F5187C"/>
    <w:rsid w:val="08F70DBA"/>
    <w:rsid w:val="08F746C9"/>
    <w:rsid w:val="08F815B1"/>
    <w:rsid w:val="08F85556"/>
    <w:rsid w:val="08FE3C3A"/>
    <w:rsid w:val="08FF6D07"/>
    <w:rsid w:val="090158ED"/>
    <w:rsid w:val="09017942"/>
    <w:rsid w:val="09051D2D"/>
    <w:rsid w:val="09052D45"/>
    <w:rsid w:val="09071FE5"/>
    <w:rsid w:val="09091E10"/>
    <w:rsid w:val="090A193C"/>
    <w:rsid w:val="090B4153"/>
    <w:rsid w:val="090B7225"/>
    <w:rsid w:val="090C384B"/>
    <w:rsid w:val="090D1474"/>
    <w:rsid w:val="090D70D7"/>
    <w:rsid w:val="090E1E63"/>
    <w:rsid w:val="090E293E"/>
    <w:rsid w:val="090E3E32"/>
    <w:rsid w:val="09122879"/>
    <w:rsid w:val="091268D2"/>
    <w:rsid w:val="09134A23"/>
    <w:rsid w:val="0917123C"/>
    <w:rsid w:val="0918093A"/>
    <w:rsid w:val="091F6610"/>
    <w:rsid w:val="09207D5E"/>
    <w:rsid w:val="09232A5E"/>
    <w:rsid w:val="092403B3"/>
    <w:rsid w:val="09242F59"/>
    <w:rsid w:val="09287EA3"/>
    <w:rsid w:val="092929DC"/>
    <w:rsid w:val="09293C1C"/>
    <w:rsid w:val="092A6FCA"/>
    <w:rsid w:val="092A7704"/>
    <w:rsid w:val="092B34F0"/>
    <w:rsid w:val="092E7514"/>
    <w:rsid w:val="092F0930"/>
    <w:rsid w:val="09317729"/>
    <w:rsid w:val="09320D22"/>
    <w:rsid w:val="09322F99"/>
    <w:rsid w:val="09330730"/>
    <w:rsid w:val="09332B00"/>
    <w:rsid w:val="09342813"/>
    <w:rsid w:val="0934326B"/>
    <w:rsid w:val="09353D5E"/>
    <w:rsid w:val="09376339"/>
    <w:rsid w:val="09382965"/>
    <w:rsid w:val="093966C8"/>
    <w:rsid w:val="093B4980"/>
    <w:rsid w:val="093D2DF0"/>
    <w:rsid w:val="093D369D"/>
    <w:rsid w:val="093E6E30"/>
    <w:rsid w:val="093F6F9B"/>
    <w:rsid w:val="09421AA3"/>
    <w:rsid w:val="09426D80"/>
    <w:rsid w:val="0943018E"/>
    <w:rsid w:val="094630D1"/>
    <w:rsid w:val="09491BC8"/>
    <w:rsid w:val="0949415F"/>
    <w:rsid w:val="094A31F7"/>
    <w:rsid w:val="094C0F83"/>
    <w:rsid w:val="094C3014"/>
    <w:rsid w:val="094C3214"/>
    <w:rsid w:val="094C5C9A"/>
    <w:rsid w:val="094E61B1"/>
    <w:rsid w:val="095348F5"/>
    <w:rsid w:val="09536257"/>
    <w:rsid w:val="09547E63"/>
    <w:rsid w:val="09561141"/>
    <w:rsid w:val="095F463A"/>
    <w:rsid w:val="09600EF2"/>
    <w:rsid w:val="096239C5"/>
    <w:rsid w:val="09625928"/>
    <w:rsid w:val="096322D5"/>
    <w:rsid w:val="096716F9"/>
    <w:rsid w:val="096B20E9"/>
    <w:rsid w:val="096E381F"/>
    <w:rsid w:val="09715A3B"/>
    <w:rsid w:val="097367B6"/>
    <w:rsid w:val="09741A2E"/>
    <w:rsid w:val="097448E1"/>
    <w:rsid w:val="097647DC"/>
    <w:rsid w:val="09782887"/>
    <w:rsid w:val="097F7595"/>
    <w:rsid w:val="09815EC8"/>
    <w:rsid w:val="09822DEF"/>
    <w:rsid w:val="098262F7"/>
    <w:rsid w:val="098346E9"/>
    <w:rsid w:val="098350FE"/>
    <w:rsid w:val="098443A2"/>
    <w:rsid w:val="0986230F"/>
    <w:rsid w:val="098800C7"/>
    <w:rsid w:val="098847C6"/>
    <w:rsid w:val="0989006D"/>
    <w:rsid w:val="098947BC"/>
    <w:rsid w:val="09896468"/>
    <w:rsid w:val="098B2E89"/>
    <w:rsid w:val="098D1274"/>
    <w:rsid w:val="098D2B35"/>
    <w:rsid w:val="098E160A"/>
    <w:rsid w:val="098E67A0"/>
    <w:rsid w:val="098F23DC"/>
    <w:rsid w:val="09911838"/>
    <w:rsid w:val="0991700E"/>
    <w:rsid w:val="0992356F"/>
    <w:rsid w:val="0993176D"/>
    <w:rsid w:val="0994433E"/>
    <w:rsid w:val="09946E26"/>
    <w:rsid w:val="09971531"/>
    <w:rsid w:val="099A4613"/>
    <w:rsid w:val="099A6F9D"/>
    <w:rsid w:val="099D3FEB"/>
    <w:rsid w:val="099E0166"/>
    <w:rsid w:val="099E2019"/>
    <w:rsid w:val="099E54E7"/>
    <w:rsid w:val="099F6A88"/>
    <w:rsid w:val="09A11A04"/>
    <w:rsid w:val="09A17C56"/>
    <w:rsid w:val="09A20643"/>
    <w:rsid w:val="09A235DD"/>
    <w:rsid w:val="09A3752A"/>
    <w:rsid w:val="09A432A2"/>
    <w:rsid w:val="09A72BD7"/>
    <w:rsid w:val="09A7586A"/>
    <w:rsid w:val="09A911B7"/>
    <w:rsid w:val="09A91503"/>
    <w:rsid w:val="09AA30DB"/>
    <w:rsid w:val="09AB648F"/>
    <w:rsid w:val="09B01C47"/>
    <w:rsid w:val="09B54B7D"/>
    <w:rsid w:val="09B63701"/>
    <w:rsid w:val="09B77622"/>
    <w:rsid w:val="09B9098C"/>
    <w:rsid w:val="09BB4D20"/>
    <w:rsid w:val="09BB792D"/>
    <w:rsid w:val="09BF5816"/>
    <w:rsid w:val="09C0213E"/>
    <w:rsid w:val="09C160BB"/>
    <w:rsid w:val="09C27C9B"/>
    <w:rsid w:val="09C46F9D"/>
    <w:rsid w:val="09C5548B"/>
    <w:rsid w:val="09C733B2"/>
    <w:rsid w:val="09C91785"/>
    <w:rsid w:val="09C9404D"/>
    <w:rsid w:val="09CB0154"/>
    <w:rsid w:val="09CB239F"/>
    <w:rsid w:val="09CB51FF"/>
    <w:rsid w:val="09CC7B3F"/>
    <w:rsid w:val="09CD27F9"/>
    <w:rsid w:val="09CD45A7"/>
    <w:rsid w:val="09CD51FC"/>
    <w:rsid w:val="09CE5BD6"/>
    <w:rsid w:val="09CF5252"/>
    <w:rsid w:val="09D04097"/>
    <w:rsid w:val="09D141FA"/>
    <w:rsid w:val="09D15FA7"/>
    <w:rsid w:val="09D26B60"/>
    <w:rsid w:val="09D838A3"/>
    <w:rsid w:val="09D9297D"/>
    <w:rsid w:val="09DA51A9"/>
    <w:rsid w:val="09DB2064"/>
    <w:rsid w:val="09DC2D1F"/>
    <w:rsid w:val="09DC47EA"/>
    <w:rsid w:val="09DF4324"/>
    <w:rsid w:val="09E13254"/>
    <w:rsid w:val="09E202E7"/>
    <w:rsid w:val="09E210B9"/>
    <w:rsid w:val="09E21F3D"/>
    <w:rsid w:val="09E24D22"/>
    <w:rsid w:val="09E4256D"/>
    <w:rsid w:val="09E64FF0"/>
    <w:rsid w:val="09E724F5"/>
    <w:rsid w:val="09E749B0"/>
    <w:rsid w:val="09E76A8D"/>
    <w:rsid w:val="09EA36AC"/>
    <w:rsid w:val="09EB6A51"/>
    <w:rsid w:val="09EE49F1"/>
    <w:rsid w:val="09EE6A30"/>
    <w:rsid w:val="09EF5667"/>
    <w:rsid w:val="09F314A6"/>
    <w:rsid w:val="09F35113"/>
    <w:rsid w:val="09F47D86"/>
    <w:rsid w:val="09F50A27"/>
    <w:rsid w:val="09F74F08"/>
    <w:rsid w:val="09F83520"/>
    <w:rsid w:val="09F93EE4"/>
    <w:rsid w:val="09FC13FC"/>
    <w:rsid w:val="0A014E18"/>
    <w:rsid w:val="0A024166"/>
    <w:rsid w:val="0A054989"/>
    <w:rsid w:val="0A0631CF"/>
    <w:rsid w:val="0A064265"/>
    <w:rsid w:val="0A065223"/>
    <w:rsid w:val="0A067AB9"/>
    <w:rsid w:val="0A075F28"/>
    <w:rsid w:val="0A077AB5"/>
    <w:rsid w:val="0A09784B"/>
    <w:rsid w:val="0A0A560F"/>
    <w:rsid w:val="0A0C31FE"/>
    <w:rsid w:val="0A0C6D52"/>
    <w:rsid w:val="0A0D36AC"/>
    <w:rsid w:val="0A0F067F"/>
    <w:rsid w:val="0A0F4BBF"/>
    <w:rsid w:val="0A0F7117"/>
    <w:rsid w:val="0A1042DF"/>
    <w:rsid w:val="0A115C0C"/>
    <w:rsid w:val="0A132A14"/>
    <w:rsid w:val="0A1332DC"/>
    <w:rsid w:val="0A163537"/>
    <w:rsid w:val="0A171CC6"/>
    <w:rsid w:val="0A172A13"/>
    <w:rsid w:val="0A19412F"/>
    <w:rsid w:val="0A19653A"/>
    <w:rsid w:val="0A1A31D5"/>
    <w:rsid w:val="0A1B452E"/>
    <w:rsid w:val="0A1D5CB7"/>
    <w:rsid w:val="0A1E7D15"/>
    <w:rsid w:val="0A21065F"/>
    <w:rsid w:val="0A211347"/>
    <w:rsid w:val="0A221ABF"/>
    <w:rsid w:val="0A2327C3"/>
    <w:rsid w:val="0A241EF0"/>
    <w:rsid w:val="0A242249"/>
    <w:rsid w:val="0A252635"/>
    <w:rsid w:val="0A29274F"/>
    <w:rsid w:val="0A2977D2"/>
    <w:rsid w:val="0A2B0BCE"/>
    <w:rsid w:val="0A2C39C3"/>
    <w:rsid w:val="0A2E1C86"/>
    <w:rsid w:val="0A2F2070"/>
    <w:rsid w:val="0A302FB2"/>
    <w:rsid w:val="0A326B00"/>
    <w:rsid w:val="0A327D84"/>
    <w:rsid w:val="0A3401CD"/>
    <w:rsid w:val="0A357100"/>
    <w:rsid w:val="0A367498"/>
    <w:rsid w:val="0A3A676B"/>
    <w:rsid w:val="0A3B5C1E"/>
    <w:rsid w:val="0A400B36"/>
    <w:rsid w:val="0A40560F"/>
    <w:rsid w:val="0A411057"/>
    <w:rsid w:val="0A4211F7"/>
    <w:rsid w:val="0A426D43"/>
    <w:rsid w:val="0A435536"/>
    <w:rsid w:val="0A441A77"/>
    <w:rsid w:val="0A444F23"/>
    <w:rsid w:val="0A457726"/>
    <w:rsid w:val="0A47615A"/>
    <w:rsid w:val="0A491863"/>
    <w:rsid w:val="0A4A1BDB"/>
    <w:rsid w:val="0A4B01E4"/>
    <w:rsid w:val="0A4B5FD5"/>
    <w:rsid w:val="0A4C0BBE"/>
    <w:rsid w:val="0A4E6D3E"/>
    <w:rsid w:val="0A501306"/>
    <w:rsid w:val="0A503CA8"/>
    <w:rsid w:val="0A503DD0"/>
    <w:rsid w:val="0A514034"/>
    <w:rsid w:val="0A560A40"/>
    <w:rsid w:val="0A566468"/>
    <w:rsid w:val="0A56652A"/>
    <w:rsid w:val="0A5922DF"/>
    <w:rsid w:val="0A59596D"/>
    <w:rsid w:val="0A5A03E0"/>
    <w:rsid w:val="0A5A1C9F"/>
    <w:rsid w:val="0A5B1BB3"/>
    <w:rsid w:val="0A5B4846"/>
    <w:rsid w:val="0A5D23D3"/>
    <w:rsid w:val="0A5E3669"/>
    <w:rsid w:val="0A603F05"/>
    <w:rsid w:val="0A611246"/>
    <w:rsid w:val="0A636DC9"/>
    <w:rsid w:val="0A690774"/>
    <w:rsid w:val="0A69091E"/>
    <w:rsid w:val="0A6A08A8"/>
    <w:rsid w:val="0A6B0849"/>
    <w:rsid w:val="0A6C2012"/>
    <w:rsid w:val="0A6E1B29"/>
    <w:rsid w:val="0A6F49CE"/>
    <w:rsid w:val="0A703092"/>
    <w:rsid w:val="0A71203A"/>
    <w:rsid w:val="0A7153CD"/>
    <w:rsid w:val="0A71587A"/>
    <w:rsid w:val="0A726FD7"/>
    <w:rsid w:val="0A7317AB"/>
    <w:rsid w:val="0A7525CE"/>
    <w:rsid w:val="0A764C3F"/>
    <w:rsid w:val="0A791E76"/>
    <w:rsid w:val="0A7B4E27"/>
    <w:rsid w:val="0A7D4664"/>
    <w:rsid w:val="0A7F4982"/>
    <w:rsid w:val="0A7F7F97"/>
    <w:rsid w:val="0A80786B"/>
    <w:rsid w:val="0A8119D2"/>
    <w:rsid w:val="0A81257F"/>
    <w:rsid w:val="0A830C57"/>
    <w:rsid w:val="0A872744"/>
    <w:rsid w:val="0A87740F"/>
    <w:rsid w:val="0A891A1D"/>
    <w:rsid w:val="0A8A2519"/>
    <w:rsid w:val="0A8C7610"/>
    <w:rsid w:val="0A8E1F88"/>
    <w:rsid w:val="0A8E75E8"/>
    <w:rsid w:val="0A8F6A7D"/>
    <w:rsid w:val="0A8F7449"/>
    <w:rsid w:val="0A9124BE"/>
    <w:rsid w:val="0A913C58"/>
    <w:rsid w:val="0A935B65"/>
    <w:rsid w:val="0A9379AB"/>
    <w:rsid w:val="0A941949"/>
    <w:rsid w:val="0A943849"/>
    <w:rsid w:val="0A944664"/>
    <w:rsid w:val="0A960D5F"/>
    <w:rsid w:val="0A97309B"/>
    <w:rsid w:val="0A986AB0"/>
    <w:rsid w:val="0A9902F7"/>
    <w:rsid w:val="0A9A3A54"/>
    <w:rsid w:val="0A9A5DF0"/>
    <w:rsid w:val="0A9B6453"/>
    <w:rsid w:val="0A9E4204"/>
    <w:rsid w:val="0AA20BE6"/>
    <w:rsid w:val="0AA21677"/>
    <w:rsid w:val="0AA25BB5"/>
    <w:rsid w:val="0AA31575"/>
    <w:rsid w:val="0AA3355A"/>
    <w:rsid w:val="0AA34D2A"/>
    <w:rsid w:val="0AA4401C"/>
    <w:rsid w:val="0AA70532"/>
    <w:rsid w:val="0AA7304A"/>
    <w:rsid w:val="0AA749EE"/>
    <w:rsid w:val="0AA837FC"/>
    <w:rsid w:val="0AA93BC6"/>
    <w:rsid w:val="0AAA0B60"/>
    <w:rsid w:val="0AAB3B17"/>
    <w:rsid w:val="0AAC09FE"/>
    <w:rsid w:val="0AAC6804"/>
    <w:rsid w:val="0AB01253"/>
    <w:rsid w:val="0AB01F89"/>
    <w:rsid w:val="0AB10089"/>
    <w:rsid w:val="0AB204F6"/>
    <w:rsid w:val="0AB21AE6"/>
    <w:rsid w:val="0AB33834"/>
    <w:rsid w:val="0AB34B4F"/>
    <w:rsid w:val="0AB56163"/>
    <w:rsid w:val="0AB848FF"/>
    <w:rsid w:val="0ABB594E"/>
    <w:rsid w:val="0ABD461B"/>
    <w:rsid w:val="0ABE3350"/>
    <w:rsid w:val="0ABF0394"/>
    <w:rsid w:val="0AC1722F"/>
    <w:rsid w:val="0AC21BFA"/>
    <w:rsid w:val="0AC37FD6"/>
    <w:rsid w:val="0AC42F78"/>
    <w:rsid w:val="0AC4770A"/>
    <w:rsid w:val="0AC53B54"/>
    <w:rsid w:val="0AC543BB"/>
    <w:rsid w:val="0AC56568"/>
    <w:rsid w:val="0AC704C2"/>
    <w:rsid w:val="0AC81A51"/>
    <w:rsid w:val="0AC87495"/>
    <w:rsid w:val="0AC97464"/>
    <w:rsid w:val="0ACB6CD0"/>
    <w:rsid w:val="0ACE6829"/>
    <w:rsid w:val="0AD02E89"/>
    <w:rsid w:val="0AD07617"/>
    <w:rsid w:val="0AD1695A"/>
    <w:rsid w:val="0AD21C8E"/>
    <w:rsid w:val="0AD32091"/>
    <w:rsid w:val="0AD430E7"/>
    <w:rsid w:val="0AD5617B"/>
    <w:rsid w:val="0AD77898"/>
    <w:rsid w:val="0AD92BD5"/>
    <w:rsid w:val="0AD9782E"/>
    <w:rsid w:val="0ADA2B09"/>
    <w:rsid w:val="0ADB0F46"/>
    <w:rsid w:val="0ADD60A7"/>
    <w:rsid w:val="0ADE54B0"/>
    <w:rsid w:val="0ADF4592"/>
    <w:rsid w:val="0AE01989"/>
    <w:rsid w:val="0AE416F7"/>
    <w:rsid w:val="0AE60C89"/>
    <w:rsid w:val="0AE744DD"/>
    <w:rsid w:val="0AEF67DE"/>
    <w:rsid w:val="0AF00BBB"/>
    <w:rsid w:val="0AF05081"/>
    <w:rsid w:val="0AF241D9"/>
    <w:rsid w:val="0AF3003D"/>
    <w:rsid w:val="0AF3429D"/>
    <w:rsid w:val="0AF52028"/>
    <w:rsid w:val="0AF55D55"/>
    <w:rsid w:val="0AF70675"/>
    <w:rsid w:val="0AF8194D"/>
    <w:rsid w:val="0AF82F13"/>
    <w:rsid w:val="0AF93271"/>
    <w:rsid w:val="0AFB036F"/>
    <w:rsid w:val="0AFB1651"/>
    <w:rsid w:val="0AFC04FE"/>
    <w:rsid w:val="0AFD5647"/>
    <w:rsid w:val="0AFD5A51"/>
    <w:rsid w:val="0AFF59C8"/>
    <w:rsid w:val="0B001410"/>
    <w:rsid w:val="0B0038A4"/>
    <w:rsid w:val="0B0047FF"/>
    <w:rsid w:val="0B023CE4"/>
    <w:rsid w:val="0B027F03"/>
    <w:rsid w:val="0B043FF8"/>
    <w:rsid w:val="0B097861"/>
    <w:rsid w:val="0B0A1F19"/>
    <w:rsid w:val="0B0A3E9B"/>
    <w:rsid w:val="0B0C0EE4"/>
    <w:rsid w:val="0B122B65"/>
    <w:rsid w:val="0B150494"/>
    <w:rsid w:val="0B156B34"/>
    <w:rsid w:val="0B166E98"/>
    <w:rsid w:val="0B174DA1"/>
    <w:rsid w:val="0B1840EE"/>
    <w:rsid w:val="0B1B1342"/>
    <w:rsid w:val="0B1C5CF7"/>
    <w:rsid w:val="0B1D749A"/>
    <w:rsid w:val="0B1E0866"/>
    <w:rsid w:val="0B1F032B"/>
    <w:rsid w:val="0B214CA2"/>
    <w:rsid w:val="0B216C1D"/>
    <w:rsid w:val="0B235E1D"/>
    <w:rsid w:val="0B272F37"/>
    <w:rsid w:val="0B2974E7"/>
    <w:rsid w:val="0B2E0559"/>
    <w:rsid w:val="0B2E0BF8"/>
    <w:rsid w:val="0B2E600C"/>
    <w:rsid w:val="0B2E6621"/>
    <w:rsid w:val="0B2F051F"/>
    <w:rsid w:val="0B30510E"/>
    <w:rsid w:val="0B313EB0"/>
    <w:rsid w:val="0B321E64"/>
    <w:rsid w:val="0B3271AC"/>
    <w:rsid w:val="0B331706"/>
    <w:rsid w:val="0B353124"/>
    <w:rsid w:val="0B35544D"/>
    <w:rsid w:val="0B3705B4"/>
    <w:rsid w:val="0B3705B6"/>
    <w:rsid w:val="0B3D3657"/>
    <w:rsid w:val="0B3D5F54"/>
    <w:rsid w:val="0B3E28E6"/>
    <w:rsid w:val="0B3F11E8"/>
    <w:rsid w:val="0B3F3177"/>
    <w:rsid w:val="0B41469C"/>
    <w:rsid w:val="0B4219CA"/>
    <w:rsid w:val="0B421A32"/>
    <w:rsid w:val="0B42435B"/>
    <w:rsid w:val="0B424B21"/>
    <w:rsid w:val="0B434453"/>
    <w:rsid w:val="0B4444C3"/>
    <w:rsid w:val="0B451F39"/>
    <w:rsid w:val="0B454212"/>
    <w:rsid w:val="0B457F3A"/>
    <w:rsid w:val="0B464CB9"/>
    <w:rsid w:val="0B47346A"/>
    <w:rsid w:val="0B48071F"/>
    <w:rsid w:val="0B500328"/>
    <w:rsid w:val="0B5026A3"/>
    <w:rsid w:val="0B5412A5"/>
    <w:rsid w:val="0B5656C7"/>
    <w:rsid w:val="0B582596"/>
    <w:rsid w:val="0B5A0C8F"/>
    <w:rsid w:val="0B5B0216"/>
    <w:rsid w:val="0B5C1160"/>
    <w:rsid w:val="0B5D07EF"/>
    <w:rsid w:val="0B5D7BAD"/>
    <w:rsid w:val="0B5F21FF"/>
    <w:rsid w:val="0B61162E"/>
    <w:rsid w:val="0B623357"/>
    <w:rsid w:val="0B65013A"/>
    <w:rsid w:val="0B650A83"/>
    <w:rsid w:val="0B6572CB"/>
    <w:rsid w:val="0B6900CF"/>
    <w:rsid w:val="0B6D36D4"/>
    <w:rsid w:val="0B6D6754"/>
    <w:rsid w:val="0B6E1EE8"/>
    <w:rsid w:val="0B6E2B33"/>
    <w:rsid w:val="0B6F2659"/>
    <w:rsid w:val="0B704D3B"/>
    <w:rsid w:val="0B753148"/>
    <w:rsid w:val="0B7A048B"/>
    <w:rsid w:val="0B7A2C7E"/>
    <w:rsid w:val="0B7A42BB"/>
    <w:rsid w:val="0B7B0236"/>
    <w:rsid w:val="0B7B7B9F"/>
    <w:rsid w:val="0B7C04AD"/>
    <w:rsid w:val="0B7C23A9"/>
    <w:rsid w:val="0B811296"/>
    <w:rsid w:val="0B8140D0"/>
    <w:rsid w:val="0B862E15"/>
    <w:rsid w:val="0B870B9C"/>
    <w:rsid w:val="0B871B3A"/>
    <w:rsid w:val="0B874FCA"/>
    <w:rsid w:val="0B876D80"/>
    <w:rsid w:val="0B8B2519"/>
    <w:rsid w:val="0B8C19E6"/>
    <w:rsid w:val="0B8C1CD4"/>
    <w:rsid w:val="0B8D2378"/>
    <w:rsid w:val="0B8F513F"/>
    <w:rsid w:val="0B942EB9"/>
    <w:rsid w:val="0B97053B"/>
    <w:rsid w:val="0B970966"/>
    <w:rsid w:val="0B977EBE"/>
    <w:rsid w:val="0B987CF2"/>
    <w:rsid w:val="0B9A2BAF"/>
    <w:rsid w:val="0B9A6334"/>
    <w:rsid w:val="0B9E10CF"/>
    <w:rsid w:val="0B9E4CA5"/>
    <w:rsid w:val="0B9F7C18"/>
    <w:rsid w:val="0BA24760"/>
    <w:rsid w:val="0BA3464C"/>
    <w:rsid w:val="0BA37CB5"/>
    <w:rsid w:val="0BA418B6"/>
    <w:rsid w:val="0BA53447"/>
    <w:rsid w:val="0BA556C1"/>
    <w:rsid w:val="0BA852CC"/>
    <w:rsid w:val="0BA94BCE"/>
    <w:rsid w:val="0BAA580B"/>
    <w:rsid w:val="0BAA6BC2"/>
    <w:rsid w:val="0BAC1D3B"/>
    <w:rsid w:val="0BAD28E2"/>
    <w:rsid w:val="0BAD47AA"/>
    <w:rsid w:val="0BAE21B6"/>
    <w:rsid w:val="0BAE7D35"/>
    <w:rsid w:val="0BAF40E2"/>
    <w:rsid w:val="0BB3710F"/>
    <w:rsid w:val="0BB451EB"/>
    <w:rsid w:val="0BB51797"/>
    <w:rsid w:val="0BB670AB"/>
    <w:rsid w:val="0BBC0B47"/>
    <w:rsid w:val="0BBD5B3A"/>
    <w:rsid w:val="0BBF46E0"/>
    <w:rsid w:val="0BBF6A8A"/>
    <w:rsid w:val="0BC35F5A"/>
    <w:rsid w:val="0BC5423B"/>
    <w:rsid w:val="0BC571F7"/>
    <w:rsid w:val="0BC656DA"/>
    <w:rsid w:val="0BC8787C"/>
    <w:rsid w:val="0BC914E5"/>
    <w:rsid w:val="0BC91F67"/>
    <w:rsid w:val="0BC9536E"/>
    <w:rsid w:val="0BC97DC3"/>
    <w:rsid w:val="0BCA03D2"/>
    <w:rsid w:val="0BCA36F1"/>
    <w:rsid w:val="0BCB4DE7"/>
    <w:rsid w:val="0BCB50BD"/>
    <w:rsid w:val="0BCD7789"/>
    <w:rsid w:val="0BD01D90"/>
    <w:rsid w:val="0BD06FE7"/>
    <w:rsid w:val="0BD12D3A"/>
    <w:rsid w:val="0BD24EDA"/>
    <w:rsid w:val="0BD53A14"/>
    <w:rsid w:val="0BD54DC8"/>
    <w:rsid w:val="0BD54F01"/>
    <w:rsid w:val="0BDA016E"/>
    <w:rsid w:val="0BDC044C"/>
    <w:rsid w:val="0BDC2C10"/>
    <w:rsid w:val="0BDD5E93"/>
    <w:rsid w:val="0BDE1130"/>
    <w:rsid w:val="0BDF16EB"/>
    <w:rsid w:val="0BE0524B"/>
    <w:rsid w:val="0BE10DBD"/>
    <w:rsid w:val="0BE20DF5"/>
    <w:rsid w:val="0BE46B89"/>
    <w:rsid w:val="0BE82C18"/>
    <w:rsid w:val="0BEA1C11"/>
    <w:rsid w:val="0BEA495A"/>
    <w:rsid w:val="0BEA7EB0"/>
    <w:rsid w:val="0BEB2581"/>
    <w:rsid w:val="0BEC07AD"/>
    <w:rsid w:val="0BED15C5"/>
    <w:rsid w:val="0BED7182"/>
    <w:rsid w:val="0BF16C73"/>
    <w:rsid w:val="0BF1737C"/>
    <w:rsid w:val="0BF21B06"/>
    <w:rsid w:val="0BF27F18"/>
    <w:rsid w:val="0BF30C24"/>
    <w:rsid w:val="0BF3122E"/>
    <w:rsid w:val="0BF35162"/>
    <w:rsid w:val="0BF445A2"/>
    <w:rsid w:val="0BF766D7"/>
    <w:rsid w:val="0BF76A13"/>
    <w:rsid w:val="0BF81730"/>
    <w:rsid w:val="0BF9644B"/>
    <w:rsid w:val="0BFA53FB"/>
    <w:rsid w:val="0BFC070D"/>
    <w:rsid w:val="0BFC7985"/>
    <w:rsid w:val="0BFE454F"/>
    <w:rsid w:val="0BFE5DBC"/>
    <w:rsid w:val="0BFF0D01"/>
    <w:rsid w:val="0C0369A6"/>
    <w:rsid w:val="0C043D49"/>
    <w:rsid w:val="0C0633F5"/>
    <w:rsid w:val="0C076A39"/>
    <w:rsid w:val="0C0A15C5"/>
    <w:rsid w:val="0C0A7D34"/>
    <w:rsid w:val="0C0C11E9"/>
    <w:rsid w:val="0C0C2D55"/>
    <w:rsid w:val="0C0C5A33"/>
    <w:rsid w:val="0C0F137F"/>
    <w:rsid w:val="0C0F3B47"/>
    <w:rsid w:val="0C1030EC"/>
    <w:rsid w:val="0C106A42"/>
    <w:rsid w:val="0C12457C"/>
    <w:rsid w:val="0C1323B5"/>
    <w:rsid w:val="0C136734"/>
    <w:rsid w:val="0C137F65"/>
    <w:rsid w:val="0C147064"/>
    <w:rsid w:val="0C154D9D"/>
    <w:rsid w:val="0C165A3C"/>
    <w:rsid w:val="0C186688"/>
    <w:rsid w:val="0C1F46C5"/>
    <w:rsid w:val="0C225184"/>
    <w:rsid w:val="0C254FF9"/>
    <w:rsid w:val="0C2801FC"/>
    <w:rsid w:val="0C290055"/>
    <w:rsid w:val="0C290057"/>
    <w:rsid w:val="0C294950"/>
    <w:rsid w:val="0C2B6CCB"/>
    <w:rsid w:val="0C2F3B02"/>
    <w:rsid w:val="0C300E1D"/>
    <w:rsid w:val="0C3054DE"/>
    <w:rsid w:val="0C30706F"/>
    <w:rsid w:val="0C331479"/>
    <w:rsid w:val="0C336BC5"/>
    <w:rsid w:val="0C34591F"/>
    <w:rsid w:val="0C3770AC"/>
    <w:rsid w:val="0C39301D"/>
    <w:rsid w:val="0C395B75"/>
    <w:rsid w:val="0C3A34C2"/>
    <w:rsid w:val="0C3A3BD9"/>
    <w:rsid w:val="0C3A451F"/>
    <w:rsid w:val="0C3A55A3"/>
    <w:rsid w:val="0C3A64F9"/>
    <w:rsid w:val="0C3A7CAF"/>
    <w:rsid w:val="0C3B197B"/>
    <w:rsid w:val="0C3C60D7"/>
    <w:rsid w:val="0C430951"/>
    <w:rsid w:val="0C434306"/>
    <w:rsid w:val="0C435BE3"/>
    <w:rsid w:val="0C4613F0"/>
    <w:rsid w:val="0C4635C9"/>
    <w:rsid w:val="0C484879"/>
    <w:rsid w:val="0C484BFE"/>
    <w:rsid w:val="0C486BA8"/>
    <w:rsid w:val="0C4D19CF"/>
    <w:rsid w:val="0C4F0721"/>
    <w:rsid w:val="0C513200"/>
    <w:rsid w:val="0C51597A"/>
    <w:rsid w:val="0C5467D2"/>
    <w:rsid w:val="0C564D1B"/>
    <w:rsid w:val="0C566344"/>
    <w:rsid w:val="0C5944A0"/>
    <w:rsid w:val="0C594C52"/>
    <w:rsid w:val="0C5965C6"/>
    <w:rsid w:val="0C597650"/>
    <w:rsid w:val="0C5B2772"/>
    <w:rsid w:val="0C5D7E11"/>
    <w:rsid w:val="0C5E2B63"/>
    <w:rsid w:val="0C5E67B3"/>
    <w:rsid w:val="0C606212"/>
    <w:rsid w:val="0C614E1C"/>
    <w:rsid w:val="0C640F8A"/>
    <w:rsid w:val="0C6447D8"/>
    <w:rsid w:val="0C664BAB"/>
    <w:rsid w:val="0C67772C"/>
    <w:rsid w:val="0C677FFE"/>
    <w:rsid w:val="0C680C3D"/>
    <w:rsid w:val="0C6A5BC4"/>
    <w:rsid w:val="0C6C5491"/>
    <w:rsid w:val="0C6D1833"/>
    <w:rsid w:val="0C6D25DC"/>
    <w:rsid w:val="0C6F381A"/>
    <w:rsid w:val="0C7233A0"/>
    <w:rsid w:val="0C757885"/>
    <w:rsid w:val="0C764728"/>
    <w:rsid w:val="0C774C9E"/>
    <w:rsid w:val="0C797E33"/>
    <w:rsid w:val="0C7D0506"/>
    <w:rsid w:val="0C7D0963"/>
    <w:rsid w:val="0C7E7B92"/>
    <w:rsid w:val="0C877601"/>
    <w:rsid w:val="0C8D240C"/>
    <w:rsid w:val="0C8D7FA0"/>
    <w:rsid w:val="0C8E7720"/>
    <w:rsid w:val="0C8F29F7"/>
    <w:rsid w:val="0C8F3D44"/>
    <w:rsid w:val="0C904A4C"/>
    <w:rsid w:val="0C91291C"/>
    <w:rsid w:val="0C9154AF"/>
    <w:rsid w:val="0C9331D8"/>
    <w:rsid w:val="0C94037E"/>
    <w:rsid w:val="0C9413AC"/>
    <w:rsid w:val="0C952ECF"/>
    <w:rsid w:val="0C9726F6"/>
    <w:rsid w:val="0C9A1952"/>
    <w:rsid w:val="0C9A3709"/>
    <w:rsid w:val="0C9A4764"/>
    <w:rsid w:val="0CA1110A"/>
    <w:rsid w:val="0CA201C6"/>
    <w:rsid w:val="0CA23AC9"/>
    <w:rsid w:val="0CA31B30"/>
    <w:rsid w:val="0CA43CE5"/>
    <w:rsid w:val="0CA535B9"/>
    <w:rsid w:val="0CA54275"/>
    <w:rsid w:val="0CA714E6"/>
    <w:rsid w:val="0CA737D5"/>
    <w:rsid w:val="0CA91E50"/>
    <w:rsid w:val="0CA927C6"/>
    <w:rsid w:val="0CAA4643"/>
    <w:rsid w:val="0CAA6E21"/>
    <w:rsid w:val="0CAD00D4"/>
    <w:rsid w:val="0CAD0AD3"/>
    <w:rsid w:val="0CAE3A21"/>
    <w:rsid w:val="0CAE3A92"/>
    <w:rsid w:val="0CAE5678"/>
    <w:rsid w:val="0CAF4438"/>
    <w:rsid w:val="0CAF48B9"/>
    <w:rsid w:val="0CB06710"/>
    <w:rsid w:val="0CB13817"/>
    <w:rsid w:val="0CB35867"/>
    <w:rsid w:val="0CB4032A"/>
    <w:rsid w:val="0CB50697"/>
    <w:rsid w:val="0CB61CE0"/>
    <w:rsid w:val="0CBC1846"/>
    <w:rsid w:val="0CBC2253"/>
    <w:rsid w:val="0CBF0B1F"/>
    <w:rsid w:val="0CBF3903"/>
    <w:rsid w:val="0CC06FAA"/>
    <w:rsid w:val="0CC12600"/>
    <w:rsid w:val="0CC244A5"/>
    <w:rsid w:val="0CC30202"/>
    <w:rsid w:val="0CC33062"/>
    <w:rsid w:val="0CC57C7C"/>
    <w:rsid w:val="0CC617AA"/>
    <w:rsid w:val="0CC7345C"/>
    <w:rsid w:val="0CCA74C4"/>
    <w:rsid w:val="0CCC4FEA"/>
    <w:rsid w:val="0CCE0D62"/>
    <w:rsid w:val="0CCF41A1"/>
    <w:rsid w:val="0CCF42E5"/>
    <w:rsid w:val="0CD225B1"/>
    <w:rsid w:val="0CD2509D"/>
    <w:rsid w:val="0CD345CA"/>
    <w:rsid w:val="0CD41D2E"/>
    <w:rsid w:val="0CD42859"/>
    <w:rsid w:val="0CD51496"/>
    <w:rsid w:val="0CD60C01"/>
    <w:rsid w:val="0CD72091"/>
    <w:rsid w:val="0CD81BE1"/>
    <w:rsid w:val="0CD833DF"/>
    <w:rsid w:val="0CD93263"/>
    <w:rsid w:val="0CDC0039"/>
    <w:rsid w:val="0CDC10D1"/>
    <w:rsid w:val="0CDD44CC"/>
    <w:rsid w:val="0CE045F1"/>
    <w:rsid w:val="0CE522B0"/>
    <w:rsid w:val="0CE84960"/>
    <w:rsid w:val="0CE8632A"/>
    <w:rsid w:val="0CEA210F"/>
    <w:rsid w:val="0CEA36C2"/>
    <w:rsid w:val="0CEC4E09"/>
    <w:rsid w:val="0CEE1268"/>
    <w:rsid w:val="0CEE6D0E"/>
    <w:rsid w:val="0CEF17A8"/>
    <w:rsid w:val="0CF161D1"/>
    <w:rsid w:val="0CF52ACC"/>
    <w:rsid w:val="0CF72B0B"/>
    <w:rsid w:val="0CF76D88"/>
    <w:rsid w:val="0CF84FBA"/>
    <w:rsid w:val="0CF94C54"/>
    <w:rsid w:val="0CFB1126"/>
    <w:rsid w:val="0CFB4E8A"/>
    <w:rsid w:val="0CFB58CF"/>
    <w:rsid w:val="0CFB7FE1"/>
    <w:rsid w:val="0CFC4312"/>
    <w:rsid w:val="0CFD1647"/>
    <w:rsid w:val="0CFD7C13"/>
    <w:rsid w:val="0D020B24"/>
    <w:rsid w:val="0D036EF0"/>
    <w:rsid w:val="0D0429D6"/>
    <w:rsid w:val="0D0563E8"/>
    <w:rsid w:val="0D075483"/>
    <w:rsid w:val="0D0771B0"/>
    <w:rsid w:val="0D081AF3"/>
    <w:rsid w:val="0D084CFA"/>
    <w:rsid w:val="0D09295F"/>
    <w:rsid w:val="0D097FEC"/>
    <w:rsid w:val="0D0A78C0"/>
    <w:rsid w:val="0D0C551D"/>
    <w:rsid w:val="0D0C66FA"/>
    <w:rsid w:val="0D0F5DEC"/>
    <w:rsid w:val="0D122CD5"/>
    <w:rsid w:val="0D14050F"/>
    <w:rsid w:val="0D15598B"/>
    <w:rsid w:val="0D157F91"/>
    <w:rsid w:val="0D173444"/>
    <w:rsid w:val="0D18022F"/>
    <w:rsid w:val="0D1B0B95"/>
    <w:rsid w:val="0D1C09E7"/>
    <w:rsid w:val="0D1D5951"/>
    <w:rsid w:val="0D1F3A87"/>
    <w:rsid w:val="0D20252C"/>
    <w:rsid w:val="0D205C25"/>
    <w:rsid w:val="0D2064E3"/>
    <w:rsid w:val="0D217837"/>
    <w:rsid w:val="0D22136D"/>
    <w:rsid w:val="0D22265C"/>
    <w:rsid w:val="0D224637"/>
    <w:rsid w:val="0D22719E"/>
    <w:rsid w:val="0D232B6A"/>
    <w:rsid w:val="0D2400E2"/>
    <w:rsid w:val="0D241758"/>
    <w:rsid w:val="0D241F7B"/>
    <w:rsid w:val="0D247560"/>
    <w:rsid w:val="0D26352C"/>
    <w:rsid w:val="0D276247"/>
    <w:rsid w:val="0D29523F"/>
    <w:rsid w:val="0D2A1D10"/>
    <w:rsid w:val="0D2A4B0B"/>
    <w:rsid w:val="0D2C4E01"/>
    <w:rsid w:val="0D2E2E46"/>
    <w:rsid w:val="0D2F1A54"/>
    <w:rsid w:val="0D2F406A"/>
    <w:rsid w:val="0D3122B2"/>
    <w:rsid w:val="0D354F8E"/>
    <w:rsid w:val="0D35615E"/>
    <w:rsid w:val="0D365267"/>
    <w:rsid w:val="0D37439C"/>
    <w:rsid w:val="0D382DAF"/>
    <w:rsid w:val="0D39494A"/>
    <w:rsid w:val="0D3B7703"/>
    <w:rsid w:val="0D40353A"/>
    <w:rsid w:val="0D416B79"/>
    <w:rsid w:val="0D426987"/>
    <w:rsid w:val="0D452282"/>
    <w:rsid w:val="0D453B68"/>
    <w:rsid w:val="0D460100"/>
    <w:rsid w:val="0D4A5F0F"/>
    <w:rsid w:val="0D4A6974"/>
    <w:rsid w:val="0D4B06E3"/>
    <w:rsid w:val="0D4B5F71"/>
    <w:rsid w:val="0D4C299F"/>
    <w:rsid w:val="0D4C76F8"/>
    <w:rsid w:val="0D4D0A14"/>
    <w:rsid w:val="0D4D0D34"/>
    <w:rsid w:val="0D4E1EA3"/>
    <w:rsid w:val="0D4F7805"/>
    <w:rsid w:val="0D502A2B"/>
    <w:rsid w:val="0D5211B1"/>
    <w:rsid w:val="0D521E90"/>
    <w:rsid w:val="0D5449FA"/>
    <w:rsid w:val="0D5837BD"/>
    <w:rsid w:val="0D594EFA"/>
    <w:rsid w:val="0D596A97"/>
    <w:rsid w:val="0D5A25F6"/>
    <w:rsid w:val="0D5B0203"/>
    <w:rsid w:val="0D5C1F2E"/>
    <w:rsid w:val="0D5D70E8"/>
    <w:rsid w:val="0D5F653F"/>
    <w:rsid w:val="0D6436EA"/>
    <w:rsid w:val="0D671A3F"/>
    <w:rsid w:val="0D6B035F"/>
    <w:rsid w:val="0D6C2329"/>
    <w:rsid w:val="0D6E084A"/>
    <w:rsid w:val="0D6E43B9"/>
    <w:rsid w:val="0D6F6E94"/>
    <w:rsid w:val="0D7131FE"/>
    <w:rsid w:val="0D7743A4"/>
    <w:rsid w:val="0D786F20"/>
    <w:rsid w:val="0D7D3AFE"/>
    <w:rsid w:val="0D7D62E4"/>
    <w:rsid w:val="0D7E411E"/>
    <w:rsid w:val="0D7F1C64"/>
    <w:rsid w:val="0D887163"/>
    <w:rsid w:val="0D894C75"/>
    <w:rsid w:val="0D8A7C21"/>
    <w:rsid w:val="0D8B0A48"/>
    <w:rsid w:val="0D8D47D8"/>
    <w:rsid w:val="0D8E44C9"/>
    <w:rsid w:val="0D8F2EAB"/>
    <w:rsid w:val="0D92306B"/>
    <w:rsid w:val="0D951F34"/>
    <w:rsid w:val="0D955F28"/>
    <w:rsid w:val="0D970D47"/>
    <w:rsid w:val="0D9762E5"/>
    <w:rsid w:val="0D987AAB"/>
    <w:rsid w:val="0D991BBE"/>
    <w:rsid w:val="0D992163"/>
    <w:rsid w:val="0D9A3D05"/>
    <w:rsid w:val="0D9D69B9"/>
    <w:rsid w:val="0D9F0B4A"/>
    <w:rsid w:val="0D9F55FD"/>
    <w:rsid w:val="0DA00598"/>
    <w:rsid w:val="0DA06824"/>
    <w:rsid w:val="0DA10224"/>
    <w:rsid w:val="0DA149BA"/>
    <w:rsid w:val="0DA43764"/>
    <w:rsid w:val="0DA43CEA"/>
    <w:rsid w:val="0DA47B1D"/>
    <w:rsid w:val="0DA67735"/>
    <w:rsid w:val="0DA827B3"/>
    <w:rsid w:val="0DAA1468"/>
    <w:rsid w:val="0DAD171B"/>
    <w:rsid w:val="0DAE42C4"/>
    <w:rsid w:val="0DAF4F60"/>
    <w:rsid w:val="0DB066DE"/>
    <w:rsid w:val="0DB16D1D"/>
    <w:rsid w:val="0DB21E4A"/>
    <w:rsid w:val="0DB25F8E"/>
    <w:rsid w:val="0DB37F58"/>
    <w:rsid w:val="0DB42ACC"/>
    <w:rsid w:val="0DB50977"/>
    <w:rsid w:val="0DB559C8"/>
    <w:rsid w:val="0DB62478"/>
    <w:rsid w:val="0DB848BF"/>
    <w:rsid w:val="0DBA4FBE"/>
    <w:rsid w:val="0DBB6EF3"/>
    <w:rsid w:val="0DBE5ED3"/>
    <w:rsid w:val="0DBF3544"/>
    <w:rsid w:val="0DC0113B"/>
    <w:rsid w:val="0DC071F2"/>
    <w:rsid w:val="0DC20173"/>
    <w:rsid w:val="0DC21F49"/>
    <w:rsid w:val="0DC34E14"/>
    <w:rsid w:val="0DC57820"/>
    <w:rsid w:val="0DC666AE"/>
    <w:rsid w:val="0DC93F3E"/>
    <w:rsid w:val="0DCA2DB3"/>
    <w:rsid w:val="0DCB52A1"/>
    <w:rsid w:val="0DCE0D73"/>
    <w:rsid w:val="0DCF0DF9"/>
    <w:rsid w:val="0DCF1D61"/>
    <w:rsid w:val="0DCF254A"/>
    <w:rsid w:val="0DD16BDD"/>
    <w:rsid w:val="0DD366E8"/>
    <w:rsid w:val="0DD516C2"/>
    <w:rsid w:val="0DD66A2C"/>
    <w:rsid w:val="0DD73F96"/>
    <w:rsid w:val="0DDA7292"/>
    <w:rsid w:val="0DDA7C67"/>
    <w:rsid w:val="0DDB26A9"/>
    <w:rsid w:val="0DDB507F"/>
    <w:rsid w:val="0DDC386D"/>
    <w:rsid w:val="0DDD1A0E"/>
    <w:rsid w:val="0DDF723A"/>
    <w:rsid w:val="0DE06DB0"/>
    <w:rsid w:val="0DE174B1"/>
    <w:rsid w:val="0DE31D22"/>
    <w:rsid w:val="0DE43CEC"/>
    <w:rsid w:val="0DE466E2"/>
    <w:rsid w:val="0DE6084D"/>
    <w:rsid w:val="0DE60F97"/>
    <w:rsid w:val="0DE71F71"/>
    <w:rsid w:val="0DE862A6"/>
    <w:rsid w:val="0DE93979"/>
    <w:rsid w:val="0DEB7828"/>
    <w:rsid w:val="0DEC017A"/>
    <w:rsid w:val="0DEC0FFA"/>
    <w:rsid w:val="0DED7DC2"/>
    <w:rsid w:val="0DF06C33"/>
    <w:rsid w:val="0DF25508"/>
    <w:rsid w:val="0DF4472C"/>
    <w:rsid w:val="0DF742E8"/>
    <w:rsid w:val="0DF84D7A"/>
    <w:rsid w:val="0DF95B43"/>
    <w:rsid w:val="0DFC396A"/>
    <w:rsid w:val="0DFD10CA"/>
    <w:rsid w:val="0DFE371A"/>
    <w:rsid w:val="0DFE7BE2"/>
    <w:rsid w:val="0DFF4A7E"/>
    <w:rsid w:val="0E002722"/>
    <w:rsid w:val="0E003A4C"/>
    <w:rsid w:val="0E00756A"/>
    <w:rsid w:val="0E043BFA"/>
    <w:rsid w:val="0E0862AA"/>
    <w:rsid w:val="0E090B9F"/>
    <w:rsid w:val="0E0B1388"/>
    <w:rsid w:val="0E0B14AC"/>
    <w:rsid w:val="0E0D534B"/>
    <w:rsid w:val="0E0D673E"/>
    <w:rsid w:val="0E0E5571"/>
    <w:rsid w:val="0E0F09DA"/>
    <w:rsid w:val="0E102F58"/>
    <w:rsid w:val="0E1121C1"/>
    <w:rsid w:val="0E130CFA"/>
    <w:rsid w:val="0E144BF4"/>
    <w:rsid w:val="0E161B9F"/>
    <w:rsid w:val="0E170543"/>
    <w:rsid w:val="0E1A7F59"/>
    <w:rsid w:val="0E1C5AFD"/>
    <w:rsid w:val="0E1D365A"/>
    <w:rsid w:val="0E206570"/>
    <w:rsid w:val="0E221883"/>
    <w:rsid w:val="0E227595"/>
    <w:rsid w:val="0E27123A"/>
    <w:rsid w:val="0E2A0EDD"/>
    <w:rsid w:val="0E2B3862"/>
    <w:rsid w:val="0E2E791B"/>
    <w:rsid w:val="0E31014F"/>
    <w:rsid w:val="0E325057"/>
    <w:rsid w:val="0E3377C3"/>
    <w:rsid w:val="0E357C0B"/>
    <w:rsid w:val="0E392E92"/>
    <w:rsid w:val="0E394165"/>
    <w:rsid w:val="0E396D43"/>
    <w:rsid w:val="0E3B2427"/>
    <w:rsid w:val="0E3B641B"/>
    <w:rsid w:val="0E3C660E"/>
    <w:rsid w:val="0E3F68BF"/>
    <w:rsid w:val="0E415563"/>
    <w:rsid w:val="0E417312"/>
    <w:rsid w:val="0E483155"/>
    <w:rsid w:val="0E4869D2"/>
    <w:rsid w:val="0E4942D2"/>
    <w:rsid w:val="0E4F64E1"/>
    <w:rsid w:val="0E510F1A"/>
    <w:rsid w:val="0E511C4A"/>
    <w:rsid w:val="0E543B0A"/>
    <w:rsid w:val="0E566FD9"/>
    <w:rsid w:val="0E5B154C"/>
    <w:rsid w:val="0E5E7EC3"/>
    <w:rsid w:val="0E600C9C"/>
    <w:rsid w:val="0E610636"/>
    <w:rsid w:val="0E614BCA"/>
    <w:rsid w:val="0E617C20"/>
    <w:rsid w:val="0E63197E"/>
    <w:rsid w:val="0E6326E9"/>
    <w:rsid w:val="0E63372C"/>
    <w:rsid w:val="0E643E5B"/>
    <w:rsid w:val="0E666D78"/>
    <w:rsid w:val="0E6724A8"/>
    <w:rsid w:val="0E67321C"/>
    <w:rsid w:val="0E676C43"/>
    <w:rsid w:val="0E68124D"/>
    <w:rsid w:val="0E690586"/>
    <w:rsid w:val="0E692641"/>
    <w:rsid w:val="0E6A54A7"/>
    <w:rsid w:val="0E6B681F"/>
    <w:rsid w:val="0E6C717D"/>
    <w:rsid w:val="0E6C75DB"/>
    <w:rsid w:val="0E6E5B4B"/>
    <w:rsid w:val="0E6F0323"/>
    <w:rsid w:val="0E7028C5"/>
    <w:rsid w:val="0E707BF7"/>
    <w:rsid w:val="0E721A6C"/>
    <w:rsid w:val="0E7254C0"/>
    <w:rsid w:val="0E727F5E"/>
    <w:rsid w:val="0E727FFF"/>
    <w:rsid w:val="0E7311E9"/>
    <w:rsid w:val="0E745939"/>
    <w:rsid w:val="0E7778D2"/>
    <w:rsid w:val="0E777EC4"/>
    <w:rsid w:val="0E796AAB"/>
    <w:rsid w:val="0E7B17FB"/>
    <w:rsid w:val="0E7B512F"/>
    <w:rsid w:val="0E7C1AD4"/>
    <w:rsid w:val="0E7C5BB2"/>
    <w:rsid w:val="0E7E7881"/>
    <w:rsid w:val="0E7F213F"/>
    <w:rsid w:val="0E81612D"/>
    <w:rsid w:val="0E846934"/>
    <w:rsid w:val="0E8548DB"/>
    <w:rsid w:val="0E855450"/>
    <w:rsid w:val="0E875E54"/>
    <w:rsid w:val="0E895A39"/>
    <w:rsid w:val="0E8F0CA8"/>
    <w:rsid w:val="0E8F62CF"/>
    <w:rsid w:val="0E93303D"/>
    <w:rsid w:val="0E955B1D"/>
    <w:rsid w:val="0E9644C4"/>
    <w:rsid w:val="0E970F41"/>
    <w:rsid w:val="0E971D62"/>
    <w:rsid w:val="0E9720E7"/>
    <w:rsid w:val="0E97488D"/>
    <w:rsid w:val="0E975183"/>
    <w:rsid w:val="0E997A65"/>
    <w:rsid w:val="0E9E1FA0"/>
    <w:rsid w:val="0E9E725A"/>
    <w:rsid w:val="0EA07B4B"/>
    <w:rsid w:val="0EA21BDD"/>
    <w:rsid w:val="0EA3144E"/>
    <w:rsid w:val="0EA32E46"/>
    <w:rsid w:val="0EA6589C"/>
    <w:rsid w:val="0EA70833"/>
    <w:rsid w:val="0EA77BF2"/>
    <w:rsid w:val="0EA82C66"/>
    <w:rsid w:val="0EA855E3"/>
    <w:rsid w:val="0EAB0B51"/>
    <w:rsid w:val="0EAC2B08"/>
    <w:rsid w:val="0EAD3B93"/>
    <w:rsid w:val="0EAE62D6"/>
    <w:rsid w:val="0EAF4BC3"/>
    <w:rsid w:val="0EB036E9"/>
    <w:rsid w:val="0EB07CE8"/>
    <w:rsid w:val="0EB75826"/>
    <w:rsid w:val="0EB9159E"/>
    <w:rsid w:val="0EBB3568"/>
    <w:rsid w:val="0EBE3DA7"/>
    <w:rsid w:val="0EBE70E9"/>
    <w:rsid w:val="0EBF57A2"/>
    <w:rsid w:val="0EC21762"/>
    <w:rsid w:val="0EC5262A"/>
    <w:rsid w:val="0EC73B27"/>
    <w:rsid w:val="0ECA521F"/>
    <w:rsid w:val="0ECA7500"/>
    <w:rsid w:val="0ECF3FF7"/>
    <w:rsid w:val="0ECF706E"/>
    <w:rsid w:val="0ED229F3"/>
    <w:rsid w:val="0ED279FC"/>
    <w:rsid w:val="0ED32360"/>
    <w:rsid w:val="0ED47363"/>
    <w:rsid w:val="0ED4787D"/>
    <w:rsid w:val="0ED6669D"/>
    <w:rsid w:val="0ED86250"/>
    <w:rsid w:val="0ED97CCE"/>
    <w:rsid w:val="0EDB08E1"/>
    <w:rsid w:val="0EDB5085"/>
    <w:rsid w:val="0EDC4653"/>
    <w:rsid w:val="0EDE11C9"/>
    <w:rsid w:val="0EDE2DB2"/>
    <w:rsid w:val="0EDF0253"/>
    <w:rsid w:val="0EDF41EF"/>
    <w:rsid w:val="0EDF5F29"/>
    <w:rsid w:val="0EDF797E"/>
    <w:rsid w:val="0EE17A34"/>
    <w:rsid w:val="0EE214D8"/>
    <w:rsid w:val="0EE31C71"/>
    <w:rsid w:val="0EE41237"/>
    <w:rsid w:val="0EE42DB9"/>
    <w:rsid w:val="0EE47B24"/>
    <w:rsid w:val="0EE62F06"/>
    <w:rsid w:val="0EE7435D"/>
    <w:rsid w:val="0EE81458"/>
    <w:rsid w:val="0EE83C31"/>
    <w:rsid w:val="0EEB2947"/>
    <w:rsid w:val="0EEF57BA"/>
    <w:rsid w:val="0EF05B84"/>
    <w:rsid w:val="0EF32D02"/>
    <w:rsid w:val="0EF47FB4"/>
    <w:rsid w:val="0EF56A7A"/>
    <w:rsid w:val="0EF648E0"/>
    <w:rsid w:val="0EF66585"/>
    <w:rsid w:val="0EF66BEB"/>
    <w:rsid w:val="0EF73A15"/>
    <w:rsid w:val="0EF97BEC"/>
    <w:rsid w:val="0EFA6000"/>
    <w:rsid w:val="0EFC3281"/>
    <w:rsid w:val="0EFD56E6"/>
    <w:rsid w:val="0EFD592E"/>
    <w:rsid w:val="0EFD5EE3"/>
    <w:rsid w:val="0EFE2C87"/>
    <w:rsid w:val="0EFE5203"/>
    <w:rsid w:val="0EFF5C42"/>
    <w:rsid w:val="0F024463"/>
    <w:rsid w:val="0F053713"/>
    <w:rsid w:val="0F056591"/>
    <w:rsid w:val="0F077E42"/>
    <w:rsid w:val="0F0809B4"/>
    <w:rsid w:val="0F087E2F"/>
    <w:rsid w:val="0F09163B"/>
    <w:rsid w:val="0F0A3BA7"/>
    <w:rsid w:val="0F0A7933"/>
    <w:rsid w:val="0F0C5B71"/>
    <w:rsid w:val="0F0F0A73"/>
    <w:rsid w:val="0F113188"/>
    <w:rsid w:val="0F114987"/>
    <w:rsid w:val="0F12011C"/>
    <w:rsid w:val="0F12423D"/>
    <w:rsid w:val="0F134F97"/>
    <w:rsid w:val="0F136F00"/>
    <w:rsid w:val="0F13729B"/>
    <w:rsid w:val="0F143212"/>
    <w:rsid w:val="0F152D89"/>
    <w:rsid w:val="0F16106D"/>
    <w:rsid w:val="0F1762F5"/>
    <w:rsid w:val="0F184F3E"/>
    <w:rsid w:val="0F19203C"/>
    <w:rsid w:val="0F192599"/>
    <w:rsid w:val="0F193265"/>
    <w:rsid w:val="0F1B5DB5"/>
    <w:rsid w:val="0F1B6C83"/>
    <w:rsid w:val="0F1C2256"/>
    <w:rsid w:val="0F1D020F"/>
    <w:rsid w:val="0F1D5339"/>
    <w:rsid w:val="0F1E6C56"/>
    <w:rsid w:val="0F1F3705"/>
    <w:rsid w:val="0F1F4242"/>
    <w:rsid w:val="0F1F44ED"/>
    <w:rsid w:val="0F2138B7"/>
    <w:rsid w:val="0F217274"/>
    <w:rsid w:val="0F2244B3"/>
    <w:rsid w:val="0F2523BA"/>
    <w:rsid w:val="0F257B97"/>
    <w:rsid w:val="0F28592D"/>
    <w:rsid w:val="0F290F12"/>
    <w:rsid w:val="0F2A5FA7"/>
    <w:rsid w:val="0F2E5C26"/>
    <w:rsid w:val="0F301F18"/>
    <w:rsid w:val="0F302C8A"/>
    <w:rsid w:val="0F305B80"/>
    <w:rsid w:val="0F343CB8"/>
    <w:rsid w:val="0F360293"/>
    <w:rsid w:val="0F360D7B"/>
    <w:rsid w:val="0F362BEE"/>
    <w:rsid w:val="0F363117"/>
    <w:rsid w:val="0F386966"/>
    <w:rsid w:val="0F3A0931"/>
    <w:rsid w:val="0F3B218D"/>
    <w:rsid w:val="0F3F0317"/>
    <w:rsid w:val="0F401F7B"/>
    <w:rsid w:val="0F414DE4"/>
    <w:rsid w:val="0F43089B"/>
    <w:rsid w:val="0F445EE8"/>
    <w:rsid w:val="0F4461B6"/>
    <w:rsid w:val="0F4619E8"/>
    <w:rsid w:val="0F4730E3"/>
    <w:rsid w:val="0F482ED1"/>
    <w:rsid w:val="0F491C79"/>
    <w:rsid w:val="0F4954FF"/>
    <w:rsid w:val="0F4A0ADF"/>
    <w:rsid w:val="0F4A1E39"/>
    <w:rsid w:val="0F4B4D1A"/>
    <w:rsid w:val="0F4E3552"/>
    <w:rsid w:val="0F4F5A5E"/>
    <w:rsid w:val="0F5014F6"/>
    <w:rsid w:val="0F521189"/>
    <w:rsid w:val="0F5228C6"/>
    <w:rsid w:val="0F536710"/>
    <w:rsid w:val="0F536F57"/>
    <w:rsid w:val="0F5440F1"/>
    <w:rsid w:val="0F556551"/>
    <w:rsid w:val="0F557042"/>
    <w:rsid w:val="0F590D1A"/>
    <w:rsid w:val="0F59175B"/>
    <w:rsid w:val="0F594D81"/>
    <w:rsid w:val="0F5A54F5"/>
    <w:rsid w:val="0F5A65D9"/>
    <w:rsid w:val="0F5B20A6"/>
    <w:rsid w:val="0F600532"/>
    <w:rsid w:val="0F616B15"/>
    <w:rsid w:val="0F63015A"/>
    <w:rsid w:val="0F633CE6"/>
    <w:rsid w:val="0F640C66"/>
    <w:rsid w:val="0F641F28"/>
    <w:rsid w:val="0F6459AD"/>
    <w:rsid w:val="0F6531A5"/>
    <w:rsid w:val="0F653C89"/>
    <w:rsid w:val="0F67476F"/>
    <w:rsid w:val="0F6846C3"/>
    <w:rsid w:val="0F697CA7"/>
    <w:rsid w:val="0F6A0D8E"/>
    <w:rsid w:val="0F6A48A4"/>
    <w:rsid w:val="0F6C4775"/>
    <w:rsid w:val="0F6C4862"/>
    <w:rsid w:val="0F6E2388"/>
    <w:rsid w:val="0F6E59F6"/>
    <w:rsid w:val="0F7335C5"/>
    <w:rsid w:val="0F76748F"/>
    <w:rsid w:val="0F767555"/>
    <w:rsid w:val="0F7715D4"/>
    <w:rsid w:val="0F771F2F"/>
    <w:rsid w:val="0F7813CF"/>
    <w:rsid w:val="0F7D315A"/>
    <w:rsid w:val="0F7E2879"/>
    <w:rsid w:val="0F80338B"/>
    <w:rsid w:val="0F847BA9"/>
    <w:rsid w:val="0F8512E4"/>
    <w:rsid w:val="0F857EA0"/>
    <w:rsid w:val="0F8765B2"/>
    <w:rsid w:val="0F895414"/>
    <w:rsid w:val="0F896C5C"/>
    <w:rsid w:val="0F8A3261"/>
    <w:rsid w:val="0F8A5C48"/>
    <w:rsid w:val="0F8D22DE"/>
    <w:rsid w:val="0F9345BD"/>
    <w:rsid w:val="0F936F48"/>
    <w:rsid w:val="0F94138A"/>
    <w:rsid w:val="0F977B31"/>
    <w:rsid w:val="0F990305"/>
    <w:rsid w:val="0F9B0CA3"/>
    <w:rsid w:val="0F9B6753"/>
    <w:rsid w:val="0F9D2C6D"/>
    <w:rsid w:val="0F9F231C"/>
    <w:rsid w:val="0FA00C42"/>
    <w:rsid w:val="0FA250E1"/>
    <w:rsid w:val="0FA3383B"/>
    <w:rsid w:val="0FA34C2F"/>
    <w:rsid w:val="0FA4224E"/>
    <w:rsid w:val="0FA570D5"/>
    <w:rsid w:val="0FA83AEC"/>
    <w:rsid w:val="0FA94EC1"/>
    <w:rsid w:val="0FA95BAC"/>
    <w:rsid w:val="0FAA1B7D"/>
    <w:rsid w:val="0FAB5527"/>
    <w:rsid w:val="0FAD5643"/>
    <w:rsid w:val="0FAE4E7B"/>
    <w:rsid w:val="0FB022B6"/>
    <w:rsid w:val="0FB03A5F"/>
    <w:rsid w:val="0FB27ECB"/>
    <w:rsid w:val="0FB36066"/>
    <w:rsid w:val="0FB461E0"/>
    <w:rsid w:val="0FB46D2D"/>
    <w:rsid w:val="0FB50B94"/>
    <w:rsid w:val="0FB90DE8"/>
    <w:rsid w:val="0FBA1C1F"/>
    <w:rsid w:val="0FBA2F81"/>
    <w:rsid w:val="0FBA44F3"/>
    <w:rsid w:val="0FBD0804"/>
    <w:rsid w:val="0FBD7CB8"/>
    <w:rsid w:val="0FC07357"/>
    <w:rsid w:val="0FC14BAE"/>
    <w:rsid w:val="0FC1656C"/>
    <w:rsid w:val="0FC26CFF"/>
    <w:rsid w:val="0FC34C1F"/>
    <w:rsid w:val="0FC35BC0"/>
    <w:rsid w:val="0FC46450"/>
    <w:rsid w:val="0FC50FEB"/>
    <w:rsid w:val="0FC5183C"/>
    <w:rsid w:val="0FC65B89"/>
    <w:rsid w:val="0FC90971"/>
    <w:rsid w:val="0FC922F4"/>
    <w:rsid w:val="0FC941AD"/>
    <w:rsid w:val="0FC95811"/>
    <w:rsid w:val="0FCA3E00"/>
    <w:rsid w:val="0FCB0686"/>
    <w:rsid w:val="0FCC4512"/>
    <w:rsid w:val="0FCF06B3"/>
    <w:rsid w:val="0FCF5278"/>
    <w:rsid w:val="0FCF6D8C"/>
    <w:rsid w:val="0FD04DF1"/>
    <w:rsid w:val="0FD2175C"/>
    <w:rsid w:val="0FD47D7C"/>
    <w:rsid w:val="0FDA52A9"/>
    <w:rsid w:val="0FDC3D5C"/>
    <w:rsid w:val="0FDC4828"/>
    <w:rsid w:val="0FDD2AF6"/>
    <w:rsid w:val="0FDE3D1F"/>
    <w:rsid w:val="0FE02978"/>
    <w:rsid w:val="0FE02DBB"/>
    <w:rsid w:val="0FE42F1B"/>
    <w:rsid w:val="0FE57F84"/>
    <w:rsid w:val="0FEA3F0C"/>
    <w:rsid w:val="0FEB166E"/>
    <w:rsid w:val="0FED53BE"/>
    <w:rsid w:val="0FEE34C9"/>
    <w:rsid w:val="0FEE7AEC"/>
    <w:rsid w:val="0FEF1C8C"/>
    <w:rsid w:val="0FF009ED"/>
    <w:rsid w:val="0FF10BD9"/>
    <w:rsid w:val="0FF11FFE"/>
    <w:rsid w:val="0FF25BE0"/>
    <w:rsid w:val="0FF37243"/>
    <w:rsid w:val="0FF52AA9"/>
    <w:rsid w:val="0FF80308"/>
    <w:rsid w:val="0FFA6CF7"/>
    <w:rsid w:val="0FFC5CEC"/>
    <w:rsid w:val="0FFD77E6"/>
    <w:rsid w:val="0FFE3F5C"/>
    <w:rsid w:val="0FFF66F3"/>
    <w:rsid w:val="10005E3E"/>
    <w:rsid w:val="10021E81"/>
    <w:rsid w:val="10090303"/>
    <w:rsid w:val="100B64D3"/>
    <w:rsid w:val="100D5243"/>
    <w:rsid w:val="100D7DF3"/>
    <w:rsid w:val="100F65AA"/>
    <w:rsid w:val="10120F66"/>
    <w:rsid w:val="10127548"/>
    <w:rsid w:val="10130EBB"/>
    <w:rsid w:val="10142324"/>
    <w:rsid w:val="10151FC0"/>
    <w:rsid w:val="10152804"/>
    <w:rsid w:val="1016001A"/>
    <w:rsid w:val="10166522"/>
    <w:rsid w:val="10171A71"/>
    <w:rsid w:val="1018577B"/>
    <w:rsid w:val="101866A7"/>
    <w:rsid w:val="101E04D3"/>
    <w:rsid w:val="101E46F2"/>
    <w:rsid w:val="101E6C22"/>
    <w:rsid w:val="10202E66"/>
    <w:rsid w:val="10214176"/>
    <w:rsid w:val="102173FB"/>
    <w:rsid w:val="10224078"/>
    <w:rsid w:val="102270F2"/>
    <w:rsid w:val="102602C6"/>
    <w:rsid w:val="102654BF"/>
    <w:rsid w:val="102714EF"/>
    <w:rsid w:val="10271E1B"/>
    <w:rsid w:val="10274DE4"/>
    <w:rsid w:val="102874FC"/>
    <w:rsid w:val="102923DD"/>
    <w:rsid w:val="10294501"/>
    <w:rsid w:val="102B1BBD"/>
    <w:rsid w:val="102B1E1E"/>
    <w:rsid w:val="102B2027"/>
    <w:rsid w:val="102D126A"/>
    <w:rsid w:val="102E089A"/>
    <w:rsid w:val="102E292B"/>
    <w:rsid w:val="102E4052"/>
    <w:rsid w:val="102F31B5"/>
    <w:rsid w:val="102F682E"/>
    <w:rsid w:val="102F735D"/>
    <w:rsid w:val="10306B91"/>
    <w:rsid w:val="103213D7"/>
    <w:rsid w:val="10331960"/>
    <w:rsid w:val="10352EA6"/>
    <w:rsid w:val="103B0079"/>
    <w:rsid w:val="103B53EB"/>
    <w:rsid w:val="103D69FF"/>
    <w:rsid w:val="10402F90"/>
    <w:rsid w:val="1041184B"/>
    <w:rsid w:val="104327E0"/>
    <w:rsid w:val="10440675"/>
    <w:rsid w:val="104629DE"/>
    <w:rsid w:val="10484987"/>
    <w:rsid w:val="104967B3"/>
    <w:rsid w:val="104C2AF0"/>
    <w:rsid w:val="104D01F0"/>
    <w:rsid w:val="104D0508"/>
    <w:rsid w:val="104D1449"/>
    <w:rsid w:val="104E4E65"/>
    <w:rsid w:val="105159FE"/>
    <w:rsid w:val="10524A9C"/>
    <w:rsid w:val="10545583"/>
    <w:rsid w:val="10572E1C"/>
    <w:rsid w:val="10573DE5"/>
    <w:rsid w:val="10576221"/>
    <w:rsid w:val="10577D7F"/>
    <w:rsid w:val="10584795"/>
    <w:rsid w:val="105858FC"/>
    <w:rsid w:val="10594F26"/>
    <w:rsid w:val="105A5FCA"/>
    <w:rsid w:val="105B7436"/>
    <w:rsid w:val="105E5089"/>
    <w:rsid w:val="105E50CD"/>
    <w:rsid w:val="10607279"/>
    <w:rsid w:val="106116C6"/>
    <w:rsid w:val="106177A9"/>
    <w:rsid w:val="10661A25"/>
    <w:rsid w:val="10666DC8"/>
    <w:rsid w:val="10692FB7"/>
    <w:rsid w:val="106D1FAD"/>
    <w:rsid w:val="10700C91"/>
    <w:rsid w:val="107039C5"/>
    <w:rsid w:val="107236C4"/>
    <w:rsid w:val="10732C63"/>
    <w:rsid w:val="10735E1F"/>
    <w:rsid w:val="10743699"/>
    <w:rsid w:val="10743CE3"/>
    <w:rsid w:val="10755FB8"/>
    <w:rsid w:val="10762FFE"/>
    <w:rsid w:val="10765998"/>
    <w:rsid w:val="10772AAC"/>
    <w:rsid w:val="107A52E7"/>
    <w:rsid w:val="107B1C16"/>
    <w:rsid w:val="107C0612"/>
    <w:rsid w:val="107E7938"/>
    <w:rsid w:val="107F2A45"/>
    <w:rsid w:val="10806038"/>
    <w:rsid w:val="10825154"/>
    <w:rsid w:val="10860838"/>
    <w:rsid w:val="10865C7F"/>
    <w:rsid w:val="10883B86"/>
    <w:rsid w:val="108A1444"/>
    <w:rsid w:val="108A53BF"/>
    <w:rsid w:val="108A547B"/>
    <w:rsid w:val="108A60AF"/>
    <w:rsid w:val="108B0D18"/>
    <w:rsid w:val="108B1DAE"/>
    <w:rsid w:val="108C51BC"/>
    <w:rsid w:val="108D7E56"/>
    <w:rsid w:val="109127D2"/>
    <w:rsid w:val="10933CC8"/>
    <w:rsid w:val="10971E59"/>
    <w:rsid w:val="109760A7"/>
    <w:rsid w:val="10987A28"/>
    <w:rsid w:val="109A4958"/>
    <w:rsid w:val="109C1890"/>
    <w:rsid w:val="109E4479"/>
    <w:rsid w:val="10A1255D"/>
    <w:rsid w:val="10A27394"/>
    <w:rsid w:val="10A37DD8"/>
    <w:rsid w:val="10A421B6"/>
    <w:rsid w:val="10A5627E"/>
    <w:rsid w:val="10A66884"/>
    <w:rsid w:val="10A818CA"/>
    <w:rsid w:val="10A85733"/>
    <w:rsid w:val="10AA5642"/>
    <w:rsid w:val="10AB3168"/>
    <w:rsid w:val="10AC2276"/>
    <w:rsid w:val="10AC760C"/>
    <w:rsid w:val="10AC78BF"/>
    <w:rsid w:val="10B11878"/>
    <w:rsid w:val="10B50C9A"/>
    <w:rsid w:val="10B51EC5"/>
    <w:rsid w:val="10B5205C"/>
    <w:rsid w:val="10B66683"/>
    <w:rsid w:val="10B821F9"/>
    <w:rsid w:val="10B84553"/>
    <w:rsid w:val="10B966FD"/>
    <w:rsid w:val="10BB7585"/>
    <w:rsid w:val="10BD5807"/>
    <w:rsid w:val="10BE03C5"/>
    <w:rsid w:val="10BE10ED"/>
    <w:rsid w:val="10BE316B"/>
    <w:rsid w:val="10BF4EBD"/>
    <w:rsid w:val="10C04E65"/>
    <w:rsid w:val="10C1054A"/>
    <w:rsid w:val="10C32114"/>
    <w:rsid w:val="10C41512"/>
    <w:rsid w:val="10C65797"/>
    <w:rsid w:val="10C72B6C"/>
    <w:rsid w:val="10C75A47"/>
    <w:rsid w:val="10C75DB2"/>
    <w:rsid w:val="10C96A66"/>
    <w:rsid w:val="10CA1840"/>
    <w:rsid w:val="10CB2A9E"/>
    <w:rsid w:val="10CB7366"/>
    <w:rsid w:val="10CC00C7"/>
    <w:rsid w:val="10CC18AA"/>
    <w:rsid w:val="10CC6C67"/>
    <w:rsid w:val="10CD1E7C"/>
    <w:rsid w:val="10CD2285"/>
    <w:rsid w:val="10CD50E5"/>
    <w:rsid w:val="10CE2FC9"/>
    <w:rsid w:val="10CE7AC1"/>
    <w:rsid w:val="10D2455A"/>
    <w:rsid w:val="10D43F66"/>
    <w:rsid w:val="10D66C88"/>
    <w:rsid w:val="10D67EDA"/>
    <w:rsid w:val="10D712FE"/>
    <w:rsid w:val="10D745DD"/>
    <w:rsid w:val="10D93375"/>
    <w:rsid w:val="10D94E4F"/>
    <w:rsid w:val="10DA7C39"/>
    <w:rsid w:val="10DC57B2"/>
    <w:rsid w:val="10DE426E"/>
    <w:rsid w:val="10E02634"/>
    <w:rsid w:val="10E05993"/>
    <w:rsid w:val="10E11CE7"/>
    <w:rsid w:val="10E36A7A"/>
    <w:rsid w:val="10E45602"/>
    <w:rsid w:val="10E84F1F"/>
    <w:rsid w:val="10EA72E2"/>
    <w:rsid w:val="10EB687A"/>
    <w:rsid w:val="10EC7A09"/>
    <w:rsid w:val="10EF1F49"/>
    <w:rsid w:val="10F0547A"/>
    <w:rsid w:val="10F05E77"/>
    <w:rsid w:val="10F257D2"/>
    <w:rsid w:val="10F4417D"/>
    <w:rsid w:val="10F5039C"/>
    <w:rsid w:val="10F81479"/>
    <w:rsid w:val="10FA5D31"/>
    <w:rsid w:val="10FD7E68"/>
    <w:rsid w:val="10FE14EA"/>
    <w:rsid w:val="10FF40FD"/>
    <w:rsid w:val="10FF6CE8"/>
    <w:rsid w:val="10FF7493"/>
    <w:rsid w:val="110057F1"/>
    <w:rsid w:val="11016DFF"/>
    <w:rsid w:val="11066AD8"/>
    <w:rsid w:val="11090FD4"/>
    <w:rsid w:val="110B7E38"/>
    <w:rsid w:val="110E4174"/>
    <w:rsid w:val="110F073F"/>
    <w:rsid w:val="110F5598"/>
    <w:rsid w:val="11101BD9"/>
    <w:rsid w:val="1111121D"/>
    <w:rsid w:val="111142D9"/>
    <w:rsid w:val="11121578"/>
    <w:rsid w:val="11152E6B"/>
    <w:rsid w:val="11156266"/>
    <w:rsid w:val="11167533"/>
    <w:rsid w:val="11192536"/>
    <w:rsid w:val="111B2A1A"/>
    <w:rsid w:val="111C422A"/>
    <w:rsid w:val="111D10C4"/>
    <w:rsid w:val="111E6349"/>
    <w:rsid w:val="1120111A"/>
    <w:rsid w:val="1125408C"/>
    <w:rsid w:val="11256733"/>
    <w:rsid w:val="11291340"/>
    <w:rsid w:val="112A2493"/>
    <w:rsid w:val="112E6273"/>
    <w:rsid w:val="112F1DE9"/>
    <w:rsid w:val="11310623"/>
    <w:rsid w:val="11323006"/>
    <w:rsid w:val="1132631A"/>
    <w:rsid w:val="1133210F"/>
    <w:rsid w:val="113413B0"/>
    <w:rsid w:val="113427EC"/>
    <w:rsid w:val="11347067"/>
    <w:rsid w:val="11360C84"/>
    <w:rsid w:val="11366C42"/>
    <w:rsid w:val="11376EE4"/>
    <w:rsid w:val="1138654E"/>
    <w:rsid w:val="113945C2"/>
    <w:rsid w:val="11394C31"/>
    <w:rsid w:val="113B273E"/>
    <w:rsid w:val="113D55D6"/>
    <w:rsid w:val="11403E18"/>
    <w:rsid w:val="11404D54"/>
    <w:rsid w:val="11407DF9"/>
    <w:rsid w:val="11416A9A"/>
    <w:rsid w:val="11422991"/>
    <w:rsid w:val="1144371E"/>
    <w:rsid w:val="114454A8"/>
    <w:rsid w:val="11466462"/>
    <w:rsid w:val="114769A1"/>
    <w:rsid w:val="114A472F"/>
    <w:rsid w:val="114C20DB"/>
    <w:rsid w:val="114C7209"/>
    <w:rsid w:val="114E6D6F"/>
    <w:rsid w:val="114F68C1"/>
    <w:rsid w:val="11515ABE"/>
    <w:rsid w:val="11531836"/>
    <w:rsid w:val="115347F4"/>
    <w:rsid w:val="115545F9"/>
    <w:rsid w:val="11571690"/>
    <w:rsid w:val="11586E40"/>
    <w:rsid w:val="115A538C"/>
    <w:rsid w:val="115D4225"/>
    <w:rsid w:val="115F3AEC"/>
    <w:rsid w:val="115F6A6B"/>
    <w:rsid w:val="11627CCB"/>
    <w:rsid w:val="1166587B"/>
    <w:rsid w:val="11676778"/>
    <w:rsid w:val="11682C57"/>
    <w:rsid w:val="116C7FF0"/>
    <w:rsid w:val="116D06CD"/>
    <w:rsid w:val="116D4013"/>
    <w:rsid w:val="116F17BE"/>
    <w:rsid w:val="116F6599"/>
    <w:rsid w:val="11742946"/>
    <w:rsid w:val="11770879"/>
    <w:rsid w:val="1178129C"/>
    <w:rsid w:val="117A0A1B"/>
    <w:rsid w:val="117B12BD"/>
    <w:rsid w:val="117B630B"/>
    <w:rsid w:val="118045F5"/>
    <w:rsid w:val="118076A4"/>
    <w:rsid w:val="11827114"/>
    <w:rsid w:val="11854527"/>
    <w:rsid w:val="11863010"/>
    <w:rsid w:val="118661A3"/>
    <w:rsid w:val="118763AD"/>
    <w:rsid w:val="11886A42"/>
    <w:rsid w:val="118B257F"/>
    <w:rsid w:val="118B5BFE"/>
    <w:rsid w:val="118D74A2"/>
    <w:rsid w:val="118E683E"/>
    <w:rsid w:val="11911BBA"/>
    <w:rsid w:val="11917131"/>
    <w:rsid w:val="119179DB"/>
    <w:rsid w:val="119276A7"/>
    <w:rsid w:val="11942B1D"/>
    <w:rsid w:val="11950633"/>
    <w:rsid w:val="11962765"/>
    <w:rsid w:val="119B0FC0"/>
    <w:rsid w:val="119D51A7"/>
    <w:rsid w:val="119D7304"/>
    <w:rsid w:val="119D7E9C"/>
    <w:rsid w:val="119F5DB6"/>
    <w:rsid w:val="11A04315"/>
    <w:rsid w:val="11A05B32"/>
    <w:rsid w:val="11A06A96"/>
    <w:rsid w:val="11A218A1"/>
    <w:rsid w:val="11A30275"/>
    <w:rsid w:val="11A76CE7"/>
    <w:rsid w:val="11A80692"/>
    <w:rsid w:val="11AB623A"/>
    <w:rsid w:val="11AC08B3"/>
    <w:rsid w:val="11B10AC5"/>
    <w:rsid w:val="11B440C1"/>
    <w:rsid w:val="11B9627B"/>
    <w:rsid w:val="11BA7B07"/>
    <w:rsid w:val="11BD4624"/>
    <w:rsid w:val="11C10E95"/>
    <w:rsid w:val="11C20769"/>
    <w:rsid w:val="11C368B1"/>
    <w:rsid w:val="11C40347"/>
    <w:rsid w:val="11C4764B"/>
    <w:rsid w:val="11C47BB0"/>
    <w:rsid w:val="11C5161D"/>
    <w:rsid w:val="11C608EA"/>
    <w:rsid w:val="11C659B6"/>
    <w:rsid w:val="11C662A2"/>
    <w:rsid w:val="11C71B03"/>
    <w:rsid w:val="11C80F07"/>
    <w:rsid w:val="11CC783A"/>
    <w:rsid w:val="11CD69B5"/>
    <w:rsid w:val="11CE03C5"/>
    <w:rsid w:val="11CE2712"/>
    <w:rsid w:val="11D02E86"/>
    <w:rsid w:val="11D54AA0"/>
    <w:rsid w:val="11D557ED"/>
    <w:rsid w:val="11D83727"/>
    <w:rsid w:val="11D92769"/>
    <w:rsid w:val="11DA5A7A"/>
    <w:rsid w:val="11DC4D82"/>
    <w:rsid w:val="11DD37F5"/>
    <w:rsid w:val="11DD7C1C"/>
    <w:rsid w:val="11DE1500"/>
    <w:rsid w:val="11DE53DD"/>
    <w:rsid w:val="11E137AE"/>
    <w:rsid w:val="11E345E2"/>
    <w:rsid w:val="11E41C14"/>
    <w:rsid w:val="11E422F6"/>
    <w:rsid w:val="11E626B1"/>
    <w:rsid w:val="11E726A5"/>
    <w:rsid w:val="11E80A06"/>
    <w:rsid w:val="11E81ABA"/>
    <w:rsid w:val="11EB0538"/>
    <w:rsid w:val="11EB5F12"/>
    <w:rsid w:val="11ED1C8A"/>
    <w:rsid w:val="11F272A1"/>
    <w:rsid w:val="11F34DC7"/>
    <w:rsid w:val="11F40832"/>
    <w:rsid w:val="11F43656"/>
    <w:rsid w:val="11F50B3F"/>
    <w:rsid w:val="11F85EC3"/>
    <w:rsid w:val="11F92EAD"/>
    <w:rsid w:val="11F970A4"/>
    <w:rsid w:val="11FA43A7"/>
    <w:rsid w:val="11FC43E0"/>
    <w:rsid w:val="12024B70"/>
    <w:rsid w:val="12043200"/>
    <w:rsid w:val="120606BD"/>
    <w:rsid w:val="120A37C5"/>
    <w:rsid w:val="120E7433"/>
    <w:rsid w:val="120F1803"/>
    <w:rsid w:val="12103566"/>
    <w:rsid w:val="12113AE8"/>
    <w:rsid w:val="1211524D"/>
    <w:rsid w:val="12126979"/>
    <w:rsid w:val="1213426D"/>
    <w:rsid w:val="12135610"/>
    <w:rsid w:val="12176D07"/>
    <w:rsid w:val="121845DE"/>
    <w:rsid w:val="12185C65"/>
    <w:rsid w:val="121865DB"/>
    <w:rsid w:val="121A05A5"/>
    <w:rsid w:val="121A0B3B"/>
    <w:rsid w:val="121C0E92"/>
    <w:rsid w:val="121D5B74"/>
    <w:rsid w:val="121D602C"/>
    <w:rsid w:val="121D7FD0"/>
    <w:rsid w:val="122178DE"/>
    <w:rsid w:val="1226519C"/>
    <w:rsid w:val="12272991"/>
    <w:rsid w:val="12280D07"/>
    <w:rsid w:val="12281213"/>
    <w:rsid w:val="122E045C"/>
    <w:rsid w:val="122E14B7"/>
    <w:rsid w:val="122F3C39"/>
    <w:rsid w:val="12324BA7"/>
    <w:rsid w:val="12341668"/>
    <w:rsid w:val="123840C4"/>
    <w:rsid w:val="12384497"/>
    <w:rsid w:val="123910DE"/>
    <w:rsid w:val="123A0C48"/>
    <w:rsid w:val="123B2D37"/>
    <w:rsid w:val="123B4E69"/>
    <w:rsid w:val="123C49C0"/>
    <w:rsid w:val="123C6CA0"/>
    <w:rsid w:val="123E43F9"/>
    <w:rsid w:val="123F255B"/>
    <w:rsid w:val="123F625E"/>
    <w:rsid w:val="12415B32"/>
    <w:rsid w:val="12416504"/>
    <w:rsid w:val="12441959"/>
    <w:rsid w:val="12461408"/>
    <w:rsid w:val="12461CDE"/>
    <w:rsid w:val="1247062C"/>
    <w:rsid w:val="12496193"/>
    <w:rsid w:val="124A35D0"/>
    <w:rsid w:val="124B6616"/>
    <w:rsid w:val="124C3E81"/>
    <w:rsid w:val="124F61A0"/>
    <w:rsid w:val="12504D05"/>
    <w:rsid w:val="125077FC"/>
    <w:rsid w:val="12541D09"/>
    <w:rsid w:val="125765AF"/>
    <w:rsid w:val="125A61AB"/>
    <w:rsid w:val="125B36A2"/>
    <w:rsid w:val="125C296C"/>
    <w:rsid w:val="125E5CEB"/>
    <w:rsid w:val="125F7022"/>
    <w:rsid w:val="126006FF"/>
    <w:rsid w:val="12601B53"/>
    <w:rsid w:val="12643F6B"/>
    <w:rsid w:val="12652CD7"/>
    <w:rsid w:val="12661211"/>
    <w:rsid w:val="12691A62"/>
    <w:rsid w:val="12695089"/>
    <w:rsid w:val="126A00E1"/>
    <w:rsid w:val="126A4382"/>
    <w:rsid w:val="126B2442"/>
    <w:rsid w:val="126B2BAF"/>
    <w:rsid w:val="126C1C75"/>
    <w:rsid w:val="126C2043"/>
    <w:rsid w:val="126E58D4"/>
    <w:rsid w:val="126F2515"/>
    <w:rsid w:val="12705D8B"/>
    <w:rsid w:val="12723F3D"/>
    <w:rsid w:val="12736B24"/>
    <w:rsid w:val="127415E0"/>
    <w:rsid w:val="12741746"/>
    <w:rsid w:val="12744159"/>
    <w:rsid w:val="12760060"/>
    <w:rsid w:val="12760343"/>
    <w:rsid w:val="1276738E"/>
    <w:rsid w:val="12776C5C"/>
    <w:rsid w:val="1278488D"/>
    <w:rsid w:val="1278490B"/>
    <w:rsid w:val="1279291A"/>
    <w:rsid w:val="12792B19"/>
    <w:rsid w:val="127B18F5"/>
    <w:rsid w:val="127B2A69"/>
    <w:rsid w:val="127C454D"/>
    <w:rsid w:val="127C469A"/>
    <w:rsid w:val="127C4C3C"/>
    <w:rsid w:val="127D7C27"/>
    <w:rsid w:val="127E28E2"/>
    <w:rsid w:val="127F1BE9"/>
    <w:rsid w:val="128020D3"/>
    <w:rsid w:val="12817EC8"/>
    <w:rsid w:val="128609D1"/>
    <w:rsid w:val="12863E8D"/>
    <w:rsid w:val="128751C2"/>
    <w:rsid w:val="1288299C"/>
    <w:rsid w:val="12883907"/>
    <w:rsid w:val="12890088"/>
    <w:rsid w:val="128C305A"/>
    <w:rsid w:val="12942106"/>
    <w:rsid w:val="129465AA"/>
    <w:rsid w:val="1295101E"/>
    <w:rsid w:val="129776AC"/>
    <w:rsid w:val="12983F66"/>
    <w:rsid w:val="129A1B1A"/>
    <w:rsid w:val="129A366F"/>
    <w:rsid w:val="129C220E"/>
    <w:rsid w:val="129D3A4A"/>
    <w:rsid w:val="12A30A75"/>
    <w:rsid w:val="12A41834"/>
    <w:rsid w:val="12A44EB0"/>
    <w:rsid w:val="12A61668"/>
    <w:rsid w:val="12A62A32"/>
    <w:rsid w:val="12A63F9E"/>
    <w:rsid w:val="12A80472"/>
    <w:rsid w:val="12AA1AAA"/>
    <w:rsid w:val="12AB464F"/>
    <w:rsid w:val="12B04A66"/>
    <w:rsid w:val="12B249BC"/>
    <w:rsid w:val="12B3381E"/>
    <w:rsid w:val="12B409FA"/>
    <w:rsid w:val="12B80348"/>
    <w:rsid w:val="12B972A7"/>
    <w:rsid w:val="12BB5688"/>
    <w:rsid w:val="12BC0B76"/>
    <w:rsid w:val="12BC7F04"/>
    <w:rsid w:val="12BD3523"/>
    <w:rsid w:val="12BE2289"/>
    <w:rsid w:val="12BE7183"/>
    <w:rsid w:val="12BF7F03"/>
    <w:rsid w:val="12C128C1"/>
    <w:rsid w:val="12C23187"/>
    <w:rsid w:val="12C40361"/>
    <w:rsid w:val="12C414F1"/>
    <w:rsid w:val="12C43900"/>
    <w:rsid w:val="12C47257"/>
    <w:rsid w:val="12C62A7C"/>
    <w:rsid w:val="12CA06CE"/>
    <w:rsid w:val="12CB78B5"/>
    <w:rsid w:val="12CC3CF0"/>
    <w:rsid w:val="12CD7CAB"/>
    <w:rsid w:val="12D04C70"/>
    <w:rsid w:val="12D05213"/>
    <w:rsid w:val="12D301E8"/>
    <w:rsid w:val="12D4073A"/>
    <w:rsid w:val="12D40DB8"/>
    <w:rsid w:val="12D47ACF"/>
    <w:rsid w:val="12D62C19"/>
    <w:rsid w:val="12D6301A"/>
    <w:rsid w:val="12D77D3D"/>
    <w:rsid w:val="12D974D4"/>
    <w:rsid w:val="12DA5D51"/>
    <w:rsid w:val="12DB7D35"/>
    <w:rsid w:val="12DC585B"/>
    <w:rsid w:val="12DF0227"/>
    <w:rsid w:val="12DF0350"/>
    <w:rsid w:val="12DF7E67"/>
    <w:rsid w:val="12E0407A"/>
    <w:rsid w:val="12E06E1B"/>
    <w:rsid w:val="12E070F9"/>
    <w:rsid w:val="12E1456F"/>
    <w:rsid w:val="12E33F82"/>
    <w:rsid w:val="12E37438"/>
    <w:rsid w:val="12E53F88"/>
    <w:rsid w:val="12E55D11"/>
    <w:rsid w:val="12E73034"/>
    <w:rsid w:val="12E734F8"/>
    <w:rsid w:val="12E7492B"/>
    <w:rsid w:val="12E77358"/>
    <w:rsid w:val="12E817B6"/>
    <w:rsid w:val="12E875E8"/>
    <w:rsid w:val="12EA7F78"/>
    <w:rsid w:val="12EC0E8E"/>
    <w:rsid w:val="12EC1AA1"/>
    <w:rsid w:val="12ED2427"/>
    <w:rsid w:val="12EE0D63"/>
    <w:rsid w:val="12EF1689"/>
    <w:rsid w:val="12EF54DD"/>
    <w:rsid w:val="12F16682"/>
    <w:rsid w:val="12F439A6"/>
    <w:rsid w:val="12F44CDE"/>
    <w:rsid w:val="12F51274"/>
    <w:rsid w:val="12F56162"/>
    <w:rsid w:val="12F6691D"/>
    <w:rsid w:val="12F70562"/>
    <w:rsid w:val="12F70DAE"/>
    <w:rsid w:val="12F93F39"/>
    <w:rsid w:val="12F9465F"/>
    <w:rsid w:val="12FC7FB2"/>
    <w:rsid w:val="12FD3A7F"/>
    <w:rsid w:val="12FD5BA4"/>
    <w:rsid w:val="12FE1EF6"/>
    <w:rsid w:val="12FF4052"/>
    <w:rsid w:val="12FF7109"/>
    <w:rsid w:val="130171FA"/>
    <w:rsid w:val="13021765"/>
    <w:rsid w:val="13021E37"/>
    <w:rsid w:val="13027A1F"/>
    <w:rsid w:val="130628D8"/>
    <w:rsid w:val="130639EA"/>
    <w:rsid w:val="130748FF"/>
    <w:rsid w:val="13091FED"/>
    <w:rsid w:val="130C3C87"/>
    <w:rsid w:val="130F17F2"/>
    <w:rsid w:val="13131750"/>
    <w:rsid w:val="13134040"/>
    <w:rsid w:val="13136CAC"/>
    <w:rsid w:val="13137DF1"/>
    <w:rsid w:val="13147DB8"/>
    <w:rsid w:val="13151E8F"/>
    <w:rsid w:val="131718EE"/>
    <w:rsid w:val="13173005"/>
    <w:rsid w:val="131A7468"/>
    <w:rsid w:val="131B20AB"/>
    <w:rsid w:val="131D569C"/>
    <w:rsid w:val="131E236E"/>
    <w:rsid w:val="131E7C21"/>
    <w:rsid w:val="132403A9"/>
    <w:rsid w:val="13246584"/>
    <w:rsid w:val="13282F2C"/>
    <w:rsid w:val="132D5E20"/>
    <w:rsid w:val="132F7090"/>
    <w:rsid w:val="132F77A0"/>
    <w:rsid w:val="133039F0"/>
    <w:rsid w:val="13312FBA"/>
    <w:rsid w:val="13315BA7"/>
    <w:rsid w:val="13316623"/>
    <w:rsid w:val="133253C2"/>
    <w:rsid w:val="13342F53"/>
    <w:rsid w:val="13364EF8"/>
    <w:rsid w:val="13370A53"/>
    <w:rsid w:val="1338746A"/>
    <w:rsid w:val="13391E77"/>
    <w:rsid w:val="133F3741"/>
    <w:rsid w:val="134012FE"/>
    <w:rsid w:val="1340403C"/>
    <w:rsid w:val="1341168F"/>
    <w:rsid w:val="1342495C"/>
    <w:rsid w:val="1345072E"/>
    <w:rsid w:val="134621D2"/>
    <w:rsid w:val="134A45A9"/>
    <w:rsid w:val="134D130F"/>
    <w:rsid w:val="134F3970"/>
    <w:rsid w:val="134F7BF4"/>
    <w:rsid w:val="13500390"/>
    <w:rsid w:val="1351446D"/>
    <w:rsid w:val="13522AFF"/>
    <w:rsid w:val="13523D0B"/>
    <w:rsid w:val="13525B1D"/>
    <w:rsid w:val="135446D2"/>
    <w:rsid w:val="13547AE7"/>
    <w:rsid w:val="135537D1"/>
    <w:rsid w:val="135571E0"/>
    <w:rsid w:val="13563568"/>
    <w:rsid w:val="13565B08"/>
    <w:rsid w:val="135B0E75"/>
    <w:rsid w:val="135B5F4B"/>
    <w:rsid w:val="135B650E"/>
    <w:rsid w:val="135D6EC0"/>
    <w:rsid w:val="135E5829"/>
    <w:rsid w:val="135F07BC"/>
    <w:rsid w:val="135F0A16"/>
    <w:rsid w:val="1362026A"/>
    <w:rsid w:val="13620456"/>
    <w:rsid w:val="1364437A"/>
    <w:rsid w:val="13650891"/>
    <w:rsid w:val="136903F0"/>
    <w:rsid w:val="136A10B9"/>
    <w:rsid w:val="136B0C51"/>
    <w:rsid w:val="136B33AA"/>
    <w:rsid w:val="136E24A3"/>
    <w:rsid w:val="13705B4F"/>
    <w:rsid w:val="1370795F"/>
    <w:rsid w:val="1372028F"/>
    <w:rsid w:val="13745069"/>
    <w:rsid w:val="13773958"/>
    <w:rsid w:val="13780B86"/>
    <w:rsid w:val="137837D5"/>
    <w:rsid w:val="1378752A"/>
    <w:rsid w:val="137A5D57"/>
    <w:rsid w:val="137B1518"/>
    <w:rsid w:val="137C022D"/>
    <w:rsid w:val="137E371A"/>
    <w:rsid w:val="137F7E6F"/>
    <w:rsid w:val="13805075"/>
    <w:rsid w:val="138168B5"/>
    <w:rsid w:val="13837D83"/>
    <w:rsid w:val="13837E58"/>
    <w:rsid w:val="1386036A"/>
    <w:rsid w:val="13866822"/>
    <w:rsid w:val="138678F1"/>
    <w:rsid w:val="13873911"/>
    <w:rsid w:val="1387623D"/>
    <w:rsid w:val="13885454"/>
    <w:rsid w:val="138B7901"/>
    <w:rsid w:val="138D0B74"/>
    <w:rsid w:val="138D7032"/>
    <w:rsid w:val="138F0B1F"/>
    <w:rsid w:val="13901406"/>
    <w:rsid w:val="13901A67"/>
    <w:rsid w:val="139219B9"/>
    <w:rsid w:val="1393125C"/>
    <w:rsid w:val="13942121"/>
    <w:rsid w:val="13960282"/>
    <w:rsid w:val="13961EAE"/>
    <w:rsid w:val="13970AC0"/>
    <w:rsid w:val="139714FD"/>
    <w:rsid w:val="139774AE"/>
    <w:rsid w:val="1399665B"/>
    <w:rsid w:val="139A2609"/>
    <w:rsid w:val="139A5E54"/>
    <w:rsid w:val="139B3968"/>
    <w:rsid w:val="139C385F"/>
    <w:rsid w:val="139C6FDA"/>
    <w:rsid w:val="13A05ACA"/>
    <w:rsid w:val="13A116EE"/>
    <w:rsid w:val="13A14FE9"/>
    <w:rsid w:val="13A24C31"/>
    <w:rsid w:val="13A445CA"/>
    <w:rsid w:val="13A46A08"/>
    <w:rsid w:val="13A552C0"/>
    <w:rsid w:val="13A63CFD"/>
    <w:rsid w:val="13A759D0"/>
    <w:rsid w:val="13A75E69"/>
    <w:rsid w:val="13AB6CAF"/>
    <w:rsid w:val="13AE1A7A"/>
    <w:rsid w:val="13AE5161"/>
    <w:rsid w:val="13AE5449"/>
    <w:rsid w:val="13AF4D1D"/>
    <w:rsid w:val="13AF4DA6"/>
    <w:rsid w:val="13B22361"/>
    <w:rsid w:val="13B25C6D"/>
    <w:rsid w:val="13B25F53"/>
    <w:rsid w:val="13B33D27"/>
    <w:rsid w:val="13B8595E"/>
    <w:rsid w:val="13B978D0"/>
    <w:rsid w:val="13BA411B"/>
    <w:rsid w:val="13BB46B6"/>
    <w:rsid w:val="13BC2064"/>
    <w:rsid w:val="13BD53C3"/>
    <w:rsid w:val="13BE3B4C"/>
    <w:rsid w:val="13C206AB"/>
    <w:rsid w:val="13C41741"/>
    <w:rsid w:val="13CA2FDE"/>
    <w:rsid w:val="13CB6E45"/>
    <w:rsid w:val="13CD2D7A"/>
    <w:rsid w:val="13CF78ED"/>
    <w:rsid w:val="13D02CB0"/>
    <w:rsid w:val="13D223CB"/>
    <w:rsid w:val="13D24060"/>
    <w:rsid w:val="13D32BE9"/>
    <w:rsid w:val="13D340A1"/>
    <w:rsid w:val="13D36B88"/>
    <w:rsid w:val="13D36C86"/>
    <w:rsid w:val="13D504B7"/>
    <w:rsid w:val="13D5518F"/>
    <w:rsid w:val="13D554E5"/>
    <w:rsid w:val="13D824C6"/>
    <w:rsid w:val="13D949F2"/>
    <w:rsid w:val="13D97FC0"/>
    <w:rsid w:val="13DA1B33"/>
    <w:rsid w:val="13DD6610"/>
    <w:rsid w:val="13E20C61"/>
    <w:rsid w:val="13E37991"/>
    <w:rsid w:val="13E57E77"/>
    <w:rsid w:val="13E72709"/>
    <w:rsid w:val="13E76BAD"/>
    <w:rsid w:val="13E8280E"/>
    <w:rsid w:val="13E96FE1"/>
    <w:rsid w:val="13EB3FA7"/>
    <w:rsid w:val="13EB6EB1"/>
    <w:rsid w:val="13EC7363"/>
    <w:rsid w:val="13EE56E2"/>
    <w:rsid w:val="13EE7724"/>
    <w:rsid w:val="13F217DA"/>
    <w:rsid w:val="13F2221A"/>
    <w:rsid w:val="13F43E5A"/>
    <w:rsid w:val="13F511D1"/>
    <w:rsid w:val="13F56804"/>
    <w:rsid w:val="13F76D66"/>
    <w:rsid w:val="13F8062B"/>
    <w:rsid w:val="13F866C4"/>
    <w:rsid w:val="13F92B66"/>
    <w:rsid w:val="13FA5E0F"/>
    <w:rsid w:val="13FA60CE"/>
    <w:rsid w:val="13FB0839"/>
    <w:rsid w:val="13FB5DF2"/>
    <w:rsid w:val="13FB6DC3"/>
    <w:rsid w:val="13FC61B5"/>
    <w:rsid w:val="13FD0982"/>
    <w:rsid w:val="13FF3EF7"/>
    <w:rsid w:val="140139D8"/>
    <w:rsid w:val="14030028"/>
    <w:rsid w:val="14033556"/>
    <w:rsid w:val="14043D38"/>
    <w:rsid w:val="1405170A"/>
    <w:rsid w:val="14054261"/>
    <w:rsid w:val="14066236"/>
    <w:rsid w:val="14070334"/>
    <w:rsid w:val="140726BE"/>
    <w:rsid w:val="14096B23"/>
    <w:rsid w:val="140B6C21"/>
    <w:rsid w:val="140C45B6"/>
    <w:rsid w:val="140C50FA"/>
    <w:rsid w:val="140C5DFC"/>
    <w:rsid w:val="140E5EE8"/>
    <w:rsid w:val="140F488D"/>
    <w:rsid w:val="14107EB2"/>
    <w:rsid w:val="14125749"/>
    <w:rsid w:val="14127B5D"/>
    <w:rsid w:val="14127D8A"/>
    <w:rsid w:val="14145742"/>
    <w:rsid w:val="141463C9"/>
    <w:rsid w:val="14150C68"/>
    <w:rsid w:val="141733FA"/>
    <w:rsid w:val="14177669"/>
    <w:rsid w:val="141A5CF3"/>
    <w:rsid w:val="141B169F"/>
    <w:rsid w:val="141C61D8"/>
    <w:rsid w:val="141E42D5"/>
    <w:rsid w:val="1420273B"/>
    <w:rsid w:val="14223741"/>
    <w:rsid w:val="14236BEC"/>
    <w:rsid w:val="14261294"/>
    <w:rsid w:val="14270941"/>
    <w:rsid w:val="142A78C3"/>
    <w:rsid w:val="142C2D1F"/>
    <w:rsid w:val="142D2812"/>
    <w:rsid w:val="142E5E87"/>
    <w:rsid w:val="142F4354"/>
    <w:rsid w:val="14301E56"/>
    <w:rsid w:val="14302302"/>
    <w:rsid w:val="14331CB2"/>
    <w:rsid w:val="143376FC"/>
    <w:rsid w:val="143405E3"/>
    <w:rsid w:val="1438445E"/>
    <w:rsid w:val="143936D8"/>
    <w:rsid w:val="143F3330"/>
    <w:rsid w:val="1441038D"/>
    <w:rsid w:val="144143BA"/>
    <w:rsid w:val="14432035"/>
    <w:rsid w:val="14445DAD"/>
    <w:rsid w:val="1447052F"/>
    <w:rsid w:val="14472FEB"/>
    <w:rsid w:val="14473F8B"/>
    <w:rsid w:val="144821C8"/>
    <w:rsid w:val="14494F10"/>
    <w:rsid w:val="144A6194"/>
    <w:rsid w:val="144B1082"/>
    <w:rsid w:val="144C2F9E"/>
    <w:rsid w:val="144C5909"/>
    <w:rsid w:val="144D662F"/>
    <w:rsid w:val="145005C5"/>
    <w:rsid w:val="14512567"/>
    <w:rsid w:val="145211E8"/>
    <w:rsid w:val="14531813"/>
    <w:rsid w:val="14546E50"/>
    <w:rsid w:val="14556BA8"/>
    <w:rsid w:val="14561FDC"/>
    <w:rsid w:val="145924A4"/>
    <w:rsid w:val="145A2050"/>
    <w:rsid w:val="145A77CE"/>
    <w:rsid w:val="145C3174"/>
    <w:rsid w:val="145C4CEE"/>
    <w:rsid w:val="145F451B"/>
    <w:rsid w:val="14613537"/>
    <w:rsid w:val="14624E2F"/>
    <w:rsid w:val="14641191"/>
    <w:rsid w:val="14665976"/>
    <w:rsid w:val="14685930"/>
    <w:rsid w:val="146A5E04"/>
    <w:rsid w:val="146D193E"/>
    <w:rsid w:val="146D70B2"/>
    <w:rsid w:val="146E3F8E"/>
    <w:rsid w:val="146E589A"/>
    <w:rsid w:val="14700951"/>
    <w:rsid w:val="1470584C"/>
    <w:rsid w:val="147463E6"/>
    <w:rsid w:val="14763522"/>
    <w:rsid w:val="14765AA9"/>
    <w:rsid w:val="14766154"/>
    <w:rsid w:val="14777F31"/>
    <w:rsid w:val="14785EF3"/>
    <w:rsid w:val="14795F23"/>
    <w:rsid w:val="147A135B"/>
    <w:rsid w:val="147C10A3"/>
    <w:rsid w:val="147C5547"/>
    <w:rsid w:val="147E1EE7"/>
    <w:rsid w:val="14800697"/>
    <w:rsid w:val="148105D7"/>
    <w:rsid w:val="14831BB2"/>
    <w:rsid w:val="14832432"/>
    <w:rsid w:val="14850695"/>
    <w:rsid w:val="14861B67"/>
    <w:rsid w:val="14870391"/>
    <w:rsid w:val="148730DE"/>
    <w:rsid w:val="14885C4A"/>
    <w:rsid w:val="14891A12"/>
    <w:rsid w:val="148971D0"/>
    <w:rsid w:val="148A7C64"/>
    <w:rsid w:val="148B2269"/>
    <w:rsid w:val="148E5089"/>
    <w:rsid w:val="149048DE"/>
    <w:rsid w:val="14922DE5"/>
    <w:rsid w:val="14960D95"/>
    <w:rsid w:val="14963CA8"/>
    <w:rsid w:val="14972381"/>
    <w:rsid w:val="14982AF0"/>
    <w:rsid w:val="149A0352"/>
    <w:rsid w:val="149A4482"/>
    <w:rsid w:val="149A4A8D"/>
    <w:rsid w:val="149B0E1B"/>
    <w:rsid w:val="149C0C86"/>
    <w:rsid w:val="149C20FD"/>
    <w:rsid w:val="149C320F"/>
    <w:rsid w:val="149C45DB"/>
    <w:rsid w:val="149E726C"/>
    <w:rsid w:val="149F1737"/>
    <w:rsid w:val="149F2D6F"/>
    <w:rsid w:val="149F3BC6"/>
    <w:rsid w:val="149F7B94"/>
    <w:rsid w:val="14A2165D"/>
    <w:rsid w:val="14A24CDE"/>
    <w:rsid w:val="14A27A3E"/>
    <w:rsid w:val="14A55DB4"/>
    <w:rsid w:val="14A56367"/>
    <w:rsid w:val="14A66120"/>
    <w:rsid w:val="14A80541"/>
    <w:rsid w:val="14A8336F"/>
    <w:rsid w:val="14AA4ED3"/>
    <w:rsid w:val="14AA7713"/>
    <w:rsid w:val="14AD4EE5"/>
    <w:rsid w:val="14B1017B"/>
    <w:rsid w:val="14B277F6"/>
    <w:rsid w:val="14B34E68"/>
    <w:rsid w:val="14B359E0"/>
    <w:rsid w:val="14B57F54"/>
    <w:rsid w:val="14B7032D"/>
    <w:rsid w:val="14B735C0"/>
    <w:rsid w:val="14B81816"/>
    <w:rsid w:val="14BB3B7E"/>
    <w:rsid w:val="14BE09E0"/>
    <w:rsid w:val="14BE2D28"/>
    <w:rsid w:val="14BE346A"/>
    <w:rsid w:val="14BE4107"/>
    <w:rsid w:val="14C33816"/>
    <w:rsid w:val="14C61DA1"/>
    <w:rsid w:val="14C665B9"/>
    <w:rsid w:val="14CB1EA4"/>
    <w:rsid w:val="14CC629D"/>
    <w:rsid w:val="14CE0FD8"/>
    <w:rsid w:val="14CE4728"/>
    <w:rsid w:val="14CE6E3B"/>
    <w:rsid w:val="14CF43FB"/>
    <w:rsid w:val="14D24BE3"/>
    <w:rsid w:val="14D25167"/>
    <w:rsid w:val="14D25A43"/>
    <w:rsid w:val="14D27C9B"/>
    <w:rsid w:val="14D42C16"/>
    <w:rsid w:val="14D55D65"/>
    <w:rsid w:val="14D82B60"/>
    <w:rsid w:val="14D876C1"/>
    <w:rsid w:val="14DA24A2"/>
    <w:rsid w:val="14DB10A2"/>
    <w:rsid w:val="14DB26F8"/>
    <w:rsid w:val="14DC2BBF"/>
    <w:rsid w:val="14DC7E77"/>
    <w:rsid w:val="14DD5073"/>
    <w:rsid w:val="14DD752A"/>
    <w:rsid w:val="14DE0A02"/>
    <w:rsid w:val="14DE16A6"/>
    <w:rsid w:val="14DE2ACF"/>
    <w:rsid w:val="14DE4EE3"/>
    <w:rsid w:val="14DF2231"/>
    <w:rsid w:val="14E629C1"/>
    <w:rsid w:val="14E7655D"/>
    <w:rsid w:val="14E97911"/>
    <w:rsid w:val="14EA5E8E"/>
    <w:rsid w:val="14EB464A"/>
    <w:rsid w:val="14EB66FA"/>
    <w:rsid w:val="14EC2420"/>
    <w:rsid w:val="14EC447B"/>
    <w:rsid w:val="14ED1960"/>
    <w:rsid w:val="14EE1BC1"/>
    <w:rsid w:val="14EE29ED"/>
    <w:rsid w:val="14F139F6"/>
    <w:rsid w:val="14F16709"/>
    <w:rsid w:val="14F235AE"/>
    <w:rsid w:val="14F30652"/>
    <w:rsid w:val="14F37395"/>
    <w:rsid w:val="14F52AED"/>
    <w:rsid w:val="14F7343D"/>
    <w:rsid w:val="14F74019"/>
    <w:rsid w:val="14FA32E0"/>
    <w:rsid w:val="14FB74F2"/>
    <w:rsid w:val="14FC21E4"/>
    <w:rsid w:val="14FE66DD"/>
    <w:rsid w:val="15032E84"/>
    <w:rsid w:val="15037AAF"/>
    <w:rsid w:val="150712B5"/>
    <w:rsid w:val="15074AB0"/>
    <w:rsid w:val="1508619E"/>
    <w:rsid w:val="150C39B6"/>
    <w:rsid w:val="150C6733"/>
    <w:rsid w:val="15104061"/>
    <w:rsid w:val="151065DD"/>
    <w:rsid w:val="1510670E"/>
    <w:rsid w:val="1513634C"/>
    <w:rsid w:val="15170DCC"/>
    <w:rsid w:val="15175270"/>
    <w:rsid w:val="15175384"/>
    <w:rsid w:val="1519357C"/>
    <w:rsid w:val="1519518B"/>
    <w:rsid w:val="151A33D8"/>
    <w:rsid w:val="151B4AF5"/>
    <w:rsid w:val="151B6085"/>
    <w:rsid w:val="151C1017"/>
    <w:rsid w:val="151C33B5"/>
    <w:rsid w:val="151E51D6"/>
    <w:rsid w:val="152531FA"/>
    <w:rsid w:val="15257F4F"/>
    <w:rsid w:val="152639A8"/>
    <w:rsid w:val="15296E2C"/>
    <w:rsid w:val="152B1B0C"/>
    <w:rsid w:val="152C17FF"/>
    <w:rsid w:val="152D16C9"/>
    <w:rsid w:val="152D1B5C"/>
    <w:rsid w:val="15301C54"/>
    <w:rsid w:val="15323C57"/>
    <w:rsid w:val="15326297"/>
    <w:rsid w:val="1532718D"/>
    <w:rsid w:val="153274F3"/>
    <w:rsid w:val="15332F94"/>
    <w:rsid w:val="1535498D"/>
    <w:rsid w:val="153558B1"/>
    <w:rsid w:val="1536087D"/>
    <w:rsid w:val="153631E5"/>
    <w:rsid w:val="15376B99"/>
    <w:rsid w:val="153B3862"/>
    <w:rsid w:val="153B3949"/>
    <w:rsid w:val="153C564B"/>
    <w:rsid w:val="153D4894"/>
    <w:rsid w:val="153D4B33"/>
    <w:rsid w:val="153E1E00"/>
    <w:rsid w:val="153F759E"/>
    <w:rsid w:val="154065CC"/>
    <w:rsid w:val="15423368"/>
    <w:rsid w:val="15432089"/>
    <w:rsid w:val="15463286"/>
    <w:rsid w:val="15473964"/>
    <w:rsid w:val="154D0169"/>
    <w:rsid w:val="154D1F19"/>
    <w:rsid w:val="154E3A88"/>
    <w:rsid w:val="154F6458"/>
    <w:rsid w:val="15512064"/>
    <w:rsid w:val="15513C57"/>
    <w:rsid w:val="15540A3D"/>
    <w:rsid w:val="155513C0"/>
    <w:rsid w:val="155539D2"/>
    <w:rsid w:val="155573F1"/>
    <w:rsid w:val="15575392"/>
    <w:rsid w:val="1558120F"/>
    <w:rsid w:val="15587624"/>
    <w:rsid w:val="155C674A"/>
    <w:rsid w:val="155D5602"/>
    <w:rsid w:val="155E5284"/>
    <w:rsid w:val="1562473D"/>
    <w:rsid w:val="156631E8"/>
    <w:rsid w:val="15664CFA"/>
    <w:rsid w:val="1567689C"/>
    <w:rsid w:val="156A158D"/>
    <w:rsid w:val="156A1844"/>
    <w:rsid w:val="156A5B4D"/>
    <w:rsid w:val="156D1FD3"/>
    <w:rsid w:val="156F41E6"/>
    <w:rsid w:val="1570615F"/>
    <w:rsid w:val="15735A0E"/>
    <w:rsid w:val="15745835"/>
    <w:rsid w:val="15751366"/>
    <w:rsid w:val="157709B0"/>
    <w:rsid w:val="15794927"/>
    <w:rsid w:val="157B1E18"/>
    <w:rsid w:val="157C41C3"/>
    <w:rsid w:val="157D173F"/>
    <w:rsid w:val="157D28B9"/>
    <w:rsid w:val="158054F4"/>
    <w:rsid w:val="15811DBF"/>
    <w:rsid w:val="15844794"/>
    <w:rsid w:val="15851A4F"/>
    <w:rsid w:val="15854922"/>
    <w:rsid w:val="1585667E"/>
    <w:rsid w:val="15867911"/>
    <w:rsid w:val="158800DA"/>
    <w:rsid w:val="15883A78"/>
    <w:rsid w:val="158903B5"/>
    <w:rsid w:val="158A50E0"/>
    <w:rsid w:val="158B0C5E"/>
    <w:rsid w:val="158B4325"/>
    <w:rsid w:val="158D78F0"/>
    <w:rsid w:val="158E17D1"/>
    <w:rsid w:val="159174E0"/>
    <w:rsid w:val="159254CD"/>
    <w:rsid w:val="15927202"/>
    <w:rsid w:val="15951749"/>
    <w:rsid w:val="15953B0A"/>
    <w:rsid w:val="15970A3C"/>
    <w:rsid w:val="15973CBB"/>
    <w:rsid w:val="15983817"/>
    <w:rsid w:val="1598780A"/>
    <w:rsid w:val="159A076C"/>
    <w:rsid w:val="159A1A05"/>
    <w:rsid w:val="159A4DC8"/>
    <w:rsid w:val="159B2A8E"/>
    <w:rsid w:val="159B3EB5"/>
    <w:rsid w:val="159B442A"/>
    <w:rsid w:val="159B6FE9"/>
    <w:rsid w:val="159D1AD7"/>
    <w:rsid w:val="159D5A87"/>
    <w:rsid w:val="159E329B"/>
    <w:rsid w:val="159F489A"/>
    <w:rsid w:val="15A22C1A"/>
    <w:rsid w:val="15A41028"/>
    <w:rsid w:val="15A44D56"/>
    <w:rsid w:val="15A53943"/>
    <w:rsid w:val="15AB655D"/>
    <w:rsid w:val="15AB77B5"/>
    <w:rsid w:val="15AC5CFE"/>
    <w:rsid w:val="15AE284F"/>
    <w:rsid w:val="15AE7982"/>
    <w:rsid w:val="15B0111A"/>
    <w:rsid w:val="15B11B72"/>
    <w:rsid w:val="15B40668"/>
    <w:rsid w:val="15B40EDA"/>
    <w:rsid w:val="15B44D0B"/>
    <w:rsid w:val="15B52109"/>
    <w:rsid w:val="15B71897"/>
    <w:rsid w:val="15B82570"/>
    <w:rsid w:val="15B825AF"/>
    <w:rsid w:val="15BB3E4D"/>
    <w:rsid w:val="15BC5CA5"/>
    <w:rsid w:val="15BD5C94"/>
    <w:rsid w:val="15C076B6"/>
    <w:rsid w:val="15C303A3"/>
    <w:rsid w:val="15C42D02"/>
    <w:rsid w:val="15C63D27"/>
    <w:rsid w:val="15C65C88"/>
    <w:rsid w:val="15C931FF"/>
    <w:rsid w:val="15CB1DD1"/>
    <w:rsid w:val="15CB52B5"/>
    <w:rsid w:val="15CC16D7"/>
    <w:rsid w:val="15CF45BA"/>
    <w:rsid w:val="15D03642"/>
    <w:rsid w:val="15D162E2"/>
    <w:rsid w:val="15D2710C"/>
    <w:rsid w:val="15D346A7"/>
    <w:rsid w:val="15D47CD9"/>
    <w:rsid w:val="15D52CC9"/>
    <w:rsid w:val="15D61189"/>
    <w:rsid w:val="15D87BF4"/>
    <w:rsid w:val="15DD5B72"/>
    <w:rsid w:val="15DE219A"/>
    <w:rsid w:val="15DF5072"/>
    <w:rsid w:val="15E1245A"/>
    <w:rsid w:val="15E1370C"/>
    <w:rsid w:val="15E1607E"/>
    <w:rsid w:val="15E32AC7"/>
    <w:rsid w:val="15E342DF"/>
    <w:rsid w:val="15E45152"/>
    <w:rsid w:val="15E5044E"/>
    <w:rsid w:val="15E550A2"/>
    <w:rsid w:val="15E66743"/>
    <w:rsid w:val="15E67673"/>
    <w:rsid w:val="15E816E8"/>
    <w:rsid w:val="15EA2906"/>
    <w:rsid w:val="15EC2259"/>
    <w:rsid w:val="15F007D9"/>
    <w:rsid w:val="15F07A78"/>
    <w:rsid w:val="15F232AA"/>
    <w:rsid w:val="15F333DA"/>
    <w:rsid w:val="15F63919"/>
    <w:rsid w:val="15F7657D"/>
    <w:rsid w:val="15F95902"/>
    <w:rsid w:val="15FA4976"/>
    <w:rsid w:val="15FE146B"/>
    <w:rsid w:val="16003785"/>
    <w:rsid w:val="16016326"/>
    <w:rsid w:val="16021A7C"/>
    <w:rsid w:val="160228B5"/>
    <w:rsid w:val="160268EB"/>
    <w:rsid w:val="160324DD"/>
    <w:rsid w:val="1603387A"/>
    <w:rsid w:val="16054AFA"/>
    <w:rsid w:val="160557EF"/>
    <w:rsid w:val="16065AD4"/>
    <w:rsid w:val="16075A01"/>
    <w:rsid w:val="16082857"/>
    <w:rsid w:val="160B1B3D"/>
    <w:rsid w:val="160D77C5"/>
    <w:rsid w:val="160E671C"/>
    <w:rsid w:val="160E7F4D"/>
    <w:rsid w:val="160F3621"/>
    <w:rsid w:val="161075E5"/>
    <w:rsid w:val="16111CE9"/>
    <w:rsid w:val="161129B1"/>
    <w:rsid w:val="16123B79"/>
    <w:rsid w:val="16127B8D"/>
    <w:rsid w:val="16150914"/>
    <w:rsid w:val="1616463C"/>
    <w:rsid w:val="161802E9"/>
    <w:rsid w:val="161819DC"/>
    <w:rsid w:val="1618304E"/>
    <w:rsid w:val="1618444C"/>
    <w:rsid w:val="16186AF5"/>
    <w:rsid w:val="16186CC3"/>
    <w:rsid w:val="1619477A"/>
    <w:rsid w:val="161A38D5"/>
    <w:rsid w:val="161A390D"/>
    <w:rsid w:val="161A6D46"/>
    <w:rsid w:val="161A7D54"/>
    <w:rsid w:val="161A7D77"/>
    <w:rsid w:val="161D04D1"/>
    <w:rsid w:val="161D0664"/>
    <w:rsid w:val="161E2F88"/>
    <w:rsid w:val="161F7DE1"/>
    <w:rsid w:val="16201A37"/>
    <w:rsid w:val="16202874"/>
    <w:rsid w:val="16206019"/>
    <w:rsid w:val="1623440C"/>
    <w:rsid w:val="1623482C"/>
    <w:rsid w:val="162478EF"/>
    <w:rsid w:val="1627221C"/>
    <w:rsid w:val="16284013"/>
    <w:rsid w:val="162C4310"/>
    <w:rsid w:val="162E461F"/>
    <w:rsid w:val="16302EE7"/>
    <w:rsid w:val="16327E40"/>
    <w:rsid w:val="16331C36"/>
    <w:rsid w:val="16332D1E"/>
    <w:rsid w:val="163360DA"/>
    <w:rsid w:val="16356BB0"/>
    <w:rsid w:val="16357ECD"/>
    <w:rsid w:val="16361ABA"/>
    <w:rsid w:val="1637067E"/>
    <w:rsid w:val="163B0AEA"/>
    <w:rsid w:val="163B2F5A"/>
    <w:rsid w:val="163C3520"/>
    <w:rsid w:val="163C41C1"/>
    <w:rsid w:val="16407249"/>
    <w:rsid w:val="16412565"/>
    <w:rsid w:val="16456F7D"/>
    <w:rsid w:val="164615A4"/>
    <w:rsid w:val="164634B7"/>
    <w:rsid w:val="164707B6"/>
    <w:rsid w:val="16491459"/>
    <w:rsid w:val="164A3AD6"/>
    <w:rsid w:val="164D0CB7"/>
    <w:rsid w:val="164D4499"/>
    <w:rsid w:val="164D71B3"/>
    <w:rsid w:val="164E311F"/>
    <w:rsid w:val="164E4CC1"/>
    <w:rsid w:val="16512116"/>
    <w:rsid w:val="1653052A"/>
    <w:rsid w:val="16577C68"/>
    <w:rsid w:val="16585CC2"/>
    <w:rsid w:val="1658692D"/>
    <w:rsid w:val="165A7400"/>
    <w:rsid w:val="165D1E26"/>
    <w:rsid w:val="165D6528"/>
    <w:rsid w:val="166246D4"/>
    <w:rsid w:val="16624802"/>
    <w:rsid w:val="166444E5"/>
    <w:rsid w:val="166460E2"/>
    <w:rsid w:val="166543CB"/>
    <w:rsid w:val="166568BF"/>
    <w:rsid w:val="166736CE"/>
    <w:rsid w:val="16680707"/>
    <w:rsid w:val="16685D83"/>
    <w:rsid w:val="16696F70"/>
    <w:rsid w:val="1669733B"/>
    <w:rsid w:val="166C5006"/>
    <w:rsid w:val="166F4E09"/>
    <w:rsid w:val="1672210D"/>
    <w:rsid w:val="16734A56"/>
    <w:rsid w:val="16740541"/>
    <w:rsid w:val="16747190"/>
    <w:rsid w:val="167548F6"/>
    <w:rsid w:val="16774BC1"/>
    <w:rsid w:val="16776790"/>
    <w:rsid w:val="167B623A"/>
    <w:rsid w:val="167D39D3"/>
    <w:rsid w:val="167D741B"/>
    <w:rsid w:val="167F131F"/>
    <w:rsid w:val="168071F0"/>
    <w:rsid w:val="168072EC"/>
    <w:rsid w:val="1683080F"/>
    <w:rsid w:val="16831BDA"/>
    <w:rsid w:val="168563F0"/>
    <w:rsid w:val="1687199B"/>
    <w:rsid w:val="168757B3"/>
    <w:rsid w:val="16876C5D"/>
    <w:rsid w:val="168865E3"/>
    <w:rsid w:val="168924CC"/>
    <w:rsid w:val="16896B72"/>
    <w:rsid w:val="168A4F8B"/>
    <w:rsid w:val="168D2D70"/>
    <w:rsid w:val="168D6B92"/>
    <w:rsid w:val="168D6C3D"/>
    <w:rsid w:val="168E2BE8"/>
    <w:rsid w:val="1692185F"/>
    <w:rsid w:val="16922716"/>
    <w:rsid w:val="1693522C"/>
    <w:rsid w:val="1696695B"/>
    <w:rsid w:val="169764DE"/>
    <w:rsid w:val="169838B1"/>
    <w:rsid w:val="169A023F"/>
    <w:rsid w:val="169A26DA"/>
    <w:rsid w:val="169A4DD4"/>
    <w:rsid w:val="169A567C"/>
    <w:rsid w:val="169D3553"/>
    <w:rsid w:val="169D68CD"/>
    <w:rsid w:val="169E0E3D"/>
    <w:rsid w:val="169E6A22"/>
    <w:rsid w:val="169F0586"/>
    <w:rsid w:val="169F2025"/>
    <w:rsid w:val="169F214C"/>
    <w:rsid w:val="169F73CB"/>
    <w:rsid w:val="16A04530"/>
    <w:rsid w:val="16A33539"/>
    <w:rsid w:val="16A353F1"/>
    <w:rsid w:val="16A46F2C"/>
    <w:rsid w:val="16A51BD1"/>
    <w:rsid w:val="16A51F8F"/>
    <w:rsid w:val="16AD1854"/>
    <w:rsid w:val="16AE479B"/>
    <w:rsid w:val="16B0772A"/>
    <w:rsid w:val="16B32E96"/>
    <w:rsid w:val="16B632D4"/>
    <w:rsid w:val="16B73C96"/>
    <w:rsid w:val="16B94702"/>
    <w:rsid w:val="16BA0F4D"/>
    <w:rsid w:val="16BA1AE0"/>
    <w:rsid w:val="16BA3D64"/>
    <w:rsid w:val="16BB10BB"/>
    <w:rsid w:val="16BB7018"/>
    <w:rsid w:val="16BC5986"/>
    <w:rsid w:val="16BD399F"/>
    <w:rsid w:val="16BD4E3E"/>
    <w:rsid w:val="16BE2021"/>
    <w:rsid w:val="16C07D2A"/>
    <w:rsid w:val="16C3745D"/>
    <w:rsid w:val="16C418FF"/>
    <w:rsid w:val="16C64858"/>
    <w:rsid w:val="16C93816"/>
    <w:rsid w:val="16CB2FD9"/>
    <w:rsid w:val="16CB4564"/>
    <w:rsid w:val="16CE5044"/>
    <w:rsid w:val="16CF0435"/>
    <w:rsid w:val="16D02482"/>
    <w:rsid w:val="16D402AD"/>
    <w:rsid w:val="16D41320"/>
    <w:rsid w:val="16D46256"/>
    <w:rsid w:val="16D50546"/>
    <w:rsid w:val="16D50F3F"/>
    <w:rsid w:val="16D64C42"/>
    <w:rsid w:val="16D9695E"/>
    <w:rsid w:val="16DA29F4"/>
    <w:rsid w:val="16DB49A9"/>
    <w:rsid w:val="16DB6F4A"/>
    <w:rsid w:val="16DC407B"/>
    <w:rsid w:val="16DD3B1A"/>
    <w:rsid w:val="16E137C0"/>
    <w:rsid w:val="16E27AFB"/>
    <w:rsid w:val="16E41182"/>
    <w:rsid w:val="16E554A7"/>
    <w:rsid w:val="16E60245"/>
    <w:rsid w:val="16E83C32"/>
    <w:rsid w:val="16E86655"/>
    <w:rsid w:val="16EA3203"/>
    <w:rsid w:val="16EB3B7F"/>
    <w:rsid w:val="16EE5C44"/>
    <w:rsid w:val="16EE68C0"/>
    <w:rsid w:val="16F21AF1"/>
    <w:rsid w:val="16F373B9"/>
    <w:rsid w:val="16F4694C"/>
    <w:rsid w:val="16F7440A"/>
    <w:rsid w:val="16F80B50"/>
    <w:rsid w:val="16F82936"/>
    <w:rsid w:val="16F94968"/>
    <w:rsid w:val="16FB6BF7"/>
    <w:rsid w:val="16FC435A"/>
    <w:rsid w:val="16FD7241"/>
    <w:rsid w:val="16FE66C7"/>
    <w:rsid w:val="16FF05EF"/>
    <w:rsid w:val="170039B3"/>
    <w:rsid w:val="1700420E"/>
    <w:rsid w:val="1702048B"/>
    <w:rsid w:val="17057DFE"/>
    <w:rsid w:val="1706559C"/>
    <w:rsid w:val="1706657E"/>
    <w:rsid w:val="17090882"/>
    <w:rsid w:val="17094C75"/>
    <w:rsid w:val="170B36BC"/>
    <w:rsid w:val="170C1519"/>
    <w:rsid w:val="170F2C54"/>
    <w:rsid w:val="170F3FAA"/>
    <w:rsid w:val="17120DE0"/>
    <w:rsid w:val="17137D16"/>
    <w:rsid w:val="171769EC"/>
    <w:rsid w:val="17180B1D"/>
    <w:rsid w:val="17193C1E"/>
    <w:rsid w:val="171B244F"/>
    <w:rsid w:val="171D6300"/>
    <w:rsid w:val="171E4655"/>
    <w:rsid w:val="17201528"/>
    <w:rsid w:val="1726218D"/>
    <w:rsid w:val="17285ED1"/>
    <w:rsid w:val="17287C13"/>
    <w:rsid w:val="1729268E"/>
    <w:rsid w:val="172A0882"/>
    <w:rsid w:val="172A3039"/>
    <w:rsid w:val="172E30D6"/>
    <w:rsid w:val="1730437D"/>
    <w:rsid w:val="173058B1"/>
    <w:rsid w:val="17316AFF"/>
    <w:rsid w:val="17316D56"/>
    <w:rsid w:val="1732187A"/>
    <w:rsid w:val="173628F8"/>
    <w:rsid w:val="173950C3"/>
    <w:rsid w:val="17396CFA"/>
    <w:rsid w:val="173B60C3"/>
    <w:rsid w:val="173E342C"/>
    <w:rsid w:val="173E3832"/>
    <w:rsid w:val="174151B5"/>
    <w:rsid w:val="1743234C"/>
    <w:rsid w:val="17435EA8"/>
    <w:rsid w:val="174410FF"/>
    <w:rsid w:val="17444754"/>
    <w:rsid w:val="17446170"/>
    <w:rsid w:val="17451880"/>
    <w:rsid w:val="17481D54"/>
    <w:rsid w:val="1749082A"/>
    <w:rsid w:val="17490963"/>
    <w:rsid w:val="17490B15"/>
    <w:rsid w:val="174D4AD3"/>
    <w:rsid w:val="174E30EC"/>
    <w:rsid w:val="174E391C"/>
    <w:rsid w:val="174F19B7"/>
    <w:rsid w:val="174F7EA7"/>
    <w:rsid w:val="17514A69"/>
    <w:rsid w:val="17514C6C"/>
    <w:rsid w:val="1752373B"/>
    <w:rsid w:val="17532738"/>
    <w:rsid w:val="17571954"/>
    <w:rsid w:val="17584E63"/>
    <w:rsid w:val="17591B70"/>
    <w:rsid w:val="175967CE"/>
    <w:rsid w:val="175A3992"/>
    <w:rsid w:val="175A79F8"/>
    <w:rsid w:val="175D29B3"/>
    <w:rsid w:val="175E44AE"/>
    <w:rsid w:val="175F775A"/>
    <w:rsid w:val="17603A02"/>
    <w:rsid w:val="17604137"/>
    <w:rsid w:val="17606286"/>
    <w:rsid w:val="17612BF8"/>
    <w:rsid w:val="17624CC6"/>
    <w:rsid w:val="17636F69"/>
    <w:rsid w:val="176652D8"/>
    <w:rsid w:val="17677AB2"/>
    <w:rsid w:val="176813B5"/>
    <w:rsid w:val="17696E04"/>
    <w:rsid w:val="176A681D"/>
    <w:rsid w:val="176A7584"/>
    <w:rsid w:val="176B54AA"/>
    <w:rsid w:val="176E1BDA"/>
    <w:rsid w:val="176E63C2"/>
    <w:rsid w:val="176F3141"/>
    <w:rsid w:val="17714F86"/>
    <w:rsid w:val="17717D0D"/>
    <w:rsid w:val="17720D97"/>
    <w:rsid w:val="1772725F"/>
    <w:rsid w:val="1773329D"/>
    <w:rsid w:val="17742ED6"/>
    <w:rsid w:val="177737D7"/>
    <w:rsid w:val="177A4FD1"/>
    <w:rsid w:val="177B2305"/>
    <w:rsid w:val="177B3EC3"/>
    <w:rsid w:val="177C027C"/>
    <w:rsid w:val="17803BE6"/>
    <w:rsid w:val="17811FB0"/>
    <w:rsid w:val="17816E81"/>
    <w:rsid w:val="1783519E"/>
    <w:rsid w:val="178470A6"/>
    <w:rsid w:val="17855360"/>
    <w:rsid w:val="17865A01"/>
    <w:rsid w:val="17871E7A"/>
    <w:rsid w:val="17877C74"/>
    <w:rsid w:val="17885D15"/>
    <w:rsid w:val="17892971"/>
    <w:rsid w:val="178931F9"/>
    <w:rsid w:val="178B0D6A"/>
    <w:rsid w:val="178D6BA4"/>
    <w:rsid w:val="178E5214"/>
    <w:rsid w:val="179078A2"/>
    <w:rsid w:val="17931F0E"/>
    <w:rsid w:val="17936B4B"/>
    <w:rsid w:val="179400D7"/>
    <w:rsid w:val="1796041D"/>
    <w:rsid w:val="179608E8"/>
    <w:rsid w:val="17985C71"/>
    <w:rsid w:val="17990407"/>
    <w:rsid w:val="17996410"/>
    <w:rsid w:val="17996C25"/>
    <w:rsid w:val="179A6553"/>
    <w:rsid w:val="179A6E57"/>
    <w:rsid w:val="179B2BA0"/>
    <w:rsid w:val="179E5280"/>
    <w:rsid w:val="17A01A19"/>
    <w:rsid w:val="17A27585"/>
    <w:rsid w:val="17A33D1D"/>
    <w:rsid w:val="17A36711"/>
    <w:rsid w:val="17A53018"/>
    <w:rsid w:val="17A61160"/>
    <w:rsid w:val="17AA6A7E"/>
    <w:rsid w:val="17AB7D0C"/>
    <w:rsid w:val="17AC1023"/>
    <w:rsid w:val="17B07EF0"/>
    <w:rsid w:val="17B15954"/>
    <w:rsid w:val="17B71282"/>
    <w:rsid w:val="17B81E34"/>
    <w:rsid w:val="17BB1EE3"/>
    <w:rsid w:val="17BB323B"/>
    <w:rsid w:val="17BB4A29"/>
    <w:rsid w:val="17BD61FA"/>
    <w:rsid w:val="17BE043E"/>
    <w:rsid w:val="17BE7C66"/>
    <w:rsid w:val="17C0495E"/>
    <w:rsid w:val="17C409AC"/>
    <w:rsid w:val="17C8547A"/>
    <w:rsid w:val="17CA3752"/>
    <w:rsid w:val="17D0109B"/>
    <w:rsid w:val="17D15BAA"/>
    <w:rsid w:val="17D2185D"/>
    <w:rsid w:val="17D21CBE"/>
    <w:rsid w:val="17D47209"/>
    <w:rsid w:val="17D674EB"/>
    <w:rsid w:val="17D82A95"/>
    <w:rsid w:val="17DA745F"/>
    <w:rsid w:val="17DC7497"/>
    <w:rsid w:val="17DD1CE4"/>
    <w:rsid w:val="17DD2F7A"/>
    <w:rsid w:val="17DD69CC"/>
    <w:rsid w:val="17E063AA"/>
    <w:rsid w:val="17E22640"/>
    <w:rsid w:val="17E30B5F"/>
    <w:rsid w:val="17E314AE"/>
    <w:rsid w:val="17E407C9"/>
    <w:rsid w:val="17E551B2"/>
    <w:rsid w:val="17E56EE5"/>
    <w:rsid w:val="17E87756"/>
    <w:rsid w:val="17EC3193"/>
    <w:rsid w:val="17EC6540"/>
    <w:rsid w:val="17ED18A8"/>
    <w:rsid w:val="17EE050A"/>
    <w:rsid w:val="17F04282"/>
    <w:rsid w:val="17F33250"/>
    <w:rsid w:val="17FB39A9"/>
    <w:rsid w:val="18021B21"/>
    <w:rsid w:val="18053E50"/>
    <w:rsid w:val="180650CA"/>
    <w:rsid w:val="180715CC"/>
    <w:rsid w:val="18075128"/>
    <w:rsid w:val="1807720C"/>
    <w:rsid w:val="18084B93"/>
    <w:rsid w:val="18090297"/>
    <w:rsid w:val="180A7A37"/>
    <w:rsid w:val="180D4349"/>
    <w:rsid w:val="18147C3E"/>
    <w:rsid w:val="181746FC"/>
    <w:rsid w:val="18181A8C"/>
    <w:rsid w:val="1818279F"/>
    <w:rsid w:val="181926B6"/>
    <w:rsid w:val="181A120E"/>
    <w:rsid w:val="181B6ADE"/>
    <w:rsid w:val="181D4613"/>
    <w:rsid w:val="181D5EC2"/>
    <w:rsid w:val="181F4A63"/>
    <w:rsid w:val="181F63E3"/>
    <w:rsid w:val="182139B3"/>
    <w:rsid w:val="18233224"/>
    <w:rsid w:val="18254D35"/>
    <w:rsid w:val="18271AC1"/>
    <w:rsid w:val="18274E03"/>
    <w:rsid w:val="182967E1"/>
    <w:rsid w:val="182C6085"/>
    <w:rsid w:val="182C6732"/>
    <w:rsid w:val="182D251E"/>
    <w:rsid w:val="182D67E4"/>
    <w:rsid w:val="183024EC"/>
    <w:rsid w:val="1831207D"/>
    <w:rsid w:val="18327ADB"/>
    <w:rsid w:val="18337D9E"/>
    <w:rsid w:val="18356478"/>
    <w:rsid w:val="18363C5F"/>
    <w:rsid w:val="183670DD"/>
    <w:rsid w:val="183C1F29"/>
    <w:rsid w:val="183C74C7"/>
    <w:rsid w:val="183D2464"/>
    <w:rsid w:val="183E54B6"/>
    <w:rsid w:val="184347D5"/>
    <w:rsid w:val="18437DDC"/>
    <w:rsid w:val="18444A36"/>
    <w:rsid w:val="18445D83"/>
    <w:rsid w:val="1845108E"/>
    <w:rsid w:val="184813BE"/>
    <w:rsid w:val="18485F50"/>
    <w:rsid w:val="18491148"/>
    <w:rsid w:val="184A36FA"/>
    <w:rsid w:val="184B43A6"/>
    <w:rsid w:val="184C74BC"/>
    <w:rsid w:val="184D2F45"/>
    <w:rsid w:val="184E0D45"/>
    <w:rsid w:val="18502F73"/>
    <w:rsid w:val="18540BC3"/>
    <w:rsid w:val="18543EDC"/>
    <w:rsid w:val="1855363A"/>
    <w:rsid w:val="185869DA"/>
    <w:rsid w:val="185A2B61"/>
    <w:rsid w:val="185A794E"/>
    <w:rsid w:val="185B3A15"/>
    <w:rsid w:val="185C0256"/>
    <w:rsid w:val="185F3FF8"/>
    <w:rsid w:val="185F68FE"/>
    <w:rsid w:val="18612F66"/>
    <w:rsid w:val="18683F4C"/>
    <w:rsid w:val="18685B6C"/>
    <w:rsid w:val="18690D49"/>
    <w:rsid w:val="186B22A3"/>
    <w:rsid w:val="186D1062"/>
    <w:rsid w:val="186D14DF"/>
    <w:rsid w:val="186D1F5D"/>
    <w:rsid w:val="186F54F1"/>
    <w:rsid w:val="18710E80"/>
    <w:rsid w:val="18762422"/>
    <w:rsid w:val="18765FDF"/>
    <w:rsid w:val="18772D99"/>
    <w:rsid w:val="18776BD2"/>
    <w:rsid w:val="18784EC1"/>
    <w:rsid w:val="187B1444"/>
    <w:rsid w:val="187C3D68"/>
    <w:rsid w:val="187C4217"/>
    <w:rsid w:val="187D753B"/>
    <w:rsid w:val="188034A7"/>
    <w:rsid w:val="1881312C"/>
    <w:rsid w:val="188304BB"/>
    <w:rsid w:val="18854759"/>
    <w:rsid w:val="188626B4"/>
    <w:rsid w:val="18863C71"/>
    <w:rsid w:val="188673E0"/>
    <w:rsid w:val="188734DB"/>
    <w:rsid w:val="18884642"/>
    <w:rsid w:val="18886814"/>
    <w:rsid w:val="188A60C9"/>
    <w:rsid w:val="188A6744"/>
    <w:rsid w:val="188B20FD"/>
    <w:rsid w:val="188E3A9B"/>
    <w:rsid w:val="188E603E"/>
    <w:rsid w:val="18901BCB"/>
    <w:rsid w:val="1890336F"/>
    <w:rsid w:val="18910E95"/>
    <w:rsid w:val="18911658"/>
    <w:rsid w:val="18915C32"/>
    <w:rsid w:val="1893634A"/>
    <w:rsid w:val="18940976"/>
    <w:rsid w:val="18972C55"/>
    <w:rsid w:val="189A2353"/>
    <w:rsid w:val="189B1B79"/>
    <w:rsid w:val="189D0536"/>
    <w:rsid w:val="189D7A20"/>
    <w:rsid w:val="189F7996"/>
    <w:rsid w:val="18A00DFB"/>
    <w:rsid w:val="18A14593"/>
    <w:rsid w:val="18A15ABE"/>
    <w:rsid w:val="18A16F02"/>
    <w:rsid w:val="18A1732B"/>
    <w:rsid w:val="18A17CA7"/>
    <w:rsid w:val="18A4506D"/>
    <w:rsid w:val="18A45F21"/>
    <w:rsid w:val="18A51579"/>
    <w:rsid w:val="18A6262F"/>
    <w:rsid w:val="18A759A0"/>
    <w:rsid w:val="18A920E9"/>
    <w:rsid w:val="18AA2E4C"/>
    <w:rsid w:val="18AC1535"/>
    <w:rsid w:val="18AF64DB"/>
    <w:rsid w:val="18B024C6"/>
    <w:rsid w:val="18B21538"/>
    <w:rsid w:val="18B2778A"/>
    <w:rsid w:val="18B3705E"/>
    <w:rsid w:val="18B907B4"/>
    <w:rsid w:val="18BB06B2"/>
    <w:rsid w:val="18BD228D"/>
    <w:rsid w:val="18BD54EA"/>
    <w:rsid w:val="18BD6070"/>
    <w:rsid w:val="18BF6503"/>
    <w:rsid w:val="18C0131F"/>
    <w:rsid w:val="18C06FAC"/>
    <w:rsid w:val="18C21074"/>
    <w:rsid w:val="18C354F3"/>
    <w:rsid w:val="18C40BD9"/>
    <w:rsid w:val="18C410A6"/>
    <w:rsid w:val="18C4744E"/>
    <w:rsid w:val="18C5798A"/>
    <w:rsid w:val="18C764D3"/>
    <w:rsid w:val="18C84151"/>
    <w:rsid w:val="18C869C5"/>
    <w:rsid w:val="18C902BD"/>
    <w:rsid w:val="18CC46F6"/>
    <w:rsid w:val="18CD2271"/>
    <w:rsid w:val="18CE0465"/>
    <w:rsid w:val="18CE0A75"/>
    <w:rsid w:val="18CF5918"/>
    <w:rsid w:val="18D203E7"/>
    <w:rsid w:val="18D25C80"/>
    <w:rsid w:val="18D25D27"/>
    <w:rsid w:val="18D26FE5"/>
    <w:rsid w:val="18D506DF"/>
    <w:rsid w:val="18D719A4"/>
    <w:rsid w:val="18D845AF"/>
    <w:rsid w:val="18D85379"/>
    <w:rsid w:val="18D86755"/>
    <w:rsid w:val="18D9231B"/>
    <w:rsid w:val="18D92B50"/>
    <w:rsid w:val="18D95697"/>
    <w:rsid w:val="18DD0A0A"/>
    <w:rsid w:val="18DD4B9A"/>
    <w:rsid w:val="18E31CFF"/>
    <w:rsid w:val="18E76970"/>
    <w:rsid w:val="18E80A0D"/>
    <w:rsid w:val="18E84CB1"/>
    <w:rsid w:val="18E91E64"/>
    <w:rsid w:val="18E92A80"/>
    <w:rsid w:val="18EA221C"/>
    <w:rsid w:val="18EA3BC5"/>
    <w:rsid w:val="18EA41D3"/>
    <w:rsid w:val="18EB5725"/>
    <w:rsid w:val="18EC2BE9"/>
    <w:rsid w:val="18ED007C"/>
    <w:rsid w:val="18ED21C1"/>
    <w:rsid w:val="18ED6A14"/>
    <w:rsid w:val="18EF5ED2"/>
    <w:rsid w:val="18F00CF8"/>
    <w:rsid w:val="18F05534"/>
    <w:rsid w:val="18F46E37"/>
    <w:rsid w:val="18F714CD"/>
    <w:rsid w:val="18F767B8"/>
    <w:rsid w:val="18F94875"/>
    <w:rsid w:val="18FA6A3B"/>
    <w:rsid w:val="18FC054F"/>
    <w:rsid w:val="18FC0C46"/>
    <w:rsid w:val="18FC1302"/>
    <w:rsid w:val="18FD312D"/>
    <w:rsid w:val="19021CD4"/>
    <w:rsid w:val="190246A0"/>
    <w:rsid w:val="190473FF"/>
    <w:rsid w:val="19053A6E"/>
    <w:rsid w:val="190808A6"/>
    <w:rsid w:val="190855FC"/>
    <w:rsid w:val="190938C6"/>
    <w:rsid w:val="190D3817"/>
    <w:rsid w:val="190D3FE4"/>
    <w:rsid w:val="19115B4D"/>
    <w:rsid w:val="19122E8D"/>
    <w:rsid w:val="19151C90"/>
    <w:rsid w:val="19153875"/>
    <w:rsid w:val="1917052A"/>
    <w:rsid w:val="19171182"/>
    <w:rsid w:val="19193A68"/>
    <w:rsid w:val="191B0EA8"/>
    <w:rsid w:val="19212219"/>
    <w:rsid w:val="19217892"/>
    <w:rsid w:val="19240043"/>
    <w:rsid w:val="19257978"/>
    <w:rsid w:val="19261AF3"/>
    <w:rsid w:val="19283E5F"/>
    <w:rsid w:val="192A0B74"/>
    <w:rsid w:val="192F0DDA"/>
    <w:rsid w:val="192F2B88"/>
    <w:rsid w:val="19322678"/>
    <w:rsid w:val="193247A3"/>
    <w:rsid w:val="193450CD"/>
    <w:rsid w:val="1935126D"/>
    <w:rsid w:val="19353454"/>
    <w:rsid w:val="19353F17"/>
    <w:rsid w:val="1935521D"/>
    <w:rsid w:val="19372226"/>
    <w:rsid w:val="19377C8F"/>
    <w:rsid w:val="193E23C0"/>
    <w:rsid w:val="193F6A8C"/>
    <w:rsid w:val="19404D95"/>
    <w:rsid w:val="194145D2"/>
    <w:rsid w:val="19451FF5"/>
    <w:rsid w:val="194564A4"/>
    <w:rsid w:val="19461C80"/>
    <w:rsid w:val="19486FA7"/>
    <w:rsid w:val="19490DFB"/>
    <w:rsid w:val="19493E5F"/>
    <w:rsid w:val="194B54E8"/>
    <w:rsid w:val="194B7AB7"/>
    <w:rsid w:val="194C158E"/>
    <w:rsid w:val="194C5F25"/>
    <w:rsid w:val="194E2A48"/>
    <w:rsid w:val="194F56C0"/>
    <w:rsid w:val="19502AFF"/>
    <w:rsid w:val="195031C4"/>
    <w:rsid w:val="1951515D"/>
    <w:rsid w:val="19517508"/>
    <w:rsid w:val="19520278"/>
    <w:rsid w:val="19562D9B"/>
    <w:rsid w:val="195877A3"/>
    <w:rsid w:val="195A5D19"/>
    <w:rsid w:val="195C7062"/>
    <w:rsid w:val="195F28E6"/>
    <w:rsid w:val="195F48FB"/>
    <w:rsid w:val="19627105"/>
    <w:rsid w:val="1964350C"/>
    <w:rsid w:val="19661B4A"/>
    <w:rsid w:val="19680CDD"/>
    <w:rsid w:val="19681485"/>
    <w:rsid w:val="196D2FAF"/>
    <w:rsid w:val="19703566"/>
    <w:rsid w:val="19755131"/>
    <w:rsid w:val="19756A55"/>
    <w:rsid w:val="19772C0B"/>
    <w:rsid w:val="197829A4"/>
    <w:rsid w:val="197A3087"/>
    <w:rsid w:val="197B5DCD"/>
    <w:rsid w:val="197E26BC"/>
    <w:rsid w:val="197F1F72"/>
    <w:rsid w:val="197F7EC5"/>
    <w:rsid w:val="19816A9A"/>
    <w:rsid w:val="198260B2"/>
    <w:rsid w:val="1983514B"/>
    <w:rsid w:val="198C7F6E"/>
    <w:rsid w:val="198D5B01"/>
    <w:rsid w:val="198E1B75"/>
    <w:rsid w:val="19911FCF"/>
    <w:rsid w:val="19914F2C"/>
    <w:rsid w:val="19922829"/>
    <w:rsid w:val="19935544"/>
    <w:rsid w:val="1994451A"/>
    <w:rsid w:val="19946E7F"/>
    <w:rsid w:val="19946E8F"/>
    <w:rsid w:val="19946F79"/>
    <w:rsid w:val="19975418"/>
    <w:rsid w:val="19982F6B"/>
    <w:rsid w:val="19994159"/>
    <w:rsid w:val="199A0867"/>
    <w:rsid w:val="199E75BC"/>
    <w:rsid w:val="19A0635B"/>
    <w:rsid w:val="19A3060D"/>
    <w:rsid w:val="19A4002B"/>
    <w:rsid w:val="19A5038E"/>
    <w:rsid w:val="19A6574E"/>
    <w:rsid w:val="19A846E9"/>
    <w:rsid w:val="19A87FED"/>
    <w:rsid w:val="19A95590"/>
    <w:rsid w:val="19AA4E63"/>
    <w:rsid w:val="19AB51D9"/>
    <w:rsid w:val="19AD113C"/>
    <w:rsid w:val="19AF2DCC"/>
    <w:rsid w:val="19B05AAF"/>
    <w:rsid w:val="19B30411"/>
    <w:rsid w:val="19B337B9"/>
    <w:rsid w:val="19B33F4F"/>
    <w:rsid w:val="19B412DF"/>
    <w:rsid w:val="19B97804"/>
    <w:rsid w:val="19BC205B"/>
    <w:rsid w:val="19BC2A29"/>
    <w:rsid w:val="19BE358A"/>
    <w:rsid w:val="19BE59C7"/>
    <w:rsid w:val="19C11BFB"/>
    <w:rsid w:val="19C257AA"/>
    <w:rsid w:val="19C61282"/>
    <w:rsid w:val="19C66188"/>
    <w:rsid w:val="19C70CA2"/>
    <w:rsid w:val="19C74A78"/>
    <w:rsid w:val="19C91296"/>
    <w:rsid w:val="19CC03D7"/>
    <w:rsid w:val="19CD19CF"/>
    <w:rsid w:val="19CF0510"/>
    <w:rsid w:val="19D142FC"/>
    <w:rsid w:val="19D32D16"/>
    <w:rsid w:val="19D360F9"/>
    <w:rsid w:val="19D47943"/>
    <w:rsid w:val="19D63004"/>
    <w:rsid w:val="19D63E6B"/>
    <w:rsid w:val="19D70B4F"/>
    <w:rsid w:val="19D81277"/>
    <w:rsid w:val="19DA24DE"/>
    <w:rsid w:val="19DB56A3"/>
    <w:rsid w:val="19DC470B"/>
    <w:rsid w:val="19DE3BA9"/>
    <w:rsid w:val="19DE4AB3"/>
    <w:rsid w:val="19DF0B33"/>
    <w:rsid w:val="19DF5F4F"/>
    <w:rsid w:val="19E020D4"/>
    <w:rsid w:val="19E05580"/>
    <w:rsid w:val="19E20720"/>
    <w:rsid w:val="19E262A4"/>
    <w:rsid w:val="19E2747D"/>
    <w:rsid w:val="19E6556D"/>
    <w:rsid w:val="19E6637F"/>
    <w:rsid w:val="19E80F89"/>
    <w:rsid w:val="19EA2FD8"/>
    <w:rsid w:val="19EA6E9D"/>
    <w:rsid w:val="19EC0A79"/>
    <w:rsid w:val="19EC6CCB"/>
    <w:rsid w:val="19EE1986"/>
    <w:rsid w:val="19EE2A43"/>
    <w:rsid w:val="19EF2318"/>
    <w:rsid w:val="19F05131"/>
    <w:rsid w:val="19F116BD"/>
    <w:rsid w:val="19F16B99"/>
    <w:rsid w:val="19F210D5"/>
    <w:rsid w:val="19F266C8"/>
    <w:rsid w:val="19F27607"/>
    <w:rsid w:val="19F42C46"/>
    <w:rsid w:val="19F44E85"/>
    <w:rsid w:val="19F472C9"/>
    <w:rsid w:val="19F55E2B"/>
    <w:rsid w:val="19F636A6"/>
    <w:rsid w:val="19F65FB0"/>
    <w:rsid w:val="19F72119"/>
    <w:rsid w:val="19F74B2E"/>
    <w:rsid w:val="19F87156"/>
    <w:rsid w:val="19F91DDA"/>
    <w:rsid w:val="19FB17F2"/>
    <w:rsid w:val="19FB20C8"/>
    <w:rsid w:val="19FB39A0"/>
    <w:rsid w:val="19FE1BFF"/>
    <w:rsid w:val="1A005713"/>
    <w:rsid w:val="1A011F32"/>
    <w:rsid w:val="1A030A11"/>
    <w:rsid w:val="1A0453A4"/>
    <w:rsid w:val="1A045CDF"/>
    <w:rsid w:val="1A0538E9"/>
    <w:rsid w:val="1A082499"/>
    <w:rsid w:val="1A09162B"/>
    <w:rsid w:val="1A0A7151"/>
    <w:rsid w:val="1A0B096E"/>
    <w:rsid w:val="1A0E4A41"/>
    <w:rsid w:val="1A0E5A2C"/>
    <w:rsid w:val="1A113891"/>
    <w:rsid w:val="1A1332D7"/>
    <w:rsid w:val="1A13790B"/>
    <w:rsid w:val="1A14099D"/>
    <w:rsid w:val="1A154CAC"/>
    <w:rsid w:val="1A1D0C33"/>
    <w:rsid w:val="1A1F0E4F"/>
    <w:rsid w:val="1A203FC0"/>
    <w:rsid w:val="1A206975"/>
    <w:rsid w:val="1A217544"/>
    <w:rsid w:val="1A243206"/>
    <w:rsid w:val="1A246465"/>
    <w:rsid w:val="1A254A3D"/>
    <w:rsid w:val="1A274D6E"/>
    <w:rsid w:val="1A2A3350"/>
    <w:rsid w:val="1A2E0C72"/>
    <w:rsid w:val="1A2E34FD"/>
    <w:rsid w:val="1A313B06"/>
    <w:rsid w:val="1A327D01"/>
    <w:rsid w:val="1A330456"/>
    <w:rsid w:val="1A3356A7"/>
    <w:rsid w:val="1A3430C1"/>
    <w:rsid w:val="1A3507AD"/>
    <w:rsid w:val="1A356D2B"/>
    <w:rsid w:val="1A36182D"/>
    <w:rsid w:val="1A362D4C"/>
    <w:rsid w:val="1A3839FF"/>
    <w:rsid w:val="1A3A17E5"/>
    <w:rsid w:val="1A3A62B2"/>
    <w:rsid w:val="1A3C7707"/>
    <w:rsid w:val="1A3D5981"/>
    <w:rsid w:val="1A3D714A"/>
    <w:rsid w:val="1A40066C"/>
    <w:rsid w:val="1A414857"/>
    <w:rsid w:val="1A417B90"/>
    <w:rsid w:val="1A426F06"/>
    <w:rsid w:val="1A447240"/>
    <w:rsid w:val="1A45144E"/>
    <w:rsid w:val="1A46462D"/>
    <w:rsid w:val="1A473F02"/>
    <w:rsid w:val="1A480142"/>
    <w:rsid w:val="1A4A2930"/>
    <w:rsid w:val="1A4B1C44"/>
    <w:rsid w:val="1A4D558C"/>
    <w:rsid w:val="1A4D63C8"/>
    <w:rsid w:val="1A4E05E6"/>
    <w:rsid w:val="1A4E3003"/>
    <w:rsid w:val="1A4E3500"/>
    <w:rsid w:val="1A4E6C05"/>
    <w:rsid w:val="1A4F6830"/>
    <w:rsid w:val="1A534939"/>
    <w:rsid w:val="1A5403CD"/>
    <w:rsid w:val="1A5867F3"/>
    <w:rsid w:val="1A597FD2"/>
    <w:rsid w:val="1A5D1977"/>
    <w:rsid w:val="1A5D1E61"/>
    <w:rsid w:val="1A5F1868"/>
    <w:rsid w:val="1A6143CE"/>
    <w:rsid w:val="1A614425"/>
    <w:rsid w:val="1A630D57"/>
    <w:rsid w:val="1A644AB4"/>
    <w:rsid w:val="1A663CF6"/>
    <w:rsid w:val="1A66768B"/>
    <w:rsid w:val="1A67542C"/>
    <w:rsid w:val="1A681E40"/>
    <w:rsid w:val="1A6E7728"/>
    <w:rsid w:val="1A703458"/>
    <w:rsid w:val="1A7228F8"/>
    <w:rsid w:val="1A725D5E"/>
    <w:rsid w:val="1A732F49"/>
    <w:rsid w:val="1A74722D"/>
    <w:rsid w:val="1A750A6F"/>
    <w:rsid w:val="1A7753C4"/>
    <w:rsid w:val="1A794433"/>
    <w:rsid w:val="1A7A02A0"/>
    <w:rsid w:val="1A7A7317"/>
    <w:rsid w:val="1A7C0FF4"/>
    <w:rsid w:val="1A7C79CC"/>
    <w:rsid w:val="1A80380E"/>
    <w:rsid w:val="1A807FF0"/>
    <w:rsid w:val="1A842455"/>
    <w:rsid w:val="1A853ABB"/>
    <w:rsid w:val="1A87187A"/>
    <w:rsid w:val="1A885044"/>
    <w:rsid w:val="1A8B383F"/>
    <w:rsid w:val="1A8B7005"/>
    <w:rsid w:val="1A8B7D9B"/>
    <w:rsid w:val="1A9153BE"/>
    <w:rsid w:val="1A9167FA"/>
    <w:rsid w:val="1A93080C"/>
    <w:rsid w:val="1A932329"/>
    <w:rsid w:val="1A95305B"/>
    <w:rsid w:val="1A97765E"/>
    <w:rsid w:val="1A992F35"/>
    <w:rsid w:val="1A9A0089"/>
    <w:rsid w:val="1A9B37D3"/>
    <w:rsid w:val="1A9E143E"/>
    <w:rsid w:val="1A9E7F70"/>
    <w:rsid w:val="1AA16BE4"/>
    <w:rsid w:val="1AA475A6"/>
    <w:rsid w:val="1AA576B5"/>
    <w:rsid w:val="1AA749A0"/>
    <w:rsid w:val="1AAA7E1A"/>
    <w:rsid w:val="1AAC66E2"/>
    <w:rsid w:val="1AAC7254"/>
    <w:rsid w:val="1AAC7BA0"/>
    <w:rsid w:val="1AAF5237"/>
    <w:rsid w:val="1AB07F54"/>
    <w:rsid w:val="1AB27625"/>
    <w:rsid w:val="1AB5530F"/>
    <w:rsid w:val="1AB8095B"/>
    <w:rsid w:val="1ABA46D4"/>
    <w:rsid w:val="1ABC044C"/>
    <w:rsid w:val="1ABC48F0"/>
    <w:rsid w:val="1ABC5485"/>
    <w:rsid w:val="1ABC5FC4"/>
    <w:rsid w:val="1ABE64A1"/>
    <w:rsid w:val="1AC059F4"/>
    <w:rsid w:val="1AC306D2"/>
    <w:rsid w:val="1AC35339"/>
    <w:rsid w:val="1AC44516"/>
    <w:rsid w:val="1AC44BAF"/>
    <w:rsid w:val="1AC462AC"/>
    <w:rsid w:val="1AC4785A"/>
    <w:rsid w:val="1AC5175B"/>
    <w:rsid w:val="1AC624EA"/>
    <w:rsid w:val="1AC63445"/>
    <w:rsid w:val="1ACC24E0"/>
    <w:rsid w:val="1ACE5AEB"/>
    <w:rsid w:val="1AD00BBB"/>
    <w:rsid w:val="1AD05EA7"/>
    <w:rsid w:val="1AD147D6"/>
    <w:rsid w:val="1AD65030"/>
    <w:rsid w:val="1AD67034"/>
    <w:rsid w:val="1AD773C8"/>
    <w:rsid w:val="1AD81B56"/>
    <w:rsid w:val="1AD87028"/>
    <w:rsid w:val="1ADA7608"/>
    <w:rsid w:val="1ADB5B9F"/>
    <w:rsid w:val="1ADE4ECA"/>
    <w:rsid w:val="1ADF099D"/>
    <w:rsid w:val="1AE152A3"/>
    <w:rsid w:val="1AE16068"/>
    <w:rsid w:val="1AE17068"/>
    <w:rsid w:val="1AE23C2A"/>
    <w:rsid w:val="1AE25AD5"/>
    <w:rsid w:val="1AE25F0F"/>
    <w:rsid w:val="1AE35FDC"/>
    <w:rsid w:val="1AE44BBE"/>
    <w:rsid w:val="1AE46441"/>
    <w:rsid w:val="1AE53423"/>
    <w:rsid w:val="1AE92747"/>
    <w:rsid w:val="1AEA3D83"/>
    <w:rsid w:val="1AEA6C1A"/>
    <w:rsid w:val="1AEB0D31"/>
    <w:rsid w:val="1AEB28B8"/>
    <w:rsid w:val="1AF234E7"/>
    <w:rsid w:val="1AF243A7"/>
    <w:rsid w:val="1AF378EE"/>
    <w:rsid w:val="1AF44146"/>
    <w:rsid w:val="1AF4719E"/>
    <w:rsid w:val="1AF50990"/>
    <w:rsid w:val="1AF70827"/>
    <w:rsid w:val="1AF950CF"/>
    <w:rsid w:val="1AFA0FC2"/>
    <w:rsid w:val="1AFC2F3E"/>
    <w:rsid w:val="1AFC3A77"/>
    <w:rsid w:val="1AFC7150"/>
    <w:rsid w:val="1AFE6C89"/>
    <w:rsid w:val="1B0256FE"/>
    <w:rsid w:val="1B0610B8"/>
    <w:rsid w:val="1B0A0674"/>
    <w:rsid w:val="1B0B1EC1"/>
    <w:rsid w:val="1B0B4F2F"/>
    <w:rsid w:val="1B0D18ED"/>
    <w:rsid w:val="1B0F0724"/>
    <w:rsid w:val="1B100F4E"/>
    <w:rsid w:val="1B1153A3"/>
    <w:rsid w:val="1B1337A5"/>
    <w:rsid w:val="1B140288"/>
    <w:rsid w:val="1B15134E"/>
    <w:rsid w:val="1B1B211A"/>
    <w:rsid w:val="1B1E2419"/>
    <w:rsid w:val="1B1F49AA"/>
    <w:rsid w:val="1B20231F"/>
    <w:rsid w:val="1B203A30"/>
    <w:rsid w:val="1B251DCD"/>
    <w:rsid w:val="1B292A6B"/>
    <w:rsid w:val="1B2A2684"/>
    <w:rsid w:val="1B2A5D78"/>
    <w:rsid w:val="1B2E5AAA"/>
    <w:rsid w:val="1B2F1121"/>
    <w:rsid w:val="1B306C85"/>
    <w:rsid w:val="1B311323"/>
    <w:rsid w:val="1B317DA3"/>
    <w:rsid w:val="1B33690F"/>
    <w:rsid w:val="1B342696"/>
    <w:rsid w:val="1B345D85"/>
    <w:rsid w:val="1B352FC4"/>
    <w:rsid w:val="1B3530E1"/>
    <w:rsid w:val="1B3554C6"/>
    <w:rsid w:val="1B364B2F"/>
    <w:rsid w:val="1B377883"/>
    <w:rsid w:val="1B39515B"/>
    <w:rsid w:val="1B3A409D"/>
    <w:rsid w:val="1B3A5B15"/>
    <w:rsid w:val="1B3B088C"/>
    <w:rsid w:val="1B3C333B"/>
    <w:rsid w:val="1B3C541D"/>
    <w:rsid w:val="1B3E70B3"/>
    <w:rsid w:val="1B3F107D"/>
    <w:rsid w:val="1B401E4C"/>
    <w:rsid w:val="1B4037DC"/>
    <w:rsid w:val="1B4042EC"/>
    <w:rsid w:val="1B405382"/>
    <w:rsid w:val="1B432C50"/>
    <w:rsid w:val="1B436242"/>
    <w:rsid w:val="1B4548E5"/>
    <w:rsid w:val="1B46065D"/>
    <w:rsid w:val="1B4618D2"/>
    <w:rsid w:val="1B46665D"/>
    <w:rsid w:val="1B483360"/>
    <w:rsid w:val="1B486183"/>
    <w:rsid w:val="1B4B5C73"/>
    <w:rsid w:val="1B4B60F5"/>
    <w:rsid w:val="1B4C0A4C"/>
    <w:rsid w:val="1B4F1969"/>
    <w:rsid w:val="1B5057A2"/>
    <w:rsid w:val="1B5100FC"/>
    <w:rsid w:val="1B513EBB"/>
    <w:rsid w:val="1B514C3C"/>
    <w:rsid w:val="1B53605C"/>
    <w:rsid w:val="1B5508A0"/>
    <w:rsid w:val="1B576F98"/>
    <w:rsid w:val="1B586C91"/>
    <w:rsid w:val="1B5A7DEF"/>
    <w:rsid w:val="1B5B12DB"/>
    <w:rsid w:val="1B5D40AF"/>
    <w:rsid w:val="1B5E0DC8"/>
    <w:rsid w:val="1B5F728F"/>
    <w:rsid w:val="1B5F76FA"/>
    <w:rsid w:val="1B610FF3"/>
    <w:rsid w:val="1B625210"/>
    <w:rsid w:val="1B64412F"/>
    <w:rsid w:val="1B647DC1"/>
    <w:rsid w:val="1B65076F"/>
    <w:rsid w:val="1B6644E5"/>
    <w:rsid w:val="1B676D22"/>
    <w:rsid w:val="1B6778DA"/>
    <w:rsid w:val="1B684A9D"/>
    <w:rsid w:val="1B6A621A"/>
    <w:rsid w:val="1B6B57AD"/>
    <w:rsid w:val="1B6C5114"/>
    <w:rsid w:val="1B6E7E56"/>
    <w:rsid w:val="1B6F003F"/>
    <w:rsid w:val="1B717A80"/>
    <w:rsid w:val="1B737C14"/>
    <w:rsid w:val="1B755AD2"/>
    <w:rsid w:val="1B75684C"/>
    <w:rsid w:val="1B78383A"/>
    <w:rsid w:val="1B787A45"/>
    <w:rsid w:val="1B790F8D"/>
    <w:rsid w:val="1B794284"/>
    <w:rsid w:val="1B7A24BD"/>
    <w:rsid w:val="1B7B0307"/>
    <w:rsid w:val="1B7F4F80"/>
    <w:rsid w:val="1B7F7261"/>
    <w:rsid w:val="1B804912"/>
    <w:rsid w:val="1B826884"/>
    <w:rsid w:val="1B852F33"/>
    <w:rsid w:val="1B870209"/>
    <w:rsid w:val="1B87260E"/>
    <w:rsid w:val="1B886508"/>
    <w:rsid w:val="1B8D410D"/>
    <w:rsid w:val="1B8D750A"/>
    <w:rsid w:val="1B8F5446"/>
    <w:rsid w:val="1B9037AA"/>
    <w:rsid w:val="1B925A10"/>
    <w:rsid w:val="1B972451"/>
    <w:rsid w:val="1B9B31EB"/>
    <w:rsid w:val="1B9B3EDE"/>
    <w:rsid w:val="1B9C3F24"/>
    <w:rsid w:val="1BA0618E"/>
    <w:rsid w:val="1BA07D6D"/>
    <w:rsid w:val="1BA40491"/>
    <w:rsid w:val="1BA45E02"/>
    <w:rsid w:val="1BA5499F"/>
    <w:rsid w:val="1BA553F0"/>
    <w:rsid w:val="1BA818BA"/>
    <w:rsid w:val="1BA82069"/>
    <w:rsid w:val="1BA93428"/>
    <w:rsid w:val="1BAA299A"/>
    <w:rsid w:val="1BAB1DBB"/>
    <w:rsid w:val="1BAC0B26"/>
    <w:rsid w:val="1BAD11E8"/>
    <w:rsid w:val="1BB0448D"/>
    <w:rsid w:val="1BB117EE"/>
    <w:rsid w:val="1BB71917"/>
    <w:rsid w:val="1BB93FE2"/>
    <w:rsid w:val="1BBF7C03"/>
    <w:rsid w:val="1BBF7F95"/>
    <w:rsid w:val="1BC2387B"/>
    <w:rsid w:val="1BC3301B"/>
    <w:rsid w:val="1BC432EE"/>
    <w:rsid w:val="1BC47F22"/>
    <w:rsid w:val="1BC5310D"/>
    <w:rsid w:val="1BC577D4"/>
    <w:rsid w:val="1BC670A8"/>
    <w:rsid w:val="1BC715B4"/>
    <w:rsid w:val="1BC72F4B"/>
    <w:rsid w:val="1BC7354C"/>
    <w:rsid w:val="1BC9321C"/>
    <w:rsid w:val="1BCA195E"/>
    <w:rsid w:val="1BCA4F3D"/>
    <w:rsid w:val="1BCC18A5"/>
    <w:rsid w:val="1BCD5A40"/>
    <w:rsid w:val="1BCD6EEC"/>
    <w:rsid w:val="1BCE2BAE"/>
    <w:rsid w:val="1BCF239E"/>
    <w:rsid w:val="1BD02ECC"/>
    <w:rsid w:val="1BD133B1"/>
    <w:rsid w:val="1BD16179"/>
    <w:rsid w:val="1BD21C5C"/>
    <w:rsid w:val="1BD43E5B"/>
    <w:rsid w:val="1BD93FD3"/>
    <w:rsid w:val="1BDB4585"/>
    <w:rsid w:val="1BDD0FC3"/>
    <w:rsid w:val="1BE349EE"/>
    <w:rsid w:val="1BE446CE"/>
    <w:rsid w:val="1BE47938"/>
    <w:rsid w:val="1BE70B69"/>
    <w:rsid w:val="1BE72E0B"/>
    <w:rsid w:val="1BE753BD"/>
    <w:rsid w:val="1BE75B48"/>
    <w:rsid w:val="1BE85F5C"/>
    <w:rsid w:val="1BE96AFB"/>
    <w:rsid w:val="1BEB3BBA"/>
    <w:rsid w:val="1BEE1740"/>
    <w:rsid w:val="1BEE6726"/>
    <w:rsid w:val="1BF2650E"/>
    <w:rsid w:val="1BF45396"/>
    <w:rsid w:val="1BF605DE"/>
    <w:rsid w:val="1BF6798D"/>
    <w:rsid w:val="1BF923B0"/>
    <w:rsid w:val="1BFB0AF4"/>
    <w:rsid w:val="1BFB4FA4"/>
    <w:rsid w:val="1BFB7C31"/>
    <w:rsid w:val="1BFB7EA1"/>
    <w:rsid w:val="1BFC70E0"/>
    <w:rsid w:val="1BFD0E9B"/>
    <w:rsid w:val="1BFD169C"/>
    <w:rsid w:val="1BFD4627"/>
    <w:rsid w:val="1BFE2CE6"/>
    <w:rsid w:val="1C00472E"/>
    <w:rsid w:val="1C0138B9"/>
    <w:rsid w:val="1C073510"/>
    <w:rsid w:val="1C0A46FC"/>
    <w:rsid w:val="1C0C6B39"/>
    <w:rsid w:val="1C0C749A"/>
    <w:rsid w:val="1C0D6A33"/>
    <w:rsid w:val="1C0E54DF"/>
    <w:rsid w:val="1C0F5F2A"/>
    <w:rsid w:val="1C145FF6"/>
    <w:rsid w:val="1C157783"/>
    <w:rsid w:val="1C160B42"/>
    <w:rsid w:val="1C1638D9"/>
    <w:rsid w:val="1C164F14"/>
    <w:rsid w:val="1C166B15"/>
    <w:rsid w:val="1C1750EE"/>
    <w:rsid w:val="1C184698"/>
    <w:rsid w:val="1C1E2B48"/>
    <w:rsid w:val="1C1F0902"/>
    <w:rsid w:val="1C1F5818"/>
    <w:rsid w:val="1C200ED3"/>
    <w:rsid w:val="1C210CE2"/>
    <w:rsid w:val="1C21123F"/>
    <w:rsid w:val="1C221B18"/>
    <w:rsid w:val="1C226026"/>
    <w:rsid w:val="1C2344FA"/>
    <w:rsid w:val="1C274201"/>
    <w:rsid w:val="1C281B11"/>
    <w:rsid w:val="1C286458"/>
    <w:rsid w:val="1C286A23"/>
    <w:rsid w:val="1C2954D9"/>
    <w:rsid w:val="1C297D63"/>
    <w:rsid w:val="1C2A1C6F"/>
    <w:rsid w:val="1C2A3ADB"/>
    <w:rsid w:val="1C2A4870"/>
    <w:rsid w:val="1C2B73EB"/>
    <w:rsid w:val="1C2C4FA0"/>
    <w:rsid w:val="1C2D22A5"/>
    <w:rsid w:val="1C2D67BA"/>
    <w:rsid w:val="1C2E1C77"/>
    <w:rsid w:val="1C321592"/>
    <w:rsid w:val="1C326177"/>
    <w:rsid w:val="1C331C91"/>
    <w:rsid w:val="1C35049D"/>
    <w:rsid w:val="1C351B3D"/>
    <w:rsid w:val="1C35306E"/>
    <w:rsid w:val="1C383C5E"/>
    <w:rsid w:val="1C3918EE"/>
    <w:rsid w:val="1C3A6D41"/>
    <w:rsid w:val="1C3E16AC"/>
    <w:rsid w:val="1C3F2B21"/>
    <w:rsid w:val="1C3F50B7"/>
    <w:rsid w:val="1C3F6CF1"/>
    <w:rsid w:val="1C407495"/>
    <w:rsid w:val="1C4133A8"/>
    <w:rsid w:val="1C414647"/>
    <w:rsid w:val="1C415E76"/>
    <w:rsid w:val="1C4306F9"/>
    <w:rsid w:val="1C444000"/>
    <w:rsid w:val="1C44475B"/>
    <w:rsid w:val="1C44694B"/>
    <w:rsid w:val="1C46069E"/>
    <w:rsid w:val="1C466B32"/>
    <w:rsid w:val="1C47627A"/>
    <w:rsid w:val="1C4915E9"/>
    <w:rsid w:val="1C492974"/>
    <w:rsid w:val="1C4A1A87"/>
    <w:rsid w:val="1C4B6894"/>
    <w:rsid w:val="1C4D485C"/>
    <w:rsid w:val="1C4F0C0D"/>
    <w:rsid w:val="1C4F3BA4"/>
    <w:rsid w:val="1C4F3E42"/>
    <w:rsid w:val="1C4F60BA"/>
    <w:rsid w:val="1C510DB0"/>
    <w:rsid w:val="1C5359CD"/>
    <w:rsid w:val="1C5523AD"/>
    <w:rsid w:val="1C5541C1"/>
    <w:rsid w:val="1C59328D"/>
    <w:rsid w:val="1C595433"/>
    <w:rsid w:val="1C5A0D1A"/>
    <w:rsid w:val="1C604FBA"/>
    <w:rsid w:val="1C610BB8"/>
    <w:rsid w:val="1C611C86"/>
    <w:rsid w:val="1C626231"/>
    <w:rsid w:val="1C626DD1"/>
    <w:rsid w:val="1C662D65"/>
    <w:rsid w:val="1C67756C"/>
    <w:rsid w:val="1C685EAE"/>
    <w:rsid w:val="1C694603"/>
    <w:rsid w:val="1C6D72B1"/>
    <w:rsid w:val="1C71170A"/>
    <w:rsid w:val="1C713252"/>
    <w:rsid w:val="1C720ADB"/>
    <w:rsid w:val="1C746D65"/>
    <w:rsid w:val="1C76287C"/>
    <w:rsid w:val="1C786553"/>
    <w:rsid w:val="1C793213"/>
    <w:rsid w:val="1C79702B"/>
    <w:rsid w:val="1C7A50F5"/>
    <w:rsid w:val="1C7C5840"/>
    <w:rsid w:val="1C7D5549"/>
    <w:rsid w:val="1C823F7E"/>
    <w:rsid w:val="1C8240B2"/>
    <w:rsid w:val="1C84080D"/>
    <w:rsid w:val="1C88151E"/>
    <w:rsid w:val="1C887A43"/>
    <w:rsid w:val="1C8A6D4D"/>
    <w:rsid w:val="1C8B4610"/>
    <w:rsid w:val="1C8B53E7"/>
    <w:rsid w:val="1C8C02F2"/>
    <w:rsid w:val="1C8C0433"/>
    <w:rsid w:val="1C8D5A4A"/>
    <w:rsid w:val="1C8E59A6"/>
    <w:rsid w:val="1C9053DD"/>
    <w:rsid w:val="1C93375D"/>
    <w:rsid w:val="1C9341C7"/>
    <w:rsid w:val="1C9409B0"/>
    <w:rsid w:val="1C945DCB"/>
    <w:rsid w:val="1C947B87"/>
    <w:rsid w:val="1C961B79"/>
    <w:rsid w:val="1C971172"/>
    <w:rsid w:val="1C971BD1"/>
    <w:rsid w:val="1C9A2DB4"/>
    <w:rsid w:val="1C9B1C69"/>
    <w:rsid w:val="1C9B275A"/>
    <w:rsid w:val="1C9C457C"/>
    <w:rsid w:val="1C9E4E81"/>
    <w:rsid w:val="1CA0158B"/>
    <w:rsid w:val="1CA23092"/>
    <w:rsid w:val="1CA23D6F"/>
    <w:rsid w:val="1CA24C7E"/>
    <w:rsid w:val="1CA27B15"/>
    <w:rsid w:val="1CA3057E"/>
    <w:rsid w:val="1CA4388D"/>
    <w:rsid w:val="1CA613B3"/>
    <w:rsid w:val="1CA74072"/>
    <w:rsid w:val="1CA7548C"/>
    <w:rsid w:val="1CA849A9"/>
    <w:rsid w:val="1CAD072A"/>
    <w:rsid w:val="1CAF7AC6"/>
    <w:rsid w:val="1CB02B91"/>
    <w:rsid w:val="1CB15B83"/>
    <w:rsid w:val="1CB27013"/>
    <w:rsid w:val="1CB87339"/>
    <w:rsid w:val="1CB9004B"/>
    <w:rsid w:val="1CBA100D"/>
    <w:rsid w:val="1CBA40F0"/>
    <w:rsid w:val="1CBA6C0D"/>
    <w:rsid w:val="1CBD27BF"/>
    <w:rsid w:val="1CBD494F"/>
    <w:rsid w:val="1CBE3220"/>
    <w:rsid w:val="1CBE54F3"/>
    <w:rsid w:val="1CBF4886"/>
    <w:rsid w:val="1CBF5FD1"/>
    <w:rsid w:val="1CBF7AFE"/>
    <w:rsid w:val="1CBF7C9A"/>
    <w:rsid w:val="1CC140B0"/>
    <w:rsid w:val="1CC42BFE"/>
    <w:rsid w:val="1CC57AF3"/>
    <w:rsid w:val="1CC61A56"/>
    <w:rsid w:val="1CC655B2"/>
    <w:rsid w:val="1CC71EBA"/>
    <w:rsid w:val="1CC804F9"/>
    <w:rsid w:val="1CCC4B92"/>
    <w:rsid w:val="1CD04AD7"/>
    <w:rsid w:val="1CD407F7"/>
    <w:rsid w:val="1CDA23B3"/>
    <w:rsid w:val="1CDC3027"/>
    <w:rsid w:val="1CDD7B74"/>
    <w:rsid w:val="1CDF024E"/>
    <w:rsid w:val="1CDF092B"/>
    <w:rsid w:val="1CE13FB6"/>
    <w:rsid w:val="1CE15084"/>
    <w:rsid w:val="1CE35EB7"/>
    <w:rsid w:val="1CE44153"/>
    <w:rsid w:val="1CE50415"/>
    <w:rsid w:val="1CE7377A"/>
    <w:rsid w:val="1CE74B44"/>
    <w:rsid w:val="1CE85FD0"/>
    <w:rsid w:val="1CE95852"/>
    <w:rsid w:val="1CE974F2"/>
    <w:rsid w:val="1CEB14BC"/>
    <w:rsid w:val="1CEC1DBA"/>
    <w:rsid w:val="1CED3220"/>
    <w:rsid w:val="1CEF43E3"/>
    <w:rsid w:val="1CEF6E0F"/>
    <w:rsid w:val="1CEF78FF"/>
    <w:rsid w:val="1CF01232"/>
    <w:rsid w:val="1CF0299A"/>
    <w:rsid w:val="1CF036DB"/>
    <w:rsid w:val="1CF10155"/>
    <w:rsid w:val="1CF3020E"/>
    <w:rsid w:val="1CF31369"/>
    <w:rsid w:val="1CF335A7"/>
    <w:rsid w:val="1CF454A1"/>
    <w:rsid w:val="1CF51E07"/>
    <w:rsid w:val="1CF55E97"/>
    <w:rsid w:val="1CFA2467"/>
    <w:rsid w:val="1CFD11CF"/>
    <w:rsid w:val="1CFE4129"/>
    <w:rsid w:val="1D014681"/>
    <w:rsid w:val="1D023B7D"/>
    <w:rsid w:val="1D052D5B"/>
    <w:rsid w:val="1D0741D8"/>
    <w:rsid w:val="1D0844CC"/>
    <w:rsid w:val="1D0A29DE"/>
    <w:rsid w:val="1D0A4305"/>
    <w:rsid w:val="1D0B394D"/>
    <w:rsid w:val="1D0C4F8F"/>
    <w:rsid w:val="1D0E00DB"/>
    <w:rsid w:val="1D0E7B45"/>
    <w:rsid w:val="1D10139C"/>
    <w:rsid w:val="1D113591"/>
    <w:rsid w:val="1D140752"/>
    <w:rsid w:val="1D147E11"/>
    <w:rsid w:val="1D1502E7"/>
    <w:rsid w:val="1D153F87"/>
    <w:rsid w:val="1D167E6A"/>
    <w:rsid w:val="1D17405F"/>
    <w:rsid w:val="1D1833BF"/>
    <w:rsid w:val="1D1855DE"/>
    <w:rsid w:val="1D186BBE"/>
    <w:rsid w:val="1D19019D"/>
    <w:rsid w:val="1D1A57C6"/>
    <w:rsid w:val="1D1A76AB"/>
    <w:rsid w:val="1D1E1EFB"/>
    <w:rsid w:val="1D1F256B"/>
    <w:rsid w:val="1D203C5E"/>
    <w:rsid w:val="1D216C8C"/>
    <w:rsid w:val="1D2251D7"/>
    <w:rsid w:val="1D2372BC"/>
    <w:rsid w:val="1D24622D"/>
    <w:rsid w:val="1D250DB4"/>
    <w:rsid w:val="1D2574B3"/>
    <w:rsid w:val="1D261285"/>
    <w:rsid w:val="1D27357C"/>
    <w:rsid w:val="1D2815CA"/>
    <w:rsid w:val="1D2917D5"/>
    <w:rsid w:val="1D29627F"/>
    <w:rsid w:val="1D2D6C1C"/>
    <w:rsid w:val="1D2F6BAE"/>
    <w:rsid w:val="1D2F7AC3"/>
    <w:rsid w:val="1D3101AD"/>
    <w:rsid w:val="1D322679"/>
    <w:rsid w:val="1D324806"/>
    <w:rsid w:val="1D332DC8"/>
    <w:rsid w:val="1D33390C"/>
    <w:rsid w:val="1D344E12"/>
    <w:rsid w:val="1D362AED"/>
    <w:rsid w:val="1D363F5C"/>
    <w:rsid w:val="1D375011"/>
    <w:rsid w:val="1D387772"/>
    <w:rsid w:val="1D3E47F4"/>
    <w:rsid w:val="1D3F21C2"/>
    <w:rsid w:val="1D3F5154"/>
    <w:rsid w:val="1D4110DC"/>
    <w:rsid w:val="1D41732E"/>
    <w:rsid w:val="1D43518E"/>
    <w:rsid w:val="1D453F6F"/>
    <w:rsid w:val="1D4604E6"/>
    <w:rsid w:val="1D47187C"/>
    <w:rsid w:val="1D48153D"/>
    <w:rsid w:val="1D4A729E"/>
    <w:rsid w:val="1D4D2668"/>
    <w:rsid w:val="1D4E212F"/>
    <w:rsid w:val="1D50131F"/>
    <w:rsid w:val="1D505E7F"/>
    <w:rsid w:val="1D5303E2"/>
    <w:rsid w:val="1D540D8A"/>
    <w:rsid w:val="1D564DAF"/>
    <w:rsid w:val="1D5801D4"/>
    <w:rsid w:val="1D59437F"/>
    <w:rsid w:val="1D5C3464"/>
    <w:rsid w:val="1D5C7446"/>
    <w:rsid w:val="1D5D0A1F"/>
    <w:rsid w:val="1D5D47BE"/>
    <w:rsid w:val="1D5E3A3C"/>
    <w:rsid w:val="1D5F77B4"/>
    <w:rsid w:val="1D60187F"/>
    <w:rsid w:val="1D606B31"/>
    <w:rsid w:val="1D650C1B"/>
    <w:rsid w:val="1D6819CE"/>
    <w:rsid w:val="1D68454E"/>
    <w:rsid w:val="1D6A0D93"/>
    <w:rsid w:val="1D6A3239"/>
    <w:rsid w:val="1D6A3697"/>
    <w:rsid w:val="1D6B2B4C"/>
    <w:rsid w:val="1D6B35FE"/>
    <w:rsid w:val="1D6B62A2"/>
    <w:rsid w:val="1D6D6AAE"/>
    <w:rsid w:val="1D6E08A1"/>
    <w:rsid w:val="1D6E2AE8"/>
    <w:rsid w:val="1D702FA8"/>
    <w:rsid w:val="1D70376F"/>
    <w:rsid w:val="1D717FBB"/>
    <w:rsid w:val="1D721139"/>
    <w:rsid w:val="1D75106D"/>
    <w:rsid w:val="1D75123E"/>
    <w:rsid w:val="1D762024"/>
    <w:rsid w:val="1D770AAD"/>
    <w:rsid w:val="1D7778BE"/>
    <w:rsid w:val="1D790BB2"/>
    <w:rsid w:val="1D7912E9"/>
    <w:rsid w:val="1D7B5625"/>
    <w:rsid w:val="1D7B6B14"/>
    <w:rsid w:val="1D7C0CEC"/>
    <w:rsid w:val="1D7E27C4"/>
    <w:rsid w:val="1D7F50D7"/>
    <w:rsid w:val="1D81111E"/>
    <w:rsid w:val="1D811B7D"/>
    <w:rsid w:val="1D82612C"/>
    <w:rsid w:val="1D832876"/>
    <w:rsid w:val="1D843E92"/>
    <w:rsid w:val="1D8449C9"/>
    <w:rsid w:val="1D856C65"/>
    <w:rsid w:val="1D890620"/>
    <w:rsid w:val="1D8B7730"/>
    <w:rsid w:val="1D8B7972"/>
    <w:rsid w:val="1D8C1E4C"/>
    <w:rsid w:val="1D8D1A7D"/>
    <w:rsid w:val="1D8E045A"/>
    <w:rsid w:val="1D8E3200"/>
    <w:rsid w:val="1D9079C7"/>
    <w:rsid w:val="1D92167F"/>
    <w:rsid w:val="1D9264D8"/>
    <w:rsid w:val="1D95194F"/>
    <w:rsid w:val="1D961D57"/>
    <w:rsid w:val="1D9775A7"/>
    <w:rsid w:val="1D9851A5"/>
    <w:rsid w:val="1D9E0686"/>
    <w:rsid w:val="1D9E199B"/>
    <w:rsid w:val="1D9E369D"/>
    <w:rsid w:val="1D9E652E"/>
    <w:rsid w:val="1D9F211C"/>
    <w:rsid w:val="1D9F46A7"/>
    <w:rsid w:val="1D9F4D46"/>
    <w:rsid w:val="1DA05744"/>
    <w:rsid w:val="1DA149A3"/>
    <w:rsid w:val="1DA17DCD"/>
    <w:rsid w:val="1DA42967"/>
    <w:rsid w:val="1DA55AB6"/>
    <w:rsid w:val="1DA82F09"/>
    <w:rsid w:val="1DA846C9"/>
    <w:rsid w:val="1DAB2047"/>
    <w:rsid w:val="1DAD013B"/>
    <w:rsid w:val="1DAD187C"/>
    <w:rsid w:val="1DAD22CD"/>
    <w:rsid w:val="1DB00010"/>
    <w:rsid w:val="1DB200F6"/>
    <w:rsid w:val="1DB3762A"/>
    <w:rsid w:val="1DB43098"/>
    <w:rsid w:val="1DB4365C"/>
    <w:rsid w:val="1DB64821"/>
    <w:rsid w:val="1DB65783"/>
    <w:rsid w:val="1DB7509E"/>
    <w:rsid w:val="1DB824C9"/>
    <w:rsid w:val="1DBB050C"/>
    <w:rsid w:val="1DBE1703"/>
    <w:rsid w:val="1DC065EF"/>
    <w:rsid w:val="1DC11AC0"/>
    <w:rsid w:val="1DC178A7"/>
    <w:rsid w:val="1DC34E48"/>
    <w:rsid w:val="1DC476DD"/>
    <w:rsid w:val="1DC97D6F"/>
    <w:rsid w:val="1DCA64DA"/>
    <w:rsid w:val="1DCB0EB1"/>
    <w:rsid w:val="1DCD1F90"/>
    <w:rsid w:val="1DCD2970"/>
    <w:rsid w:val="1DCE78BB"/>
    <w:rsid w:val="1DD03243"/>
    <w:rsid w:val="1DD03A19"/>
    <w:rsid w:val="1DD6127C"/>
    <w:rsid w:val="1DD737EE"/>
    <w:rsid w:val="1DD801F9"/>
    <w:rsid w:val="1DDC7057"/>
    <w:rsid w:val="1DDF1A45"/>
    <w:rsid w:val="1DDF43F9"/>
    <w:rsid w:val="1DE36D37"/>
    <w:rsid w:val="1DE657E0"/>
    <w:rsid w:val="1DE87DAB"/>
    <w:rsid w:val="1DE97F20"/>
    <w:rsid w:val="1DEA3522"/>
    <w:rsid w:val="1DEA5B4B"/>
    <w:rsid w:val="1DEB01C3"/>
    <w:rsid w:val="1DEB627A"/>
    <w:rsid w:val="1DEC6EBF"/>
    <w:rsid w:val="1DED6238"/>
    <w:rsid w:val="1DEE54E2"/>
    <w:rsid w:val="1DEF0C86"/>
    <w:rsid w:val="1DF0311C"/>
    <w:rsid w:val="1DF17BE7"/>
    <w:rsid w:val="1DF36E02"/>
    <w:rsid w:val="1DF446B3"/>
    <w:rsid w:val="1DF44A88"/>
    <w:rsid w:val="1DF57E24"/>
    <w:rsid w:val="1DF651A3"/>
    <w:rsid w:val="1DF77C97"/>
    <w:rsid w:val="1DF832CF"/>
    <w:rsid w:val="1DF9551A"/>
    <w:rsid w:val="1DF97038"/>
    <w:rsid w:val="1DFA5654"/>
    <w:rsid w:val="1DFB0FB8"/>
    <w:rsid w:val="1DFB162B"/>
    <w:rsid w:val="1DFB39AE"/>
    <w:rsid w:val="1DFB572F"/>
    <w:rsid w:val="1DFB6005"/>
    <w:rsid w:val="1DFC1548"/>
    <w:rsid w:val="1DFC3255"/>
    <w:rsid w:val="1DFD2A36"/>
    <w:rsid w:val="1DFD2D65"/>
    <w:rsid w:val="1DFF59E7"/>
    <w:rsid w:val="1E006780"/>
    <w:rsid w:val="1E01086B"/>
    <w:rsid w:val="1E013FE9"/>
    <w:rsid w:val="1E01799F"/>
    <w:rsid w:val="1E027769"/>
    <w:rsid w:val="1E0345E3"/>
    <w:rsid w:val="1E043561"/>
    <w:rsid w:val="1E050FA0"/>
    <w:rsid w:val="1E056145"/>
    <w:rsid w:val="1E064011"/>
    <w:rsid w:val="1E0A3BC4"/>
    <w:rsid w:val="1E0A7549"/>
    <w:rsid w:val="1E0B7D8C"/>
    <w:rsid w:val="1E0C3269"/>
    <w:rsid w:val="1E0C6F4D"/>
    <w:rsid w:val="1E102F3B"/>
    <w:rsid w:val="1E105064"/>
    <w:rsid w:val="1E1052CA"/>
    <w:rsid w:val="1E116B8D"/>
    <w:rsid w:val="1E122411"/>
    <w:rsid w:val="1E1325C1"/>
    <w:rsid w:val="1E137E05"/>
    <w:rsid w:val="1E1710A8"/>
    <w:rsid w:val="1E171235"/>
    <w:rsid w:val="1E18683C"/>
    <w:rsid w:val="1E1C0A33"/>
    <w:rsid w:val="1E1D38F7"/>
    <w:rsid w:val="1E1D56A5"/>
    <w:rsid w:val="1E20688A"/>
    <w:rsid w:val="1E220F0E"/>
    <w:rsid w:val="1E231A4A"/>
    <w:rsid w:val="1E247C89"/>
    <w:rsid w:val="1E253203"/>
    <w:rsid w:val="1E253F54"/>
    <w:rsid w:val="1E256308"/>
    <w:rsid w:val="1E260596"/>
    <w:rsid w:val="1E2642CF"/>
    <w:rsid w:val="1E2811DF"/>
    <w:rsid w:val="1E284517"/>
    <w:rsid w:val="1E290EBB"/>
    <w:rsid w:val="1E293B87"/>
    <w:rsid w:val="1E2A1B70"/>
    <w:rsid w:val="1E2A6C67"/>
    <w:rsid w:val="1E2C37B9"/>
    <w:rsid w:val="1E2C3F6F"/>
    <w:rsid w:val="1E2C7207"/>
    <w:rsid w:val="1E2D4F75"/>
    <w:rsid w:val="1E2D534D"/>
    <w:rsid w:val="1E2E1307"/>
    <w:rsid w:val="1E2F086B"/>
    <w:rsid w:val="1E2F0FB1"/>
    <w:rsid w:val="1E2F27D7"/>
    <w:rsid w:val="1E3439E9"/>
    <w:rsid w:val="1E34479D"/>
    <w:rsid w:val="1E352A94"/>
    <w:rsid w:val="1E356011"/>
    <w:rsid w:val="1E364168"/>
    <w:rsid w:val="1E370E0A"/>
    <w:rsid w:val="1E38032B"/>
    <w:rsid w:val="1E396257"/>
    <w:rsid w:val="1E3B50CA"/>
    <w:rsid w:val="1E3D18A3"/>
    <w:rsid w:val="1E3D6F2E"/>
    <w:rsid w:val="1E3D73A2"/>
    <w:rsid w:val="1E3E5320"/>
    <w:rsid w:val="1E4075E6"/>
    <w:rsid w:val="1E421542"/>
    <w:rsid w:val="1E446943"/>
    <w:rsid w:val="1E4729CF"/>
    <w:rsid w:val="1E481E0D"/>
    <w:rsid w:val="1E4824FC"/>
    <w:rsid w:val="1E4861D9"/>
    <w:rsid w:val="1E4A2945"/>
    <w:rsid w:val="1E4A43D9"/>
    <w:rsid w:val="1E4B0B62"/>
    <w:rsid w:val="1E4B1D29"/>
    <w:rsid w:val="1E4B2362"/>
    <w:rsid w:val="1E4C5FEA"/>
    <w:rsid w:val="1E4C657E"/>
    <w:rsid w:val="1E4D585F"/>
    <w:rsid w:val="1E4E3279"/>
    <w:rsid w:val="1E4F4A5A"/>
    <w:rsid w:val="1E535A2A"/>
    <w:rsid w:val="1E5379FF"/>
    <w:rsid w:val="1E543091"/>
    <w:rsid w:val="1E546419"/>
    <w:rsid w:val="1E56446A"/>
    <w:rsid w:val="1E573377"/>
    <w:rsid w:val="1E592455"/>
    <w:rsid w:val="1E5A10FB"/>
    <w:rsid w:val="1E5A7EC2"/>
    <w:rsid w:val="1E5B2BC3"/>
    <w:rsid w:val="1E5C1EB0"/>
    <w:rsid w:val="1E5D0633"/>
    <w:rsid w:val="1E5D46E3"/>
    <w:rsid w:val="1E5F25B5"/>
    <w:rsid w:val="1E6009CD"/>
    <w:rsid w:val="1E6316CA"/>
    <w:rsid w:val="1E631827"/>
    <w:rsid w:val="1E664748"/>
    <w:rsid w:val="1E6B1448"/>
    <w:rsid w:val="1E6C2189"/>
    <w:rsid w:val="1E6C24F5"/>
    <w:rsid w:val="1E6C24FF"/>
    <w:rsid w:val="1E6C3F37"/>
    <w:rsid w:val="1E6C4F06"/>
    <w:rsid w:val="1E6D4155"/>
    <w:rsid w:val="1E6E5F01"/>
    <w:rsid w:val="1E6F3C0C"/>
    <w:rsid w:val="1E702355"/>
    <w:rsid w:val="1E7371EA"/>
    <w:rsid w:val="1E746CF0"/>
    <w:rsid w:val="1E765315"/>
    <w:rsid w:val="1E785E11"/>
    <w:rsid w:val="1E7948A6"/>
    <w:rsid w:val="1E7B5ECE"/>
    <w:rsid w:val="1E7D5FFB"/>
    <w:rsid w:val="1E7D6187"/>
    <w:rsid w:val="1E7E00C2"/>
    <w:rsid w:val="1E8102E0"/>
    <w:rsid w:val="1E817040"/>
    <w:rsid w:val="1E821E95"/>
    <w:rsid w:val="1E827A99"/>
    <w:rsid w:val="1E834274"/>
    <w:rsid w:val="1E847179"/>
    <w:rsid w:val="1E852914"/>
    <w:rsid w:val="1E876FC3"/>
    <w:rsid w:val="1E877D62"/>
    <w:rsid w:val="1E884065"/>
    <w:rsid w:val="1E894AE9"/>
    <w:rsid w:val="1E8A3568"/>
    <w:rsid w:val="1E8C751D"/>
    <w:rsid w:val="1E8D3184"/>
    <w:rsid w:val="1E8F1B8E"/>
    <w:rsid w:val="1E906FA6"/>
    <w:rsid w:val="1E917E41"/>
    <w:rsid w:val="1E926A21"/>
    <w:rsid w:val="1E943482"/>
    <w:rsid w:val="1E944732"/>
    <w:rsid w:val="1E947861"/>
    <w:rsid w:val="1E961C36"/>
    <w:rsid w:val="1E961C5A"/>
    <w:rsid w:val="1E99755F"/>
    <w:rsid w:val="1E9A111D"/>
    <w:rsid w:val="1E9A77FA"/>
    <w:rsid w:val="1E9E0462"/>
    <w:rsid w:val="1E9F7D11"/>
    <w:rsid w:val="1EA00084"/>
    <w:rsid w:val="1EA073D9"/>
    <w:rsid w:val="1EA17E0F"/>
    <w:rsid w:val="1EA32E7C"/>
    <w:rsid w:val="1EA6188F"/>
    <w:rsid w:val="1EA65005"/>
    <w:rsid w:val="1EA751F7"/>
    <w:rsid w:val="1EA812B7"/>
    <w:rsid w:val="1EA8449C"/>
    <w:rsid w:val="1EA9368A"/>
    <w:rsid w:val="1EAA0363"/>
    <w:rsid w:val="1EAA2975"/>
    <w:rsid w:val="1EAC6161"/>
    <w:rsid w:val="1EAD20B2"/>
    <w:rsid w:val="1EAD797F"/>
    <w:rsid w:val="1EAF2557"/>
    <w:rsid w:val="1EB1260E"/>
    <w:rsid w:val="1EB207FB"/>
    <w:rsid w:val="1EB22ABB"/>
    <w:rsid w:val="1EB27864"/>
    <w:rsid w:val="1EB410FF"/>
    <w:rsid w:val="1EB4419E"/>
    <w:rsid w:val="1EB80A11"/>
    <w:rsid w:val="1EB931AF"/>
    <w:rsid w:val="1EBB25C5"/>
    <w:rsid w:val="1EBB7D49"/>
    <w:rsid w:val="1EBC0E1A"/>
    <w:rsid w:val="1EBE4A1B"/>
    <w:rsid w:val="1EC370BA"/>
    <w:rsid w:val="1EC8245A"/>
    <w:rsid w:val="1EC85603"/>
    <w:rsid w:val="1EC90539"/>
    <w:rsid w:val="1ECC4ACA"/>
    <w:rsid w:val="1ECC6373"/>
    <w:rsid w:val="1ECE2FB7"/>
    <w:rsid w:val="1ED14825"/>
    <w:rsid w:val="1ED27CE0"/>
    <w:rsid w:val="1ED32704"/>
    <w:rsid w:val="1ED33990"/>
    <w:rsid w:val="1ED556D7"/>
    <w:rsid w:val="1ED7760F"/>
    <w:rsid w:val="1EDB008B"/>
    <w:rsid w:val="1EDB10BC"/>
    <w:rsid w:val="1EDB1E2C"/>
    <w:rsid w:val="1EDB2623"/>
    <w:rsid w:val="1EDB2E6A"/>
    <w:rsid w:val="1EDC5EF1"/>
    <w:rsid w:val="1EDD7B03"/>
    <w:rsid w:val="1EDF3C6C"/>
    <w:rsid w:val="1EE234E6"/>
    <w:rsid w:val="1EE70706"/>
    <w:rsid w:val="1EE869A7"/>
    <w:rsid w:val="1EE9060F"/>
    <w:rsid w:val="1EEC67B8"/>
    <w:rsid w:val="1EEF47E6"/>
    <w:rsid w:val="1EF21955"/>
    <w:rsid w:val="1EF231A5"/>
    <w:rsid w:val="1EF536C5"/>
    <w:rsid w:val="1EF66B4B"/>
    <w:rsid w:val="1EF70D44"/>
    <w:rsid w:val="1EF82681"/>
    <w:rsid w:val="1EF8639B"/>
    <w:rsid w:val="1EF901E8"/>
    <w:rsid w:val="1EF95369"/>
    <w:rsid w:val="1EFA0440"/>
    <w:rsid w:val="1EFA3FB6"/>
    <w:rsid w:val="1EFA6261"/>
    <w:rsid w:val="1EFC7E76"/>
    <w:rsid w:val="1EFF7D09"/>
    <w:rsid w:val="1F0030A6"/>
    <w:rsid w:val="1F004587"/>
    <w:rsid w:val="1F012A12"/>
    <w:rsid w:val="1F015ACC"/>
    <w:rsid w:val="1F024CF0"/>
    <w:rsid w:val="1F0265C3"/>
    <w:rsid w:val="1F05089E"/>
    <w:rsid w:val="1F071EB1"/>
    <w:rsid w:val="1F0900C3"/>
    <w:rsid w:val="1F0A08B1"/>
    <w:rsid w:val="1F0A0B22"/>
    <w:rsid w:val="1F0D1E03"/>
    <w:rsid w:val="1F0D3EF9"/>
    <w:rsid w:val="1F0D48D2"/>
    <w:rsid w:val="1F0D5C9D"/>
    <w:rsid w:val="1F0E4FEE"/>
    <w:rsid w:val="1F105DCB"/>
    <w:rsid w:val="1F114460"/>
    <w:rsid w:val="1F132604"/>
    <w:rsid w:val="1F136AA8"/>
    <w:rsid w:val="1F140343"/>
    <w:rsid w:val="1F1608C2"/>
    <w:rsid w:val="1F1618FB"/>
    <w:rsid w:val="1F165D64"/>
    <w:rsid w:val="1F167FEA"/>
    <w:rsid w:val="1F170F70"/>
    <w:rsid w:val="1F175C82"/>
    <w:rsid w:val="1F185E6D"/>
    <w:rsid w:val="1F19146F"/>
    <w:rsid w:val="1F1A021B"/>
    <w:rsid w:val="1F1A5833"/>
    <w:rsid w:val="1F1C3BAF"/>
    <w:rsid w:val="1F1C7BF6"/>
    <w:rsid w:val="1F1D1701"/>
    <w:rsid w:val="1F204D21"/>
    <w:rsid w:val="1F216B38"/>
    <w:rsid w:val="1F225AF0"/>
    <w:rsid w:val="1F230519"/>
    <w:rsid w:val="1F2513AD"/>
    <w:rsid w:val="1F253597"/>
    <w:rsid w:val="1F271F5F"/>
    <w:rsid w:val="1F2729AA"/>
    <w:rsid w:val="1F284592"/>
    <w:rsid w:val="1F2A3950"/>
    <w:rsid w:val="1F2A67DF"/>
    <w:rsid w:val="1F2C36C6"/>
    <w:rsid w:val="1F2F5971"/>
    <w:rsid w:val="1F3269EF"/>
    <w:rsid w:val="1F332CA6"/>
    <w:rsid w:val="1F37246F"/>
    <w:rsid w:val="1F38650F"/>
    <w:rsid w:val="1F3C1B5B"/>
    <w:rsid w:val="1F3C3740"/>
    <w:rsid w:val="1F3C5FFF"/>
    <w:rsid w:val="1F3C7274"/>
    <w:rsid w:val="1F3F33F9"/>
    <w:rsid w:val="1F404D3A"/>
    <w:rsid w:val="1F404FFC"/>
    <w:rsid w:val="1F406F53"/>
    <w:rsid w:val="1F4153C3"/>
    <w:rsid w:val="1F420C28"/>
    <w:rsid w:val="1F435CDE"/>
    <w:rsid w:val="1F435D75"/>
    <w:rsid w:val="1F454002"/>
    <w:rsid w:val="1F460A8D"/>
    <w:rsid w:val="1F470500"/>
    <w:rsid w:val="1F484843"/>
    <w:rsid w:val="1F4B6242"/>
    <w:rsid w:val="1F4C4A3C"/>
    <w:rsid w:val="1F4D490B"/>
    <w:rsid w:val="1F4D68C9"/>
    <w:rsid w:val="1F4E58F6"/>
    <w:rsid w:val="1F4E63A1"/>
    <w:rsid w:val="1F501CAD"/>
    <w:rsid w:val="1F532852"/>
    <w:rsid w:val="1F535BD1"/>
    <w:rsid w:val="1F5414E3"/>
    <w:rsid w:val="1F5545AD"/>
    <w:rsid w:val="1F572E39"/>
    <w:rsid w:val="1F590858"/>
    <w:rsid w:val="1F5B5F82"/>
    <w:rsid w:val="1F5E4F75"/>
    <w:rsid w:val="1F6017B0"/>
    <w:rsid w:val="1F601C5B"/>
    <w:rsid w:val="1F607F6A"/>
    <w:rsid w:val="1F614B87"/>
    <w:rsid w:val="1F61796B"/>
    <w:rsid w:val="1F623B04"/>
    <w:rsid w:val="1F6317DE"/>
    <w:rsid w:val="1F635D79"/>
    <w:rsid w:val="1F63676D"/>
    <w:rsid w:val="1F64187C"/>
    <w:rsid w:val="1F642E60"/>
    <w:rsid w:val="1F65556A"/>
    <w:rsid w:val="1F666815"/>
    <w:rsid w:val="1F674C95"/>
    <w:rsid w:val="1F675528"/>
    <w:rsid w:val="1F67763A"/>
    <w:rsid w:val="1F6927C2"/>
    <w:rsid w:val="1F6A5FF0"/>
    <w:rsid w:val="1F6D3FF4"/>
    <w:rsid w:val="1F6E6866"/>
    <w:rsid w:val="1F6E6BD1"/>
    <w:rsid w:val="1F6F4B94"/>
    <w:rsid w:val="1F6F5FDA"/>
    <w:rsid w:val="1F700825"/>
    <w:rsid w:val="1F722999"/>
    <w:rsid w:val="1F726892"/>
    <w:rsid w:val="1F79684C"/>
    <w:rsid w:val="1F7A2683"/>
    <w:rsid w:val="1F7D2063"/>
    <w:rsid w:val="1F7F26ED"/>
    <w:rsid w:val="1F802C60"/>
    <w:rsid w:val="1F805A1C"/>
    <w:rsid w:val="1F805E6D"/>
    <w:rsid w:val="1F827A0E"/>
    <w:rsid w:val="1F832183"/>
    <w:rsid w:val="1F833C13"/>
    <w:rsid w:val="1F844626"/>
    <w:rsid w:val="1F8507F5"/>
    <w:rsid w:val="1F863B0D"/>
    <w:rsid w:val="1F871BF1"/>
    <w:rsid w:val="1F8878A3"/>
    <w:rsid w:val="1F894368"/>
    <w:rsid w:val="1F896D6A"/>
    <w:rsid w:val="1F8C516F"/>
    <w:rsid w:val="1F8D7F66"/>
    <w:rsid w:val="1F8E1CB4"/>
    <w:rsid w:val="1F910CD6"/>
    <w:rsid w:val="1F921921"/>
    <w:rsid w:val="1F9414DB"/>
    <w:rsid w:val="1F9574BD"/>
    <w:rsid w:val="1F974FE3"/>
    <w:rsid w:val="1F975025"/>
    <w:rsid w:val="1F976CB3"/>
    <w:rsid w:val="1F9A2245"/>
    <w:rsid w:val="1F9B151D"/>
    <w:rsid w:val="1F9B1EA9"/>
    <w:rsid w:val="1FA63478"/>
    <w:rsid w:val="1FA91331"/>
    <w:rsid w:val="1FA92F69"/>
    <w:rsid w:val="1FAB0EF3"/>
    <w:rsid w:val="1FAB284B"/>
    <w:rsid w:val="1FAB53E2"/>
    <w:rsid w:val="1FAC1C14"/>
    <w:rsid w:val="1FAD344A"/>
    <w:rsid w:val="1FB02549"/>
    <w:rsid w:val="1FB02642"/>
    <w:rsid w:val="1FB14458"/>
    <w:rsid w:val="1FB2485E"/>
    <w:rsid w:val="1FB30E56"/>
    <w:rsid w:val="1FB355EB"/>
    <w:rsid w:val="1FB57B5F"/>
    <w:rsid w:val="1FB6313E"/>
    <w:rsid w:val="1FB646FF"/>
    <w:rsid w:val="1FB84674"/>
    <w:rsid w:val="1FB86778"/>
    <w:rsid w:val="1FB913FE"/>
    <w:rsid w:val="1FBA3DAE"/>
    <w:rsid w:val="1FBA5101"/>
    <w:rsid w:val="1FBB2852"/>
    <w:rsid w:val="1FBC4A4A"/>
    <w:rsid w:val="1FBE4C66"/>
    <w:rsid w:val="1FC03031"/>
    <w:rsid w:val="1FC30EDF"/>
    <w:rsid w:val="1FC551B0"/>
    <w:rsid w:val="1FC8132F"/>
    <w:rsid w:val="1FC85AE5"/>
    <w:rsid w:val="1FC93323"/>
    <w:rsid w:val="1FCA1DBC"/>
    <w:rsid w:val="1FCC2D9A"/>
    <w:rsid w:val="1FCD30FB"/>
    <w:rsid w:val="1FD14EEF"/>
    <w:rsid w:val="1FD27342"/>
    <w:rsid w:val="1FD340BC"/>
    <w:rsid w:val="1FD44DBA"/>
    <w:rsid w:val="1FD500B2"/>
    <w:rsid w:val="1FD61CDA"/>
    <w:rsid w:val="1FD766E1"/>
    <w:rsid w:val="1FD91AA0"/>
    <w:rsid w:val="1FDC564F"/>
    <w:rsid w:val="1FDE3F46"/>
    <w:rsid w:val="1FDE64C4"/>
    <w:rsid w:val="1FDF70EB"/>
    <w:rsid w:val="1FDF7444"/>
    <w:rsid w:val="1FE22078"/>
    <w:rsid w:val="1FE30681"/>
    <w:rsid w:val="1FE315B2"/>
    <w:rsid w:val="1FE55012"/>
    <w:rsid w:val="1FE703F9"/>
    <w:rsid w:val="1FE759E8"/>
    <w:rsid w:val="1FE92812"/>
    <w:rsid w:val="1FEA7C8B"/>
    <w:rsid w:val="1FEC2440"/>
    <w:rsid w:val="1FEC68FB"/>
    <w:rsid w:val="1FED10A7"/>
    <w:rsid w:val="1FEF08C8"/>
    <w:rsid w:val="1FF070B1"/>
    <w:rsid w:val="1FF1120F"/>
    <w:rsid w:val="1FF21368"/>
    <w:rsid w:val="1FF22CFC"/>
    <w:rsid w:val="1FF63B84"/>
    <w:rsid w:val="1FF64030"/>
    <w:rsid w:val="1FF654C1"/>
    <w:rsid w:val="1FF70178"/>
    <w:rsid w:val="1FF76843"/>
    <w:rsid w:val="1FF77B79"/>
    <w:rsid w:val="1FF8283C"/>
    <w:rsid w:val="1FF95C9E"/>
    <w:rsid w:val="1FF97A46"/>
    <w:rsid w:val="1FF97CD4"/>
    <w:rsid w:val="1FFB37C4"/>
    <w:rsid w:val="1FFD3962"/>
    <w:rsid w:val="20012013"/>
    <w:rsid w:val="20014B53"/>
    <w:rsid w:val="200213A2"/>
    <w:rsid w:val="20022EF8"/>
    <w:rsid w:val="20031A42"/>
    <w:rsid w:val="20031A7D"/>
    <w:rsid w:val="200400AE"/>
    <w:rsid w:val="20050100"/>
    <w:rsid w:val="20060F4C"/>
    <w:rsid w:val="200B4C64"/>
    <w:rsid w:val="200E2559"/>
    <w:rsid w:val="200E602C"/>
    <w:rsid w:val="20112FE8"/>
    <w:rsid w:val="20125835"/>
    <w:rsid w:val="201362F1"/>
    <w:rsid w:val="20183AF3"/>
    <w:rsid w:val="20190EB4"/>
    <w:rsid w:val="20194F28"/>
    <w:rsid w:val="20196340"/>
    <w:rsid w:val="201D3014"/>
    <w:rsid w:val="201D515A"/>
    <w:rsid w:val="201E6FC3"/>
    <w:rsid w:val="201F0C85"/>
    <w:rsid w:val="20205786"/>
    <w:rsid w:val="20207E70"/>
    <w:rsid w:val="20213345"/>
    <w:rsid w:val="20214D6D"/>
    <w:rsid w:val="20232D1B"/>
    <w:rsid w:val="20234AC9"/>
    <w:rsid w:val="202529ED"/>
    <w:rsid w:val="20253EF0"/>
    <w:rsid w:val="20285BCB"/>
    <w:rsid w:val="20287762"/>
    <w:rsid w:val="202B07D6"/>
    <w:rsid w:val="202D09AE"/>
    <w:rsid w:val="202D6BA4"/>
    <w:rsid w:val="203043DE"/>
    <w:rsid w:val="20316795"/>
    <w:rsid w:val="20324127"/>
    <w:rsid w:val="20335DA6"/>
    <w:rsid w:val="20343BA2"/>
    <w:rsid w:val="20360C34"/>
    <w:rsid w:val="20366C96"/>
    <w:rsid w:val="20367662"/>
    <w:rsid w:val="2038538F"/>
    <w:rsid w:val="20396D27"/>
    <w:rsid w:val="203A505F"/>
    <w:rsid w:val="203A674E"/>
    <w:rsid w:val="203C113B"/>
    <w:rsid w:val="203C71D8"/>
    <w:rsid w:val="203D202F"/>
    <w:rsid w:val="203F5E7C"/>
    <w:rsid w:val="20406ABE"/>
    <w:rsid w:val="20407429"/>
    <w:rsid w:val="204213F3"/>
    <w:rsid w:val="204230BC"/>
    <w:rsid w:val="20494D3E"/>
    <w:rsid w:val="204C5D5C"/>
    <w:rsid w:val="204D5FEA"/>
    <w:rsid w:val="205151B4"/>
    <w:rsid w:val="2051773C"/>
    <w:rsid w:val="20524A68"/>
    <w:rsid w:val="20533E48"/>
    <w:rsid w:val="20547378"/>
    <w:rsid w:val="20565215"/>
    <w:rsid w:val="205A2C47"/>
    <w:rsid w:val="205C7AB3"/>
    <w:rsid w:val="205C7FDB"/>
    <w:rsid w:val="205D7AA9"/>
    <w:rsid w:val="205E56ED"/>
    <w:rsid w:val="2061181E"/>
    <w:rsid w:val="20616969"/>
    <w:rsid w:val="20621FF4"/>
    <w:rsid w:val="206330E0"/>
    <w:rsid w:val="206749B4"/>
    <w:rsid w:val="20684BD2"/>
    <w:rsid w:val="2069605E"/>
    <w:rsid w:val="206A763D"/>
    <w:rsid w:val="206B2042"/>
    <w:rsid w:val="207253BE"/>
    <w:rsid w:val="20764B84"/>
    <w:rsid w:val="207812B9"/>
    <w:rsid w:val="20792CC0"/>
    <w:rsid w:val="20794A0E"/>
    <w:rsid w:val="207A092D"/>
    <w:rsid w:val="207C0D70"/>
    <w:rsid w:val="207C36C3"/>
    <w:rsid w:val="207E62A2"/>
    <w:rsid w:val="207F1DB5"/>
    <w:rsid w:val="207F2420"/>
    <w:rsid w:val="207F2647"/>
    <w:rsid w:val="207F5A0E"/>
    <w:rsid w:val="20802D02"/>
    <w:rsid w:val="20834B4B"/>
    <w:rsid w:val="20844F14"/>
    <w:rsid w:val="20865FD9"/>
    <w:rsid w:val="20895851"/>
    <w:rsid w:val="208B3BC7"/>
    <w:rsid w:val="208D27CC"/>
    <w:rsid w:val="208D4250"/>
    <w:rsid w:val="20901DFB"/>
    <w:rsid w:val="20905E5B"/>
    <w:rsid w:val="20955A62"/>
    <w:rsid w:val="20976486"/>
    <w:rsid w:val="209902C5"/>
    <w:rsid w:val="209B0B03"/>
    <w:rsid w:val="209C1116"/>
    <w:rsid w:val="20A36138"/>
    <w:rsid w:val="20A36724"/>
    <w:rsid w:val="20A51982"/>
    <w:rsid w:val="20A815E0"/>
    <w:rsid w:val="20A94E3B"/>
    <w:rsid w:val="20AB72FF"/>
    <w:rsid w:val="20AE6A88"/>
    <w:rsid w:val="20AF0CAD"/>
    <w:rsid w:val="20B103A1"/>
    <w:rsid w:val="20B162C7"/>
    <w:rsid w:val="20B240CD"/>
    <w:rsid w:val="20B26D4C"/>
    <w:rsid w:val="20B3409F"/>
    <w:rsid w:val="20B3465D"/>
    <w:rsid w:val="20B47CC6"/>
    <w:rsid w:val="20B62F75"/>
    <w:rsid w:val="20B80137"/>
    <w:rsid w:val="20B802FC"/>
    <w:rsid w:val="20B9118F"/>
    <w:rsid w:val="20BA264F"/>
    <w:rsid w:val="20BA3031"/>
    <w:rsid w:val="20BA7AA8"/>
    <w:rsid w:val="20BB4C65"/>
    <w:rsid w:val="20BC021C"/>
    <w:rsid w:val="20BE2BAD"/>
    <w:rsid w:val="20BF2112"/>
    <w:rsid w:val="20C13863"/>
    <w:rsid w:val="20C233A7"/>
    <w:rsid w:val="20C2745F"/>
    <w:rsid w:val="20C46B56"/>
    <w:rsid w:val="20C57922"/>
    <w:rsid w:val="20CA14EA"/>
    <w:rsid w:val="20CD0061"/>
    <w:rsid w:val="20CF53F5"/>
    <w:rsid w:val="20D34741"/>
    <w:rsid w:val="20D44015"/>
    <w:rsid w:val="20D6085D"/>
    <w:rsid w:val="20DB00F5"/>
    <w:rsid w:val="20DB7E5B"/>
    <w:rsid w:val="20DC4006"/>
    <w:rsid w:val="20E04558"/>
    <w:rsid w:val="20E24984"/>
    <w:rsid w:val="20E33281"/>
    <w:rsid w:val="20E42F60"/>
    <w:rsid w:val="20E448C1"/>
    <w:rsid w:val="20E44AC1"/>
    <w:rsid w:val="20E53F03"/>
    <w:rsid w:val="20E7614F"/>
    <w:rsid w:val="20ED08F1"/>
    <w:rsid w:val="20ED750E"/>
    <w:rsid w:val="20EF49FF"/>
    <w:rsid w:val="20F27C40"/>
    <w:rsid w:val="20F424CE"/>
    <w:rsid w:val="20F507DE"/>
    <w:rsid w:val="20F61A36"/>
    <w:rsid w:val="20F660B7"/>
    <w:rsid w:val="20F70C51"/>
    <w:rsid w:val="20F73191"/>
    <w:rsid w:val="20F90641"/>
    <w:rsid w:val="20FC3A33"/>
    <w:rsid w:val="20FD39FC"/>
    <w:rsid w:val="20FD5B7C"/>
    <w:rsid w:val="20FE3DCB"/>
    <w:rsid w:val="20FE413B"/>
    <w:rsid w:val="21000F79"/>
    <w:rsid w:val="21005984"/>
    <w:rsid w:val="21026DD4"/>
    <w:rsid w:val="21046D03"/>
    <w:rsid w:val="210668C5"/>
    <w:rsid w:val="2107263D"/>
    <w:rsid w:val="210743EB"/>
    <w:rsid w:val="210857BD"/>
    <w:rsid w:val="2109730F"/>
    <w:rsid w:val="210C3FE9"/>
    <w:rsid w:val="210D52F7"/>
    <w:rsid w:val="210E327D"/>
    <w:rsid w:val="21100271"/>
    <w:rsid w:val="211031F5"/>
    <w:rsid w:val="21143D02"/>
    <w:rsid w:val="211515A0"/>
    <w:rsid w:val="21155AF4"/>
    <w:rsid w:val="21161B37"/>
    <w:rsid w:val="211803A6"/>
    <w:rsid w:val="21183C0B"/>
    <w:rsid w:val="211A0C16"/>
    <w:rsid w:val="211A3D80"/>
    <w:rsid w:val="211B1203"/>
    <w:rsid w:val="211B21F2"/>
    <w:rsid w:val="211C02C2"/>
    <w:rsid w:val="211D7727"/>
    <w:rsid w:val="212041ED"/>
    <w:rsid w:val="212057B6"/>
    <w:rsid w:val="2120648F"/>
    <w:rsid w:val="2125620F"/>
    <w:rsid w:val="21260D15"/>
    <w:rsid w:val="21282005"/>
    <w:rsid w:val="212828E0"/>
    <w:rsid w:val="21283337"/>
    <w:rsid w:val="21287C7C"/>
    <w:rsid w:val="21293869"/>
    <w:rsid w:val="212A3497"/>
    <w:rsid w:val="212B5559"/>
    <w:rsid w:val="212C279B"/>
    <w:rsid w:val="212C55DC"/>
    <w:rsid w:val="212D03FB"/>
    <w:rsid w:val="212E2459"/>
    <w:rsid w:val="212F04C6"/>
    <w:rsid w:val="21316FF0"/>
    <w:rsid w:val="213179D0"/>
    <w:rsid w:val="21327BB4"/>
    <w:rsid w:val="21354AB4"/>
    <w:rsid w:val="213571AA"/>
    <w:rsid w:val="21392695"/>
    <w:rsid w:val="21397BA0"/>
    <w:rsid w:val="213A331C"/>
    <w:rsid w:val="213B4094"/>
    <w:rsid w:val="213C2299"/>
    <w:rsid w:val="213C3B69"/>
    <w:rsid w:val="213D64F3"/>
    <w:rsid w:val="213F11AB"/>
    <w:rsid w:val="213F3B84"/>
    <w:rsid w:val="21402968"/>
    <w:rsid w:val="21411DD3"/>
    <w:rsid w:val="21421EAF"/>
    <w:rsid w:val="214269E7"/>
    <w:rsid w:val="2143761C"/>
    <w:rsid w:val="21452D3A"/>
    <w:rsid w:val="214628BA"/>
    <w:rsid w:val="2146508B"/>
    <w:rsid w:val="214666D6"/>
    <w:rsid w:val="2148197A"/>
    <w:rsid w:val="214932EE"/>
    <w:rsid w:val="21494352"/>
    <w:rsid w:val="214B1C0C"/>
    <w:rsid w:val="214B2E5F"/>
    <w:rsid w:val="214D44F3"/>
    <w:rsid w:val="214D6943"/>
    <w:rsid w:val="214F26EB"/>
    <w:rsid w:val="214F380D"/>
    <w:rsid w:val="215056F7"/>
    <w:rsid w:val="21505FE3"/>
    <w:rsid w:val="21506801"/>
    <w:rsid w:val="2151171B"/>
    <w:rsid w:val="215162E9"/>
    <w:rsid w:val="21537BB5"/>
    <w:rsid w:val="21552D2D"/>
    <w:rsid w:val="215539F4"/>
    <w:rsid w:val="21562C7C"/>
    <w:rsid w:val="215661B6"/>
    <w:rsid w:val="21596887"/>
    <w:rsid w:val="215C15D1"/>
    <w:rsid w:val="215D400B"/>
    <w:rsid w:val="215D48D4"/>
    <w:rsid w:val="215D4930"/>
    <w:rsid w:val="215D5117"/>
    <w:rsid w:val="215D7CF2"/>
    <w:rsid w:val="215E65AB"/>
    <w:rsid w:val="21613AFB"/>
    <w:rsid w:val="216158A6"/>
    <w:rsid w:val="216163C0"/>
    <w:rsid w:val="21621C78"/>
    <w:rsid w:val="21621CE0"/>
    <w:rsid w:val="2162362B"/>
    <w:rsid w:val="2163617B"/>
    <w:rsid w:val="21696E53"/>
    <w:rsid w:val="216B2BCB"/>
    <w:rsid w:val="216B3B48"/>
    <w:rsid w:val="216E4553"/>
    <w:rsid w:val="216E6218"/>
    <w:rsid w:val="216E7205"/>
    <w:rsid w:val="21701AFC"/>
    <w:rsid w:val="21730937"/>
    <w:rsid w:val="21740AC6"/>
    <w:rsid w:val="21757458"/>
    <w:rsid w:val="21766CBD"/>
    <w:rsid w:val="21781AFD"/>
    <w:rsid w:val="21817CF9"/>
    <w:rsid w:val="21832DD3"/>
    <w:rsid w:val="21841DA0"/>
    <w:rsid w:val="218477E9"/>
    <w:rsid w:val="2187642D"/>
    <w:rsid w:val="21893052"/>
    <w:rsid w:val="21893674"/>
    <w:rsid w:val="218C220C"/>
    <w:rsid w:val="218C6BAC"/>
    <w:rsid w:val="219028F7"/>
    <w:rsid w:val="21910125"/>
    <w:rsid w:val="21911B7A"/>
    <w:rsid w:val="2193720B"/>
    <w:rsid w:val="21937C6F"/>
    <w:rsid w:val="21944971"/>
    <w:rsid w:val="21962439"/>
    <w:rsid w:val="21980D85"/>
    <w:rsid w:val="21980DD3"/>
    <w:rsid w:val="219B2F47"/>
    <w:rsid w:val="219D09FA"/>
    <w:rsid w:val="219F64D7"/>
    <w:rsid w:val="21A12149"/>
    <w:rsid w:val="21A3120C"/>
    <w:rsid w:val="21A40B01"/>
    <w:rsid w:val="21A46104"/>
    <w:rsid w:val="21A84E3D"/>
    <w:rsid w:val="21A879AC"/>
    <w:rsid w:val="21A954A2"/>
    <w:rsid w:val="21AA5968"/>
    <w:rsid w:val="21AA5B9D"/>
    <w:rsid w:val="21AB5970"/>
    <w:rsid w:val="21AC53E1"/>
    <w:rsid w:val="21AE7FFB"/>
    <w:rsid w:val="21B0107A"/>
    <w:rsid w:val="21B32AD2"/>
    <w:rsid w:val="21B34153"/>
    <w:rsid w:val="21B53E47"/>
    <w:rsid w:val="21B55906"/>
    <w:rsid w:val="21B55A58"/>
    <w:rsid w:val="21B76859"/>
    <w:rsid w:val="21B80C3C"/>
    <w:rsid w:val="21BA566E"/>
    <w:rsid w:val="21BA67D2"/>
    <w:rsid w:val="21BD0DA1"/>
    <w:rsid w:val="21BD6BB7"/>
    <w:rsid w:val="21BD6D30"/>
    <w:rsid w:val="21BE7EF0"/>
    <w:rsid w:val="21C05776"/>
    <w:rsid w:val="21C258BA"/>
    <w:rsid w:val="21C342FE"/>
    <w:rsid w:val="21C470C7"/>
    <w:rsid w:val="21C625C3"/>
    <w:rsid w:val="21C86AA8"/>
    <w:rsid w:val="21C93298"/>
    <w:rsid w:val="21CA6741"/>
    <w:rsid w:val="21CB71C6"/>
    <w:rsid w:val="21CF1DB6"/>
    <w:rsid w:val="21D31150"/>
    <w:rsid w:val="21D40C17"/>
    <w:rsid w:val="21D41A05"/>
    <w:rsid w:val="21D544E9"/>
    <w:rsid w:val="21D71FE9"/>
    <w:rsid w:val="21D726F8"/>
    <w:rsid w:val="21DA1AF1"/>
    <w:rsid w:val="21DE30DA"/>
    <w:rsid w:val="21DF2C72"/>
    <w:rsid w:val="21DF6BB3"/>
    <w:rsid w:val="21E00701"/>
    <w:rsid w:val="21E03DB3"/>
    <w:rsid w:val="21E12E8E"/>
    <w:rsid w:val="21E15F0A"/>
    <w:rsid w:val="21E2396A"/>
    <w:rsid w:val="21E27100"/>
    <w:rsid w:val="21E328DE"/>
    <w:rsid w:val="21E559DB"/>
    <w:rsid w:val="21E5783E"/>
    <w:rsid w:val="21E6732B"/>
    <w:rsid w:val="21EA641E"/>
    <w:rsid w:val="21EA7F94"/>
    <w:rsid w:val="21EB69B2"/>
    <w:rsid w:val="21EB71AB"/>
    <w:rsid w:val="21F00654"/>
    <w:rsid w:val="21F44A35"/>
    <w:rsid w:val="21F70757"/>
    <w:rsid w:val="21F7566F"/>
    <w:rsid w:val="21F77160"/>
    <w:rsid w:val="21F961DB"/>
    <w:rsid w:val="21FA5CFD"/>
    <w:rsid w:val="21FC0DAA"/>
    <w:rsid w:val="21FD4354"/>
    <w:rsid w:val="21FE2CB6"/>
    <w:rsid w:val="21FE6399"/>
    <w:rsid w:val="21FF0A28"/>
    <w:rsid w:val="220026BF"/>
    <w:rsid w:val="22005E94"/>
    <w:rsid w:val="22020ACD"/>
    <w:rsid w:val="22042088"/>
    <w:rsid w:val="22043FA2"/>
    <w:rsid w:val="2205400E"/>
    <w:rsid w:val="220627B2"/>
    <w:rsid w:val="220721BF"/>
    <w:rsid w:val="220A6A33"/>
    <w:rsid w:val="220D053E"/>
    <w:rsid w:val="22123907"/>
    <w:rsid w:val="22124FE4"/>
    <w:rsid w:val="221424D5"/>
    <w:rsid w:val="22151081"/>
    <w:rsid w:val="2219222B"/>
    <w:rsid w:val="2219440B"/>
    <w:rsid w:val="22197450"/>
    <w:rsid w:val="221B3B58"/>
    <w:rsid w:val="221B56B0"/>
    <w:rsid w:val="221C4E9D"/>
    <w:rsid w:val="221D4E5B"/>
    <w:rsid w:val="221E3119"/>
    <w:rsid w:val="222114DC"/>
    <w:rsid w:val="222157BC"/>
    <w:rsid w:val="22224E6D"/>
    <w:rsid w:val="222519C3"/>
    <w:rsid w:val="22255134"/>
    <w:rsid w:val="22266AF2"/>
    <w:rsid w:val="22270001"/>
    <w:rsid w:val="22274D44"/>
    <w:rsid w:val="2227739A"/>
    <w:rsid w:val="22280ABD"/>
    <w:rsid w:val="22295AD0"/>
    <w:rsid w:val="222B4160"/>
    <w:rsid w:val="222C67FC"/>
    <w:rsid w:val="2230132D"/>
    <w:rsid w:val="2230426B"/>
    <w:rsid w:val="223236E9"/>
    <w:rsid w:val="2232429F"/>
    <w:rsid w:val="22353BBD"/>
    <w:rsid w:val="22387BB6"/>
    <w:rsid w:val="22390A08"/>
    <w:rsid w:val="22390A6D"/>
    <w:rsid w:val="223B1750"/>
    <w:rsid w:val="223C6206"/>
    <w:rsid w:val="223C6EFA"/>
    <w:rsid w:val="223E7277"/>
    <w:rsid w:val="224023BE"/>
    <w:rsid w:val="22414B0F"/>
    <w:rsid w:val="22440088"/>
    <w:rsid w:val="224408B1"/>
    <w:rsid w:val="22453837"/>
    <w:rsid w:val="224551CB"/>
    <w:rsid w:val="224651EA"/>
    <w:rsid w:val="22470AEE"/>
    <w:rsid w:val="22476806"/>
    <w:rsid w:val="22492521"/>
    <w:rsid w:val="22497F03"/>
    <w:rsid w:val="224A088D"/>
    <w:rsid w:val="224C6605"/>
    <w:rsid w:val="224D2E82"/>
    <w:rsid w:val="224E0EB9"/>
    <w:rsid w:val="224E6AE3"/>
    <w:rsid w:val="224F6049"/>
    <w:rsid w:val="22506ED8"/>
    <w:rsid w:val="22532728"/>
    <w:rsid w:val="22551EEA"/>
    <w:rsid w:val="22570170"/>
    <w:rsid w:val="22574EFE"/>
    <w:rsid w:val="22584E1A"/>
    <w:rsid w:val="22584F0B"/>
    <w:rsid w:val="22590C76"/>
    <w:rsid w:val="2259519B"/>
    <w:rsid w:val="225E1546"/>
    <w:rsid w:val="225E5B16"/>
    <w:rsid w:val="225F35EB"/>
    <w:rsid w:val="22601BCA"/>
    <w:rsid w:val="22606ACB"/>
    <w:rsid w:val="22606D59"/>
    <w:rsid w:val="226071AF"/>
    <w:rsid w:val="22611064"/>
    <w:rsid w:val="22621F6C"/>
    <w:rsid w:val="2262524E"/>
    <w:rsid w:val="226333FC"/>
    <w:rsid w:val="22644120"/>
    <w:rsid w:val="226448A2"/>
    <w:rsid w:val="226715E5"/>
    <w:rsid w:val="2267320D"/>
    <w:rsid w:val="22675D52"/>
    <w:rsid w:val="22682C67"/>
    <w:rsid w:val="226B3490"/>
    <w:rsid w:val="226B505E"/>
    <w:rsid w:val="226F3225"/>
    <w:rsid w:val="22700F61"/>
    <w:rsid w:val="22705380"/>
    <w:rsid w:val="22716E7D"/>
    <w:rsid w:val="22736A7A"/>
    <w:rsid w:val="22737E92"/>
    <w:rsid w:val="227556CF"/>
    <w:rsid w:val="2275584D"/>
    <w:rsid w:val="2277389B"/>
    <w:rsid w:val="22781CC5"/>
    <w:rsid w:val="22784E60"/>
    <w:rsid w:val="227A5B66"/>
    <w:rsid w:val="227C7A8B"/>
    <w:rsid w:val="227E4D46"/>
    <w:rsid w:val="227F5F2D"/>
    <w:rsid w:val="22800223"/>
    <w:rsid w:val="22803EB5"/>
    <w:rsid w:val="2281167B"/>
    <w:rsid w:val="22820D4C"/>
    <w:rsid w:val="2282586A"/>
    <w:rsid w:val="228468C6"/>
    <w:rsid w:val="228614A0"/>
    <w:rsid w:val="228644F4"/>
    <w:rsid w:val="228A7081"/>
    <w:rsid w:val="228C3A98"/>
    <w:rsid w:val="228C4674"/>
    <w:rsid w:val="228D6B72"/>
    <w:rsid w:val="228E50C8"/>
    <w:rsid w:val="228E65E4"/>
    <w:rsid w:val="228F524F"/>
    <w:rsid w:val="22902419"/>
    <w:rsid w:val="22914F5E"/>
    <w:rsid w:val="2291514B"/>
    <w:rsid w:val="22920D8E"/>
    <w:rsid w:val="22924556"/>
    <w:rsid w:val="2294160A"/>
    <w:rsid w:val="22952395"/>
    <w:rsid w:val="22954F51"/>
    <w:rsid w:val="22955277"/>
    <w:rsid w:val="22966913"/>
    <w:rsid w:val="229677D4"/>
    <w:rsid w:val="2299266E"/>
    <w:rsid w:val="229A0730"/>
    <w:rsid w:val="229C36C2"/>
    <w:rsid w:val="229E5239"/>
    <w:rsid w:val="229F6A89"/>
    <w:rsid w:val="22A3045D"/>
    <w:rsid w:val="22A51CFA"/>
    <w:rsid w:val="22A664D7"/>
    <w:rsid w:val="22A77706"/>
    <w:rsid w:val="22A92FF6"/>
    <w:rsid w:val="22A95773"/>
    <w:rsid w:val="22AA44D1"/>
    <w:rsid w:val="22AD00D5"/>
    <w:rsid w:val="22AD2D70"/>
    <w:rsid w:val="22AD46DA"/>
    <w:rsid w:val="22AE26AD"/>
    <w:rsid w:val="22AF26FE"/>
    <w:rsid w:val="22AF35AC"/>
    <w:rsid w:val="22B027BF"/>
    <w:rsid w:val="22B0347A"/>
    <w:rsid w:val="22B05529"/>
    <w:rsid w:val="22B071FD"/>
    <w:rsid w:val="22B20745"/>
    <w:rsid w:val="22B57315"/>
    <w:rsid w:val="22B619D2"/>
    <w:rsid w:val="22B8599C"/>
    <w:rsid w:val="22B9715B"/>
    <w:rsid w:val="22BB406C"/>
    <w:rsid w:val="22BC6CD5"/>
    <w:rsid w:val="22BD28C6"/>
    <w:rsid w:val="22BD6010"/>
    <w:rsid w:val="22BD7457"/>
    <w:rsid w:val="22BE1BCD"/>
    <w:rsid w:val="22BF4396"/>
    <w:rsid w:val="22BF444F"/>
    <w:rsid w:val="22C24313"/>
    <w:rsid w:val="22C349B5"/>
    <w:rsid w:val="22C41A16"/>
    <w:rsid w:val="22C456B0"/>
    <w:rsid w:val="22C5622D"/>
    <w:rsid w:val="22C7559C"/>
    <w:rsid w:val="22CC769A"/>
    <w:rsid w:val="22CC7C80"/>
    <w:rsid w:val="22CD2F8A"/>
    <w:rsid w:val="22CE64A3"/>
    <w:rsid w:val="22D13A9F"/>
    <w:rsid w:val="22D14C80"/>
    <w:rsid w:val="22D16A5E"/>
    <w:rsid w:val="22D258F4"/>
    <w:rsid w:val="22D25D4F"/>
    <w:rsid w:val="22D272FF"/>
    <w:rsid w:val="22D31209"/>
    <w:rsid w:val="22D31908"/>
    <w:rsid w:val="22D559AA"/>
    <w:rsid w:val="22D82B5E"/>
    <w:rsid w:val="22DD72F1"/>
    <w:rsid w:val="22DF5485"/>
    <w:rsid w:val="22E06CA1"/>
    <w:rsid w:val="22E1358D"/>
    <w:rsid w:val="22E20BD0"/>
    <w:rsid w:val="22E31ADE"/>
    <w:rsid w:val="22E35D21"/>
    <w:rsid w:val="22E84B3F"/>
    <w:rsid w:val="22E85D20"/>
    <w:rsid w:val="22E85DAF"/>
    <w:rsid w:val="22EA1200"/>
    <w:rsid w:val="22EA415A"/>
    <w:rsid w:val="22EC0458"/>
    <w:rsid w:val="22EE3DA0"/>
    <w:rsid w:val="22EE3ED0"/>
    <w:rsid w:val="22EE7A78"/>
    <w:rsid w:val="22EE7C14"/>
    <w:rsid w:val="22EF1F1B"/>
    <w:rsid w:val="22F07B4B"/>
    <w:rsid w:val="22F202CA"/>
    <w:rsid w:val="22F33DB9"/>
    <w:rsid w:val="22F34C27"/>
    <w:rsid w:val="22F37331"/>
    <w:rsid w:val="22F81B7A"/>
    <w:rsid w:val="22FA342B"/>
    <w:rsid w:val="22FC5A8D"/>
    <w:rsid w:val="22FD1776"/>
    <w:rsid w:val="22FD3CF7"/>
    <w:rsid w:val="22FD42C4"/>
    <w:rsid w:val="22FD76B3"/>
    <w:rsid w:val="22FE0FF0"/>
    <w:rsid w:val="22FE2929"/>
    <w:rsid w:val="22FF1A7A"/>
    <w:rsid w:val="22FF7A6F"/>
    <w:rsid w:val="23001083"/>
    <w:rsid w:val="23003940"/>
    <w:rsid w:val="23016B63"/>
    <w:rsid w:val="23055407"/>
    <w:rsid w:val="23064AF3"/>
    <w:rsid w:val="230B0A61"/>
    <w:rsid w:val="230B4D20"/>
    <w:rsid w:val="230C01F9"/>
    <w:rsid w:val="230C7A96"/>
    <w:rsid w:val="230C7BDC"/>
    <w:rsid w:val="230E0951"/>
    <w:rsid w:val="231570AE"/>
    <w:rsid w:val="23157B6A"/>
    <w:rsid w:val="23163747"/>
    <w:rsid w:val="23182165"/>
    <w:rsid w:val="231A1361"/>
    <w:rsid w:val="231A1F29"/>
    <w:rsid w:val="231B23CF"/>
    <w:rsid w:val="231B2684"/>
    <w:rsid w:val="231B4952"/>
    <w:rsid w:val="231C49E3"/>
    <w:rsid w:val="231E156A"/>
    <w:rsid w:val="231E73B8"/>
    <w:rsid w:val="231F4C56"/>
    <w:rsid w:val="23201242"/>
    <w:rsid w:val="2320131C"/>
    <w:rsid w:val="23201794"/>
    <w:rsid w:val="2320587A"/>
    <w:rsid w:val="23207680"/>
    <w:rsid w:val="23231890"/>
    <w:rsid w:val="23233A4F"/>
    <w:rsid w:val="23250B58"/>
    <w:rsid w:val="2326306F"/>
    <w:rsid w:val="23271A6F"/>
    <w:rsid w:val="23272B7B"/>
    <w:rsid w:val="2329689A"/>
    <w:rsid w:val="232A354E"/>
    <w:rsid w:val="232B0CCF"/>
    <w:rsid w:val="232B389B"/>
    <w:rsid w:val="232D2FF3"/>
    <w:rsid w:val="232D6CFC"/>
    <w:rsid w:val="232E2DDB"/>
    <w:rsid w:val="232F1757"/>
    <w:rsid w:val="23313300"/>
    <w:rsid w:val="23327F52"/>
    <w:rsid w:val="23333275"/>
    <w:rsid w:val="233532FD"/>
    <w:rsid w:val="23355280"/>
    <w:rsid w:val="233716DB"/>
    <w:rsid w:val="23374BCB"/>
    <w:rsid w:val="23387465"/>
    <w:rsid w:val="23390584"/>
    <w:rsid w:val="233A0AA7"/>
    <w:rsid w:val="233B037C"/>
    <w:rsid w:val="233B5409"/>
    <w:rsid w:val="233C1992"/>
    <w:rsid w:val="233C78EA"/>
    <w:rsid w:val="233D00BD"/>
    <w:rsid w:val="233D0B28"/>
    <w:rsid w:val="23406C47"/>
    <w:rsid w:val="234245D3"/>
    <w:rsid w:val="23471819"/>
    <w:rsid w:val="2348022F"/>
    <w:rsid w:val="2349269E"/>
    <w:rsid w:val="23494ECF"/>
    <w:rsid w:val="234A2BA6"/>
    <w:rsid w:val="234B6E58"/>
    <w:rsid w:val="234C1F34"/>
    <w:rsid w:val="234D1DEA"/>
    <w:rsid w:val="234D6624"/>
    <w:rsid w:val="234F2AB5"/>
    <w:rsid w:val="234F3F6E"/>
    <w:rsid w:val="23507A5C"/>
    <w:rsid w:val="23511D04"/>
    <w:rsid w:val="235571FB"/>
    <w:rsid w:val="23564752"/>
    <w:rsid w:val="23566F63"/>
    <w:rsid w:val="23571659"/>
    <w:rsid w:val="23572160"/>
    <w:rsid w:val="235C0774"/>
    <w:rsid w:val="235E1B6E"/>
    <w:rsid w:val="23601D28"/>
    <w:rsid w:val="236179E8"/>
    <w:rsid w:val="23624D46"/>
    <w:rsid w:val="23652492"/>
    <w:rsid w:val="236553F8"/>
    <w:rsid w:val="23693C6E"/>
    <w:rsid w:val="236944B9"/>
    <w:rsid w:val="236B0C61"/>
    <w:rsid w:val="236C0E1D"/>
    <w:rsid w:val="236C3093"/>
    <w:rsid w:val="236C5B5C"/>
    <w:rsid w:val="23700025"/>
    <w:rsid w:val="2370113F"/>
    <w:rsid w:val="23713AFF"/>
    <w:rsid w:val="237308A7"/>
    <w:rsid w:val="23735D67"/>
    <w:rsid w:val="2375009E"/>
    <w:rsid w:val="2375131B"/>
    <w:rsid w:val="237558D5"/>
    <w:rsid w:val="2377537C"/>
    <w:rsid w:val="237819DA"/>
    <w:rsid w:val="23794DCF"/>
    <w:rsid w:val="23797348"/>
    <w:rsid w:val="237A6028"/>
    <w:rsid w:val="237A7916"/>
    <w:rsid w:val="237D223E"/>
    <w:rsid w:val="23804D35"/>
    <w:rsid w:val="23805FEF"/>
    <w:rsid w:val="23814D41"/>
    <w:rsid w:val="2381527C"/>
    <w:rsid w:val="2384745D"/>
    <w:rsid w:val="238570FF"/>
    <w:rsid w:val="23864F05"/>
    <w:rsid w:val="2387194A"/>
    <w:rsid w:val="2387341F"/>
    <w:rsid w:val="238832DB"/>
    <w:rsid w:val="23883C23"/>
    <w:rsid w:val="2389765D"/>
    <w:rsid w:val="238C22FC"/>
    <w:rsid w:val="238D75A2"/>
    <w:rsid w:val="238E0DF3"/>
    <w:rsid w:val="238F0185"/>
    <w:rsid w:val="23907E55"/>
    <w:rsid w:val="239155AC"/>
    <w:rsid w:val="23915F80"/>
    <w:rsid w:val="2392443F"/>
    <w:rsid w:val="2396601C"/>
    <w:rsid w:val="239A7550"/>
    <w:rsid w:val="239B0A67"/>
    <w:rsid w:val="239B7B00"/>
    <w:rsid w:val="239D1036"/>
    <w:rsid w:val="239D46AA"/>
    <w:rsid w:val="23A20AF4"/>
    <w:rsid w:val="23A23017"/>
    <w:rsid w:val="23A3664D"/>
    <w:rsid w:val="23A473D8"/>
    <w:rsid w:val="23A4762F"/>
    <w:rsid w:val="23AD6686"/>
    <w:rsid w:val="23AF5844"/>
    <w:rsid w:val="23B007C6"/>
    <w:rsid w:val="23B03536"/>
    <w:rsid w:val="23B441BE"/>
    <w:rsid w:val="23B52D8E"/>
    <w:rsid w:val="23B7446A"/>
    <w:rsid w:val="23B84C0C"/>
    <w:rsid w:val="23B85535"/>
    <w:rsid w:val="23B91607"/>
    <w:rsid w:val="23BA1BE8"/>
    <w:rsid w:val="23BA3996"/>
    <w:rsid w:val="23BB595C"/>
    <w:rsid w:val="23BC12D6"/>
    <w:rsid w:val="23BD17E3"/>
    <w:rsid w:val="23BD79D1"/>
    <w:rsid w:val="23BE626D"/>
    <w:rsid w:val="23BF6393"/>
    <w:rsid w:val="23C113F0"/>
    <w:rsid w:val="23C2063D"/>
    <w:rsid w:val="23C20C1A"/>
    <w:rsid w:val="23C279D9"/>
    <w:rsid w:val="23C3381B"/>
    <w:rsid w:val="23C40371"/>
    <w:rsid w:val="23C42850"/>
    <w:rsid w:val="23C434BC"/>
    <w:rsid w:val="23C718EE"/>
    <w:rsid w:val="23C84DE9"/>
    <w:rsid w:val="23C87E61"/>
    <w:rsid w:val="23CA39D4"/>
    <w:rsid w:val="23CA7595"/>
    <w:rsid w:val="23CB5BA3"/>
    <w:rsid w:val="23CD2307"/>
    <w:rsid w:val="23CF37FC"/>
    <w:rsid w:val="23D30D53"/>
    <w:rsid w:val="23D319C7"/>
    <w:rsid w:val="23D63C85"/>
    <w:rsid w:val="23DA3CA8"/>
    <w:rsid w:val="23DA749B"/>
    <w:rsid w:val="23DF1103"/>
    <w:rsid w:val="23DF7811"/>
    <w:rsid w:val="23E16C4B"/>
    <w:rsid w:val="23E208A5"/>
    <w:rsid w:val="23E27A3E"/>
    <w:rsid w:val="23E519E5"/>
    <w:rsid w:val="23E528C7"/>
    <w:rsid w:val="23E76E6A"/>
    <w:rsid w:val="23E82A8E"/>
    <w:rsid w:val="23E90B99"/>
    <w:rsid w:val="23EA2A81"/>
    <w:rsid w:val="23EC412E"/>
    <w:rsid w:val="23EC4923"/>
    <w:rsid w:val="23ED482A"/>
    <w:rsid w:val="23F162B6"/>
    <w:rsid w:val="23F20687"/>
    <w:rsid w:val="23F26A01"/>
    <w:rsid w:val="23F42DA6"/>
    <w:rsid w:val="23F46EA8"/>
    <w:rsid w:val="23F549CE"/>
    <w:rsid w:val="23F664D9"/>
    <w:rsid w:val="23F83DC2"/>
    <w:rsid w:val="23F83FC5"/>
    <w:rsid w:val="23FA28F8"/>
    <w:rsid w:val="23FA4582"/>
    <w:rsid w:val="23FC6FF8"/>
    <w:rsid w:val="23FE7D27"/>
    <w:rsid w:val="240115C5"/>
    <w:rsid w:val="2401236D"/>
    <w:rsid w:val="24056C1C"/>
    <w:rsid w:val="240613A3"/>
    <w:rsid w:val="2407453D"/>
    <w:rsid w:val="24092228"/>
    <w:rsid w:val="240A39D1"/>
    <w:rsid w:val="240B0F17"/>
    <w:rsid w:val="240B1967"/>
    <w:rsid w:val="240B4603"/>
    <w:rsid w:val="240C1F9E"/>
    <w:rsid w:val="240D1D18"/>
    <w:rsid w:val="240D3AC6"/>
    <w:rsid w:val="24101BAC"/>
    <w:rsid w:val="2410421E"/>
    <w:rsid w:val="24134E54"/>
    <w:rsid w:val="24153D29"/>
    <w:rsid w:val="241733C3"/>
    <w:rsid w:val="2418607C"/>
    <w:rsid w:val="242157C3"/>
    <w:rsid w:val="24222838"/>
    <w:rsid w:val="24223B77"/>
    <w:rsid w:val="24230833"/>
    <w:rsid w:val="242452E2"/>
    <w:rsid w:val="24250A59"/>
    <w:rsid w:val="24257733"/>
    <w:rsid w:val="242608A7"/>
    <w:rsid w:val="24261ED9"/>
    <w:rsid w:val="242D07C9"/>
    <w:rsid w:val="242D5F16"/>
    <w:rsid w:val="243112C3"/>
    <w:rsid w:val="243263A0"/>
    <w:rsid w:val="24326474"/>
    <w:rsid w:val="24333CD4"/>
    <w:rsid w:val="24335324"/>
    <w:rsid w:val="243411FD"/>
    <w:rsid w:val="2434162D"/>
    <w:rsid w:val="243510C0"/>
    <w:rsid w:val="24354A6A"/>
    <w:rsid w:val="243667CB"/>
    <w:rsid w:val="243738F5"/>
    <w:rsid w:val="24381196"/>
    <w:rsid w:val="24395D53"/>
    <w:rsid w:val="243B32E2"/>
    <w:rsid w:val="243B5D90"/>
    <w:rsid w:val="243C2089"/>
    <w:rsid w:val="243C49C9"/>
    <w:rsid w:val="243E7F62"/>
    <w:rsid w:val="243F433E"/>
    <w:rsid w:val="243F52F9"/>
    <w:rsid w:val="24402C5E"/>
    <w:rsid w:val="24437C47"/>
    <w:rsid w:val="24445A01"/>
    <w:rsid w:val="24460FA4"/>
    <w:rsid w:val="24464FDE"/>
    <w:rsid w:val="24470C15"/>
    <w:rsid w:val="2447221D"/>
    <w:rsid w:val="2447535E"/>
    <w:rsid w:val="244871F4"/>
    <w:rsid w:val="244963D2"/>
    <w:rsid w:val="244A07A9"/>
    <w:rsid w:val="244B43BA"/>
    <w:rsid w:val="244F0958"/>
    <w:rsid w:val="244F2C4F"/>
    <w:rsid w:val="244F5F4B"/>
    <w:rsid w:val="24512FA5"/>
    <w:rsid w:val="2452597D"/>
    <w:rsid w:val="245546D3"/>
    <w:rsid w:val="2455716E"/>
    <w:rsid w:val="24575886"/>
    <w:rsid w:val="24581139"/>
    <w:rsid w:val="24594C0C"/>
    <w:rsid w:val="24594F5D"/>
    <w:rsid w:val="245B0CD5"/>
    <w:rsid w:val="245B3DC2"/>
    <w:rsid w:val="245D0A20"/>
    <w:rsid w:val="245E2574"/>
    <w:rsid w:val="245E5361"/>
    <w:rsid w:val="245F3490"/>
    <w:rsid w:val="2461271E"/>
    <w:rsid w:val="246155FC"/>
    <w:rsid w:val="246275B1"/>
    <w:rsid w:val="246555E1"/>
    <w:rsid w:val="24666B71"/>
    <w:rsid w:val="24676A25"/>
    <w:rsid w:val="24681525"/>
    <w:rsid w:val="246A1AE2"/>
    <w:rsid w:val="246C7E13"/>
    <w:rsid w:val="246D27B7"/>
    <w:rsid w:val="246E0C3B"/>
    <w:rsid w:val="246E6870"/>
    <w:rsid w:val="246F29D3"/>
    <w:rsid w:val="246F7312"/>
    <w:rsid w:val="24712DBC"/>
    <w:rsid w:val="247354BB"/>
    <w:rsid w:val="24743B45"/>
    <w:rsid w:val="2475665F"/>
    <w:rsid w:val="247608E7"/>
    <w:rsid w:val="247616C9"/>
    <w:rsid w:val="24763D61"/>
    <w:rsid w:val="247873F7"/>
    <w:rsid w:val="247A4BCE"/>
    <w:rsid w:val="247A4BEB"/>
    <w:rsid w:val="247B2C1A"/>
    <w:rsid w:val="247D3CA8"/>
    <w:rsid w:val="24820D63"/>
    <w:rsid w:val="24822706"/>
    <w:rsid w:val="2482708B"/>
    <w:rsid w:val="24831F41"/>
    <w:rsid w:val="24857F53"/>
    <w:rsid w:val="248655D7"/>
    <w:rsid w:val="24867384"/>
    <w:rsid w:val="24871970"/>
    <w:rsid w:val="24880959"/>
    <w:rsid w:val="248900D4"/>
    <w:rsid w:val="248A4308"/>
    <w:rsid w:val="248B0E8F"/>
    <w:rsid w:val="248D2AAB"/>
    <w:rsid w:val="248D77AD"/>
    <w:rsid w:val="248E3A1F"/>
    <w:rsid w:val="248E6B1B"/>
    <w:rsid w:val="249047FB"/>
    <w:rsid w:val="24911C0A"/>
    <w:rsid w:val="249271CF"/>
    <w:rsid w:val="2496149D"/>
    <w:rsid w:val="24977834"/>
    <w:rsid w:val="249848B8"/>
    <w:rsid w:val="249854FB"/>
    <w:rsid w:val="24992662"/>
    <w:rsid w:val="249C631B"/>
    <w:rsid w:val="249D42E2"/>
    <w:rsid w:val="249E5066"/>
    <w:rsid w:val="24A0493A"/>
    <w:rsid w:val="24A10A0A"/>
    <w:rsid w:val="24A33795"/>
    <w:rsid w:val="24A42D25"/>
    <w:rsid w:val="24A71459"/>
    <w:rsid w:val="24A72769"/>
    <w:rsid w:val="24A740FD"/>
    <w:rsid w:val="24A81480"/>
    <w:rsid w:val="24A836F3"/>
    <w:rsid w:val="24A9755F"/>
    <w:rsid w:val="24AB32DF"/>
    <w:rsid w:val="24AC0C1E"/>
    <w:rsid w:val="24AE317B"/>
    <w:rsid w:val="24AF7B51"/>
    <w:rsid w:val="24B16B47"/>
    <w:rsid w:val="24B360D5"/>
    <w:rsid w:val="24B3751F"/>
    <w:rsid w:val="24B46583"/>
    <w:rsid w:val="24B526ED"/>
    <w:rsid w:val="24B53D52"/>
    <w:rsid w:val="24B65F0C"/>
    <w:rsid w:val="24B65F88"/>
    <w:rsid w:val="24B76BDB"/>
    <w:rsid w:val="24B77ED6"/>
    <w:rsid w:val="24B92B23"/>
    <w:rsid w:val="24BF7015"/>
    <w:rsid w:val="24C80324"/>
    <w:rsid w:val="24C82D59"/>
    <w:rsid w:val="24C84A89"/>
    <w:rsid w:val="24C91288"/>
    <w:rsid w:val="24CF157A"/>
    <w:rsid w:val="24D2188C"/>
    <w:rsid w:val="24D26006"/>
    <w:rsid w:val="24D43154"/>
    <w:rsid w:val="24D44611"/>
    <w:rsid w:val="24D571B8"/>
    <w:rsid w:val="24D62E06"/>
    <w:rsid w:val="24D64B33"/>
    <w:rsid w:val="24D7290F"/>
    <w:rsid w:val="24D75DCF"/>
    <w:rsid w:val="24D7787F"/>
    <w:rsid w:val="24D900E2"/>
    <w:rsid w:val="24D91DBE"/>
    <w:rsid w:val="24D93BD0"/>
    <w:rsid w:val="24DA188C"/>
    <w:rsid w:val="24DA561E"/>
    <w:rsid w:val="24DB6B01"/>
    <w:rsid w:val="24DE7430"/>
    <w:rsid w:val="24DF56F4"/>
    <w:rsid w:val="24E31DFA"/>
    <w:rsid w:val="24E42872"/>
    <w:rsid w:val="24E46F1D"/>
    <w:rsid w:val="24E6208C"/>
    <w:rsid w:val="24E74B36"/>
    <w:rsid w:val="24E755B6"/>
    <w:rsid w:val="24E862E1"/>
    <w:rsid w:val="24EB7D6C"/>
    <w:rsid w:val="24ED078B"/>
    <w:rsid w:val="24ED2E21"/>
    <w:rsid w:val="24ED40B2"/>
    <w:rsid w:val="24EF4BE9"/>
    <w:rsid w:val="24EF7670"/>
    <w:rsid w:val="24F01070"/>
    <w:rsid w:val="24F1163A"/>
    <w:rsid w:val="24F316B2"/>
    <w:rsid w:val="24F42232"/>
    <w:rsid w:val="24F53ED2"/>
    <w:rsid w:val="24F609FE"/>
    <w:rsid w:val="24F65960"/>
    <w:rsid w:val="24F829C8"/>
    <w:rsid w:val="24FA33D7"/>
    <w:rsid w:val="24FC5128"/>
    <w:rsid w:val="24FC6F47"/>
    <w:rsid w:val="25002580"/>
    <w:rsid w:val="25004B0F"/>
    <w:rsid w:val="250360CC"/>
    <w:rsid w:val="250373D0"/>
    <w:rsid w:val="2505125F"/>
    <w:rsid w:val="25074D0F"/>
    <w:rsid w:val="250E04DC"/>
    <w:rsid w:val="250E0F9A"/>
    <w:rsid w:val="250E3EC7"/>
    <w:rsid w:val="2512230A"/>
    <w:rsid w:val="25137A1F"/>
    <w:rsid w:val="25145328"/>
    <w:rsid w:val="25150319"/>
    <w:rsid w:val="251530D6"/>
    <w:rsid w:val="25164BFC"/>
    <w:rsid w:val="25182B6E"/>
    <w:rsid w:val="25192D57"/>
    <w:rsid w:val="251A4E5D"/>
    <w:rsid w:val="251C516E"/>
    <w:rsid w:val="251D1791"/>
    <w:rsid w:val="251D4CC0"/>
    <w:rsid w:val="251E530A"/>
    <w:rsid w:val="252042F2"/>
    <w:rsid w:val="25210803"/>
    <w:rsid w:val="2524201A"/>
    <w:rsid w:val="25274E10"/>
    <w:rsid w:val="252B6BE0"/>
    <w:rsid w:val="252C0D2A"/>
    <w:rsid w:val="252C232F"/>
    <w:rsid w:val="252C7EDA"/>
    <w:rsid w:val="252E050E"/>
    <w:rsid w:val="252F0441"/>
    <w:rsid w:val="25303972"/>
    <w:rsid w:val="25306A48"/>
    <w:rsid w:val="25312DAE"/>
    <w:rsid w:val="2531393D"/>
    <w:rsid w:val="25325058"/>
    <w:rsid w:val="25326D7B"/>
    <w:rsid w:val="2532799E"/>
    <w:rsid w:val="25337FFE"/>
    <w:rsid w:val="253722FD"/>
    <w:rsid w:val="25382E18"/>
    <w:rsid w:val="2538602A"/>
    <w:rsid w:val="253D0453"/>
    <w:rsid w:val="253D4B41"/>
    <w:rsid w:val="253E0ADE"/>
    <w:rsid w:val="254001B2"/>
    <w:rsid w:val="25411F09"/>
    <w:rsid w:val="2542321F"/>
    <w:rsid w:val="2543512F"/>
    <w:rsid w:val="25442A8C"/>
    <w:rsid w:val="254534F9"/>
    <w:rsid w:val="25460B79"/>
    <w:rsid w:val="25475746"/>
    <w:rsid w:val="25477816"/>
    <w:rsid w:val="254A1EA6"/>
    <w:rsid w:val="254A607B"/>
    <w:rsid w:val="254C4AC2"/>
    <w:rsid w:val="25501830"/>
    <w:rsid w:val="255045B2"/>
    <w:rsid w:val="25525847"/>
    <w:rsid w:val="255319AC"/>
    <w:rsid w:val="2553373E"/>
    <w:rsid w:val="25545725"/>
    <w:rsid w:val="255471F6"/>
    <w:rsid w:val="255676EF"/>
    <w:rsid w:val="25585215"/>
    <w:rsid w:val="255854AB"/>
    <w:rsid w:val="255D0602"/>
    <w:rsid w:val="255D29D6"/>
    <w:rsid w:val="255E2D7D"/>
    <w:rsid w:val="255E51C8"/>
    <w:rsid w:val="256040C9"/>
    <w:rsid w:val="256071D9"/>
    <w:rsid w:val="25622471"/>
    <w:rsid w:val="2562531B"/>
    <w:rsid w:val="25627D3B"/>
    <w:rsid w:val="25627E42"/>
    <w:rsid w:val="2565721A"/>
    <w:rsid w:val="25675458"/>
    <w:rsid w:val="256810E2"/>
    <w:rsid w:val="256A1571"/>
    <w:rsid w:val="256A2A63"/>
    <w:rsid w:val="256B317C"/>
    <w:rsid w:val="256C5373"/>
    <w:rsid w:val="257112EE"/>
    <w:rsid w:val="257257B4"/>
    <w:rsid w:val="25726FF4"/>
    <w:rsid w:val="25733C0D"/>
    <w:rsid w:val="25745A71"/>
    <w:rsid w:val="25754019"/>
    <w:rsid w:val="25773693"/>
    <w:rsid w:val="25792D10"/>
    <w:rsid w:val="257966F4"/>
    <w:rsid w:val="257B2BA9"/>
    <w:rsid w:val="257B300F"/>
    <w:rsid w:val="257D1F44"/>
    <w:rsid w:val="257D23E9"/>
    <w:rsid w:val="25821D55"/>
    <w:rsid w:val="258252A1"/>
    <w:rsid w:val="2583129B"/>
    <w:rsid w:val="25836BCB"/>
    <w:rsid w:val="258463D0"/>
    <w:rsid w:val="258567C1"/>
    <w:rsid w:val="25872313"/>
    <w:rsid w:val="25881CA6"/>
    <w:rsid w:val="25892B4B"/>
    <w:rsid w:val="25902676"/>
    <w:rsid w:val="2592439E"/>
    <w:rsid w:val="25943EAE"/>
    <w:rsid w:val="25944B2C"/>
    <w:rsid w:val="25956B41"/>
    <w:rsid w:val="259674E6"/>
    <w:rsid w:val="259A3827"/>
    <w:rsid w:val="259B09D1"/>
    <w:rsid w:val="259C006C"/>
    <w:rsid w:val="259E376E"/>
    <w:rsid w:val="25A14292"/>
    <w:rsid w:val="25A256C7"/>
    <w:rsid w:val="25A4045A"/>
    <w:rsid w:val="25A42208"/>
    <w:rsid w:val="25A60577"/>
    <w:rsid w:val="25A706ED"/>
    <w:rsid w:val="25A8619C"/>
    <w:rsid w:val="25A9358D"/>
    <w:rsid w:val="25AB5BBB"/>
    <w:rsid w:val="25AB7A52"/>
    <w:rsid w:val="25AF017F"/>
    <w:rsid w:val="25AF61CD"/>
    <w:rsid w:val="25B10ED6"/>
    <w:rsid w:val="25B12B77"/>
    <w:rsid w:val="25B16F3F"/>
    <w:rsid w:val="25B557B9"/>
    <w:rsid w:val="25B60952"/>
    <w:rsid w:val="25B85D53"/>
    <w:rsid w:val="25B87FD8"/>
    <w:rsid w:val="25B91FE9"/>
    <w:rsid w:val="25B93582"/>
    <w:rsid w:val="25BA46A0"/>
    <w:rsid w:val="25BA652E"/>
    <w:rsid w:val="25BB3292"/>
    <w:rsid w:val="25BB6553"/>
    <w:rsid w:val="25BC6EF0"/>
    <w:rsid w:val="25BD776E"/>
    <w:rsid w:val="25BF61CF"/>
    <w:rsid w:val="25C02D0E"/>
    <w:rsid w:val="25C02D8B"/>
    <w:rsid w:val="25C22D2B"/>
    <w:rsid w:val="25C2302E"/>
    <w:rsid w:val="25C24910"/>
    <w:rsid w:val="25C810D6"/>
    <w:rsid w:val="25CD5C03"/>
    <w:rsid w:val="25CE31DA"/>
    <w:rsid w:val="25CE486A"/>
    <w:rsid w:val="25D32510"/>
    <w:rsid w:val="25D3251E"/>
    <w:rsid w:val="25D366BE"/>
    <w:rsid w:val="25D41CBF"/>
    <w:rsid w:val="25D50D36"/>
    <w:rsid w:val="25D72DB2"/>
    <w:rsid w:val="25D95686"/>
    <w:rsid w:val="25DC0753"/>
    <w:rsid w:val="25DF76E4"/>
    <w:rsid w:val="25E13F18"/>
    <w:rsid w:val="25E32C54"/>
    <w:rsid w:val="25E460DC"/>
    <w:rsid w:val="25E6293F"/>
    <w:rsid w:val="25E64EE0"/>
    <w:rsid w:val="25EA322F"/>
    <w:rsid w:val="25EC41B6"/>
    <w:rsid w:val="25ED788F"/>
    <w:rsid w:val="25EF223C"/>
    <w:rsid w:val="25EF3E43"/>
    <w:rsid w:val="25F06D6F"/>
    <w:rsid w:val="25F1048F"/>
    <w:rsid w:val="25F3001B"/>
    <w:rsid w:val="25F306F3"/>
    <w:rsid w:val="25F56CC0"/>
    <w:rsid w:val="25F63301"/>
    <w:rsid w:val="25F63DD5"/>
    <w:rsid w:val="25F6507B"/>
    <w:rsid w:val="25F7529C"/>
    <w:rsid w:val="25F80884"/>
    <w:rsid w:val="25F8747F"/>
    <w:rsid w:val="25F90B4A"/>
    <w:rsid w:val="25FA4BA2"/>
    <w:rsid w:val="25FB1AC4"/>
    <w:rsid w:val="25FC7FC2"/>
    <w:rsid w:val="260053A6"/>
    <w:rsid w:val="26014911"/>
    <w:rsid w:val="2602724B"/>
    <w:rsid w:val="26031625"/>
    <w:rsid w:val="26070F73"/>
    <w:rsid w:val="26072CF6"/>
    <w:rsid w:val="26073F21"/>
    <w:rsid w:val="26092F27"/>
    <w:rsid w:val="260931CF"/>
    <w:rsid w:val="260A6DDB"/>
    <w:rsid w:val="260C2212"/>
    <w:rsid w:val="260D6534"/>
    <w:rsid w:val="260E08C9"/>
    <w:rsid w:val="260E1D77"/>
    <w:rsid w:val="260E2F46"/>
    <w:rsid w:val="26120EFC"/>
    <w:rsid w:val="26123B5A"/>
    <w:rsid w:val="26127DD8"/>
    <w:rsid w:val="26151358"/>
    <w:rsid w:val="26153106"/>
    <w:rsid w:val="261544FB"/>
    <w:rsid w:val="26162A09"/>
    <w:rsid w:val="26180AC1"/>
    <w:rsid w:val="26181493"/>
    <w:rsid w:val="261B548D"/>
    <w:rsid w:val="261C426E"/>
    <w:rsid w:val="261F4A6F"/>
    <w:rsid w:val="2620423B"/>
    <w:rsid w:val="2621177D"/>
    <w:rsid w:val="26217D5E"/>
    <w:rsid w:val="2622427E"/>
    <w:rsid w:val="26245763"/>
    <w:rsid w:val="2628728B"/>
    <w:rsid w:val="262B6D73"/>
    <w:rsid w:val="262C583B"/>
    <w:rsid w:val="262D4917"/>
    <w:rsid w:val="262E2142"/>
    <w:rsid w:val="263016BE"/>
    <w:rsid w:val="26311DB7"/>
    <w:rsid w:val="26312D19"/>
    <w:rsid w:val="2631375B"/>
    <w:rsid w:val="263340C7"/>
    <w:rsid w:val="26346992"/>
    <w:rsid w:val="263512B0"/>
    <w:rsid w:val="26361729"/>
    <w:rsid w:val="26370B79"/>
    <w:rsid w:val="2637307C"/>
    <w:rsid w:val="26373D44"/>
    <w:rsid w:val="26375176"/>
    <w:rsid w:val="26377CDD"/>
    <w:rsid w:val="263907AA"/>
    <w:rsid w:val="263B00E6"/>
    <w:rsid w:val="263C0693"/>
    <w:rsid w:val="263C322D"/>
    <w:rsid w:val="263C6E89"/>
    <w:rsid w:val="263E7057"/>
    <w:rsid w:val="264265E3"/>
    <w:rsid w:val="26431A21"/>
    <w:rsid w:val="26433BBD"/>
    <w:rsid w:val="26436EAE"/>
    <w:rsid w:val="2644571B"/>
    <w:rsid w:val="26464170"/>
    <w:rsid w:val="264648A3"/>
    <w:rsid w:val="264713A7"/>
    <w:rsid w:val="264779F7"/>
    <w:rsid w:val="26487F63"/>
    <w:rsid w:val="26493C12"/>
    <w:rsid w:val="264A1001"/>
    <w:rsid w:val="264C3039"/>
    <w:rsid w:val="264E1E1E"/>
    <w:rsid w:val="264E7B3C"/>
    <w:rsid w:val="264F7447"/>
    <w:rsid w:val="2650413E"/>
    <w:rsid w:val="26522E8B"/>
    <w:rsid w:val="265557E2"/>
    <w:rsid w:val="265A0585"/>
    <w:rsid w:val="265A6D6B"/>
    <w:rsid w:val="265D3DEC"/>
    <w:rsid w:val="265F63A8"/>
    <w:rsid w:val="265F7665"/>
    <w:rsid w:val="2660369D"/>
    <w:rsid w:val="26621F6A"/>
    <w:rsid w:val="26643BCF"/>
    <w:rsid w:val="26655DF8"/>
    <w:rsid w:val="266624A1"/>
    <w:rsid w:val="26675F94"/>
    <w:rsid w:val="266E2134"/>
    <w:rsid w:val="266E7D61"/>
    <w:rsid w:val="26705657"/>
    <w:rsid w:val="26782D8B"/>
    <w:rsid w:val="26797B39"/>
    <w:rsid w:val="267A11BB"/>
    <w:rsid w:val="267A740D"/>
    <w:rsid w:val="267D0CE8"/>
    <w:rsid w:val="267D25BB"/>
    <w:rsid w:val="267E468D"/>
    <w:rsid w:val="267E6A35"/>
    <w:rsid w:val="267F2E31"/>
    <w:rsid w:val="2681079B"/>
    <w:rsid w:val="26833736"/>
    <w:rsid w:val="26842D22"/>
    <w:rsid w:val="26864D1E"/>
    <w:rsid w:val="268900EE"/>
    <w:rsid w:val="26890504"/>
    <w:rsid w:val="26892811"/>
    <w:rsid w:val="268A0A77"/>
    <w:rsid w:val="268A0EE2"/>
    <w:rsid w:val="268B24C6"/>
    <w:rsid w:val="268C75E7"/>
    <w:rsid w:val="268D13D4"/>
    <w:rsid w:val="26916129"/>
    <w:rsid w:val="269260AA"/>
    <w:rsid w:val="26955416"/>
    <w:rsid w:val="26967343"/>
    <w:rsid w:val="26971D6D"/>
    <w:rsid w:val="2697476F"/>
    <w:rsid w:val="26974F4B"/>
    <w:rsid w:val="26993D37"/>
    <w:rsid w:val="269A2AFE"/>
    <w:rsid w:val="269E484C"/>
    <w:rsid w:val="269E74BF"/>
    <w:rsid w:val="269F63DB"/>
    <w:rsid w:val="26A055C1"/>
    <w:rsid w:val="26A131D1"/>
    <w:rsid w:val="26A353C9"/>
    <w:rsid w:val="26A42ADD"/>
    <w:rsid w:val="26A50F77"/>
    <w:rsid w:val="26A562EA"/>
    <w:rsid w:val="26A8540B"/>
    <w:rsid w:val="26A91CA1"/>
    <w:rsid w:val="26AA1D61"/>
    <w:rsid w:val="26AA6753"/>
    <w:rsid w:val="26AA7CF2"/>
    <w:rsid w:val="26AB4C0F"/>
    <w:rsid w:val="26AC2C1C"/>
    <w:rsid w:val="26AC433A"/>
    <w:rsid w:val="26AC6EFB"/>
    <w:rsid w:val="26AC7C17"/>
    <w:rsid w:val="26AD5695"/>
    <w:rsid w:val="26AF205F"/>
    <w:rsid w:val="26AF355A"/>
    <w:rsid w:val="26B15CE8"/>
    <w:rsid w:val="26B17A46"/>
    <w:rsid w:val="26B26802"/>
    <w:rsid w:val="26B4291F"/>
    <w:rsid w:val="26B54F0A"/>
    <w:rsid w:val="26B650E4"/>
    <w:rsid w:val="26B66697"/>
    <w:rsid w:val="26B91CE3"/>
    <w:rsid w:val="26B940CC"/>
    <w:rsid w:val="26BA3497"/>
    <w:rsid w:val="26BC7104"/>
    <w:rsid w:val="26BC795F"/>
    <w:rsid w:val="26BE186F"/>
    <w:rsid w:val="26BF14F5"/>
    <w:rsid w:val="26BF241B"/>
    <w:rsid w:val="26BF6BC9"/>
    <w:rsid w:val="26C00F2C"/>
    <w:rsid w:val="26C012C4"/>
    <w:rsid w:val="26C106F3"/>
    <w:rsid w:val="26C274E0"/>
    <w:rsid w:val="26C30DB4"/>
    <w:rsid w:val="26CB288E"/>
    <w:rsid w:val="26CC7B19"/>
    <w:rsid w:val="26CD1337"/>
    <w:rsid w:val="26CD59D9"/>
    <w:rsid w:val="26CE0A58"/>
    <w:rsid w:val="26CE1144"/>
    <w:rsid w:val="26CE2F65"/>
    <w:rsid w:val="26D42FC1"/>
    <w:rsid w:val="26D46B1D"/>
    <w:rsid w:val="26D528A9"/>
    <w:rsid w:val="26D5600B"/>
    <w:rsid w:val="26D6652C"/>
    <w:rsid w:val="26D85118"/>
    <w:rsid w:val="26D854EF"/>
    <w:rsid w:val="26D946B9"/>
    <w:rsid w:val="26D96728"/>
    <w:rsid w:val="26D9672E"/>
    <w:rsid w:val="26D96C5E"/>
    <w:rsid w:val="26DC3FE2"/>
    <w:rsid w:val="26DD6D55"/>
    <w:rsid w:val="26DE5EBC"/>
    <w:rsid w:val="26DE6C18"/>
    <w:rsid w:val="26E04E66"/>
    <w:rsid w:val="26E10B6B"/>
    <w:rsid w:val="26E17572"/>
    <w:rsid w:val="26E31B31"/>
    <w:rsid w:val="26E3303B"/>
    <w:rsid w:val="26E351D9"/>
    <w:rsid w:val="26E53058"/>
    <w:rsid w:val="26E53821"/>
    <w:rsid w:val="26E72631"/>
    <w:rsid w:val="26E7757E"/>
    <w:rsid w:val="26E80701"/>
    <w:rsid w:val="26E92CF6"/>
    <w:rsid w:val="26EA2685"/>
    <w:rsid w:val="26EA38A7"/>
    <w:rsid w:val="26EA7A50"/>
    <w:rsid w:val="26EB135F"/>
    <w:rsid w:val="26EC5A7C"/>
    <w:rsid w:val="26F543B5"/>
    <w:rsid w:val="26F57511"/>
    <w:rsid w:val="26F62F37"/>
    <w:rsid w:val="26F63598"/>
    <w:rsid w:val="26F725E5"/>
    <w:rsid w:val="26FA0563"/>
    <w:rsid w:val="26FC3D7D"/>
    <w:rsid w:val="26FD3D0E"/>
    <w:rsid w:val="26FD42C6"/>
    <w:rsid w:val="26FD4D36"/>
    <w:rsid w:val="26FE1DEC"/>
    <w:rsid w:val="26FF7EE9"/>
    <w:rsid w:val="270322B5"/>
    <w:rsid w:val="27040E77"/>
    <w:rsid w:val="270659B1"/>
    <w:rsid w:val="27075144"/>
    <w:rsid w:val="270B2978"/>
    <w:rsid w:val="270E2766"/>
    <w:rsid w:val="271253E4"/>
    <w:rsid w:val="27135BA5"/>
    <w:rsid w:val="27137062"/>
    <w:rsid w:val="271637B5"/>
    <w:rsid w:val="271726A1"/>
    <w:rsid w:val="27174C5C"/>
    <w:rsid w:val="271813BF"/>
    <w:rsid w:val="271823F1"/>
    <w:rsid w:val="271839E1"/>
    <w:rsid w:val="271B190B"/>
    <w:rsid w:val="271C5816"/>
    <w:rsid w:val="271D2B9F"/>
    <w:rsid w:val="271F5633"/>
    <w:rsid w:val="2720025A"/>
    <w:rsid w:val="27203314"/>
    <w:rsid w:val="27220D2C"/>
    <w:rsid w:val="27225614"/>
    <w:rsid w:val="272276AF"/>
    <w:rsid w:val="272821BB"/>
    <w:rsid w:val="272835E1"/>
    <w:rsid w:val="2729330D"/>
    <w:rsid w:val="272A184A"/>
    <w:rsid w:val="27355653"/>
    <w:rsid w:val="27373291"/>
    <w:rsid w:val="27383B65"/>
    <w:rsid w:val="273864DE"/>
    <w:rsid w:val="273D05C6"/>
    <w:rsid w:val="273E2DFB"/>
    <w:rsid w:val="274122E3"/>
    <w:rsid w:val="27413ECA"/>
    <w:rsid w:val="27414187"/>
    <w:rsid w:val="2742617D"/>
    <w:rsid w:val="27433CA3"/>
    <w:rsid w:val="27463F98"/>
    <w:rsid w:val="27475541"/>
    <w:rsid w:val="27486D20"/>
    <w:rsid w:val="274C0DA9"/>
    <w:rsid w:val="274C61CE"/>
    <w:rsid w:val="274D7B7C"/>
    <w:rsid w:val="274E2D73"/>
    <w:rsid w:val="274F0FA4"/>
    <w:rsid w:val="275018D3"/>
    <w:rsid w:val="27514472"/>
    <w:rsid w:val="2753076B"/>
    <w:rsid w:val="27542BC6"/>
    <w:rsid w:val="27554102"/>
    <w:rsid w:val="27564F1D"/>
    <w:rsid w:val="27596868"/>
    <w:rsid w:val="27596C46"/>
    <w:rsid w:val="275A34C6"/>
    <w:rsid w:val="275B0423"/>
    <w:rsid w:val="275B28C6"/>
    <w:rsid w:val="275D249D"/>
    <w:rsid w:val="275E055D"/>
    <w:rsid w:val="275F47D6"/>
    <w:rsid w:val="27625BC8"/>
    <w:rsid w:val="27626C2B"/>
    <w:rsid w:val="27633B89"/>
    <w:rsid w:val="27644345"/>
    <w:rsid w:val="2765234A"/>
    <w:rsid w:val="27654DE2"/>
    <w:rsid w:val="276A122F"/>
    <w:rsid w:val="276A4747"/>
    <w:rsid w:val="277065E5"/>
    <w:rsid w:val="27715ADA"/>
    <w:rsid w:val="277246F6"/>
    <w:rsid w:val="27727334"/>
    <w:rsid w:val="27731537"/>
    <w:rsid w:val="27736B01"/>
    <w:rsid w:val="27741CCB"/>
    <w:rsid w:val="27763502"/>
    <w:rsid w:val="277A2384"/>
    <w:rsid w:val="277A23E1"/>
    <w:rsid w:val="277A7DCB"/>
    <w:rsid w:val="277B389C"/>
    <w:rsid w:val="277B51EB"/>
    <w:rsid w:val="277D03F0"/>
    <w:rsid w:val="277E4A23"/>
    <w:rsid w:val="277F2F2D"/>
    <w:rsid w:val="27812147"/>
    <w:rsid w:val="2781745A"/>
    <w:rsid w:val="27817480"/>
    <w:rsid w:val="27856069"/>
    <w:rsid w:val="278640BE"/>
    <w:rsid w:val="27880047"/>
    <w:rsid w:val="278818D5"/>
    <w:rsid w:val="2788796C"/>
    <w:rsid w:val="27892CC1"/>
    <w:rsid w:val="278C1639"/>
    <w:rsid w:val="278C41A2"/>
    <w:rsid w:val="278F197C"/>
    <w:rsid w:val="278F7AD6"/>
    <w:rsid w:val="27901AE2"/>
    <w:rsid w:val="27903DC1"/>
    <w:rsid w:val="27930B8E"/>
    <w:rsid w:val="27941981"/>
    <w:rsid w:val="27982BDA"/>
    <w:rsid w:val="27985C5A"/>
    <w:rsid w:val="2799109B"/>
    <w:rsid w:val="27995112"/>
    <w:rsid w:val="279E0B42"/>
    <w:rsid w:val="279E3A83"/>
    <w:rsid w:val="279F17BD"/>
    <w:rsid w:val="27A26C1B"/>
    <w:rsid w:val="27A32B91"/>
    <w:rsid w:val="27A338C0"/>
    <w:rsid w:val="27A449B4"/>
    <w:rsid w:val="27A504B9"/>
    <w:rsid w:val="27A6670B"/>
    <w:rsid w:val="27A72D02"/>
    <w:rsid w:val="27A73700"/>
    <w:rsid w:val="27A90A41"/>
    <w:rsid w:val="27A971EF"/>
    <w:rsid w:val="27AB7E28"/>
    <w:rsid w:val="27AC4E3E"/>
    <w:rsid w:val="27AF1113"/>
    <w:rsid w:val="27B15477"/>
    <w:rsid w:val="27B55939"/>
    <w:rsid w:val="27B70259"/>
    <w:rsid w:val="27B8643F"/>
    <w:rsid w:val="27BE6E7A"/>
    <w:rsid w:val="27C5286A"/>
    <w:rsid w:val="27C938F0"/>
    <w:rsid w:val="27C96583"/>
    <w:rsid w:val="27CA016C"/>
    <w:rsid w:val="27CA66CF"/>
    <w:rsid w:val="27CB2922"/>
    <w:rsid w:val="27CB6172"/>
    <w:rsid w:val="27CB75D9"/>
    <w:rsid w:val="27CC1404"/>
    <w:rsid w:val="27CC6CC2"/>
    <w:rsid w:val="27CD4F58"/>
    <w:rsid w:val="27CE5C62"/>
    <w:rsid w:val="27CF5FA9"/>
    <w:rsid w:val="27D03788"/>
    <w:rsid w:val="27D33EE6"/>
    <w:rsid w:val="27D35027"/>
    <w:rsid w:val="27D374B9"/>
    <w:rsid w:val="27D4432A"/>
    <w:rsid w:val="27D52B4D"/>
    <w:rsid w:val="27D623A3"/>
    <w:rsid w:val="27D71496"/>
    <w:rsid w:val="27D76467"/>
    <w:rsid w:val="27D92396"/>
    <w:rsid w:val="27D96522"/>
    <w:rsid w:val="27DA00E8"/>
    <w:rsid w:val="27DC1F8E"/>
    <w:rsid w:val="27DC276E"/>
    <w:rsid w:val="27DC331D"/>
    <w:rsid w:val="27DC33AF"/>
    <w:rsid w:val="27DD4DBC"/>
    <w:rsid w:val="27DE4366"/>
    <w:rsid w:val="27E2251E"/>
    <w:rsid w:val="27E50BFB"/>
    <w:rsid w:val="27E54F7F"/>
    <w:rsid w:val="27E60EDB"/>
    <w:rsid w:val="27E6247E"/>
    <w:rsid w:val="27E72880"/>
    <w:rsid w:val="27E867B8"/>
    <w:rsid w:val="27E96E49"/>
    <w:rsid w:val="27EB0B37"/>
    <w:rsid w:val="27EB1112"/>
    <w:rsid w:val="27EB1D1A"/>
    <w:rsid w:val="27EE1E60"/>
    <w:rsid w:val="27EE3C0E"/>
    <w:rsid w:val="27EE4C24"/>
    <w:rsid w:val="27EF125C"/>
    <w:rsid w:val="27EF5E25"/>
    <w:rsid w:val="27EF5E9D"/>
    <w:rsid w:val="27F02A3C"/>
    <w:rsid w:val="27F03DEF"/>
    <w:rsid w:val="27F136FF"/>
    <w:rsid w:val="27F245B9"/>
    <w:rsid w:val="27F53D40"/>
    <w:rsid w:val="27F5562B"/>
    <w:rsid w:val="27F57CBE"/>
    <w:rsid w:val="27F86960"/>
    <w:rsid w:val="27FC457D"/>
    <w:rsid w:val="27FD48FE"/>
    <w:rsid w:val="28002AB0"/>
    <w:rsid w:val="28014BFC"/>
    <w:rsid w:val="2802590C"/>
    <w:rsid w:val="280416B3"/>
    <w:rsid w:val="28041EC2"/>
    <w:rsid w:val="28044678"/>
    <w:rsid w:val="28046D83"/>
    <w:rsid w:val="28053270"/>
    <w:rsid w:val="280C499D"/>
    <w:rsid w:val="280C7C66"/>
    <w:rsid w:val="280D34D0"/>
    <w:rsid w:val="280F757C"/>
    <w:rsid w:val="28100F68"/>
    <w:rsid w:val="28106922"/>
    <w:rsid w:val="28195A21"/>
    <w:rsid w:val="281B174F"/>
    <w:rsid w:val="281B76B8"/>
    <w:rsid w:val="281D0487"/>
    <w:rsid w:val="281D4B96"/>
    <w:rsid w:val="281D6C32"/>
    <w:rsid w:val="28215648"/>
    <w:rsid w:val="28246521"/>
    <w:rsid w:val="282615FA"/>
    <w:rsid w:val="28294D47"/>
    <w:rsid w:val="28297B56"/>
    <w:rsid w:val="282A675C"/>
    <w:rsid w:val="282C01AF"/>
    <w:rsid w:val="282C1E62"/>
    <w:rsid w:val="282D0974"/>
    <w:rsid w:val="28304227"/>
    <w:rsid w:val="2831174D"/>
    <w:rsid w:val="2832283A"/>
    <w:rsid w:val="28326B78"/>
    <w:rsid w:val="28330BFB"/>
    <w:rsid w:val="28341390"/>
    <w:rsid w:val="28346C3E"/>
    <w:rsid w:val="2837135C"/>
    <w:rsid w:val="2838132E"/>
    <w:rsid w:val="283A02B8"/>
    <w:rsid w:val="283A6E54"/>
    <w:rsid w:val="283C6AD4"/>
    <w:rsid w:val="283F6917"/>
    <w:rsid w:val="284101E2"/>
    <w:rsid w:val="28414686"/>
    <w:rsid w:val="28433F5A"/>
    <w:rsid w:val="284368DF"/>
    <w:rsid w:val="28483608"/>
    <w:rsid w:val="28497097"/>
    <w:rsid w:val="284A668D"/>
    <w:rsid w:val="284D10D5"/>
    <w:rsid w:val="284E499E"/>
    <w:rsid w:val="284E5AB5"/>
    <w:rsid w:val="284F1FCA"/>
    <w:rsid w:val="284F418E"/>
    <w:rsid w:val="28506677"/>
    <w:rsid w:val="2851512B"/>
    <w:rsid w:val="28520641"/>
    <w:rsid w:val="285223EF"/>
    <w:rsid w:val="2852426F"/>
    <w:rsid w:val="28553C8E"/>
    <w:rsid w:val="2857401A"/>
    <w:rsid w:val="285916CB"/>
    <w:rsid w:val="285937C8"/>
    <w:rsid w:val="285A0FD6"/>
    <w:rsid w:val="285A5A26"/>
    <w:rsid w:val="285C501C"/>
    <w:rsid w:val="285D3598"/>
    <w:rsid w:val="285F03ED"/>
    <w:rsid w:val="2861453A"/>
    <w:rsid w:val="28643F3F"/>
    <w:rsid w:val="286445C5"/>
    <w:rsid w:val="28650375"/>
    <w:rsid w:val="2869466F"/>
    <w:rsid w:val="286A6510"/>
    <w:rsid w:val="286D4836"/>
    <w:rsid w:val="286E522A"/>
    <w:rsid w:val="287262BF"/>
    <w:rsid w:val="28726A0B"/>
    <w:rsid w:val="287438B3"/>
    <w:rsid w:val="2874549A"/>
    <w:rsid w:val="28757E8C"/>
    <w:rsid w:val="287772F8"/>
    <w:rsid w:val="2879119B"/>
    <w:rsid w:val="28814CE2"/>
    <w:rsid w:val="288535DC"/>
    <w:rsid w:val="28853BD0"/>
    <w:rsid w:val="288800DE"/>
    <w:rsid w:val="288918A5"/>
    <w:rsid w:val="288B4612"/>
    <w:rsid w:val="288D1679"/>
    <w:rsid w:val="288D6AFD"/>
    <w:rsid w:val="288F37CA"/>
    <w:rsid w:val="2890716F"/>
    <w:rsid w:val="28943338"/>
    <w:rsid w:val="289445DA"/>
    <w:rsid w:val="28956780"/>
    <w:rsid w:val="289577A0"/>
    <w:rsid w:val="2896613F"/>
    <w:rsid w:val="28981F1C"/>
    <w:rsid w:val="28986ACC"/>
    <w:rsid w:val="28986D82"/>
    <w:rsid w:val="28995009"/>
    <w:rsid w:val="28995EDA"/>
    <w:rsid w:val="289A52F5"/>
    <w:rsid w:val="289A78F2"/>
    <w:rsid w:val="289C0690"/>
    <w:rsid w:val="289C21DF"/>
    <w:rsid w:val="289D3BDA"/>
    <w:rsid w:val="28A02491"/>
    <w:rsid w:val="28A11C8C"/>
    <w:rsid w:val="28A373C8"/>
    <w:rsid w:val="28A44AA3"/>
    <w:rsid w:val="28A4771F"/>
    <w:rsid w:val="28A762D6"/>
    <w:rsid w:val="28A97CF5"/>
    <w:rsid w:val="28AA0E85"/>
    <w:rsid w:val="28AA0E9C"/>
    <w:rsid w:val="28AB7B7C"/>
    <w:rsid w:val="28AD4194"/>
    <w:rsid w:val="28AF54BF"/>
    <w:rsid w:val="28B1510E"/>
    <w:rsid w:val="28B1682F"/>
    <w:rsid w:val="28B31F5F"/>
    <w:rsid w:val="28B40744"/>
    <w:rsid w:val="28B44864"/>
    <w:rsid w:val="28B94849"/>
    <w:rsid w:val="28BA2862"/>
    <w:rsid w:val="28BA534D"/>
    <w:rsid w:val="28BA7F95"/>
    <w:rsid w:val="28BC3FDC"/>
    <w:rsid w:val="28BD049E"/>
    <w:rsid w:val="28BE7E3F"/>
    <w:rsid w:val="28BF3FDA"/>
    <w:rsid w:val="28BF50C6"/>
    <w:rsid w:val="28C033E3"/>
    <w:rsid w:val="28C03A01"/>
    <w:rsid w:val="28C03C94"/>
    <w:rsid w:val="28C441DC"/>
    <w:rsid w:val="28C46B07"/>
    <w:rsid w:val="28C67C5C"/>
    <w:rsid w:val="28C70977"/>
    <w:rsid w:val="28C82DE8"/>
    <w:rsid w:val="28C97790"/>
    <w:rsid w:val="28CA0E3C"/>
    <w:rsid w:val="28CA1BA7"/>
    <w:rsid w:val="28CD1A76"/>
    <w:rsid w:val="28CE392E"/>
    <w:rsid w:val="28CE7115"/>
    <w:rsid w:val="28CF3A40"/>
    <w:rsid w:val="28D3263A"/>
    <w:rsid w:val="28D34048"/>
    <w:rsid w:val="28D61EBD"/>
    <w:rsid w:val="28D63020"/>
    <w:rsid w:val="28D66B6E"/>
    <w:rsid w:val="28D81321"/>
    <w:rsid w:val="28D82FC5"/>
    <w:rsid w:val="28D831ED"/>
    <w:rsid w:val="28DA340F"/>
    <w:rsid w:val="28DB3806"/>
    <w:rsid w:val="28DB40E6"/>
    <w:rsid w:val="28DC43AF"/>
    <w:rsid w:val="28DC4C61"/>
    <w:rsid w:val="28DD6A42"/>
    <w:rsid w:val="28DF17A9"/>
    <w:rsid w:val="28E1457C"/>
    <w:rsid w:val="28E331DB"/>
    <w:rsid w:val="28E46AC4"/>
    <w:rsid w:val="28E70DA8"/>
    <w:rsid w:val="28E76FDC"/>
    <w:rsid w:val="28EB0833"/>
    <w:rsid w:val="28EC16F7"/>
    <w:rsid w:val="28EC68AB"/>
    <w:rsid w:val="28ED4356"/>
    <w:rsid w:val="28EE7FEB"/>
    <w:rsid w:val="28F079B5"/>
    <w:rsid w:val="28F106D2"/>
    <w:rsid w:val="28F14B11"/>
    <w:rsid w:val="28F24E42"/>
    <w:rsid w:val="28F451A5"/>
    <w:rsid w:val="28F51299"/>
    <w:rsid w:val="28F55EDC"/>
    <w:rsid w:val="28F62603"/>
    <w:rsid w:val="28F85103"/>
    <w:rsid w:val="28FC52BC"/>
    <w:rsid w:val="28FD20D2"/>
    <w:rsid w:val="28FD4156"/>
    <w:rsid w:val="28FD67FF"/>
    <w:rsid w:val="28FE2604"/>
    <w:rsid w:val="28FE4325"/>
    <w:rsid w:val="28FE56AC"/>
    <w:rsid w:val="28FE73D4"/>
    <w:rsid w:val="29014A12"/>
    <w:rsid w:val="29030EDA"/>
    <w:rsid w:val="29071403"/>
    <w:rsid w:val="29072475"/>
    <w:rsid w:val="29086F3D"/>
    <w:rsid w:val="290A5C6F"/>
    <w:rsid w:val="29113506"/>
    <w:rsid w:val="2912101E"/>
    <w:rsid w:val="29127CDB"/>
    <w:rsid w:val="291312DC"/>
    <w:rsid w:val="29134C85"/>
    <w:rsid w:val="2914638F"/>
    <w:rsid w:val="29157C90"/>
    <w:rsid w:val="291646E8"/>
    <w:rsid w:val="29164C4F"/>
    <w:rsid w:val="29170DC4"/>
    <w:rsid w:val="291860AD"/>
    <w:rsid w:val="291D1823"/>
    <w:rsid w:val="291F3231"/>
    <w:rsid w:val="29214098"/>
    <w:rsid w:val="29220FAA"/>
    <w:rsid w:val="29223601"/>
    <w:rsid w:val="2922589D"/>
    <w:rsid w:val="29232002"/>
    <w:rsid w:val="29253F01"/>
    <w:rsid w:val="292578E4"/>
    <w:rsid w:val="29265F3C"/>
    <w:rsid w:val="292D3962"/>
    <w:rsid w:val="292D4147"/>
    <w:rsid w:val="292D5F9E"/>
    <w:rsid w:val="292F10AF"/>
    <w:rsid w:val="292F5BDA"/>
    <w:rsid w:val="29341AF5"/>
    <w:rsid w:val="29344BB5"/>
    <w:rsid w:val="29345C93"/>
    <w:rsid w:val="29353183"/>
    <w:rsid w:val="29354FED"/>
    <w:rsid w:val="293554AA"/>
    <w:rsid w:val="29356584"/>
    <w:rsid w:val="29356EF1"/>
    <w:rsid w:val="29366B41"/>
    <w:rsid w:val="293A6894"/>
    <w:rsid w:val="293E52E5"/>
    <w:rsid w:val="29433252"/>
    <w:rsid w:val="29436814"/>
    <w:rsid w:val="294454A9"/>
    <w:rsid w:val="2945647E"/>
    <w:rsid w:val="2946153C"/>
    <w:rsid w:val="29475CCC"/>
    <w:rsid w:val="29476D20"/>
    <w:rsid w:val="2948520D"/>
    <w:rsid w:val="294A1318"/>
    <w:rsid w:val="294A2911"/>
    <w:rsid w:val="294D7FE9"/>
    <w:rsid w:val="29501B5D"/>
    <w:rsid w:val="29504055"/>
    <w:rsid w:val="29515DB3"/>
    <w:rsid w:val="295327FC"/>
    <w:rsid w:val="29565F0F"/>
    <w:rsid w:val="29570A04"/>
    <w:rsid w:val="295A246A"/>
    <w:rsid w:val="295A3B9A"/>
    <w:rsid w:val="295D7449"/>
    <w:rsid w:val="295E02E6"/>
    <w:rsid w:val="29600055"/>
    <w:rsid w:val="29600744"/>
    <w:rsid w:val="29610864"/>
    <w:rsid w:val="2961655D"/>
    <w:rsid w:val="296259BC"/>
    <w:rsid w:val="296271FD"/>
    <w:rsid w:val="296323DA"/>
    <w:rsid w:val="29665671"/>
    <w:rsid w:val="29667B26"/>
    <w:rsid w:val="29693E94"/>
    <w:rsid w:val="29695CD1"/>
    <w:rsid w:val="296A26FC"/>
    <w:rsid w:val="296B22F5"/>
    <w:rsid w:val="296B4CDF"/>
    <w:rsid w:val="296C034C"/>
    <w:rsid w:val="296D55E9"/>
    <w:rsid w:val="2970771F"/>
    <w:rsid w:val="29716A9F"/>
    <w:rsid w:val="29726EEB"/>
    <w:rsid w:val="29743693"/>
    <w:rsid w:val="2978626C"/>
    <w:rsid w:val="297A4E53"/>
    <w:rsid w:val="297A7E50"/>
    <w:rsid w:val="297C2905"/>
    <w:rsid w:val="297E0FC2"/>
    <w:rsid w:val="29830BB3"/>
    <w:rsid w:val="2985511F"/>
    <w:rsid w:val="298805C1"/>
    <w:rsid w:val="29883BEF"/>
    <w:rsid w:val="2988602C"/>
    <w:rsid w:val="29894971"/>
    <w:rsid w:val="298B16C9"/>
    <w:rsid w:val="298B4856"/>
    <w:rsid w:val="298D0F30"/>
    <w:rsid w:val="298D2ED3"/>
    <w:rsid w:val="29925520"/>
    <w:rsid w:val="29944B64"/>
    <w:rsid w:val="299542A3"/>
    <w:rsid w:val="29990A62"/>
    <w:rsid w:val="299B6018"/>
    <w:rsid w:val="299C4E7A"/>
    <w:rsid w:val="299D161D"/>
    <w:rsid w:val="299E493C"/>
    <w:rsid w:val="29A01DAE"/>
    <w:rsid w:val="29A302AA"/>
    <w:rsid w:val="29A5669C"/>
    <w:rsid w:val="29A8591C"/>
    <w:rsid w:val="29AB1D23"/>
    <w:rsid w:val="29AB2270"/>
    <w:rsid w:val="29AB794F"/>
    <w:rsid w:val="29AD5336"/>
    <w:rsid w:val="29AE00BC"/>
    <w:rsid w:val="29AF561F"/>
    <w:rsid w:val="29B04E83"/>
    <w:rsid w:val="29B16403"/>
    <w:rsid w:val="29B25AE9"/>
    <w:rsid w:val="29B3126F"/>
    <w:rsid w:val="29B5789A"/>
    <w:rsid w:val="29B73DF6"/>
    <w:rsid w:val="29B844D4"/>
    <w:rsid w:val="29B9024C"/>
    <w:rsid w:val="29B902AC"/>
    <w:rsid w:val="29B92FC4"/>
    <w:rsid w:val="29BA1071"/>
    <w:rsid w:val="29BB7E27"/>
    <w:rsid w:val="29BC5466"/>
    <w:rsid w:val="29BD1AEA"/>
    <w:rsid w:val="29BD3DB2"/>
    <w:rsid w:val="29BF7F99"/>
    <w:rsid w:val="29C15A7E"/>
    <w:rsid w:val="29C23CC1"/>
    <w:rsid w:val="29C410E8"/>
    <w:rsid w:val="29C56BF1"/>
    <w:rsid w:val="29C732A8"/>
    <w:rsid w:val="29C74775"/>
    <w:rsid w:val="29C837F6"/>
    <w:rsid w:val="29C976D6"/>
    <w:rsid w:val="29CB58F0"/>
    <w:rsid w:val="29CB71D2"/>
    <w:rsid w:val="29CC7F7F"/>
    <w:rsid w:val="29CD14D0"/>
    <w:rsid w:val="29CE0197"/>
    <w:rsid w:val="29CF0977"/>
    <w:rsid w:val="29D11532"/>
    <w:rsid w:val="29D20F88"/>
    <w:rsid w:val="29D215BB"/>
    <w:rsid w:val="29D24FBF"/>
    <w:rsid w:val="29D30177"/>
    <w:rsid w:val="29D3130E"/>
    <w:rsid w:val="29D31566"/>
    <w:rsid w:val="29D33A72"/>
    <w:rsid w:val="29D357B2"/>
    <w:rsid w:val="29D40FC7"/>
    <w:rsid w:val="29D41B29"/>
    <w:rsid w:val="29D47B24"/>
    <w:rsid w:val="29D532D8"/>
    <w:rsid w:val="29D55C79"/>
    <w:rsid w:val="29D60C0C"/>
    <w:rsid w:val="29D87FA9"/>
    <w:rsid w:val="29D97F63"/>
    <w:rsid w:val="29DB1498"/>
    <w:rsid w:val="29DD0AFC"/>
    <w:rsid w:val="29DE56C6"/>
    <w:rsid w:val="29DE5A35"/>
    <w:rsid w:val="29DF11BF"/>
    <w:rsid w:val="29E1753A"/>
    <w:rsid w:val="29E21B94"/>
    <w:rsid w:val="29E52B9D"/>
    <w:rsid w:val="29E703BB"/>
    <w:rsid w:val="29E73274"/>
    <w:rsid w:val="29EC6874"/>
    <w:rsid w:val="29ED02DA"/>
    <w:rsid w:val="29ED081E"/>
    <w:rsid w:val="29ED4CB3"/>
    <w:rsid w:val="29ED4F5D"/>
    <w:rsid w:val="29EE192F"/>
    <w:rsid w:val="29F117C7"/>
    <w:rsid w:val="29F230C4"/>
    <w:rsid w:val="29F31C6D"/>
    <w:rsid w:val="29F80D74"/>
    <w:rsid w:val="29FA4AED"/>
    <w:rsid w:val="29FB7E4F"/>
    <w:rsid w:val="29FD4F0B"/>
    <w:rsid w:val="29FE05C8"/>
    <w:rsid w:val="29FE1B11"/>
    <w:rsid w:val="29FF72BC"/>
    <w:rsid w:val="2A001B63"/>
    <w:rsid w:val="2A00380F"/>
    <w:rsid w:val="2A007FC8"/>
    <w:rsid w:val="2A014BFD"/>
    <w:rsid w:val="2A030460"/>
    <w:rsid w:val="2A03068C"/>
    <w:rsid w:val="2A0473A2"/>
    <w:rsid w:val="2A056181"/>
    <w:rsid w:val="2A086FE3"/>
    <w:rsid w:val="2A087D53"/>
    <w:rsid w:val="2A0A7163"/>
    <w:rsid w:val="2A0C1D17"/>
    <w:rsid w:val="2A0D7190"/>
    <w:rsid w:val="2A102F73"/>
    <w:rsid w:val="2A106074"/>
    <w:rsid w:val="2A1060BE"/>
    <w:rsid w:val="2A1061A1"/>
    <w:rsid w:val="2A1151C4"/>
    <w:rsid w:val="2A120996"/>
    <w:rsid w:val="2A1240D3"/>
    <w:rsid w:val="2A124742"/>
    <w:rsid w:val="2A126639"/>
    <w:rsid w:val="2A127F21"/>
    <w:rsid w:val="2A145AF9"/>
    <w:rsid w:val="2A156DB9"/>
    <w:rsid w:val="2A1A0CEB"/>
    <w:rsid w:val="2A1B7128"/>
    <w:rsid w:val="2A1D315E"/>
    <w:rsid w:val="2A2324AB"/>
    <w:rsid w:val="2A23676B"/>
    <w:rsid w:val="2A243ACC"/>
    <w:rsid w:val="2A250783"/>
    <w:rsid w:val="2A251FF2"/>
    <w:rsid w:val="2A25513F"/>
    <w:rsid w:val="2A2614BF"/>
    <w:rsid w:val="2A267DD4"/>
    <w:rsid w:val="2A276C8C"/>
    <w:rsid w:val="2A292575"/>
    <w:rsid w:val="2A2C4A41"/>
    <w:rsid w:val="2A2E45FD"/>
    <w:rsid w:val="2A30708D"/>
    <w:rsid w:val="2A337383"/>
    <w:rsid w:val="2A353265"/>
    <w:rsid w:val="2A3618CC"/>
    <w:rsid w:val="2A361E41"/>
    <w:rsid w:val="2A362C0A"/>
    <w:rsid w:val="2A363C8A"/>
    <w:rsid w:val="2A380B4B"/>
    <w:rsid w:val="2A385AB0"/>
    <w:rsid w:val="2A385CAD"/>
    <w:rsid w:val="2A3C236A"/>
    <w:rsid w:val="2A3D58A2"/>
    <w:rsid w:val="2A3F7846"/>
    <w:rsid w:val="2A403BFB"/>
    <w:rsid w:val="2A40552C"/>
    <w:rsid w:val="2A457B8B"/>
    <w:rsid w:val="2A4664BF"/>
    <w:rsid w:val="2A4801BB"/>
    <w:rsid w:val="2A482AAB"/>
    <w:rsid w:val="2A4A4B60"/>
    <w:rsid w:val="2A4C4C00"/>
    <w:rsid w:val="2A4D2779"/>
    <w:rsid w:val="2A4D7312"/>
    <w:rsid w:val="2A5131DD"/>
    <w:rsid w:val="2A520E5E"/>
    <w:rsid w:val="2A534F08"/>
    <w:rsid w:val="2A562A13"/>
    <w:rsid w:val="2A566A64"/>
    <w:rsid w:val="2A58159F"/>
    <w:rsid w:val="2A584047"/>
    <w:rsid w:val="2A59667E"/>
    <w:rsid w:val="2A5A1A2F"/>
    <w:rsid w:val="2A5E32CD"/>
    <w:rsid w:val="2A5E4860"/>
    <w:rsid w:val="2A5E7FD0"/>
    <w:rsid w:val="2A6027D4"/>
    <w:rsid w:val="2A612421"/>
    <w:rsid w:val="2A6315B4"/>
    <w:rsid w:val="2A647DD0"/>
    <w:rsid w:val="2A66129D"/>
    <w:rsid w:val="2A6A6809"/>
    <w:rsid w:val="2A6D15DB"/>
    <w:rsid w:val="2A6E7CB5"/>
    <w:rsid w:val="2A6F49F5"/>
    <w:rsid w:val="2A703D85"/>
    <w:rsid w:val="2A717E7B"/>
    <w:rsid w:val="2A725800"/>
    <w:rsid w:val="2A7307D4"/>
    <w:rsid w:val="2A7337E9"/>
    <w:rsid w:val="2A73531E"/>
    <w:rsid w:val="2A744081"/>
    <w:rsid w:val="2A790107"/>
    <w:rsid w:val="2A794507"/>
    <w:rsid w:val="2A796FA6"/>
    <w:rsid w:val="2A7B0EB1"/>
    <w:rsid w:val="2A7C3C71"/>
    <w:rsid w:val="2A7E13FB"/>
    <w:rsid w:val="2A7E5A70"/>
    <w:rsid w:val="2A7F18F3"/>
    <w:rsid w:val="2A80080F"/>
    <w:rsid w:val="2A81355A"/>
    <w:rsid w:val="2A81464A"/>
    <w:rsid w:val="2A832D34"/>
    <w:rsid w:val="2A846AAC"/>
    <w:rsid w:val="2A8645D2"/>
    <w:rsid w:val="2A8673CC"/>
    <w:rsid w:val="2A8820C8"/>
    <w:rsid w:val="2A8840D9"/>
    <w:rsid w:val="2A893B7C"/>
    <w:rsid w:val="2A8A4964"/>
    <w:rsid w:val="2A8A58CF"/>
    <w:rsid w:val="2A8B1BE9"/>
    <w:rsid w:val="2A8B2CBE"/>
    <w:rsid w:val="2A8F618A"/>
    <w:rsid w:val="2A8F6ED5"/>
    <w:rsid w:val="2A931F73"/>
    <w:rsid w:val="2A9547AF"/>
    <w:rsid w:val="2A954815"/>
    <w:rsid w:val="2A957722"/>
    <w:rsid w:val="2A983F88"/>
    <w:rsid w:val="2A9A6739"/>
    <w:rsid w:val="2A9C5BA4"/>
    <w:rsid w:val="2A9E3A19"/>
    <w:rsid w:val="2AA1140C"/>
    <w:rsid w:val="2AA36B40"/>
    <w:rsid w:val="2AA568AD"/>
    <w:rsid w:val="2AA573B0"/>
    <w:rsid w:val="2AA607D0"/>
    <w:rsid w:val="2AA63204"/>
    <w:rsid w:val="2AA6535A"/>
    <w:rsid w:val="2AA744B9"/>
    <w:rsid w:val="2AA82658"/>
    <w:rsid w:val="2AA939D6"/>
    <w:rsid w:val="2AA93A7B"/>
    <w:rsid w:val="2AAA1493"/>
    <w:rsid w:val="2AAA4765"/>
    <w:rsid w:val="2AAE442F"/>
    <w:rsid w:val="2AB0164F"/>
    <w:rsid w:val="2AB10EF8"/>
    <w:rsid w:val="2AB52686"/>
    <w:rsid w:val="2AB638DA"/>
    <w:rsid w:val="2AB66DF6"/>
    <w:rsid w:val="2AB970B0"/>
    <w:rsid w:val="2ABA095B"/>
    <w:rsid w:val="2ABA427C"/>
    <w:rsid w:val="2ABC43C0"/>
    <w:rsid w:val="2ABC7D19"/>
    <w:rsid w:val="2ABD11ED"/>
    <w:rsid w:val="2ABD6471"/>
    <w:rsid w:val="2AC05D36"/>
    <w:rsid w:val="2AC10BCB"/>
    <w:rsid w:val="2AC4603C"/>
    <w:rsid w:val="2AC66B4F"/>
    <w:rsid w:val="2AC776EE"/>
    <w:rsid w:val="2AC97973"/>
    <w:rsid w:val="2ACD0453"/>
    <w:rsid w:val="2ACE48A0"/>
    <w:rsid w:val="2ACF45A2"/>
    <w:rsid w:val="2AD05CDE"/>
    <w:rsid w:val="2AD4431C"/>
    <w:rsid w:val="2AD53B07"/>
    <w:rsid w:val="2AD551F7"/>
    <w:rsid w:val="2AD60A29"/>
    <w:rsid w:val="2AD727F3"/>
    <w:rsid w:val="2AD81A2B"/>
    <w:rsid w:val="2ADA586B"/>
    <w:rsid w:val="2ADA59A9"/>
    <w:rsid w:val="2ADB5B0A"/>
    <w:rsid w:val="2ADB6A4A"/>
    <w:rsid w:val="2ADD348D"/>
    <w:rsid w:val="2AE128D7"/>
    <w:rsid w:val="2AE34015"/>
    <w:rsid w:val="2AE97E36"/>
    <w:rsid w:val="2AEA4B61"/>
    <w:rsid w:val="2AEA4FD9"/>
    <w:rsid w:val="2AEB266C"/>
    <w:rsid w:val="2AEB5085"/>
    <w:rsid w:val="2AEB70AC"/>
    <w:rsid w:val="2AEC503B"/>
    <w:rsid w:val="2AED24C1"/>
    <w:rsid w:val="2AF01D72"/>
    <w:rsid w:val="2AF325E9"/>
    <w:rsid w:val="2AF35225"/>
    <w:rsid w:val="2AF36705"/>
    <w:rsid w:val="2AF43C32"/>
    <w:rsid w:val="2AF65773"/>
    <w:rsid w:val="2AF750F1"/>
    <w:rsid w:val="2AF82FCF"/>
    <w:rsid w:val="2AF92C8F"/>
    <w:rsid w:val="2AF94DA4"/>
    <w:rsid w:val="2AFA0CE2"/>
    <w:rsid w:val="2AFA79BB"/>
    <w:rsid w:val="2AFB5C85"/>
    <w:rsid w:val="2AFD13D0"/>
    <w:rsid w:val="2B000E98"/>
    <w:rsid w:val="2B08730E"/>
    <w:rsid w:val="2B0E0051"/>
    <w:rsid w:val="2B0F4266"/>
    <w:rsid w:val="2B122C85"/>
    <w:rsid w:val="2B123009"/>
    <w:rsid w:val="2B150BAC"/>
    <w:rsid w:val="2B157704"/>
    <w:rsid w:val="2B1725AC"/>
    <w:rsid w:val="2B1D6CE7"/>
    <w:rsid w:val="2B2002A9"/>
    <w:rsid w:val="2B203BE4"/>
    <w:rsid w:val="2B207AD9"/>
    <w:rsid w:val="2B2160A9"/>
    <w:rsid w:val="2B222BFF"/>
    <w:rsid w:val="2B22480B"/>
    <w:rsid w:val="2B2271AE"/>
    <w:rsid w:val="2B227321"/>
    <w:rsid w:val="2B270DBE"/>
    <w:rsid w:val="2B275000"/>
    <w:rsid w:val="2B2838DB"/>
    <w:rsid w:val="2B29791F"/>
    <w:rsid w:val="2B2A25A7"/>
    <w:rsid w:val="2B2A547C"/>
    <w:rsid w:val="2B2E4EF0"/>
    <w:rsid w:val="2B2F5766"/>
    <w:rsid w:val="2B30421D"/>
    <w:rsid w:val="2B317C0A"/>
    <w:rsid w:val="2B360CE1"/>
    <w:rsid w:val="2B393B2A"/>
    <w:rsid w:val="2B3B5BF3"/>
    <w:rsid w:val="2B3B6662"/>
    <w:rsid w:val="2B3F342E"/>
    <w:rsid w:val="2B4008AA"/>
    <w:rsid w:val="2B4029D3"/>
    <w:rsid w:val="2B410C99"/>
    <w:rsid w:val="2B4137E0"/>
    <w:rsid w:val="2B4407A3"/>
    <w:rsid w:val="2B451156"/>
    <w:rsid w:val="2B45623B"/>
    <w:rsid w:val="2B485127"/>
    <w:rsid w:val="2B4E6ACC"/>
    <w:rsid w:val="2B4F3853"/>
    <w:rsid w:val="2B5364B1"/>
    <w:rsid w:val="2B540048"/>
    <w:rsid w:val="2B5431F8"/>
    <w:rsid w:val="2B5446D0"/>
    <w:rsid w:val="2B5512F6"/>
    <w:rsid w:val="2B5606D0"/>
    <w:rsid w:val="2B56470A"/>
    <w:rsid w:val="2B571853"/>
    <w:rsid w:val="2B586613"/>
    <w:rsid w:val="2B5C082E"/>
    <w:rsid w:val="2B5D5B14"/>
    <w:rsid w:val="2B5E69A5"/>
    <w:rsid w:val="2B632734"/>
    <w:rsid w:val="2B653C6F"/>
    <w:rsid w:val="2B671E70"/>
    <w:rsid w:val="2B681B8F"/>
    <w:rsid w:val="2B691DC8"/>
    <w:rsid w:val="2B6D47B3"/>
    <w:rsid w:val="2B6F5066"/>
    <w:rsid w:val="2B732D74"/>
    <w:rsid w:val="2B745D08"/>
    <w:rsid w:val="2B75446A"/>
    <w:rsid w:val="2B777082"/>
    <w:rsid w:val="2B7D59D5"/>
    <w:rsid w:val="2B7D7D15"/>
    <w:rsid w:val="2B7F3C34"/>
    <w:rsid w:val="2B7F7E5E"/>
    <w:rsid w:val="2B822A49"/>
    <w:rsid w:val="2B8249EB"/>
    <w:rsid w:val="2B830C96"/>
    <w:rsid w:val="2B832401"/>
    <w:rsid w:val="2B8331E7"/>
    <w:rsid w:val="2B836D64"/>
    <w:rsid w:val="2B84264F"/>
    <w:rsid w:val="2B8509FC"/>
    <w:rsid w:val="2B855C5A"/>
    <w:rsid w:val="2B866B6C"/>
    <w:rsid w:val="2B8805A2"/>
    <w:rsid w:val="2B894C74"/>
    <w:rsid w:val="2B8965AB"/>
    <w:rsid w:val="2B8A20E3"/>
    <w:rsid w:val="2B8B6D48"/>
    <w:rsid w:val="2B8D3A15"/>
    <w:rsid w:val="2B8E1990"/>
    <w:rsid w:val="2B8E5FB6"/>
    <w:rsid w:val="2B8E7ECB"/>
    <w:rsid w:val="2B916BA0"/>
    <w:rsid w:val="2B9176D3"/>
    <w:rsid w:val="2B925DF5"/>
    <w:rsid w:val="2B936FA7"/>
    <w:rsid w:val="2B940F71"/>
    <w:rsid w:val="2B947BD6"/>
    <w:rsid w:val="2B956B57"/>
    <w:rsid w:val="2B9632B3"/>
    <w:rsid w:val="2B9C1664"/>
    <w:rsid w:val="2B9E594C"/>
    <w:rsid w:val="2BA27ADE"/>
    <w:rsid w:val="2BA64767"/>
    <w:rsid w:val="2BA740C2"/>
    <w:rsid w:val="2BA74E33"/>
    <w:rsid w:val="2BA94A1C"/>
    <w:rsid w:val="2BAA3C4C"/>
    <w:rsid w:val="2BAA523C"/>
    <w:rsid w:val="2BAA55DE"/>
    <w:rsid w:val="2BAC6C68"/>
    <w:rsid w:val="2BAD25F9"/>
    <w:rsid w:val="2BB444AE"/>
    <w:rsid w:val="2BB5631D"/>
    <w:rsid w:val="2BB673E4"/>
    <w:rsid w:val="2BB70AE2"/>
    <w:rsid w:val="2BB70F28"/>
    <w:rsid w:val="2BB802DD"/>
    <w:rsid w:val="2BB97ABE"/>
    <w:rsid w:val="2BBD3C50"/>
    <w:rsid w:val="2BBE01CE"/>
    <w:rsid w:val="2BBE2BD6"/>
    <w:rsid w:val="2BBF1618"/>
    <w:rsid w:val="2BBF72C6"/>
    <w:rsid w:val="2BC43DED"/>
    <w:rsid w:val="2BC45FF2"/>
    <w:rsid w:val="2BC72D6D"/>
    <w:rsid w:val="2BCD41EC"/>
    <w:rsid w:val="2BCE4EB3"/>
    <w:rsid w:val="2BD05849"/>
    <w:rsid w:val="2BD1135B"/>
    <w:rsid w:val="2BD16F42"/>
    <w:rsid w:val="2BD42C4E"/>
    <w:rsid w:val="2BD769D0"/>
    <w:rsid w:val="2BD775AB"/>
    <w:rsid w:val="2BD96984"/>
    <w:rsid w:val="2BDA2BE8"/>
    <w:rsid w:val="2BDB06D8"/>
    <w:rsid w:val="2BDC2E8C"/>
    <w:rsid w:val="2BDD257A"/>
    <w:rsid w:val="2BDD6474"/>
    <w:rsid w:val="2BDD7B4C"/>
    <w:rsid w:val="2BDF085D"/>
    <w:rsid w:val="2BDF1C95"/>
    <w:rsid w:val="2BDF2093"/>
    <w:rsid w:val="2BE23A8A"/>
    <w:rsid w:val="2BE27F2E"/>
    <w:rsid w:val="2BE315B0"/>
    <w:rsid w:val="2BE328CB"/>
    <w:rsid w:val="2BE83F94"/>
    <w:rsid w:val="2BE93803"/>
    <w:rsid w:val="2BEA5ED2"/>
    <w:rsid w:val="2BED764A"/>
    <w:rsid w:val="2BEE4C4A"/>
    <w:rsid w:val="2BEF5C43"/>
    <w:rsid w:val="2BF016B6"/>
    <w:rsid w:val="2BF01901"/>
    <w:rsid w:val="2BF043F9"/>
    <w:rsid w:val="2BF400BD"/>
    <w:rsid w:val="2BF4414E"/>
    <w:rsid w:val="2BF44D40"/>
    <w:rsid w:val="2BF54633"/>
    <w:rsid w:val="2BF6758C"/>
    <w:rsid w:val="2BF82CEF"/>
    <w:rsid w:val="2BF903D1"/>
    <w:rsid w:val="2BF940A1"/>
    <w:rsid w:val="2BFD08B5"/>
    <w:rsid w:val="2BFD5302"/>
    <w:rsid w:val="2BFF463C"/>
    <w:rsid w:val="2C050C2A"/>
    <w:rsid w:val="2C077995"/>
    <w:rsid w:val="2C08596D"/>
    <w:rsid w:val="2C0A417D"/>
    <w:rsid w:val="2C0C0B00"/>
    <w:rsid w:val="2C0E05C0"/>
    <w:rsid w:val="2C0E6D09"/>
    <w:rsid w:val="2C0E6EC0"/>
    <w:rsid w:val="2C113AB1"/>
    <w:rsid w:val="2C11436F"/>
    <w:rsid w:val="2C114815"/>
    <w:rsid w:val="2C114859"/>
    <w:rsid w:val="2C124CCA"/>
    <w:rsid w:val="2C125429"/>
    <w:rsid w:val="2C130ECF"/>
    <w:rsid w:val="2C15792A"/>
    <w:rsid w:val="2C173C43"/>
    <w:rsid w:val="2C190376"/>
    <w:rsid w:val="2C192163"/>
    <w:rsid w:val="2C1D0F66"/>
    <w:rsid w:val="2C1F0FA9"/>
    <w:rsid w:val="2C1F422B"/>
    <w:rsid w:val="2C210A56"/>
    <w:rsid w:val="2C223F77"/>
    <w:rsid w:val="2C234588"/>
    <w:rsid w:val="2C2709A8"/>
    <w:rsid w:val="2C272BAB"/>
    <w:rsid w:val="2C2755A2"/>
    <w:rsid w:val="2C275AA3"/>
    <w:rsid w:val="2C293CA3"/>
    <w:rsid w:val="2C295D59"/>
    <w:rsid w:val="2C2B3A0C"/>
    <w:rsid w:val="2C2D1156"/>
    <w:rsid w:val="2C3013CE"/>
    <w:rsid w:val="2C302C5B"/>
    <w:rsid w:val="2C3063AC"/>
    <w:rsid w:val="2C3167C0"/>
    <w:rsid w:val="2C35005E"/>
    <w:rsid w:val="2C367520"/>
    <w:rsid w:val="2C3A1B18"/>
    <w:rsid w:val="2C3B120C"/>
    <w:rsid w:val="2C3B34BE"/>
    <w:rsid w:val="2C3F192C"/>
    <w:rsid w:val="2C400180"/>
    <w:rsid w:val="2C407E25"/>
    <w:rsid w:val="2C425F62"/>
    <w:rsid w:val="2C444745"/>
    <w:rsid w:val="2C46226B"/>
    <w:rsid w:val="2C4B162F"/>
    <w:rsid w:val="2C4B5AD3"/>
    <w:rsid w:val="2C4C20D7"/>
    <w:rsid w:val="2C4C3F30"/>
    <w:rsid w:val="2C51484A"/>
    <w:rsid w:val="2C5254FF"/>
    <w:rsid w:val="2C526E62"/>
    <w:rsid w:val="2C532BDA"/>
    <w:rsid w:val="2C532DA0"/>
    <w:rsid w:val="2C5373DC"/>
    <w:rsid w:val="2C564642"/>
    <w:rsid w:val="2C583D4C"/>
    <w:rsid w:val="2C5933F2"/>
    <w:rsid w:val="2C594AD0"/>
    <w:rsid w:val="2C5A34C3"/>
    <w:rsid w:val="2C5A7751"/>
    <w:rsid w:val="2C5B13BE"/>
    <w:rsid w:val="2C5C383D"/>
    <w:rsid w:val="2C5D1363"/>
    <w:rsid w:val="2C5D4560"/>
    <w:rsid w:val="2C5D5CFC"/>
    <w:rsid w:val="2C5E49D8"/>
    <w:rsid w:val="2C5E7B90"/>
    <w:rsid w:val="2C5F52E8"/>
    <w:rsid w:val="2C604F77"/>
    <w:rsid w:val="2C6124FE"/>
    <w:rsid w:val="2C6170A5"/>
    <w:rsid w:val="2C626979"/>
    <w:rsid w:val="2C632D53"/>
    <w:rsid w:val="2C640943"/>
    <w:rsid w:val="2C6422E4"/>
    <w:rsid w:val="2C6432DA"/>
    <w:rsid w:val="2C650285"/>
    <w:rsid w:val="2C6625AF"/>
    <w:rsid w:val="2C665826"/>
    <w:rsid w:val="2C682B9B"/>
    <w:rsid w:val="2C6A1BEE"/>
    <w:rsid w:val="2C6A423F"/>
    <w:rsid w:val="2C6B4AC3"/>
    <w:rsid w:val="2C6C22F2"/>
    <w:rsid w:val="2C701B90"/>
    <w:rsid w:val="2C70453C"/>
    <w:rsid w:val="2C71213F"/>
    <w:rsid w:val="2C71371A"/>
    <w:rsid w:val="2C72026C"/>
    <w:rsid w:val="2C725B65"/>
    <w:rsid w:val="2C734A1B"/>
    <w:rsid w:val="2C744661"/>
    <w:rsid w:val="2C747B88"/>
    <w:rsid w:val="2C7528F1"/>
    <w:rsid w:val="2C7A5AD3"/>
    <w:rsid w:val="2C7B4AFE"/>
    <w:rsid w:val="2C7C300F"/>
    <w:rsid w:val="2C7D5856"/>
    <w:rsid w:val="2C805D15"/>
    <w:rsid w:val="2C813827"/>
    <w:rsid w:val="2C8175E0"/>
    <w:rsid w:val="2C8423D3"/>
    <w:rsid w:val="2C8543B3"/>
    <w:rsid w:val="2C854772"/>
    <w:rsid w:val="2C861763"/>
    <w:rsid w:val="2C866180"/>
    <w:rsid w:val="2C8965FC"/>
    <w:rsid w:val="2C897221"/>
    <w:rsid w:val="2C8A2720"/>
    <w:rsid w:val="2C8B5ED0"/>
    <w:rsid w:val="2C8C12E9"/>
    <w:rsid w:val="2C8C1F67"/>
    <w:rsid w:val="2C8D6A44"/>
    <w:rsid w:val="2C8E4750"/>
    <w:rsid w:val="2C91455E"/>
    <w:rsid w:val="2C936280"/>
    <w:rsid w:val="2C956261"/>
    <w:rsid w:val="2C960DE3"/>
    <w:rsid w:val="2C973901"/>
    <w:rsid w:val="2C9810A7"/>
    <w:rsid w:val="2C997AD8"/>
    <w:rsid w:val="2C9D303B"/>
    <w:rsid w:val="2C9E03D9"/>
    <w:rsid w:val="2C9E270B"/>
    <w:rsid w:val="2C9E5987"/>
    <w:rsid w:val="2C9F0756"/>
    <w:rsid w:val="2C9F0D66"/>
    <w:rsid w:val="2CA31BB8"/>
    <w:rsid w:val="2CA45CEA"/>
    <w:rsid w:val="2CA46F92"/>
    <w:rsid w:val="2CA476F8"/>
    <w:rsid w:val="2CA61236"/>
    <w:rsid w:val="2CA67EC8"/>
    <w:rsid w:val="2CA7770B"/>
    <w:rsid w:val="2CA91D53"/>
    <w:rsid w:val="2CA927C4"/>
    <w:rsid w:val="2CAC2654"/>
    <w:rsid w:val="2CAC3151"/>
    <w:rsid w:val="2CAC7CD3"/>
    <w:rsid w:val="2CAD4B44"/>
    <w:rsid w:val="2CB0211C"/>
    <w:rsid w:val="2CB05936"/>
    <w:rsid w:val="2CB26C9C"/>
    <w:rsid w:val="2CB32322"/>
    <w:rsid w:val="2CB32BC2"/>
    <w:rsid w:val="2CB371D5"/>
    <w:rsid w:val="2CB379FE"/>
    <w:rsid w:val="2CB73881"/>
    <w:rsid w:val="2CB901D2"/>
    <w:rsid w:val="2CBA67B5"/>
    <w:rsid w:val="2CBB697B"/>
    <w:rsid w:val="2CBD0053"/>
    <w:rsid w:val="2CBF4252"/>
    <w:rsid w:val="2CBF60D7"/>
    <w:rsid w:val="2CC033A5"/>
    <w:rsid w:val="2CC063CB"/>
    <w:rsid w:val="2CC16A96"/>
    <w:rsid w:val="2CC3669C"/>
    <w:rsid w:val="2CC43343"/>
    <w:rsid w:val="2CC54AD3"/>
    <w:rsid w:val="2CC743B6"/>
    <w:rsid w:val="2CC80A91"/>
    <w:rsid w:val="2CC9146B"/>
    <w:rsid w:val="2CC94827"/>
    <w:rsid w:val="2CC969F8"/>
    <w:rsid w:val="2CCB3F36"/>
    <w:rsid w:val="2CCE2771"/>
    <w:rsid w:val="2CCE4A61"/>
    <w:rsid w:val="2CD17FC9"/>
    <w:rsid w:val="2CD22781"/>
    <w:rsid w:val="2CD40F8E"/>
    <w:rsid w:val="2CD72E09"/>
    <w:rsid w:val="2CD86EDA"/>
    <w:rsid w:val="2CD95A2B"/>
    <w:rsid w:val="2CDA29B3"/>
    <w:rsid w:val="2CDB007E"/>
    <w:rsid w:val="2CDB6ED7"/>
    <w:rsid w:val="2CDC09B0"/>
    <w:rsid w:val="2CDC634B"/>
    <w:rsid w:val="2CDE57D3"/>
    <w:rsid w:val="2CE244E1"/>
    <w:rsid w:val="2CE43E2E"/>
    <w:rsid w:val="2CE51729"/>
    <w:rsid w:val="2CE657FC"/>
    <w:rsid w:val="2CE70639"/>
    <w:rsid w:val="2CE87EAA"/>
    <w:rsid w:val="2CE95AC8"/>
    <w:rsid w:val="2CEA17AA"/>
    <w:rsid w:val="2CEC4ABE"/>
    <w:rsid w:val="2CED1A80"/>
    <w:rsid w:val="2CED5B51"/>
    <w:rsid w:val="2CEE355F"/>
    <w:rsid w:val="2CEF6F36"/>
    <w:rsid w:val="2CF06633"/>
    <w:rsid w:val="2CF149A2"/>
    <w:rsid w:val="2CF471A3"/>
    <w:rsid w:val="2CF9108B"/>
    <w:rsid w:val="2CF972DD"/>
    <w:rsid w:val="2CFA3204"/>
    <w:rsid w:val="2CFA497F"/>
    <w:rsid w:val="2CFD139E"/>
    <w:rsid w:val="2CFE5807"/>
    <w:rsid w:val="2CFF382C"/>
    <w:rsid w:val="2D01203B"/>
    <w:rsid w:val="2D01488C"/>
    <w:rsid w:val="2D044FAA"/>
    <w:rsid w:val="2D0460BA"/>
    <w:rsid w:val="2D051035"/>
    <w:rsid w:val="2D053ED4"/>
    <w:rsid w:val="2D055D4A"/>
    <w:rsid w:val="2D0637A8"/>
    <w:rsid w:val="2D08098F"/>
    <w:rsid w:val="2D08371D"/>
    <w:rsid w:val="2D0B29BA"/>
    <w:rsid w:val="2D0D4B37"/>
    <w:rsid w:val="2D1050E9"/>
    <w:rsid w:val="2D10767D"/>
    <w:rsid w:val="2D155293"/>
    <w:rsid w:val="2D162434"/>
    <w:rsid w:val="2D1702EF"/>
    <w:rsid w:val="2D171961"/>
    <w:rsid w:val="2D171FCE"/>
    <w:rsid w:val="2D1B38B1"/>
    <w:rsid w:val="2D1B784C"/>
    <w:rsid w:val="2D1D2868"/>
    <w:rsid w:val="2D204C75"/>
    <w:rsid w:val="2D214E60"/>
    <w:rsid w:val="2D226F41"/>
    <w:rsid w:val="2D251A49"/>
    <w:rsid w:val="2D2654EA"/>
    <w:rsid w:val="2D28004D"/>
    <w:rsid w:val="2D2875EF"/>
    <w:rsid w:val="2D2C3615"/>
    <w:rsid w:val="2D2C76B3"/>
    <w:rsid w:val="2D2E63E1"/>
    <w:rsid w:val="2D303C11"/>
    <w:rsid w:val="2D3119E0"/>
    <w:rsid w:val="2D333A87"/>
    <w:rsid w:val="2D3353DA"/>
    <w:rsid w:val="2D355E3C"/>
    <w:rsid w:val="2D363873"/>
    <w:rsid w:val="2D390C2F"/>
    <w:rsid w:val="2D391390"/>
    <w:rsid w:val="2D3A1F56"/>
    <w:rsid w:val="2D3A426A"/>
    <w:rsid w:val="2D3A77AD"/>
    <w:rsid w:val="2D3B21DD"/>
    <w:rsid w:val="2D3C282D"/>
    <w:rsid w:val="2D3F6516"/>
    <w:rsid w:val="2D406730"/>
    <w:rsid w:val="2D411497"/>
    <w:rsid w:val="2D414421"/>
    <w:rsid w:val="2D4304C2"/>
    <w:rsid w:val="2D4422E5"/>
    <w:rsid w:val="2D4710D1"/>
    <w:rsid w:val="2D47796E"/>
    <w:rsid w:val="2D4875BA"/>
    <w:rsid w:val="2D4973F0"/>
    <w:rsid w:val="2D49757D"/>
    <w:rsid w:val="2D4E6A6E"/>
    <w:rsid w:val="2D4F2EFF"/>
    <w:rsid w:val="2D4F6EFD"/>
    <w:rsid w:val="2D5159A6"/>
    <w:rsid w:val="2D516E8C"/>
    <w:rsid w:val="2D5269EE"/>
    <w:rsid w:val="2D5318AC"/>
    <w:rsid w:val="2D5365D8"/>
    <w:rsid w:val="2D555940"/>
    <w:rsid w:val="2D570CD1"/>
    <w:rsid w:val="2D590CE6"/>
    <w:rsid w:val="2D59680B"/>
    <w:rsid w:val="2D5A2B6F"/>
    <w:rsid w:val="2D5A30FD"/>
    <w:rsid w:val="2D5C02B3"/>
    <w:rsid w:val="2D5C5ABE"/>
    <w:rsid w:val="2D5D3B55"/>
    <w:rsid w:val="2D601DDA"/>
    <w:rsid w:val="2D614E83"/>
    <w:rsid w:val="2D616C31"/>
    <w:rsid w:val="2D621130"/>
    <w:rsid w:val="2D625D4D"/>
    <w:rsid w:val="2D663463"/>
    <w:rsid w:val="2D676584"/>
    <w:rsid w:val="2D682673"/>
    <w:rsid w:val="2D68389E"/>
    <w:rsid w:val="2D683D7E"/>
    <w:rsid w:val="2D695EAA"/>
    <w:rsid w:val="2D6A15DB"/>
    <w:rsid w:val="2D6A2697"/>
    <w:rsid w:val="2D6A75F0"/>
    <w:rsid w:val="2D6D7CCB"/>
    <w:rsid w:val="2D6E6EB1"/>
    <w:rsid w:val="2D713318"/>
    <w:rsid w:val="2D740640"/>
    <w:rsid w:val="2D746EE9"/>
    <w:rsid w:val="2D765371"/>
    <w:rsid w:val="2D771A7A"/>
    <w:rsid w:val="2D774190"/>
    <w:rsid w:val="2D780152"/>
    <w:rsid w:val="2D780364"/>
    <w:rsid w:val="2D7858D8"/>
    <w:rsid w:val="2D7922F2"/>
    <w:rsid w:val="2D7B3777"/>
    <w:rsid w:val="2D7C1CBC"/>
    <w:rsid w:val="2D7C6922"/>
    <w:rsid w:val="2D7E5A35"/>
    <w:rsid w:val="2D7F1359"/>
    <w:rsid w:val="2D814DAD"/>
    <w:rsid w:val="2D832920"/>
    <w:rsid w:val="2D837686"/>
    <w:rsid w:val="2D854777"/>
    <w:rsid w:val="2D855E06"/>
    <w:rsid w:val="2D864E76"/>
    <w:rsid w:val="2D886326"/>
    <w:rsid w:val="2D887479"/>
    <w:rsid w:val="2D8A3CF3"/>
    <w:rsid w:val="2D8B585B"/>
    <w:rsid w:val="2D8E1E40"/>
    <w:rsid w:val="2D8E201B"/>
    <w:rsid w:val="2D8F22C9"/>
    <w:rsid w:val="2D8F7C42"/>
    <w:rsid w:val="2D917516"/>
    <w:rsid w:val="2D953FDA"/>
    <w:rsid w:val="2D960E01"/>
    <w:rsid w:val="2D981678"/>
    <w:rsid w:val="2D981DE7"/>
    <w:rsid w:val="2D9A2411"/>
    <w:rsid w:val="2D9C01A1"/>
    <w:rsid w:val="2D9D7AE7"/>
    <w:rsid w:val="2DA041F3"/>
    <w:rsid w:val="2DA17E6D"/>
    <w:rsid w:val="2DA3227E"/>
    <w:rsid w:val="2DA55655"/>
    <w:rsid w:val="2DA672D1"/>
    <w:rsid w:val="2DA77425"/>
    <w:rsid w:val="2DA80633"/>
    <w:rsid w:val="2DA80E6D"/>
    <w:rsid w:val="2DA82AB1"/>
    <w:rsid w:val="2DA8485E"/>
    <w:rsid w:val="2DA84860"/>
    <w:rsid w:val="2DAD0BAF"/>
    <w:rsid w:val="2DAD44CF"/>
    <w:rsid w:val="2DB14226"/>
    <w:rsid w:val="2DB23247"/>
    <w:rsid w:val="2DB23DD7"/>
    <w:rsid w:val="2DB24B7F"/>
    <w:rsid w:val="2DB61669"/>
    <w:rsid w:val="2DB63AFF"/>
    <w:rsid w:val="2DB7557C"/>
    <w:rsid w:val="2DB80F46"/>
    <w:rsid w:val="2DB9012D"/>
    <w:rsid w:val="2DB927BB"/>
    <w:rsid w:val="2DB969BA"/>
    <w:rsid w:val="2DBB1468"/>
    <w:rsid w:val="2DBE0909"/>
    <w:rsid w:val="2DBE4083"/>
    <w:rsid w:val="2DBF27D0"/>
    <w:rsid w:val="2DC03853"/>
    <w:rsid w:val="2DC04B00"/>
    <w:rsid w:val="2DC3271A"/>
    <w:rsid w:val="2DC55411"/>
    <w:rsid w:val="2DC76FFE"/>
    <w:rsid w:val="2DC92897"/>
    <w:rsid w:val="2DCA2A28"/>
    <w:rsid w:val="2DCB2E7E"/>
    <w:rsid w:val="2DCC6409"/>
    <w:rsid w:val="2DCD2C67"/>
    <w:rsid w:val="2DCF214E"/>
    <w:rsid w:val="2DD11119"/>
    <w:rsid w:val="2DD138A5"/>
    <w:rsid w:val="2DD61641"/>
    <w:rsid w:val="2DD74875"/>
    <w:rsid w:val="2DD762FE"/>
    <w:rsid w:val="2DD9710F"/>
    <w:rsid w:val="2DDA23E8"/>
    <w:rsid w:val="2DDB4E17"/>
    <w:rsid w:val="2DDB5EA9"/>
    <w:rsid w:val="2DDB7114"/>
    <w:rsid w:val="2DDC155C"/>
    <w:rsid w:val="2DDC3A9B"/>
    <w:rsid w:val="2DDE64D3"/>
    <w:rsid w:val="2DE020CC"/>
    <w:rsid w:val="2DE071B6"/>
    <w:rsid w:val="2DE31FE0"/>
    <w:rsid w:val="2DE97352"/>
    <w:rsid w:val="2DEA1CA8"/>
    <w:rsid w:val="2DEB24EC"/>
    <w:rsid w:val="2DEB6B59"/>
    <w:rsid w:val="2DEC78FA"/>
    <w:rsid w:val="2DF46C90"/>
    <w:rsid w:val="2DF84D7A"/>
    <w:rsid w:val="2DF9677A"/>
    <w:rsid w:val="2DFA155F"/>
    <w:rsid w:val="2DFC68D2"/>
    <w:rsid w:val="2DFF7E32"/>
    <w:rsid w:val="2E0163FA"/>
    <w:rsid w:val="2E017D41"/>
    <w:rsid w:val="2E023D13"/>
    <w:rsid w:val="2E031D25"/>
    <w:rsid w:val="2E057F04"/>
    <w:rsid w:val="2E063CBD"/>
    <w:rsid w:val="2E08666C"/>
    <w:rsid w:val="2E093525"/>
    <w:rsid w:val="2E0A2552"/>
    <w:rsid w:val="2E0A52E0"/>
    <w:rsid w:val="2E0C4BD1"/>
    <w:rsid w:val="2E0D3435"/>
    <w:rsid w:val="2E0D3B84"/>
    <w:rsid w:val="2E0F4FBD"/>
    <w:rsid w:val="2E105DEC"/>
    <w:rsid w:val="2E111441"/>
    <w:rsid w:val="2E120E44"/>
    <w:rsid w:val="2E1455E5"/>
    <w:rsid w:val="2E156979"/>
    <w:rsid w:val="2E176BAE"/>
    <w:rsid w:val="2E197BD7"/>
    <w:rsid w:val="2E1C2CC2"/>
    <w:rsid w:val="2E1E3349"/>
    <w:rsid w:val="2E1E62FC"/>
    <w:rsid w:val="2E205C69"/>
    <w:rsid w:val="2E21782D"/>
    <w:rsid w:val="2E25622E"/>
    <w:rsid w:val="2E2A5352"/>
    <w:rsid w:val="2E2F0AFB"/>
    <w:rsid w:val="2E2F4805"/>
    <w:rsid w:val="2E30169A"/>
    <w:rsid w:val="2E301F43"/>
    <w:rsid w:val="2E3223C1"/>
    <w:rsid w:val="2E342818"/>
    <w:rsid w:val="2E3628B8"/>
    <w:rsid w:val="2E393227"/>
    <w:rsid w:val="2E3D11ED"/>
    <w:rsid w:val="2E3D7107"/>
    <w:rsid w:val="2E3F0C7D"/>
    <w:rsid w:val="2E3F51C4"/>
    <w:rsid w:val="2E3F53B8"/>
    <w:rsid w:val="2E402B0D"/>
    <w:rsid w:val="2E444588"/>
    <w:rsid w:val="2E47051C"/>
    <w:rsid w:val="2E48665F"/>
    <w:rsid w:val="2E4C437C"/>
    <w:rsid w:val="2E501DF5"/>
    <w:rsid w:val="2E5073D1"/>
    <w:rsid w:val="2E523FE5"/>
    <w:rsid w:val="2E524C98"/>
    <w:rsid w:val="2E556795"/>
    <w:rsid w:val="2E581F17"/>
    <w:rsid w:val="2E5919BF"/>
    <w:rsid w:val="2E5A1086"/>
    <w:rsid w:val="2E5B3D12"/>
    <w:rsid w:val="2E5C0879"/>
    <w:rsid w:val="2E5D564A"/>
    <w:rsid w:val="2E5E7926"/>
    <w:rsid w:val="2E6022FB"/>
    <w:rsid w:val="2E642E7C"/>
    <w:rsid w:val="2E6521C1"/>
    <w:rsid w:val="2E6616B6"/>
    <w:rsid w:val="2E673E6D"/>
    <w:rsid w:val="2E6B5770"/>
    <w:rsid w:val="2E6B78FB"/>
    <w:rsid w:val="2E6E76B6"/>
    <w:rsid w:val="2E701821"/>
    <w:rsid w:val="2E704FF9"/>
    <w:rsid w:val="2E7110F5"/>
    <w:rsid w:val="2E732B82"/>
    <w:rsid w:val="2E7334AD"/>
    <w:rsid w:val="2E7376F6"/>
    <w:rsid w:val="2E750A12"/>
    <w:rsid w:val="2E7540FB"/>
    <w:rsid w:val="2E75747E"/>
    <w:rsid w:val="2E7645A0"/>
    <w:rsid w:val="2E767B33"/>
    <w:rsid w:val="2E7725A0"/>
    <w:rsid w:val="2E776080"/>
    <w:rsid w:val="2E7D3F3E"/>
    <w:rsid w:val="2E7D72E0"/>
    <w:rsid w:val="2E7E03A8"/>
    <w:rsid w:val="2E7F6407"/>
    <w:rsid w:val="2E813B9D"/>
    <w:rsid w:val="2E816F35"/>
    <w:rsid w:val="2E826B10"/>
    <w:rsid w:val="2E826CF4"/>
    <w:rsid w:val="2E853B66"/>
    <w:rsid w:val="2E87264E"/>
    <w:rsid w:val="2E890CDF"/>
    <w:rsid w:val="2E8935FB"/>
    <w:rsid w:val="2E8A0A2B"/>
    <w:rsid w:val="2E8A1036"/>
    <w:rsid w:val="2E8A5D3E"/>
    <w:rsid w:val="2E8C1985"/>
    <w:rsid w:val="2E8C4533"/>
    <w:rsid w:val="2E8D2169"/>
    <w:rsid w:val="2E8D6B70"/>
    <w:rsid w:val="2E90033A"/>
    <w:rsid w:val="2E92178C"/>
    <w:rsid w:val="2E9372BE"/>
    <w:rsid w:val="2E951288"/>
    <w:rsid w:val="2E9555E9"/>
    <w:rsid w:val="2E955C11"/>
    <w:rsid w:val="2E9604D3"/>
    <w:rsid w:val="2E971C1F"/>
    <w:rsid w:val="2E9848D4"/>
    <w:rsid w:val="2E986572"/>
    <w:rsid w:val="2E9A064C"/>
    <w:rsid w:val="2E9A75EB"/>
    <w:rsid w:val="2E9C03BF"/>
    <w:rsid w:val="2E9F0675"/>
    <w:rsid w:val="2EA54446"/>
    <w:rsid w:val="2EA622F5"/>
    <w:rsid w:val="2EA71F57"/>
    <w:rsid w:val="2EA74854"/>
    <w:rsid w:val="2EA74A8F"/>
    <w:rsid w:val="2EAB2859"/>
    <w:rsid w:val="2EAB6C8D"/>
    <w:rsid w:val="2EAE4628"/>
    <w:rsid w:val="2EAE7388"/>
    <w:rsid w:val="2EB01C1E"/>
    <w:rsid w:val="2EB07FFF"/>
    <w:rsid w:val="2EB11513"/>
    <w:rsid w:val="2EB2519F"/>
    <w:rsid w:val="2EB50219"/>
    <w:rsid w:val="2EB66C3E"/>
    <w:rsid w:val="2EB85F02"/>
    <w:rsid w:val="2EB9524F"/>
    <w:rsid w:val="2EB95C82"/>
    <w:rsid w:val="2EB97CA5"/>
    <w:rsid w:val="2EBA5AF2"/>
    <w:rsid w:val="2EBA6590"/>
    <w:rsid w:val="2EBB5F58"/>
    <w:rsid w:val="2EBD61CA"/>
    <w:rsid w:val="2EBD6FE2"/>
    <w:rsid w:val="2EBE1672"/>
    <w:rsid w:val="2EBE5E2E"/>
    <w:rsid w:val="2EC04FA7"/>
    <w:rsid w:val="2EC23B78"/>
    <w:rsid w:val="2EC3676C"/>
    <w:rsid w:val="2EC61641"/>
    <w:rsid w:val="2EC67D1D"/>
    <w:rsid w:val="2EC70017"/>
    <w:rsid w:val="2EC87189"/>
    <w:rsid w:val="2ECC1FDE"/>
    <w:rsid w:val="2ECC28B4"/>
    <w:rsid w:val="2ECD1633"/>
    <w:rsid w:val="2ECD561D"/>
    <w:rsid w:val="2ECD5B0F"/>
    <w:rsid w:val="2ECE46BC"/>
    <w:rsid w:val="2ECF2688"/>
    <w:rsid w:val="2ED16D1F"/>
    <w:rsid w:val="2ED42292"/>
    <w:rsid w:val="2ED82993"/>
    <w:rsid w:val="2ED835A8"/>
    <w:rsid w:val="2ED90E55"/>
    <w:rsid w:val="2EDA1C04"/>
    <w:rsid w:val="2EDA305A"/>
    <w:rsid w:val="2EDA694B"/>
    <w:rsid w:val="2EDB4D99"/>
    <w:rsid w:val="2EDC1D52"/>
    <w:rsid w:val="2EE02977"/>
    <w:rsid w:val="2EE0441B"/>
    <w:rsid w:val="2EE20A39"/>
    <w:rsid w:val="2EE315C4"/>
    <w:rsid w:val="2EE32F12"/>
    <w:rsid w:val="2EE40909"/>
    <w:rsid w:val="2EE44E0D"/>
    <w:rsid w:val="2EE63891"/>
    <w:rsid w:val="2EE67135"/>
    <w:rsid w:val="2EE72D23"/>
    <w:rsid w:val="2EE95130"/>
    <w:rsid w:val="2EEC116F"/>
    <w:rsid w:val="2EF05ED9"/>
    <w:rsid w:val="2EF2449D"/>
    <w:rsid w:val="2EF60417"/>
    <w:rsid w:val="2EF72818"/>
    <w:rsid w:val="2EF92E6C"/>
    <w:rsid w:val="2EF934E7"/>
    <w:rsid w:val="2EFA3710"/>
    <w:rsid w:val="2EFC6F9C"/>
    <w:rsid w:val="2EFD140A"/>
    <w:rsid w:val="2EFD3C9E"/>
    <w:rsid w:val="2EFF023F"/>
    <w:rsid w:val="2EFF5116"/>
    <w:rsid w:val="2F0033BC"/>
    <w:rsid w:val="2F021672"/>
    <w:rsid w:val="2F021E21"/>
    <w:rsid w:val="2F041F69"/>
    <w:rsid w:val="2F044FE2"/>
    <w:rsid w:val="2F045B74"/>
    <w:rsid w:val="2F0A1120"/>
    <w:rsid w:val="2F0B6808"/>
    <w:rsid w:val="2F0C5DD4"/>
    <w:rsid w:val="2F0E6666"/>
    <w:rsid w:val="2F0F075F"/>
    <w:rsid w:val="2F0F6F0A"/>
    <w:rsid w:val="2F0F7BBA"/>
    <w:rsid w:val="2F122D4C"/>
    <w:rsid w:val="2F135073"/>
    <w:rsid w:val="2F1359EA"/>
    <w:rsid w:val="2F1473C5"/>
    <w:rsid w:val="2F162BDB"/>
    <w:rsid w:val="2F174AD5"/>
    <w:rsid w:val="2F1925F7"/>
    <w:rsid w:val="2F1A1130"/>
    <w:rsid w:val="2F1A79DF"/>
    <w:rsid w:val="2F1B1C22"/>
    <w:rsid w:val="2F1B7913"/>
    <w:rsid w:val="2F1C3757"/>
    <w:rsid w:val="2F1C7B6E"/>
    <w:rsid w:val="2F1E2F90"/>
    <w:rsid w:val="2F1F0594"/>
    <w:rsid w:val="2F217065"/>
    <w:rsid w:val="2F225B38"/>
    <w:rsid w:val="2F236C64"/>
    <w:rsid w:val="2F24091D"/>
    <w:rsid w:val="2F255E62"/>
    <w:rsid w:val="2F292929"/>
    <w:rsid w:val="2F2B2156"/>
    <w:rsid w:val="2F30535E"/>
    <w:rsid w:val="2F317CE0"/>
    <w:rsid w:val="2F324D29"/>
    <w:rsid w:val="2F347A6D"/>
    <w:rsid w:val="2F3910AA"/>
    <w:rsid w:val="2F3A3A5B"/>
    <w:rsid w:val="2F3B0394"/>
    <w:rsid w:val="2F3C0F4C"/>
    <w:rsid w:val="2F3C5BA7"/>
    <w:rsid w:val="2F3D745C"/>
    <w:rsid w:val="2F3F11F4"/>
    <w:rsid w:val="2F3F2FA2"/>
    <w:rsid w:val="2F410CB6"/>
    <w:rsid w:val="2F41392E"/>
    <w:rsid w:val="2F4221ED"/>
    <w:rsid w:val="2F435F5C"/>
    <w:rsid w:val="2F447837"/>
    <w:rsid w:val="2F4B4ABC"/>
    <w:rsid w:val="2F4E3361"/>
    <w:rsid w:val="2F500B8D"/>
    <w:rsid w:val="2F503401"/>
    <w:rsid w:val="2F51639E"/>
    <w:rsid w:val="2F524A74"/>
    <w:rsid w:val="2F531038"/>
    <w:rsid w:val="2F531BC7"/>
    <w:rsid w:val="2F53652E"/>
    <w:rsid w:val="2F545844"/>
    <w:rsid w:val="2F5547DB"/>
    <w:rsid w:val="2F56511E"/>
    <w:rsid w:val="2F581739"/>
    <w:rsid w:val="2F5C1278"/>
    <w:rsid w:val="2F5C7FF7"/>
    <w:rsid w:val="2F5D3786"/>
    <w:rsid w:val="2F5F0354"/>
    <w:rsid w:val="2F5F0D13"/>
    <w:rsid w:val="2F604525"/>
    <w:rsid w:val="2F61534C"/>
    <w:rsid w:val="2F617DF8"/>
    <w:rsid w:val="2F6434FA"/>
    <w:rsid w:val="2F651C2F"/>
    <w:rsid w:val="2F6634BE"/>
    <w:rsid w:val="2F665271"/>
    <w:rsid w:val="2F670DCB"/>
    <w:rsid w:val="2F67197A"/>
    <w:rsid w:val="2F6967D9"/>
    <w:rsid w:val="2F6B3D97"/>
    <w:rsid w:val="2F6D08C7"/>
    <w:rsid w:val="2F6D645C"/>
    <w:rsid w:val="2F6F2E9B"/>
    <w:rsid w:val="2F6F39F9"/>
    <w:rsid w:val="2F714309"/>
    <w:rsid w:val="2F725125"/>
    <w:rsid w:val="2F7346FD"/>
    <w:rsid w:val="2F75618E"/>
    <w:rsid w:val="2F760F2B"/>
    <w:rsid w:val="2F77616B"/>
    <w:rsid w:val="2F792A96"/>
    <w:rsid w:val="2F795997"/>
    <w:rsid w:val="2F7A254A"/>
    <w:rsid w:val="2F7A6730"/>
    <w:rsid w:val="2F7A69B7"/>
    <w:rsid w:val="2F7B0FF1"/>
    <w:rsid w:val="2F7B5C7F"/>
    <w:rsid w:val="2F7C2573"/>
    <w:rsid w:val="2F7C3353"/>
    <w:rsid w:val="2F7C7D42"/>
    <w:rsid w:val="2F7E04F5"/>
    <w:rsid w:val="2F7E1D1C"/>
    <w:rsid w:val="2F7E7F6E"/>
    <w:rsid w:val="2F801BDB"/>
    <w:rsid w:val="2F8114C2"/>
    <w:rsid w:val="2F8147CF"/>
    <w:rsid w:val="2F822B1C"/>
    <w:rsid w:val="2F856001"/>
    <w:rsid w:val="2F8A246F"/>
    <w:rsid w:val="2F8D6403"/>
    <w:rsid w:val="2F8D658B"/>
    <w:rsid w:val="2F8F2140"/>
    <w:rsid w:val="2F8F5E15"/>
    <w:rsid w:val="2F9067D1"/>
    <w:rsid w:val="2F921CE5"/>
    <w:rsid w:val="2F923A19"/>
    <w:rsid w:val="2F930986"/>
    <w:rsid w:val="2F936FDE"/>
    <w:rsid w:val="2F945B66"/>
    <w:rsid w:val="2F947791"/>
    <w:rsid w:val="2F953213"/>
    <w:rsid w:val="2F96601C"/>
    <w:rsid w:val="2F99455C"/>
    <w:rsid w:val="2F9B0A3C"/>
    <w:rsid w:val="2F9B3A90"/>
    <w:rsid w:val="2F9C2341"/>
    <w:rsid w:val="2F9C2DF8"/>
    <w:rsid w:val="2F9C4CA4"/>
    <w:rsid w:val="2F9D5BBD"/>
    <w:rsid w:val="2F9E71A1"/>
    <w:rsid w:val="2FA0715A"/>
    <w:rsid w:val="2FA2035D"/>
    <w:rsid w:val="2FA31782"/>
    <w:rsid w:val="2FA33530"/>
    <w:rsid w:val="2FA43A08"/>
    <w:rsid w:val="2FA47569"/>
    <w:rsid w:val="2FA53237"/>
    <w:rsid w:val="2FA84E63"/>
    <w:rsid w:val="2FAA48BF"/>
    <w:rsid w:val="2FAA5054"/>
    <w:rsid w:val="2FAB0637"/>
    <w:rsid w:val="2FAF028F"/>
    <w:rsid w:val="2FAF657A"/>
    <w:rsid w:val="2FB02573"/>
    <w:rsid w:val="2FB120F1"/>
    <w:rsid w:val="2FB1261E"/>
    <w:rsid w:val="2FB2330B"/>
    <w:rsid w:val="2FB43C50"/>
    <w:rsid w:val="2FB5424D"/>
    <w:rsid w:val="2FB746D5"/>
    <w:rsid w:val="2FB75370"/>
    <w:rsid w:val="2FB80D45"/>
    <w:rsid w:val="2FB9120A"/>
    <w:rsid w:val="2FB92F85"/>
    <w:rsid w:val="2FBA3344"/>
    <w:rsid w:val="2FBA4493"/>
    <w:rsid w:val="2FBB2F70"/>
    <w:rsid w:val="2FBC1A64"/>
    <w:rsid w:val="2FBC3872"/>
    <w:rsid w:val="2FBE648A"/>
    <w:rsid w:val="2FC04374"/>
    <w:rsid w:val="2FC20B51"/>
    <w:rsid w:val="2FC260AC"/>
    <w:rsid w:val="2FC32F28"/>
    <w:rsid w:val="2FC43992"/>
    <w:rsid w:val="2FC548CF"/>
    <w:rsid w:val="2FC811E9"/>
    <w:rsid w:val="2FCB473D"/>
    <w:rsid w:val="2FCB55E0"/>
    <w:rsid w:val="2FCC6727"/>
    <w:rsid w:val="2FCD4B64"/>
    <w:rsid w:val="2FCD72CA"/>
    <w:rsid w:val="2FCE1CBD"/>
    <w:rsid w:val="2FCF5D0B"/>
    <w:rsid w:val="2FD14541"/>
    <w:rsid w:val="2FD14CC9"/>
    <w:rsid w:val="2FD22F2B"/>
    <w:rsid w:val="2FD23F7A"/>
    <w:rsid w:val="2FD41006"/>
    <w:rsid w:val="2FD46B82"/>
    <w:rsid w:val="2FD8190A"/>
    <w:rsid w:val="2FD81BC2"/>
    <w:rsid w:val="2FDB716E"/>
    <w:rsid w:val="2FDC62AD"/>
    <w:rsid w:val="2FDD5769"/>
    <w:rsid w:val="2FDE02DC"/>
    <w:rsid w:val="2FDE4613"/>
    <w:rsid w:val="2FE1399E"/>
    <w:rsid w:val="2FE24815"/>
    <w:rsid w:val="2FE4207E"/>
    <w:rsid w:val="2FE429BD"/>
    <w:rsid w:val="2FE50AE3"/>
    <w:rsid w:val="2FE674A5"/>
    <w:rsid w:val="2FE95387"/>
    <w:rsid w:val="2FEC4F32"/>
    <w:rsid w:val="2FED5466"/>
    <w:rsid w:val="2FF07091"/>
    <w:rsid w:val="2FF15575"/>
    <w:rsid w:val="2FF47626"/>
    <w:rsid w:val="2FF80B50"/>
    <w:rsid w:val="2FF817EF"/>
    <w:rsid w:val="2FF95846"/>
    <w:rsid w:val="2FFC34D2"/>
    <w:rsid w:val="2FFC3788"/>
    <w:rsid w:val="2FFD5C86"/>
    <w:rsid w:val="2FFF0562"/>
    <w:rsid w:val="30015882"/>
    <w:rsid w:val="30020AE4"/>
    <w:rsid w:val="30022F65"/>
    <w:rsid w:val="300348CF"/>
    <w:rsid w:val="30045DA6"/>
    <w:rsid w:val="300720B4"/>
    <w:rsid w:val="300A38D0"/>
    <w:rsid w:val="300A3AA7"/>
    <w:rsid w:val="300B3EF7"/>
    <w:rsid w:val="300B600B"/>
    <w:rsid w:val="30182313"/>
    <w:rsid w:val="301C06A9"/>
    <w:rsid w:val="301D5BB3"/>
    <w:rsid w:val="3021530F"/>
    <w:rsid w:val="302215ED"/>
    <w:rsid w:val="30226B4B"/>
    <w:rsid w:val="3024129B"/>
    <w:rsid w:val="302503E9"/>
    <w:rsid w:val="30260BCE"/>
    <w:rsid w:val="30264996"/>
    <w:rsid w:val="30284B93"/>
    <w:rsid w:val="302A5A50"/>
    <w:rsid w:val="302B2641"/>
    <w:rsid w:val="302C78DB"/>
    <w:rsid w:val="302D538B"/>
    <w:rsid w:val="302E4A1E"/>
    <w:rsid w:val="3030394C"/>
    <w:rsid w:val="30304852"/>
    <w:rsid w:val="30306DC8"/>
    <w:rsid w:val="30312A75"/>
    <w:rsid w:val="30313826"/>
    <w:rsid w:val="30322B11"/>
    <w:rsid w:val="303343DE"/>
    <w:rsid w:val="303371B1"/>
    <w:rsid w:val="30361993"/>
    <w:rsid w:val="3038487C"/>
    <w:rsid w:val="3038636F"/>
    <w:rsid w:val="30386386"/>
    <w:rsid w:val="303D5C36"/>
    <w:rsid w:val="303F4207"/>
    <w:rsid w:val="303F68CA"/>
    <w:rsid w:val="30405414"/>
    <w:rsid w:val="30407D93"/>
    <w:rsid w:val="30422D49"/>
    <w:rsid w:val="30424C7D"/>
    <w:rsid w:val="30442F65"/>
    <w:rsid w:val="30446264"/>
    <w:rsid w:val="30456C5C"/>
    <w:rsid w:val="304626D1"/>
    <w:rsid w:val="30472EDB"/>
    <w:rsid w:val="30484FD1"/>
    <w:rsid w:val="304A41B8"/>
    <w:rsid w:val="304A7654"/>
    <w:rsid w:val="304B4370"/>
    <w:rsid w:val="304C3BC8"/>
    <w:rsid w:val="304E704D"/>
    <w:rsid w:val="305022CF"/>
    <w:rsid w:val="3050478E"/>
    <w:rsid w:val="305303BD"/>
    <w:rsid w:val="305447CC"/>
    <w:rsid w:val="305503B7"/>
    <w:rsid w:val="30555122"/>
    <w:rsid w:val="3055630B"/>
    <w:rsid w:val="30557305"/>
    <w:rsid w:val="30562C99"/>
    <w:rsid w:val="305720CD"/>
    <w:rsid w:val="30586A11"/>
    <w:rsid w:val="305A39A9"/>
    <w:rsid w:val="305B3D64"/>
    <w:rsid w:val="305B67F7"/>
    <w:rsid w:val="305C24DA"/>
    <w:rsid w:val="305D26F7"/>
    <w:rsid w:val="305D540B"/>
    <w:rsid w:val="305E17D7"/>
    <w:rsid w:val="3061013C"/>
    <w:rsid w:val="30611346"/>
    <w:rsid w:val="30655317"/>
    <w:rsid w:val="306553A3"/>
    <w:rsid w:val="3065588D"/>
    <w:rsid w:val="30660AD2"/>
    <w:rsid w:val="30670E9F"/>
    <w:rsid w:val="3069159D"/>
    <w:rsid w:val="306925E3"/>
    <w:rsid w:val="306A5E79"/>
    <w:rsid w:val="306C22AA"/>
    <w:rsid w:val="306C4221"/>
    <w:rsid w:val="306E6528"/>
    <w:rsid w:val="30712093"/>
    <w:rsid w:val="3073023C"/>
    <w:rsid w:val="307328B0"/>
    <w:rsid w:val="3073370F"/>
    <w:rsid w:val="30746559"/>
    <w:rsid w:val="30760918"/>
    <w:rsid w:val="30766201"/>
    <w:rsid w:val="307A2371"/>
    <w:rsid w:val="307C11E4"/>
    <w:rsid w:val="307C63C4"/>
    <w:rsid w:val="308064C6"/>
    <w:rsid w:val="3081553C"/>
    <w:rsid w:val="308415B4"/>
    <w:rsid w:val="308832FA"/>
    <w:rsid w:val="308A60DC"/>
    <w:rsid w:val="308B63FA"/>
    <w:rsid w:val="308C41D2"/>
    <w:rsid w:val="3091286B"/>
    <w:rsid w:val="30913CD1"/>
    <w:rsid w:val="309252A6"/>
    <w:rsid w:val="3092574C"/>
    <w:rsid w:val="30974B94"/>
    <w:rsid w:val="30981E41"/>
    <w:rsid w:val="309832B0"/>
    <w:rsid w:val="30991D8B"/>
    <w:rsid w:val="309D4192"/>
    <w:rsid w:val="309E7B0B"/>
    <w:rsid w:val="30A013FC"/>
    <w:rsid w:val="30A15304"/>
    <w:rsid w:val="30A47C65"/>
    <w:rsid w:val="30A54CEA"/>
    <w:rsid w:val="30A73BDB"/>
    <w:rsid w:val="30A870CC"/>
    <w:rsid w:val="30A90341"/>
    <w:rsid w:val="30AA08EF"/>
    <w:rsid w:val="30AC181C"/>
    <w:rsid w:val="30AD58BA"/>
    <w:rsid w:val="30AD6A70"/>
    <w:rsid w:val="30AD7C05"/>
    <w:rsid w:val="30AE3253"/>
    <w:rsid w:val="30AE6F77"/>
    <w:rsid w:val="30B01036"/>
    <w:rsid w:val="30B07C86"/>
    <w:rsid w:val="30B21CE2"/>
    <w:rsid w:val="30B21F41"/>
    <w:rsid w:val="30B34045"/>
    <w:rsid w:val="30B57959"/>
    <w:rsid w:val="30B6433C"/>
    <w:rsid w:val="30B7048D"/>
    <w:rsid w:val="30B72950"/>
    <w:rsid w:val="30B85E6D"/>
    <w:rsid w:val="30BB645E"/>
    <w:rsid w:val="30BE1910"/>
    <w:rsid w:val="30BE2C62"/>
    <w:rsid w:val="30BF083E"/>
    <w:rsid w:val="30C23E8A"/>
    <w:rsid w:val="30C37421"/>
    <w:rsid w:val="30C75A4D"/>
    <w:rsid w:val="30C916BD"/>
    <w:rsid w:val="30C9195A"/>
    <w:rsid w:val="30C9339C"/>
    <w:rsid w:val="30C97060"/>
    <w:rsid w:val="30CA5DB2"/>
    <w:rsid w:val="30CC5C32"/>
    <w:rsid w:val="30CC6AB7"/>
    <w:rsid w:val="30CD6DE7"/>
    <w:rsid w:val="30D01B6F"/>
    <w:rsid w:val="30D22A0B"/>
    <w:rsid w:val="30D23D1C"/>
    <w:rsid w:val="30D320BD"/>
    <w:rsid w:val="30D51CB9"/>
    <w:rsid w:val="30D566F9"/>
    <w:rsid w:val="30D604C4"/>
    <w:rsid w:val="30D60AE5"/>
    <w:rsid w:val="30D75AE7"/>
    <w:rsid w:val="30D77936"/>
    <w:rsid w:val="30D867E0"/>
    <w:rsid w:val="30D97638"/>
    <w:rsid w:val="30DA105F"/>
    <w:rsid w:val="30DA11D4"/>
    <w:rsid w:val="30DA6235"/>
    <w:rsid w:val="30DB2313"/>
    <w:rsid w:val="30DC0414"/>
    <w:rsid w:val="30DC3AD7"/>
    <w:rsid w:val="30DD5D86"/>
    <w:rsid w:val="30DD6A5E"/>
    <w:rsid w:val="30DF38AF"/>
    <w:rsid w:val="30E070F0"/>
    <w:rsid w:val="30E14D4E"/>
    <w:rsid w:val="30E20088"/>
    <w:rsid w:val="30E73A83"/>
    <w:rsid w:val="30E751DC"/>
    <w:rsid w:val="30E93807"/>
    <w:rsid w:val="30EA15A2"/>
    <w:rsid w:val="30EA2A0F"/>
    <w:rsid w:val="30EC7901"/>
    <w:rsid w:val="30EF2D4E"/>
    <w:rsid w:val="30EF7A67"/>
    <w:rsid w:val="30F32296"/>
    <w:rsid w:val="30F33303"/>
    <w:rsid w:val="30F3758F"/>
    <w:rsid w:val="30F67D93"/>
    <w:rsid w:val="30F75ACF"/>
    <w:rsid w:val="30F85AFE"/>
    <w:rsid w:val="30F93776"/>
    <w:rsid w:val="30FA3E30"/>
    <w:rsid w:val="30FC49F4"/>
    <w:rsid w:val="30FD1F50"/>
    <w:rsid w:val="30FE5491"/>
    <w:rsid w:val="30FF14FD"/>
    <w:rsid w:val="30FF43F1"/>
    <w:rsid w:val="30FF50DE"/>
    <w:rsid w:val="31002977"/>
    <w:rsid w:val="31011B34"/>
    <w:rsid w:val="31011FC9"/>
    <w:rsid w:val="310435AE"/>
    <w:rsid w:val="31052040"/>
    <w:rsid w:val="31065114"/>
    <w:rsid w:val="31081922"/>
    <w:rsid w:val="310A3C7F"/>
    <w:rsid w:val="310E11EC"/>
    <w:rsid w:val="310E5EE1"/>
    <w:rsid w:val="31101099"/>
    <w:rsid w:val="31124E12"/>
    <w:rsid w:val="31140F5A"/>
    <w:rsid w:val="311479B9"/>
    <w:rsid w:val="31150FA1"/>
    <w:rsid w:val="3115741A"/>
    <w:rsid w:val="31170FBB"/>
    <w:rsid w:val="31177763"/>
    <w:rsid w:val="311961A0"/>
    <w:rsid w:val="311A07D9"/>
    <w:rsid w:val="311A6806"/>
    <w:rsid w:val="311A7038"/>
    <w:rsid w:val="311B5972"/>
    <w:rsid w:val="311E7842"/>
    <w:rsid w:val="31210BB1"/>
    <w:rsid w:val="31214E92"/>
    <w:rsid w:val="31230EDB"/>
    <w:rsid w:val="312363D2"/>
    <w:rsid w:val="31256F3A"/>
    <w:rsid w:val="31280191"/>
    <w:rsid w:val="312A03B6"/>
    <w:rsid w:val="312A28E8"/>
    <w:rsid w:val="312A5F00"/>
    <w:rsid w:val="312A6D89"/>
    <w:rsid w:val="312B0425"/>
    <w:rsid w:val="312C26A1"/>
    <w:rsid w:val="312D037F"/>
    <w:rsid w:val="312D1C4B"/>
    <w:rsid w:val="312F7178"/>
    <w:rsid w:val="31321AE6"/>
    <w:rsid w:val="31327262"/>
    <w:rsid w:val="313308E4"/>
    <w:rsid w:val="31357167"/>
    <w:rsid w:val="31363589"/>
    <w:rsid w:val="31377218"/>
    <w:rsid w:val="31384366"/>
    <w:rsid w:val="31396A41"/>
    <w:rsid w:val="313A09F2"/>
    <w:rsid w:val="313A0AA5"/>
    <w:rsid w:val="313A2109"/>
    <w:rsid w:val="313A2CD9"/>
    <w:rsid w:val="313A7643"/>
    <w:rsid w:val="313B156A"/>
    <w:rsid w:val="313C6C48"/>
    <w:rsid w:val="313E0912"/>
    <w:rsid w:val="313E0B50"/>
    <w:rsid w:val="313F44D2"/>
    <w:rsid w:val="31411253"/>
    <w:rsid w:val="31413440"/>
    <w:rsid w:val="31433491"/>
    <w:rsid w:val="314343B1"/>
    <w:rsid w:val="31445E86"/>
    <w:rsid w:val="31460CCA"/>
    <w:rsid w:val="31476C17"/>
    <w:rsid w:val="314C1D69"/>
    <w:rsid w:val="314D7BF8"/>
    <w:rsid w:val="31500FD3"/>
    <w:rsid w:val="315068E9"/>
    <w:rsid w:val="31506ACE"/>
    <w:rsid w:val="315076E8"/>
    <w:rsid w:val="31526F6A"/>
    <w:rsid w:val="31554CFE"/>
    <w:rsid w:val="31570D17"/>
    <w:rsid w:val="3157541A"/>
    <w:rsid w:val="315A1F04"/>
    <w:rsid w:val="31603DCF"/>
    <w:rsid w:val="31611619"/>
    <w:rsid w:val="31616B7E"/>
    <w:rsid w:val="31626A9E"/>
    <w:rsid w:val="316311C9"/>
    <w:rsid w:val="31636EC6"/>
    <w:rsid w:val="31647A1E"/>
    <w:rsid w:val="3165240E"/>
    <w:rsid w:val="31664650"/>
    <w:rsid w:val="31677A85"/>
    <w:rsid w:val="31677E93"/>
    <w:rsid w:val="3168211E"/>
    <w:rsid w:val="3169746A"/>
    <w:rsid w:val="316A3890"/>
    <w:rsid w:val="316A4DF3"/>
    <w:rsid w:val="316B10AC"/>
    <w:rsid w:val="316B2774"/>
    <w:rsid w:val="316B4ED7"/>
    <w:rsid w:val="316D2048"/>
    <w:rsid w:val="316D33DC"/>
    <w:rsid w:val="316E30D9"/>
    <w:rsid w:val="316F0450"/>
    <w:rsid w:val="31702EC1"/>
    <w:rsid w:val="31712259"/>
    <w:rsid w:val="3171522B"/>
    <w:rsid w:val="31723EDA"/>
    <w:rsid w:val="317240D7"/>
    <w:rsid w:val="317334D4"/>
    <w:rsid w:val="31750DA0"/>
    <w:rsid w:val="31757EC0"/>
    <w:rsid w:val="3176164C"/>
    <w:rsid w:val="317702FE"/>
    <w:rsid w:val="31796445"/>
    <w:rsid w:val="317A1261"/>
    <w:rsid w:val="317E24A7"/>
    <w:rsid w:val="317F3FC0"/>
    <w:rsid w:val="318034FE"/>
    <w:rsid w:val="31813D45"/>
    <w:rsid w:val="3181578E"/>
    <w:rsid w:val="3183248B"/>
    <w:rsid w:val="31843A21"/>
    <w:rsid w:val="31857392"/>
    <w:rsid w:val="31887577"/>
    <w:rsid w:val="31892EFB"/>
    <w:rsid w:val="318A5193"/>
    <w:rsid w:val="318B36D6"/>
    <w:rsid w:val="318B6CF5"/>
    <w:rsid w:val="318C6B78"/>
    <w:rsid w:val="318F7504"/>
    <w:rsid w:val="31931109"/>
    <w:rsid w:val="319728AC"/>
    <w:rsid w:val="31996E00"/>
    <w:rsid w:val="31997D9D"/>
    <w:rsid w:val="31A00FB3"/>
    <w:rsid w:val="31A102DB"/>
    <w:rsid w:val="31A33C12"/>
    <w:rsid w:val="31A35A6A"/>
    <w:rsid w:val="31A5182E"/>
    <w:rsid w:val="31A627B9"/>
    <w:rsid w:val="31A74331"/>
    <w:rsid w:val="31A81BE0"/>
    <w:rsid w:val="31A83080"/>
    <w:rsid w:val="31A87524"/>
    <w:rsid w:val="31A97A18"/>
    <w:rsid w:val="31AB3974"/>
    <w:rsid w:val="31B00187"/>
    <w:rsid w:val="31B07A2F"/>
    <w:rsid w:val="31BA3F9F"/>
    <w:rsid w:val="31BB14C0"/>
    <w:rsid w:val="31BB4010"/>
    <w:rsid w:val="31BB6EB6"/>
    <w:rsid w:val="31BC0280"/>
    <w:rsid w:val="31BD16E3"/>
    <w:rsid w:val="31BD3221"/>
    <w:rsid w:val="31BE1769"/>
    <w:rsid w:val="31BE4CB4"/>
    <w:rsid w:val="31BF1AB8"/>
    <w:rsid w:val="31BF54C9"/>
    <w:rsid w:val="31C019CD"/>
    <w:rsid w:val="31C1583D"/>
    <w:rsid w:val="31C46378"/>
    <w:rsid w:val="31C5074C"/>
    <w:rsid w:val="31C53C32"/>
    <w:rsid w:val="31C6469B"/>
    <w:rsid w:val="31C81D71"/>
    <w:rsid w:val="31CD0D39"/>
    <w:rsid w:val="31CD7ED0"/>
    <w:rsid w:val="31CE0BB8"/>
    <w:rsid w:val="31D15D2E"/>
    <w:rsid w:val="31D46095"/>
    <w:rsid w:val="31D540AE"/>
    <w:rsid w:val="31D65B62"/>
    <w:rsid w:val="31D6798F"/>
    <w:rsid w:val="31D67BED"/>
    <w:rsid w:val="31D72108"/>
    <w:rsid w:val="31D74785"/>
    <w:rsid w:val="31D7680E"/>
    <w:rsid w:val="31DC0CF8"/>
    <w:rsid w:val="31DC52C5"/>
    <w:rsid w:val="31DD5605"/>
    <w:rsid w:val="31E326C3"/>
    <w:rsid w:val="31E50037"/>
    <w:rsid w:val="31E651D3"/>
    <w:rsid w:val="31E75151"/>
    <w:rsid w:val="31E84EC2"/>
    <w:rsid w:val="31E857DE"/>
    <w:rsid w:val="31E87920"/>
    <w:rsid w:val="31EA500E"/>
    <w:rsid w:val="31EC277A"/>
    <w:rsid w:val="31EC3B45"/>
    <w:rsid w:val="31EF0A96"/>
    <w:rsid w:val="31F10CD9"/>
    <w:rsid w:val="31F114C5"/>
    <w:rsid w:val="31F45C08"/>
    <w:rsid w:val="31F53FD7"/>
    <w:rsid w:val="31F65948"/>
    <w:rsid w:val="31F755AA"/>
    <w:rsid w:val="31F90508"/>
    <w:rsid w:val="31FA536F"/>
    <w:rsid w:val="31FB2915"/>
    <w:rsid w:val="31FB3AF8"/>
    <w:rsid w:val="31FC796C"/>
    <w:rsid w:val="31FD3C7A"/>
    <w:rsid w:val="31FE0A28"/>
    <w:rsid w:val="32011C02"/>
    <w:rsid w:val="320145D2"/>
    <w:rsid w:val="320209E2"/>
    <w:rsid w:val="32055511"/>
    <w:rsid w:val="32092BD3"/>
    <w:rsid w:val="320C1077"/>
    <w:rsid w:val="32110B1F"/>
    <w:rsid w:val="32125F0F"/>
    <w:rsid w:val="3214380D"/>
    <w:rsid w:val="321921D0"/>
    <w:rsid w:val="321A14CF"/>
    <w:rsid w:val="321A482D"/>
    <w:rsid w:val="321B0E39"/>
    <w:rsid w:val="321C75CA"/>
    <w:rsid w:val="321F0F3D"/>
    <w:rsid w:val="321F62E3"/>
    <w:rsid w:val="3220180E"/>
    <w:rsid w:val="322104B7"/>
    <w:rsid w:val="32213CD6"/>
    <w:rsid w:val="322222E5"/>
    <w:rsid w:val="3222333C"/>
    <w:rsid w:val="322469F8"/>
    <w:rsid w:val="322539CE"/>
    <w:rsid w:val="322661C1"/>
    <w:rsid w:val="32272DB1"/>
    <w:rsid w:val="32291EA1"/>
    <w:rsid w:val="322A134A"/>
    <w:rsid w:val="322B489E"/>
    <w:rsid w:val="322B7922"/>
    <w:rsid w:val="322E10F5"/>
    <w:rsid w:val="322E16A5"/>
    <w:rsid w:val="323048E9"/>
    <w:rsid w:val="32311C01"/>
    <w:rsid w:val="3231696C"/>
    <w:rsid w:val="32336FFD"/>
    <w:rsid w:val="32364241"/>
    <w:rsid w:val="323A64E6"/>
    <w:rsid w:val="323B24A6"/>
    <w:rsid w:val="323B3D8E"/>
    <w:rsid w:val="323D1A1A"/>
    <w:rsid w:val="323D694A"/>
    <w:rsid w:val="323D7CB6"/>
    <w:rsid w:val="323E4072"/>
    <w:rsid w:val="323E7A5B"/>
    <w:rsid w:val="32420CB9"/>
    <w:rsid w:val="3244734B"/>
    <w:rsid w:val="324626D7"/>
    <w:rsid w:val="32470AEB"/>
    <w:rsid w:val="324A5057"/>
    <w:rsid w:val="324C7EAF"/>
    <w:rsid w:val="324D4F3A"/>
    <w:rsid w:val="324E002A"/>
    <w:rsid w:val="324F174E"/>
    <w:rsid w:val="324F24A8"/>
    <w:rsid w:val="32514A36"/>
    <w:rsid w:val="3253123E"/>
    <w:rsid w:val="3254500F"/>
    <w:rsid w:val="325577B0"/>
    <w:rsid w:val="32570981"/>
    <w:rsid w:val="32590ADB"/>
    <w:rsid w:val="325946B1"/>
    <w:rsid w:val="325A53E5"/>
    <w:rsid w:val="326109AB"/>
    <w:rsid w:val="326263BC"/>
    <w:rsid w:val="32636037"/>
    <w:rsid w:val="32642330"/>
    <w:rsid w:val="326641F2"/>
    <w:rsid w:val="32681EA9"/>
    <w:rsid w:val="326C5F5B"/>
    <w:rsid w:val="326D02BF"/>
    <w:rsid w:val="326D281E"/>
    <w:rsid w:val="326F6995"/>
    <w:rsid w:val="32705989"/>
    <w:rsid w:val="3273524E"/>
    <w:rsid w:val="32747406"/>
    <w:rsid w:val="327548C9"/>
    <w:rsid w:val="3276622D"/>
    <w:rsid w:val="32766F27"/>
    <w:rsid w:val="32767603"/>
    <w:rsid w:val="327B1A1C"/>
    <w:rsid w:val="328156D2"/>
    <w:rsid w:val="328164A6"/>
    <w:rsid w:val="32824A64"/>
    <w:rsid w:val="32840D5A"/>
    <w:rsid w:val="32845072"/>
    <w:rsid w:val="32883A6D"/>
    <w:rsid w:val="32884BC4"/>
    <w:rsid w:val="32887885"/>
    <w:rsid w:val="32891103"/>
    <w:rsid w:val="32892923"/>
    <w:rsid w:val="328A09D8"/>
    <w:rsid w:val="328A51AB"/>
    <w:rsid w:val="328A6C2A"/>
    <w:rsid w:val="328C0BF0"/>
    <w:rsid w:val="328D12A4"/>
    <w:rsid w:val="328D2DA0"/>
    <w:rsid w:val="3292332D"/>
    <w:rsid w:val="32944FED"/>
    <w:rsid w:val="32961660"/>
    <w:rsid w:val="32982C49"/>
    <w:rsid w:val="329E2265"/>
    <w:rsid w:val="329E726C"/>
    <w:rsid w:val="329F3079"/>
    <w:rsid w:val="32A32CEF"/>
    <w:rsid w:val="32A379BA"/>
    <w:rsid w:val="32A5309B"/>
    <w:rsid w:val="32A5364C"/>
    <w:rsid w:val="32A55811"/>
    <w:rsid w:val="32A73338"/>
    <w:rsid w:val="32A85EBA"/>
    <w:rsid w:val="32A91667"/>
    <w:rsid w:val="32A95DCD"/>
    <w:rsid w:val="32AA0A39"/>
    <w:rsid w:val="32AC04EC"/>
    <w:rsid w:val="32AC674A"/>
    <w:rsid w:val="32AC6BA0"/>
    <w:rsid w:val="32AC7F20"/>
    <w:rsid w:val="32AE211F"/>
    <w:rsid w:val="32B121FC"/>
    <w:rsid w:val="32B4627B"/>
    <w:rsid w:val="32B52978"/>
    <w:rsid w:val="32B56685"/>
    <w:rsid w:val="32B67F7A"/>
    <w:rsid w:val="32BA750F"/>
    <w:rsid w:val="32BB0E4F"/>
    <w:rsid w:val="32BD7548"/>
    <w:rsid w:val="32C2663C"/>
    <w:rsid w:val="32C43EEA"/>
    <w:rsid w:val="32C44C9D"/>
    <w:rsid w:val="32C51A10"/>
    <w:rsid w:val="32C6036F"/>
    <w:rsid w:val="32C70DEE"/>
    <w:rsid w:val="32C83002"/>
    <w:rsid w:val="32C831C6"/>
    <w:rsid w:val="32C83D55"/>
    <w:rsid w:val="32C91420"/>
    <w:rsid w:val="32C94540"/>
    <w:rsid w:val="32CB5278"/>
    <w:rsid w:val="32CE5395"/>
    <w:rsid w:val="32D06D32"/>
    <w:rsid w:val="32D157A2"/>
    <w:rsid w:val="32D35727"/>
    <w:rsid w:val="32D54349"/>
    <w:rsid w:val="32D57EA5"/>
    <w:rsid w:val="32D63C1D"/>
    <w:rsid w:val="32D87995"/>
    <w:rsid w:val="32DB4337"/>
    <w:rsid w:val="32DC7485"/>
    <w:rsid w:val="32DD046E"/>
    <w:rsid w:val="32E23A56"/>
    <w:rsid w:val="32E3318B"/>
    <w:rsid w:val="32E427DE"/>
    <w:rsid w:val="32E453B0"/>
    <w:rsid w:val="32E5148B"/>
    <w:rsid w:val="32E54319"/>
    <w:rsid w:val="32E56623"/>
    <w:rsid w:val="32E62A93"/>
    <w:rsid w:val="32E81278"/>
    <w:rsid w:val="32E875FF"/>
    <w:rsid w:val="32ED680E"/>
    <w:rsid w:val="32EE0641"/>
    <w:rsid w:val="32EE092C"/>
    <w:rsid w:val="32EE6A32"/>
    <w:rsid w:val="32F068C3"/>
    <w:rsid w:val="32F148A2"/>
    <w:rsid w:val="32F20BF6"/>
    <w:rsid w:val="32F4294D"/>
    <w:rsid w:val="32F451B7"/>
    <w:rsid w:val="32F67264"/>
    <w:rsid w:val="32F729D3"/>
    <w:rsid w:val="32F838FA"/>
    <w:rsid w:val="32F842C3"/>
    <w:rsid w:val="32F944CB"/>
    <w:rsid w:val="32F946E5"/>
    <w:rsid w:val="32FB0BBF"/>
    <w:rsid w:val="32FE69DF"/>
    <w:rsid w:val="33026A2B"/>
    <w:rsid w:val="33030EB6"/>
    <w:rsid w:val="33056D02"/>
    <w:rsid w:val="33066222"/>
    <w:rsid w:val="330A6F0D"/>
    <w:rsid w:val="330B0495"/>
    <w:rsid w:val="330B40D0"/>
    <w:rsid w:val="330D7821"/>
    <w:rsid w:val="331129F5"/>
    <w:rsid w:val="33116F66"/>
    <w:rsid w:val="3312147C"/>
    <w:rsid w:val="33124BCF"/>
    <w:rsid w:val="33136F79"/>
    <w:rsid w:val="33154F2A"/>
    <w:rsid w:val="33155358"/>
    <w:rsid w:val="33170FCF"/>
    <w:rsid w:val="33184235"/>
    <w:rsid w:val="33192D0A"/>
    <w:rsid w:val="331935FF"/>
    <w:rsid w:val="33194694"/>
    <w:rsid w:val="33196343"/>
    <w:rsid w:val="331B6177"/>
    <w:rsid w:val="331C08FD"/>
    <w:rsid w:val="331C293E"/>
    <w:rsid w:val="331D2E13"/>
    <w:rsid w:val="331E3B25"/>
    <w:rsid w:val="331F55C4"/>
    <w:rsid w:val="33201781"/>
    <w:rsid w:val="33222643"/>
    <w:rsid w:val="33241E50"/>
    <w:rsid w:val="3325518C"/>
    <w:rsid w:val="33257EFE"/>
    <w:rsid w:val="33267D76"/>
    <w:rsid w:val="33284A4F"/>
    <w:rsid w:val="33284BF4"/>
    <w:rsid w:val="332A00AA"/>
    <w:rsid w:val="332A7A85"/>
    <w:rsid w:val="332B11DF"/>
    <w:rsid w:val="332B1C0E"/>
    <w:rsid w:val="332B34E6"/>
    <w:rsid w:val="332B609D"/>
    <w:rsid w:val="332C6229"/>
    <w:rsid w:val="332D2CE1"/>
    <w:rsid w:val="332D686D"/>
    <w:rsid w:val="332D7544"/>
    <w:rsid w:val="332E4B17"/>
    <w:rsid w:val="332E4E35"/>
    <w:rsid w:val="332F2EEF"/>
    <w:rsid w:val="33305BF3"/>
    <w:rsid w:val="33306B8B"/>
    <w:rsid w:val="33323549"/>
    <w:rsid w:val="33331DAB"/>
    <w:rsid w:val="33354BF4"/>
    <w:rsid w:val="33364AD9"/>
    <w:rsid w:val="333650D5"/>
    <w:rsid w:val="33376CB0"/>
    <w:rsid w:val="33397407"/>
    <w:rsid w:val="333E488D"/>
    <w:rsid w:val="333F68C6"/>
    <w:rsid w:val="333F7B3D"/>
    <w:rsid w:val="334037E5"/>
    <w:rsid w:val="33423F49"/>
    <w:rsid w:val="33456625"/>
    <w:rsid w:val="334604F5"/>
    <w:rsid w:val="334768D0"/>
    <w:rsid w:val="33487271"/>
    <w:rsid w:val="334B0917"/>
    <w:rsid w:val="334B460B"/>
    <w:rsid w:val="334C08E9"/>
    <w:rsid w:val="334C1246"/>
    <w:rsid w:val="334C3AA0"/>
    <w:rsid w:val="33504B2D"/>
    <w:rsid w:val="33522127"/>
    <w:rsid w:val="33543398"/>
    <w:rsid w:val="335634B4"/>
    <w:rsid w:val="335B3815"/>
    <w:rsid w:val="335C2374"/>
    <w:rsid w:val="335D1CAA"/>
    <w:rsid w:val="3360312D"/>
    <w:rsid w:val="3360398C"/>
    <w:rsid w:val="33603E7D"/>
    <w:rsid w:val="336205DE"/>
    <w:rsid w:val="33640A1B"/>
    <w:rsid w:val="33642723"/>
    <w:rsid w:val="33644712"/>
    <w:rsid w:val="33661C5A"/>
    <w:rsid w:val="336B4ECA"/>
    <w:rsid w:val="336F2522"/>
    <w:rsid w:val="336F3373"/>
    <w:rsid w:val="33711303"/>
    <w:rsid w:val="33730B99"/>
    <w:rsid w:val="33734B1D"/>
    <w:rsid w:val="337360C2"/>
    <w:rsid w:val="33760CF9"/>
    <w:rsid w:val="3377170C"/>
    <w:rsid w:val="337726A7"/>
    <w:rsid w:val="337771AE"/>
    <w:rsid w:val="337862B5"/>
    <w:rsid w:val="3379177B"/>
    <w:rsid w:val="33792F26"/>
    <w:rsid w:val="337C3687"/>
    <w:rsid w:val="337D170B"/>
    <w:rsid w:val="337D1EA7"/>
    <w:rsid w:val="337E7E8A"/>
    <w:rsid w:val="33813B89"/>
    <w:rsid w:val="33814F52"/>
    <w:rsid w:val="338443BD"/>
    <w:rsid w:val="33865DB2"/>
    <w:rsid w:val="338B73FA"/>
    <w:rsid w:val="338C3364"/>
    <w:rsid w:val="3391493A"/>
    <w:rsid w:val="33914F66"/>
    <w:rsid w:val="339367AA"/>
    <w:rsid w:val="339715FE"/>
    <w:rsid w:val="339818F2"/>
    <w:rsid w:val="3398628E"/>
    <w:rsid w:val="33997124"/>
    <w:rsid w:val="339A0B2C"/>
    <w:rsid w:val="339A2049"/>
    <w:rsid w:val="339D320C"/>
    <w:rsid w:val="339E5D33"/>
    <w:rsid w:val="339F04B3"/>
    <w:rsid w:val="339F43E1"/>
    <w:rsid w:val="339F67E7"/>
    <w:rsid w:val="33A2325B"/>
    <w:rsid w:val="33A35F51"/>
    <w:rsid w:val="33A36954"/>
    <w:rsid w:val="33A37ABD"/>
    <w:rsid w:val="33A67A93"/>
    <w:rsid w:val="33AA7583"/>
    <w:rsid w:val="33AB115A"/>
    <w:rsid w:val="33AB7EE4"/>
    <w:rsid w:val="33AE4895"/>
    <w:rsid w:val="33AF49AF"/>
    <w:rsid w:val="33AF51D3"/>
    <w:rsid w:val="33AF57CA"/>
    <w:rsid w:val="33AF7D76"/>
    <w:rsid w:val="33B0446E"/>
    <w:rsid w:val="33B0588E"/>
    <w:rsid w:val="33B2068A"/>
    <w:rsid w:val="33B60290"/>
    <w:rsid w:val="33B7001B"/>
    <w:rsid w:val="33B709C3"/>
    <w:rsid w:val="33B91574"/>
    <w:rsid w:val="33BA7AC5"/>
    <w:rsid w:val="33BD53B1"/>
    <w:rsid w:val="33BE6B8B"/>
    <w:rsid w:val="33C30645"/>
    <w:rsid w:val="33C46F74"/>
    <w:rsid w:val="33C5194B"/>
    <w:rsid w:val="33C8446E"/>
    <w:rsid w:val="33C91DEE"/>
    <w:rsid w:val="33CA4576"/>
    <w:rsid w:val="33CC1E15"/>
    <w:rsid w:val="33CF4BF5"/>
    <w:rsid w:val="33D0525E"/>
    <w:rsid w:val="33D05292"/>
    <w:rsid w:val="33D128FE"/>
    <w:rsid w:val="33D14278"/>
    <w:rsid w:val="33D26ADA"/>
    <w:rsid w:val="33D31674"/>
    <w:rsid w:val="33D364F6"/>
    <w:rsid w:val="33D377F4"/>
    <w:rsid w:val="33D4062B"/>
    <w:rsid w:val="33D5032C"/>
    <w:rsid w:val="33D51661"/>
    <w:rsid w:val="33D75CEB"/>
    <w:rsid w:val="33D83B81"/>
    <w:rsid w:val="33D9001C"/>
    <w:rsid w:val="33D90D81"/>
    <w:rsid w:val="33DA78E1"/>
    <w:rsid w:val="33DB4966"/>
    <w:rsid w:val="33DC2D2B"/>
    <w:rsid w:val="33DC32F3"/>
    <w:rsid w:val="33DD0F2E"/>
    <w:rsid w:val="33DD3113"/>
    <w:rsid w:val="33E0014E"/>
    <w:rsid w:val="33E222C5"/>
    <w:rsid w:val="33E36FB1"/>
    <w:rsid w:val="33E505BB"/>
    <w:rsid w:val="33E505D4"/>
    <w:rsid w:val="33E63E22"/>
    <w:rsid w:val="33E64BAF"/>
    <w:rsid w:val="33EB40FC"/>
    <w:rsid w:val="33EC194A"/>
    <w:rsid w:val="33EC7E18"/>
    <w:rsid w:val="33ED4D1C"/>
    <w:rsid w:val="33EE7977"/>
    <w:rsid w:val="33F126CD"/>
    <w:rsid w:val="33F135D1"/>
    <w:rsid w:val="33F16FE8"/>
    <w:rsid w:val="33F6366D"/>
    <w:rsid w:val="33F65170"/>
    <w:rsid w:val="33F67AC3"/>
    <w:rsid w:val="33F95A15"/>
    <w:rsid w:val="33F97FB4"/>
    <w:rsid w:val="33FA7567"/>
    <w:rsid w:val="33FB2F4C"/>
    <w:rsid w:val="33FB7DDF"/>
    <w:rsid w:val="33FC76B3"/>
    <w:rsid w:val="33FD4D44"/>
    <w:rsid w:val="33FE167D"/>
    <w:rsid w:val="33FE5EF7"/>
    <w:rsid w:val="33FF037C"/>
    <w:rsid w:val="34012F1B"/>
    <w:rsid w:val="34015190"/>
    <w:rsid w:val="34041DBF"/>
    <w:rsid w:val="34052A0C"/>
    <w:rsid w:val="340622E0"/>
    <w:rsid w:val="34070448"/>
    <w:rsid w:val="34084635"/>
    <w:rsid w:val="340A6C31"/>
    <w:rsid w:val="340E2295"/>
    <w:rsid w:val="34117602"/>
    <w:rsid w:val="341365A3"/>
    <w:rsid w:val="34140E76"/>
    <w:rsid w:val="34183FF5"/>
    <w:rsid w:val="34192FE3"/>
    <w:rsid w:val="341939FB"/>
    <w:rsid w:val="341948C7"/>
    <w:rsid w:val="34196FFC"/>
    <w:rsid w:val="341B22E8"/>
    <w:rsid w:val="341B2B25"/>
    <w:rsid w:val="341B58A4"/>
    <w:rsid w:val="341C3E54"/>
    <w:rsid w:val="341D2B80"/>
    <w:rsid w:val="341D47AA"/>
    <w:rsid w:val="341E2FCC"/>
    <w:rsid w:val="341E36A5"/>
    <w:rsid w:val="342256ED"/>
    <w:rsid w:val="34226528"/>
    <w:rsid w:val="34234731"/>
    <w:rsid w:val="342425E8"/>
    <w:rsid w:val="34256C0A"/>
    <w:rsid w:val="342804A8"/>
    <w:rsid w:val="3428140A"/>
    <w:rsid w:val="342B5480"/>
    <w:rsid w:val="342B7DCB"/>
    <w:rsid w:val="342C7AC9"/>
    <w:rsid w:val="342D4AAC"/>
    <w:rsid w:val="342E1F62"/>
    <w:rsid w:val="342E6170"/>
    <w:rsid w:val="343129A9"/>
    <w:rsid w:val="3432157A"/>
    <w:rsid w:val="343255DA"/>
    <w:rsid w:val="34334B05"/>
    <w:rsid w:val="34371578"/>
    <w:rsid w:val="34387CBA"/>
    <w:rsid w:val="34390DE3"/>
    <w:rsid w:val="34394463"/>
    <w:rsid w:val="343B4069"/>
    <w:rsid w:val="343C03C6"/>
    <w:rsid w:val="343C3F54"/>
    <w:rsid w:val="343D753C"/>
    <w:rsid w:val="3442603A"/>
    <w:rsid w:val="344352E2"/>
    <w:rsid w:val="3445105A"/>
    <w:rsid w:val="3448265E"/>
    <w:rsid w:val="34491481"/>
    <w:rsid w:val="344A22C6"/>
    <w:rsid w:val="344A5E65"/>
    <w:rsid w:val="344A6127"/>
    <w:rsid w:val="344B3EC9"/>
    <w:rsid w:val="344C063B"/>
    <w:rsid w:val="344E35C6"/>
    <w:rsid w:val="345168EC"/>
    <w:rsid w:val="345218AD"/>
    <w:rsid w:val="34527CEF"/>
    <w:rsid w:val="34545075"/>
    <w:rsid w:val="345476BD"/>
    <w:rsid w:val="34560CCD"/>
    <w:rsid w:val="34593D04"/>
    <w:rsid w:val="345A1CFE"/>
    <w:rsid w:val="345C40B0"/>
    <w:rsid w:val="345D465C"/>
    <w:rsid w:val="345D6467"/>
    <w:rsid w:val="34602C99"/>
    <w:rsid w:val="3461446D"/>
    <w:rsid w:val="34630883"/>
    <w:rsid w:val="346516FC"/>
    <w:rsid w:val="34672E75"/>
    <w:rsid w:val="346825F8"/>
    <w:rsid w:val="346C0F8D"/>
    <w:rsid w:val="346F0762"/>
    <w:rsid w:val="346F257B"/>
    <w:rsid w:val="346F4329"/>
    <w:rsid w:val="34700F85"/>
    <w:rsid w:val="34711A00"/>
    <w:rsid w:val="347149FF"/>
    <w:rsid w:val="34741D13"/>
    <w:rsid w:val="347656B7"/>
    <w:rsid w:val="347727D1"/>
    <w:rsid w:val="34776009"/>
    <w:rsid w:val="34796F56"/>
    <w:rsid w:val="347B58F6"/>
    <w:rsid w:val="347D6036"/>
    <w:rsid w:val="347F26FC"/>
    <w:rsid w:val="34813865"/>
    <w:rsid w:val="34833858"/>
    <w:rsid w:val="34840E68"/>
    <w:rsid w:val="348558FB"/>
    <w:rsid w:val="3485614F"/>
    <w:rsid w:val="348736C4"/>
    <w:rsid w:val="348A17C0"/>
    <w:rsid w:val="348E00EB"/>
    <w:rsid w:val="348E1371"/>
    <w:rsid w:val="348F0D76"/>
    <w:rsid w:val="349057E2"/>
    <w:rsid w:val="34931561"/>
    <w:rsid w:val="34934894"/>
    <w:rsid w:val="3494067D"/>
    <w:rsid w:val="34945780"/>
    <w:rsid w:val="349A13A6"/>
    <w:rsid w:val="349B00E4"/>
    <w:rsid w:val="349E076A"/>
    <w:rsid w:val="349E1AAD"/>
    <w:rsid w:val="349F0854"/>
    <w:rsid w:val="34A17A33"/>
    <w:rsid w:val="34A240CD"/>
    <w:rsid w:val="34A26159"/>
    <w:rsid w:val="34A31612"/>
    <w:rsid w:val="34A70C84"/>
    <w:rsid w:val="34A75871"/>
    <w:rsid w:val="34AB3BF3"/>
    <w:rsid w:val="34AB4A87"/>
    <w:rsid w:val="34AE24CE"/>
    <w:rsid w:val="34AE4E51"/>
    <w:rsid w:val="34AF0FA6"/>
    <w:rsid w:val="34B06E3E"/>
    <w:rsid w:val="34B146F0"/>
    <w:rsid w:val="34B27C24"/>
    <w:rsid w:val="34B34F10"/>
    <w:rsid w:val="34B41CC0"/>
    <w:rsid w:val="34B47CEF"/>
    <w:rsid w:val="34B47DE6"/>
    <w:rsid w:val="34B57BC0"/>
    <w:rsid w:val="34B60155"/>
    <w:rsid w:val="34B63D06"/>
    <w:rsid w:val="34B7064E"/>
    <w:rsid w:val="34B92A0C"/>
    <w:rsid w:val="34BA23E3"/>
    <w:rsid w:val="34BB7AA0"/>
    <w:rsid w:val="34BC0FB1"/>
    <w:rsid w:val="34BD32E6"/>
    <w:rsid w:val="34BE703D"/>
    <w:rsid w:val="34BF2BBB"/>
    <w:rsid w:val="34C06933"/>
    <w:rsid w:val="34C06DDD"/>
    <w:rsid w:val="34C12A17"/>
    <w:rsid w:val="34C12DD7"/>
    <w:rsid w:val="34C40311"/>
    <w:rsid w:val="34C65C55"/>
    <w:rsid w:val="34C67CC5"/>
    <w:rsid w:val="34C77CC1"/>
    <w:rsid w:val="34C85A7A"/>
    <w:rsid w:val="34C91C8B"/>
    <w:rsid w:val="34CA0ED9"/>
    <w:rsid w:val="34CA44EF"/>
    <w:rsid w:val="34CA6EB8"/>
    <w:rsid w:val="34CB5EDA"/>
    <w:rsid w:val="34CC52D7"/>
    <w:rsid w:val="34CC5954"/>
    <w:rsid w:val="34CD5DB0"/>
    <w:rsid w:val="34CE308C"/>
    <w:rsid w:val="34D05E90"/>
    <w:rsid w:val="34D144E4"/>
    <w:rsid w:val="34D21121"/>
    <w:rsid w:val="34D41558"/>
    <w:rsid w:val="34D52EF2"/>
    <w:rsid w:val="34D6241A"/>
    <w:rsid w:val="34D6251E"/>
    <w:rsid w:val="34D63EAA"/>
    <w:rsid w:val="34D80120"/>
    <w:rsid w:val="34D81759"/>
    <w:rsid w:val="34D85B7F"/>
    <w:rsid w:val="34D908FE"/>
    <w:rsid w:val="34DA0C07"/>
    <w:rsid w:val="34DD070C"/>
    <w:rsid w:val="34DD4D7A"/>
    <w:rsid w:val="34E40873"/>
    <w:rsid w:val="34E54F3F"/>
    <w:rsid w:val="34EA0D43"/>
    <w:rsid w:val="34EA59F4"/>
    <w:rsid w:val="34EB1585"/>
    <w:rsid w:val="34EC0097"/>
    <w:rsid w:val="34EC55E6"/>
    <w:rsid w:val="34ED73E5"/>
    <w:rsid w:val="34EF12C1"/>
    <w:rsid w:val="34EF1670"/>
    <w:rsid w:val="34F067B0"/>
    <w:rsid w:val="34F11B7F"/>
    <w:rsid w:val="34F25146"/>
    <w:rsid w:val="34F328B4"/>
    <w:rsid w:val="34F43D1C"/>
    <w:rsid w:val="34F62354"/>
    <w:rsid w:val="34F74B0D"/>
    <w:rsid w:val="34FE3C00"/>
    <w:rsid w:val="34FF7032"/>
    <w:rsid w:val="350155F3"/>
    <w:rsid w:val="350157B8"/>
    <w:rsid w:val="3502056C"/>
    <w:rsid w:val="3505113E"/>
    <w:rsid w:val="350663FF"/>
    <w:rsid w:val="35074053"/>
    <w:rsid w:val="350B0760"/>
    <w:rsid w:val="350B19FE"/>
    <w:rsid w:val="350C1B28"/>
    <w:rsid w:val="35110816"/>
    <w:rsid w:val="3511718E"/>
    <w:rsid w:val="351245EB"/>
    <w:rsid w:val="35174ECD"/>
    <w:rsid w:val="351B1D36"/>
    <w:rsid w:val="351B4059"/>
    <w:rsid w:val="351D5B33"/>
    <w:rsid w:val="351D6951"/>
    <w:rsid w:val="35201E97"/>
    <w:rsid w:val="3520553E"/>
    <w:rsid w:val="35250701"/>
    <w:rsid w:val="3529749B"/>
    <w:rsid w:val="352A2A2D"/>
    <w:rsid w:val="352C09C3"/>
    <w:rsid w:val="352C498A"/>
    <w:rsid w:val="352F3155"/>
    <w:rsid w:val="35312D43"/>
    <w:rsid w:val="35317CCB"/>
    <w:rsid w:val="35317E94"/>
    <w:rsid w:val="35340FC7"/>
    <w:rsid w:val="35373099"/>
    <w:rsid w:val="3538798B"/>
    <w:rsid w:val="353C0959"/>
    <w:rsid w:val="353C14F7"/>
    <w:rsid w:val="353C4CA2"/>
    <w:rsid w:val="353D2096"/>
    <w:rsid w:val="353F38E3"/>
    <w:rsid w:val="353F5AA9"/>
    <w:rsid w:val="354237EC"/>
    <w:rsid w:val="3544237D"/>
    <w:rsid w:val="35472BB0"/>
    <w:rsid w:val="354A5C24"/>
    <w:rsid w:val="354B1419"/>
    <w:rsid w:val="354B33E3"/>
    <w:rsid w:val="354B7C47"/>
    <w:rsid w:val="354D26AF"/>
    <w:rsid w:val="354D4915"/>
    <w:rsid w:val="354F1001"/>
    <w:rsid w:val="354F46D2"/>
    <w:rsid w:val="3550388C"/>
    <w:rsid w:val="35512058"/>
    <w:rsid w:val="35520390"/>
    <w:rsid w:val="355545D0"/>
    <w:rsid w:val="3555635F"/>
    <w:rsid w:val="355A1B91"/>
    <w:rsid w:val="355A2FB4"/>
    <w:rsid w:val="355E5C87"/>
    <w:rsid w:val="35645510"/>
    <w:rsid w:val="3565015D"/>
    <w:rsid w:val="35652EBD"/>
    <w:rsid w:val="35661288"/>
    <w:rsid w:val="35663BF3"/>
    <w:rsid w:val="35691DCC"/>
    <w:rsid w:val="356D4F9D"/>
    <w:rsid w:val="356E638F"/>
    <w:rsid w:val="356E79A4"/>
    <w:rsid w:val="356F2A58"/>
    <w:rsid w:val="356F3131"/>
    <w:rsid w:val="35716328"/>
    <w:rsid w:val="357170D8"/>
    <w:rsid w:val="35717C54"/>
    <w:rsid w:val="357610A5"/>
    <w:rsid w:val="35776045"/>
    <w:rsid w:val="35784CBC"/>
    <w:rsid w:val="357B5B67"/>
    <w:rsid w:val="357B618F"/>
    <w:rsid w:val="357C0E68"/>
    <w:rsid w:val="357C16EF"/>
    <w:rsid w:val="357C4CCF"/>
    <w:rsid w:val="357C4F4F"/>
    <w:rsid w:val="35812565"/>
    <w:rsid w:val="358160BE"/>
    <w:rsid w:val="35820EC3"/>
    <w:rsid w:val="35851C74"/>
    <w:rsid w:val="358643D2"/>
    <w:rsid w:val="35866714"/>
    <w:rsid w:val="35884708"/>
    <w:rsid w:val="358919B2"/>
    <w:rsid w:val="358974B0"/>
    <w:rsid w:val="358B3002"/>
    <w:rsid w:val="358E5B04"/>
    <w:rsid w:val="359154CA"/>
    <w:rsid w:val="35917F75"/>
    <w:rsid w:val="359304E6"/>
    <w:rsid w:val="359609F0"/>
    <w:rsid w:val="35972EC8"/>
    <w:rsid w:val="359810AB"/>
    <w:rsid w:val="359B1BF2"/>
    <w:rsid w:val="359B7EA2"/>
    <w:rsid w:val="359C1FC0"/>
    <w:rsid w:val="359E762D"/>
    <w:rsid w:val="35A117E0"/>
    <w:rsid w:val="35A50964"/>
    <w:rsid w:val="35A65B6F"/>
    <w:rsid w:val="35A81E0A"/>
    <w:rsid w:val="35A84439"/>
    <w:rsid w:val="35A84C15"/>
    <w:rsid w:val="35A87AA8"/>
    <w:rsid w:val="35AA0622"/>
    <w:rsid w:val="35AC3899"/>
    <w:rsid w:val="35AF4B04"/>
    <w:rsid w:val="35B046E8"/>
    <w:rsid w:val="35B128E1"/>
    <w:rsid w:val="35B1442E"/>
    <w:rsid w:val="35B400E2"/>
    <w:rsid w:val="35B5291B"/>
    <w:rsid w:val="35B5399C"/>
    <w:rsid w:val="35B53C53"/>
    <w:rsid w:val="35B55280"/>
    <w:rsid w:val="35B60620"/>
    <w:rsid w:val="35B73253"/>
    <w:rsid w:val="35B91D00"/>
    <w:rsid w:val="35BA2621"/>
    <w:rsid w:val="35BB5A0B"/>
    <w:rsid w:val="35BB6663"/>
    <w:rsid w:val="35BC0E98"/>
    <w:rsid w:val="35BD309F"/>
    <w:rsid w:val="35BE2833"/>
    <w:rsid w:val="35C22E0A"/>
    <w:rsid w:val="35C66450"/>
    <w:rsid w:val="35C76AE7"/>
    <w:rsid w:val="35C9101D"/>
    <w:rsid w:val="35CA1D98"/>
    <w:rsid w:val="35CA2639"/>
    <w:rsid w:val="35CA7F49"/>
    <w:rsid w:val="35CB0DC6"/>
    <w:rsid w:val="35CD7494"/>
    <w:rsid w:val="35D02A73"/>
    <w:rsid w:val="35D13497"/>
    <w:rsid w:val="35D2685E"/>
    <w:rsid w:val="35D31BB7"/>
    <w:rsid w:val="35D74801"/>
    <w:rsid w:val="35D817F9"/>
    <w:rsid w:val="35D9451E"/>
    <w:rsid w:val="35DA6748"/>
    <w:rsid w:val="35DB371D"/>
    <w:rsid w:val="35DC168B"/>
    <w:rsid w:val="35DD4A74"/>
    <w:rsid w:val="35DD69BF"/>
    <w:rsid w:val="35DE66BB"/>
    <w:rsid w:val="35E222A0"/>
    <w:rsid w:val="35E5077F"/>
    <w:rsid w:val="35E61110"/>
    <w:rsid w:val="35E63C80"/>
    <w:rsid w:val="35E942AC"/>
    <w:rsid w:val="35EB6F18"/>
    <w:rsid w:val="35EB7FA5"/>
    <w:rsid w:val="35EC254E"/>
    <w:rsid w:val="35EC25CA"/>
    <w:rsid w:val="35ED49AD"/>
    <w:rsid w:val="35ED6E95"/>
    <w:rsid w:val="35EF4FDF"/>
    <w:rsid w:val="35F00613"/>
    <w:rsid w:val="35F065A8"/>
    <w:rsid w:val="35F20D1A"/>
    <w:rsid w:val="35F324ED"/>
    <w:rsid w:val="35F638F6"/>
    <w:rsid w:val="35F723FF"/>
    <w:rsid w:val="35F72828"/>
    <w:rsid w:val="35FA53B1"/>
    <w:rsid w:val="35FC1BEC"/>
    <w:rsid w:val="35FC6014"/>
    <w:rsid w:val="35FD421F"/>
    <w:rsid w:val="360016CD"/>
    <w:rsid w:val="360125D6"/>
    <w:rsid w:val="36021CA3"/>
    <w:rsid w:val="36022340"/>
    <w:rsid w:val="36064819"/>
    <w:rsid w:val="36083EDC"/>
    <w:rsid w:val="36084B34"/>
    <w:rsid w:val="36086642"/>
    <w:rsid w:val="360A110F"/>
    <w:rsid w:val="360D1393"/>
    <w:rsid w:val="360D6C88"/>
    <w:rsid w:val="360F6683"/>
    <w:rsid w:val="360F67FD"/>
    <w:rsid w:val="36140819"/>
    <w:rsid w:val="36140C87"/>
    <w:rsid w:val="36146ADC"/>
    <w:rsid w:val="361616DC"/>
    <w:rsid w:val="361909F0"/>
    <w:rsid w:val="361934C5"/>
    <w:rsid w:val="361A42B4"/>
    <w:rsid w:val="361D10D6"/>
    <w:rsid w:val="3623361D"/>
    <w:rsid w:val="362466BA"/>
    <w:rsid w:val="36277340"/>
    <w:rsid w:val="36285A31"/>
    <w:rsid w:val="36296BDA"/>
    <w:rsid w:val="362A2ECC"/>
    <w:rsid w:val="362C0B7F"/>
    <w:rsid w:val="362D132C"/>
    <w:rsid w:val="362D24BD"/>
    <w:rsid w:val="362D58E9"/>
    <w:rsid w:val="363014D6"/>
    <w:rsid w:val="36323D19"/>
    <w:rsid w:val="3632560E"/>
    <w:rsid w:val="36327824"/>
    <w:rsid w:val="36334C24"/>
    <w:rsid w:val="36343134"/>
    <w:rsid w:val="363475D8"/>
    <w:rsid w:val="363578F6"/>
    <w:rsid w:val="363650FE"/>
    <w:rsid w:val="36380D9B"/>
    <w:rsid w:val="3638654C"/>
    <w:rsid w:val="363A1FF6"/>
    <w:rsid w:val="363A224A"/>
    <w:rsid w:val="363B297E"/>
    <w:rsid w:val="363B3F46"/>
    <w:rsid w:val="363C1477"/>
    <w:rsid w:val="363C3035"/>
    <w:rsid w:val="363C6588"/>
    <w:rsid w:val="363E0457"/>
    <w:rsid w:val="3640084C"/>
    <w:rsid w:val="364210AC"/>
    <w:rsid w:val="36430993"/>
    <w:rsid w:val="36432839"/>
    <w:rsid w:val="364516AF"/>
    <w:rsid w:val="3646088B"/>
    <w:rsid w:val="364A0BAA"/>
    <w:rsid w:val="364B36EE"/>
    <w:rsid w:val="364C130F"/>
    <w:rsid w:val="364D355E"/>
    <w:rsid w:val="364D5EF7"/>
    <w:rsid w:val="364E1B2D"/>
    <w:rsid w:val="36506440"/>
    <w:rsid w:val="36511F38"/>
    <w:rsid w:val="36515966"/>
    <w:rsid w:val="36520BB0"/>
    <w:rsid w:val="36522EDF"/>
    <w:rsid w:val="36526E0E"/>
    <w:rsid w:val="36527A5E"/>
    <w:rsid w:val="36537229"/>
    <w:rsid w:val="365522C8"/>
    <w:rsid w:val="365575BF"/>
    <w:rsid w:val="365648D7"/>
    <w:rsid w:val="36574709"/>
    <w:rsid w:val="36577DFA"/>
    <w:rsid w:val="36583786"/>
    <w:rsid w:val="365E51AD"/>
    <w:rsid w:val="365E6E73"/>
    <w:rsid w:val="36603967"/>
    <w:rsid w:val="36617653"/>
    <w:rsid w:val="36627394"/>
    <w:rsid w:val="36631181"/>
    <w:rsid w:val="3663187B"/>
    <w:rsid w:val="36667AF4"/>
    <w:rsid w:val="366859E7"/>
    <w:rsid w:val="366927DA"/>
    <w:rsid w:val="3669551B"/>
    <w:rsid w:val="366B6ABE"/>
    <w:rsid w:val="366D6646"/>
    <w:rsid w:val="366D733F"/>
    <w:rsid w:val="366F5AB7"/>
    <w:rsid w:val="36705FF1"/>
    <w:rsid w:val="367270E2"/>
    <w:rsid w:val="3678288B"/>
    <w:rsid w:val="36786B2E"/>
    <w:rsid w:val="36795704"/>
    <w:rsid w:val="367B4AE9"/>
    <w:rsid w:val="367C5242"/>
    <w:rsid w:val="367E62D0"/>
    <w:rsid w:val="367E66FF"/>
    <w:rsid w:val="36812DCC"/>
    <w:rsid w:val="36813FBF"/>
    <w:rsid w:val="36832742"/>
    <w:rsid w:val="36850D06"/>
    <w:rsid w:val="3686344F"/>
    <w:rsid w:val="368703C6"/>
    <w:rsid w:val="368721FB"/>
    <w:rsid w:val="368A5354"/>
    <w:rsid w:val="368B1193"/>
    <w:rsid w:val="368C46EC"/>
    <w:rsid w:val="368C4B94"/>
    <w:rsid w:val="368C75FB"/>
    <w:rsid w:val="368D0151"/>
    <w:rsid w:val="368F2A60"/>
    <w:rsid w:val="36910587"/>
    <w:rsid w:val="36947F80"/>
    <w:rsid w:val="3695100E"/>
    <w:rsid w:val="36964A5E"/>
    <w:rsid w:val="36965C37"/>
    <w:rsid w:val="369708EE"/>
    <w:rsid w:val="369A25E7"/>
    <w:rsid w:val="369A2BFF"/>
    <w:rsid w:val="369D402A"/>
    <w:rsid w:val="36A22794"/>
    <w:rsid w:val="36A331D2"/>
    <w:rsid w:val="36A37E27"/>
    <w:rsid w:val="36A51675"/>
    <w:rsid w:val="36A5630A"/>
    <w:rsid w:val="36A83446"/>
    <w:rsid w:val="36AB730A"/>
    <w:rsid w:val="36AC2C5A"/>
    <w:rsid w:val="36AD060C"/>
    <w:rsid w:val="36AD6C51"/>
    <w:rsid w:val="36AD6D48"/>
    <w:rsid w:val="36AD7AD9"/>
    <w:rsid w:val="36AF6C5F"/>
    <w:rsid w:val="36B10C29"/>
    <w:rsid w:val="36B21AE7"/>
    <w:rsid w:val="36B45780"/>
    <w:rsid w:val="36B45C77"/>
    <w:rsid w:val="36B55904"/>
    <w:rsid w:val="36B56783"/>
    <w:rsid w:val="36B62435"/>
    <w:rsid w:val="36B649F3"/>
    <w:rsid w:val="36B735E2"/>
    <w:rsid w:val="36B77ECB"/>
    <w:rsid w:val="36BC3F42"/>
    <w:rsid w:val="36BD6CCE"/>
    <w:rsid w:val="36BF7C92"/>
    <w:rsid w:val="36C014C8"/>
    <w:rsid w:val="36C07C08"/>
    <w:rsid w:val="36C249FE"/>
    <w:rsid w:val="36C26992"/>
    <w:rsid w:val="36C4188E"/>
    <w:rsid w:val="36C517EF"/>
    <w:rsid w:val="36C5227C"/>
    <w:rsid w:val="36C5780C"/>
    <w:rsid w:val="36C73DF2"/>
    <w:rsid w:val="36C83DE6"/>
    <w:rsid w:val="36C925E9"/>
    <w:rsid w:val="36C941C4"/>
    <w:rsid w:val="36CA3A99"/>
    <w:rsid w:val="36CB2C3B"/>
    <w:rsid w:val="36CC6284"/>
    <w:rsid w:val="36CD632E"/>
    <w:rsid w:val="36CD79F5"/>
    <w:rsid w:val="36CF1B3C"/>
    <w:rsid w:val="36CF732A"/>
    <w:rsid w:val="36D032AC"/>
    <w:rsid w:val="36D44C4A"/>
    <w:rsid w:val="36D549A6"/>
    <w:rsid w:val="36D74020"/>
    <w:rsid w:val="36D8144E"/>
    <w:rsid w:val="36D95511"/>
    <w:rsid w:val="36DA1F9A"/>
    <w:rsid w:val="36DA5C41"/>
    <w:rsid w:val="36DB01C2"/>
    <w:rsid w:val="36DB27E6"/>
    <w:rsid w:val="36DC06C8"/>
    <w:rsid w:val="36DD36ED"/>
    <w:rsid w:val="36DD6888"/>
    <w:rsid w:val="36DF00A7"/>
    <w:rsid w:val="36DF1167"/>
    <w:rsid w:val="36E0412D"/>
    <w:rsid w:val="36E05232"/>
    <w:rsid w:val="36E13111"/>
    <w:rsid w:val="36E35419"/>
    <w:rsid w:val="36E40779"/>
    <w:rsid w:val="36E40C79"/>
    <w:rsid w:val="36E43A34"/>
    <w:rsid w:val="36E606A1"/>
    <w:rsid w:val="36E733B1"/>
    <w:rsid w:val="36E813BB"/>
    <w:rsid w:val="36E85F16"/>
    <w:rsid w:val="36EA3DED"/>
    <w:rsid w:val="36ED65A0"/>
    <w:rsid w:val="36EF1705"/>
    <w:rsid w:val="36EF1E98"/>
    <w:rsid w:val="36F339A8"/>
    <w:rsid w:val="36F40B16"/>
    <w:rsid w:val="36F65F5D"/>
    <w:rsid w:val="36F94041"/>
    <w:rsid w:val="36FA2BD0"/>
    <w:rsid w:val="36FC068F"/>
    <w:rsid w:val="36FD4DD9"/>
    <w:rsid w:val="36FD71D5"/>
    <w:rsid w:val="37015BBE"/>
    <w:rsid w:val="370213C4"/>
    <w:rsid w:val="370305F3"/>
    <w:rsid w:val="370400AC"/>
    <w:rsid w:val="37060303"/>
    <w:rsid w:val="37070A7F"/>
    <w:rsid w:val="37092813"/>
    <w:rsid w:val="370A4783"/>
    <w:rsid w:val="370A57EA"/>
    <w:rsid w:val="370C28B5"/>
    <w:rsid w:val="37104E51"/>
    <w:rsid w:val="37114E28"/>
    <w:rsid w:val="37140E4A"/>
    <w:rsid w:val="37195B50"/>
    <w:rsid w:val="371A3D26"/>
    <w:rsid w:val="37201149"/>
    <w:rsid w:val="372038F8"/>
    <w:rsid w:val="37203D70"/>
    <w:rsid w:val="3723045A"/>
    <w:rsid w:val="372619D5"/>
    <w:rsid w:val="37272B26"/>
    <w:rsid w:val="37286488"/>
    <w:rsid w:val="372A7EF7"/>
    <w:rsid w:val="372C02AF"/>
    <w:rsid w:val="372C6501"/>
    <w:rsid w:val="372D03BD"/>
    <w:rsid w:val="372D4213"/>
    <w:rsid w:val="37321D6A"/>
    <w:rsid w:val="3732332F"/>
    <w:rsid w:val="37324E40"/>
    <w:rsid w:val="3733163E"/>
    <w:rsid w:val="37352924"/>
    <w:rsid w:val="373726F5"/>
    <w:rsid w:val="373959B7"/>
    <w:rsid w:val="373A1C30"/>
    <w:rsid w:val="373B2C04"/>
    <w:rsid w:val="373B6369"/>
    <w:rsid w:val="373C1EC0"/>
    <w:rsid w:val="373C562F"/>
    <w:rsid w:val="373C62BF"/>
    <w:rsid w:val="373C656D"/>
    <w:rsid w:val="373E15F6"/>
    <w:rsid w:val="374067CE"/>
    <w:rsid w:val="37411E9D"/>
    <w:rsid w:val="374240C8"/>
    <w:rsid w:val="37424C02"/>
    <w:rsid w:val="37441A9D"/>
    <w:rsid w:val="37492C0F"/>
    <w:rsid w:val="374A3DC8"/>
    <w:rsid w:val="374B5009"/>
    <w:rsid w:val="374E1569"/>
    <w:rsid w:val="374E758F"/>
    <w:rsid w:val="37520BEA"/>
    <w:rsid w:val="37534F75"/>
    <w:rsid w:val="37537FD2"/>
    <w:rsid w:val="37555607"/>
    <w:rsid w:val="37557323"/>
    <w:rsid w:val="3756532C"/>
    <w:rsid w:val="3757357E"/>
    <w:rsid w:val="37583359"/>
    <w:rsid w:val="37586390"/>
    <w:rsid w:val="375A7A49"/>
    <w:rsid w:val="375D2ED3"/>
    <w:rsid w:val="375D490D"/>
    <w:rsid w:val="375E06F4"/>
    <w:rsid w:val="375F1C01"/>
    <w:rsid w:val="37604904"/>
    <w:rsid w:val="37627C24"/>
    <w:rsid w:val="37633C1D"/>
    <w:rsid w:val="3766581B"/>
    <w:rsid w:val="376703D6"/>
    <w:rsid w:val="37673BCA"/>
    <w:rsid w:val="376773D6"/>
    <w:rsid w:val="37686935"/>
    <w:rsid w:val="376A75CF"/>
    <w:rsid w:val="376B12E1"/>
    <w:rsid w:val="376C55DB"/>
    <w:rsid w:val="376C628F"/>
    <w:rsid w:val="376D2DA2"/>
    <w:rsid w:val="376E1A2C"/>
    <w:rsid w:val="3770751B"/>
    <w:rsid w:val="37736A8C"/>
    <w:rsid w:val="37737BD4"/>
    <w:rsid w:val="377759CE"/>
    <w:rsid w:val="377769FD"/>
    <w:rsid w:val="377D2AB1"/>
    <w:rsid w:val="377E6A69"/>
    <w:rsid w:val="378100C1"/>
    <w:rsid w:val="3785477C"/>
    <w:rsid w:val="3789158D"/>
    <w:rsid w:val="378D292A"/>
    <w:rsid w:val="378F4434"/>
    <w:rsid w:val="379372F1"/>
    <w:rsid w:val="37945FDB"/>
    <w:rsid w:val="3795328A"/>
    <w:rsid w:val="37963806"/>
    <w:rsid w:val="37966117"/>
    <w:rsid w:val="37980C72"/>
    <w:rsid w:val="37980FF4"/>
    <w:rsid w:val="379C3A2E"/>
    <w:rsid w:val="379E11AD"/>
    <w:rsid w:val="379E19FB"/>
    <w:rsid w:val="37A04884"/>
    <w:rsid w:val="37A0679F"/>
    <w:rsid w:val="37A075F1"/>
    <w:rsid w:val="37A20571"/>
    <w:rsid w:val="37A30060"/>
    <w:rsid w:val="37A3270F"/>
    <w:rsid w:val="37A81A12"/>
    <w:rsid w:val="37A95C06"/>
    <w:rsid w:val="37A95D75"/>
    <w:rsid w:val="37A96FA6"/>
    <w:rsid w:val="37AB53C4"/>
    <w:rsid w:val="37AB79E6"/>
    <w:rsid w:val="37AD2F8C"/>
    <w:rsid w:val="37AE5E43"/>
    <w:rsid w:val="37AE6CFA"/>
    <w:rsid w:val="37B03E8E"/>
    <w:rsid w:val="37B10283"/>
    <w:rsid w:val="37B17BB1"/>
    <w:rsid w:val="37B331BE"/>
    <w:rsid w:val="37B35A46"/>
    <w:rsid w:val="37B66B32"/>
    <w:rsid w:val="37B71EAE"/>
    <w:rsid w:val="37B75A65"/>
    <w:rsid w:val="37B85359"/>
    <w:rsid w:val="37BB7D90"/>
    <w:rsid w:val="37BD53AB"/>
    <w:rsid w:val="37BE2773"/>
    <w:rsid w:val="37BF11E0"/>
    <w:rsid w:val="37C0078B"/>
    <w:rsid w:val="37C157AC"/>
    <w:rsid w:val="37C2716A"/>
    <w:rsid w:val="37C375F1"/>
    <w:rsid w:val="37C404E8"/>
    <w:rsid w:val="37C471EA"/>
    <w:rsid w:val="37C577FD"/>
    <w:rsid w:val="37C63495"/>
    <w:rsid w:val="37C75338"/>
    <w:rsid w:val="37C87FD8"/>
    <w:rsid w:val="37C918C0"/>
    <w:rsid w:val="37CA313E"/>
    <w:rsid w:val="37CA698A"/>
    <w:rsid w:val="37CB2D9B"/>
    <w:rsid w:val="37CC103E"/>
    <w:rsid w:val="37CD377C"/>
    <w:rsid w:val="37D004DB"/>
    <w:rsid w:val="37D04D3D"/>
    <w:rsid w:val="37D11DCA"/>
    <w:rsid w:val="37D179F3"/>
    <w:rsid w:val="37D242C8"/>
    <w:rsid w:val="37D42B23"/>
    <w:rsid w:val="37D4486A"/>
    <w:rsid w:val="37D53DD8"/>
    <w:rsid w:val="37D55517"/>
    <w:rsid w:val="37D84772"/>
    <w:rsid w:val="37D915CC"/>
    <w:rsid w:val="37D96038"/>
    <w:rsid w:val="37DA39D0"/>
    <w:rsid w:val="37DB07A4"/>
    <w:rsid w:val="37DC3ACC"/>
    <w:rsid w:val="37DD4DC7"/>
    <w:rsid w:val="37DD7B78"/>
    <w:rsid w:val="37DE58AC"/>
    <w:rsid w:val="37DF0E93"/>
    <w:rsid w:val="37DF21FD"/>
    <w:rsid w:val="37E01822"/>
    <w:rsid w:val="37E07842"/>
    <w:rsid w:val="37E40FB8"/>
    <w:rsid w:val="37E47CC7"/>
    <w:rsid w:val="37E61F73"/>
    <w:rsid w:val="37E872AB"/>
    <w:rsid w:val="37ED38F0"/>
    <w:rsid w:val="37ED392A"/>
    <w:rsid w:val="37ED5865"/>
    <w:rsid w:val="37ED7086"/>
    <w:rsid w:val="37EE37B7"/>
    <w:rsid w:val="37F10C83"/>
    <w:rsid w:val="37F2609E"/>
    <w:rsid w:val="37F30DCD"/>
    <w:rsid w:val="37F60FE9"/>
    <w:rsid w:val="37F877FF"/>
    <w:rsid w:val="37F90F52"/>
    <w:rsid w:val="37F929F3"/>
    <w:rsid w:val="37FA4E7E"/>
    <w:rsid w:val="37FB444A"/>
    <w:rsid w:val="37FB6CDD"/>
    <w:rsid w:val="37FF4E24"/>
    <w:rsid w:val="38005824"/>
    <w:rsid w:val="380243A7"/>
    <w:rsid w:val="38042FDA"/>
    <w:rsid w:val="380845D9"/>
    <w:rsid w:val="380A155E"/>
    <w:rsid w:val="380B2330"/>
    <w:rsid w:val="380D5F1D"/>
    <w:rsid w:val="380E1473"/>
    <w:rsid w:val="380E7868"/>
    <w:rsid w:val="38104625"/>
    <w:rsid w:val="38135CEF"/>
    <w:rsid w:val="38140D9B"/>
    <w:rsid w:val="38141BAE"/>
    <w:rsid w:val="3814321D"/>
    <w:rsid w:val="381715E6"/>
    <w:rsid w:val="381B27FE"/>
    <w:rsid w:val="381B2A2D"/>
    <w:rsid w:val="38204DC1"/>
    <w:rsid w:val="382313A5"/>
    <w:rsid w:val="38240D05"/>
    <w:rsid w:val="38273570"/>
    <w:rsid w:val="38286CC9"/>
    <w:rsid w:val="38293982"/>
    <w:rsid w:val="38295E64"/>
    <w:rsid w:val="382C14B0"/>
    <w:rsid w:val="382E5E5C"/>
    <w:rsid w:val="382F313D"/>
    <w:rsid w:val="383201EB"/>
    <w:rsid w:val="38320889"/>
    <w:rsid w:val="38347BD2"/>
    <w:rsid w:val="38366C4F"/>
    <w:rsid w:val="3837725D"/>
    <w:rsid w:val="38383CED"/>
    <w:rsid w:val="383861D5"/>
    <w:rsid w:val="38390581"/>
    <w:rsid w:val="383952D8"/>
    <w:rsid w:val="383B2EA0"/>
    <w:rsid w:val="383C5F9A"/>
    <w:rsid w:val="383D0FCA"/>
    <w:rsid w:val="383D41FD"/>
    <w:rsid w:val="383D7AC0"/>
    <w:rsid w:val="38414CD7"/>
    <w:rsid w:val="38440618"/>
    <w:rsid w:val="38451629"/>
    <w:rsid w:val="38456B65"/>
    <w:rsid w:val="38492314"/>
    <w:rsid w:val="384B493B"/>
    <w:rsid w:val="384C03B7"/>
    <w:rsid w:val="384E24E1"/>
    <w:rsid w:val="385054D6"/>
    <w:rsid w:val="38533562"/>
    <w:rsid w:val="385626B7"/>
    <w:rsid w:val="38572546"/>
    <w:rsid w:val="385775AE"/>
    <w:rsid w:val="38594B9F"/>
    <w:rsid w:val="385B2984"/>
    <w:rsid w:val="385D78D0"/>
    <w:rsid w:val="385E43C1"/>
    <w:rsid w:val="385F662C"/>
    <w:rsid w:val="38601E40"/>
    <w:rsid w:val="38602906"/>
    <w:rsid w:val="38624A6C"/>
    <w:rsid w:val="38624A88"/>
    <w:rsid w:val="386341A5"/>
    <w:rsid w:val="386350CE"/>
    <w:rsid w:val="38662AA1"/>
    <w:rsid w:val="38665134"/>
    <w:rsid w:val="38675346"/>
    <w:rsid w:val="38677824"/>
    <w:rsid w:val="386A7233"/>
    <w:rsid w:val="386C1D80"/>
    <w:rsid w:val="386C1F52"/>
    <w:rsid w:val="386C5B2B"/>
    <w:rsid w:val="386D560E"/>
    <w:rsid w:val="386F35F2"/>
    <w:rsid w:val="386F3993"/>
    <w:rsid w:val="386F48F8"/>
    <w:rsid w:val="386F66A6"/>
    <w:rsid w:val="387036E1"/>
    <w:rsid w:val="387131D8"/>
    <w:rsid w:val="3874251B"/>
    <w:rsid w:val="38750CE0"/>
    <w:rsid w:val="387954DC"/>
    <w:rsid w:val="387A1542"/>
    <w:rsid w:val="387A33C4"/>
    <w:rsid w:val="387D5D71"/>
    <w:rsid w:val="387E0651"/>
    <w:rsid w:val="387E12C5"/>
    <w:rsid w:val="387E6788"/>
    <w:rsid w:val="387E752A"/>
    <w:rsid w:val="38805C42"/>
    <w:rsid w:val="38820F8E"/>
    <w:rsid w:val="38832151"/>
    <w:rsid w:val="3884346C"/>
    <w:rsid w:val="3886480E"/>
    <w:rsid w:val="38886355"/>
    <w:rsid w:val="38926E88"/>
    <w:rsid w:val="38941221"/>
    <w:rsid w:val="389500B8"/>
    <w:rsid w:val="389600D6"/>
    <w:rsid w:val="38982CDA"/>
    <w:rsid w:val="38986672"/>
    <w:rsid w:val="3899266B"/>
    <w:rsid w:val="389B195F"/>
    <w:rsid w:val="389E66C5"/>
    <w:rsid w:val="389F297E"/>
    <w:rsid w:val="389F2DE7"/>
    <w:rsid w:val="389F3177"/>
    <w:rsid w:val="389F7A7D"/>
    <w:rsid w:val="38A00F55"/>
    <w:rsid w:val="38A125D8"/>
    <w:rsid w:val="38A13315"/>
    <w:rsid w:val="38A315BE"/>
    <w:rsid w:val="38A40042"/>
    <w:rsid w:val="38A5656B"/>
    <w:rsid w:val="38A60BEB"/>
    <w:rsid w:val="38A660D6"/>
    <w:rsid w:val="38A85D8D"/>
    <w:rsid w:val="38AB1337"/>
    <w:rsid w:val="38AD3AAA"/>
    <w:rsid w:val="38AF194E"/>
    <w:rsid w:val="38B25CF9"/>
    <w:rsid w:val="38B34064"/>
    <w:rsid w:val="38B47348"/>
    <w:rsid w:val="38B621AE"/>
    <w:rsid w:val="38B66309"/>
    <w:rsid w:val="38B76020"/>
    <w:rsid w:val="38BA474F"/>
    <w:rsid w:val="38BB7B3D"/>
    <w:rsid w:val="38BC17B4"/>
    <w:rsid w:val="38BC454A"/>
    <w:rsid w:val="38BC5ED0"/>
    <w:rsid w:val="38BC7556"/>
    <w:rsid w:val="38BE4119"/>
    <w:rsid w:val="38BF6C65"/>
    <w:rsid w:val="38C11F01"/>
    <w:rsid w:val="38C3019A"/>
    <w:rsid w:val="38C56C0D"/>
    <w:rsid w:val="38C649FE"/>
    <w:rsid w:val="38C8760C"/>
    <w:rsid w:val="38CA5FD2"/>
    <w:rsid w:val="38CC0501"/>
    <w:rsid w:val="38CC58A6"/>
    <w:rsid w:val="38D00894"/>
    <w:rsid w:val="38D16429"/>
    <w:rsid w:val="38D21740"/>
    <w:rsid w:val="38D27831"/>
    <w:rsid w:val="38D4007B"/>
    <w:rsid w:val="38D42F16"/>
    <w:rsid w:val="38D62BC9"/>
    <w:rsid w:val="38D66725"/>
    <w:rsid w:val="38D83BCA"/>
    <w:rsid w:val="38D94467"/>
    <w:rsid w:val="38DC1085"/>
    <w:rsid w:val="38E057F5"/>
    <w:rsid w:val="38E14FCF"/>
    <w:rsid w:val="38E1756D"/>
    <w:rsid w:val="38E2156D"/>
    <w:rsid w:val="38E3083D"/>
    <w:rsid w:val="38E52E0C"/>
    <w:rsid w:val="38E56878"/>
    <w:rsid w:val="38E6095F"/>
    <w:rsid w:val="38E711B4"/>
    <w:rsid w:val="38E93DCC"/>
    <w:rsid w:val="38EA0422"/>
    <w:rsid w:val="38EA151A"/>
    <w:rsid w:val="38EA746C"/>
    <w:rsid w:val="38ED3A7D"/>
    <w:rsid w:val="38EF77E6"/>
    <w:rsid w:val="38F1155F"/>
    <w:rsid w:val="38F349A2"/>
    <w:rsid w:val="38F44ACD"/>
    <w:rsid w:val="38F6188A"/>
    <w:rsid w:val="38F773E4"/>
    <w:rsid w:val="38FD4B36"/>
    <w:rsid w:val="38FE0F22"/>
    <w:rsid w:val="38FF3DBD"/>
    <w:rsid w:val="390908A8"/>
    <w:rsid w:val="39093F2B"/>
    <w:rsid w:val="390C017D"/>
    <w:rsid w:val="390C11B1"/>
    <w:rsid w:val="390C65EA"/>
    <w:rsid w:val="390D38E5"/>
    <w:rsid w:val="390D6D76"/>
    <w:rsid w:val="390E2362"/>
    <w:rsid w:val="390F4D4F"/>
    <w:rsid w:val="39131727"/>
    <w:rsid w:val="39132968"/>
    <w:rsid w:val="39152794"/>
    <w:rsid w:val="391927D4"/>
    <w:rsid w:val="391B15A6"/>
    <w:rsid w:val="391B7230"/>
    <w:rsid w:val="391E35C1"/>
    <w:rsid w:val="391F69A2"/>
    <w:rsid w:val="392034BD"/>
    <w:rsid w:val="3921000B"/>
    <w:rsid w:val="39211626"/>
    <w:rsid w:val="39224F11"/>
    <w:rsid w:val="392327BC"/>
    <w:rsid w:val="39257794"/>
    <w:rsid w:val="392751D2"/>
    <w:rsid w:val="392B2248"/>
    <w:rsid w:val="392B4462"/>
    <w:rsid w:val="392D7B4D"/>
    <w:rsid w:val="392E7EC6"/>
    <w:rsid w:val="392F67B1"/>
    <w:rsid w:val="39315417"/>
    <w:rsid w:val="39321F3F"/>
    <w:rsid w:val="39365415"/>
    <w:rsid w:val="39367DEC"/>
    <w:rsid w:val="39384F4D"/>
    <w:rsid w:val="39397835"/>
    <w:rsid w:val="39397EF6"/>
    <w:rsid w:val="393A44E1"/>
    <w:rsid w:val="393C7859"/>
    <w:rsid w:val="393C797E"/>
    <w:rsid w:val="393D49F6"/>
    <w:rsid w:val="393E5C74"/>
    <w:rsid w:val="393E6E18"/>
    <w:rsid w:val="393F11EB"/>
    <w:rsid w:val="3940781E"/>
    <w:rsid w:val="39407DC9"/>
    <w:rsid w:val="3942641D"/>
    <w:rsid w:val="3944674A"/>
    <w:rsid w:val="39447B32"/>
    <w:rsid w:val="3945176F"/>
    <w:rsid w:val="39462B4E"/>
    <w:rsid w:val="394855C5"/>
    <w:rsid w:val="394858EF"/>
    <w:rsid w:val="394A0190"/>
    <w:rsid w:val="394B4B11"/>
    <w:rsid w:val="394C25AF"/>
    <w:rsid w:val="394C7C87"/>
    <w:rsid w:val="394E519D"/>
    <w:rsid w:val="394F0FAA"/>
    <w:rsid w:val="394F23FB"/>
    <w:rsid w:val="394F2B83"/>
    <w:rsid w:val="394F3DC5"/>
    <w:rsid w:val="39511C04"/>
    <w:rsid w:val="39534698"/>
    <w:rsid w:val="39550757"/>
    <w:rsid w:val="395516D8"/>
    <w:rsid w:val="3955259F"/>
    <w:rsid w:val="395545D8"/>
    <w:rsid w:val="39562097"/>
    <w:rsid w:val="3958156D"/>
    <w:rsid w:val="395826E1"/>
    <w:rsid w:val="395862BE"/>
    <w:rsid w:val="395A2FAB"/>
    <w:rsid w:val="395A7356"/>
    <w:rsid w:val="395C2AAC"/>
    <w:rsid w:val="395E0320"/>
    <w:rsid w:val="395F496C"/>
    <w:rsid w:val="39627FB8"/>
    <w:rsid w:val="39637169"/>
    <w:rsid w:val="39666F13"/>
    <w:rsid w:val="39676477"/>
    <w:rsid w:val="3967677F"/>
    <w:rsid w:val="396775D9"/>
    <w:rsid w:val="39682C9F"/>
    <w:rsid w:val="39695859"/>
    <w:rsid w:val="396C7649"/>
    <w:rsid w:val="396D5A44"/>
    <w:rsid w:val="396E4BAF"/>
    <w:rsid w:val="3970312C"/>
    <w:rsid w:val="39704526"/>
    <w:rsid w:val="3972056F"/>
    <w:rsid w:val="3978678E"/>
    <w:rsid w:val="397A2470"/>
    <w:rsid w:val="397D4DF2"/>
    <w:rsid w:val="39817294"/>
    <w:rsid w:val="39823461"/>
    <w:rsid w:val="398271E2"/>
    <w:rsid w:val="39831C2E"/>
    <w:rsid w:val="39857AAE"/>
    <w:rsid w:val="39860FEE"/>
    <w:rsid w:val="398939CC"/>
    <w:rsid w:val="39894E7E"/>
    <w:rsid w:val="398C085F"/>
    <w:rsid w:val="398C0922"/>
    <w:rsid w:val="398E23FA"/>
    <w:rsid w:val="398E4257"/>
    <w:rsid w:val="398E6CC1"/>
    <w:rsid w:val="39904B20"/>
    <w:rsid w:val="39917487"/>
    <w:rsid w:val="39917EF1"/>
    <w:rsid w:val="39932402"/>
    <w:rsid w:val="39934F35"/>
    <w:rsid w:val="399517F1"/>
    <w:rsid w:val="399565B8"/>
    <w:rsid w:val="39960D90"/>
    <w:rsid w:val="39965CE7"/>
    <w:rsid w:val="39967FAF"/>
    <w:rsid w:val="399A3BF6"/>
    <w:rsid w:val="399A59A4"/>
    <w:rsid w:val="399E2471"/>
    <w:rsid w:val="399E75EF"/>
    <w:rsid w:val="399F2484"/>
    <w:rsid w:val="399F334E"/>
    <w:rsid w:val="399F3513"/>
    <w:rsid w:val="39A473E0"/>
    <w:rsid w:val="39A55EB5"/>
    <w:rsid w:val="39A57F4F"/>
    <w:rsid w:val="39A86F0F"/>
    <w:rsid w:val="39AB7BB1"/>
    <w:rsid w:val="39AC47F8"/>
    <w:rsid w:val="39AC5739"/>
    <w:rsid w:val="39AE1450"/>
    <w:rsid w:val="39B21D52"/>
    <w:rsid w:val="39B2488B"/>
    <w:rsid w:val="39B66E29"/>
    <w:rsid w:val="39BB4388"/>
    <w:rsid w:val="39BB787D"/>
    <w:rsid w:val="39C3711B"/>
    <w:rsid w:val="39C4744D"/>
    <w:rsid w:val="39C96289"/>
    <w:rsid w:val="39CA1D70"/>
    <w:rsid w:val="39CB3CFF"/>
    <w:rsid w:val="39CB59CB"/>
    <w:rsid w:val="39D00348"/>
    <w:rsid w:val="39D0586A"/>
    <w:rsid w:val="39D139D1"/>
    <w:rsid w:val="39D210BC"/>
    <w:rsid w:val="39D30EB6"/>
    <w:rsid w:val="39D508B4"/>
    <w:rsid w:val="39D54FB1"/>
    <w:rsid w:val="39D57E7A"/>
    <w:rsid w:val="39DA3103"/>
    <w:rsid w:val="39DD59C2"/>
    <w:rsid w:val="39DE30A7"/>
    <w:rsid w:val="39E3065D"/>
    <w:rsid w:val="39E4023B"/>
    <w:rsid w:val="39E77A79"/>
    <w:rsid w:val="39EC00B4"/>
    <w:rsid w:val="39EC3D26"/>
    <w:rsid w:val="39EC3E7F"/>
    <w:rsid w:val="39EE52C3"/>
    <w:rsid w:val="39F21193"/>
    <w:rsid w:val="39F710DF"/>
    <w:rsid w:val="39F7211F"/>
    <w:rsid w:val="39F727BE"/>
    <w:rsid w:val="39FB7D85"/>
    <w:rsid w:val="39FD51FE"/>
    <w:rsid w:val="39FE0F50"/>
    <w:rsid w:val="39FE25B9"/>
    <w:rsid w:val="39FE559A"/>
    <w:rsid w:val="39FF1CAB"/>
    <w:rsid w:val="3A007BFC"/>
    <w:rsid w:val="3A01794F"/>
    <w:rsid w:val="3A034DAC"/>
    <w:rsid w:val="3A0379E7"/>
    <w:rsid w:val="3A041A2A"/>
    <w:rsid w:val="3A063B4D"/>
    <w:rsid w:val="3A076F0D"/>
    <w:rsid w:val="3A084102"/>
    <w:rsid w:val="3A0B0D3F"/>
    <w:rsid w:val="3A0B17ED"/>
    <w:rsid w:val="3A0B6D56"/>
    <w:rsid w:val="3A0C65C5"/>
    <w:rsid w:val="3A0C7EDD"/>
    <w:rsid w:val="3A0E210E"/>
    <w:rsid w:val="3A0F6CB1"/>
    <w:rsid w:val="3A1046B2"/>
    <w:rsid w:val="3A1333B2"/>
    <w:rsid w:val="3A146319"/>
    <w:rsid w:val="3A1550C9"/>
    <w:rsid w:val="3A171A99"/>
    <w:rsid w:val="3A176D97"/>
    <w:rsid w:val="3A184760"/>
    <w:rsid w:val="3A1C270B"/>
    <w:rsid w:val="3A1E5908"/>
    <w:rsid w:val="3A1E65D5"/>
    <w:rsid w:val="3A1F7749"/>
    <w:rsid w:val="3A2114B7"/>
    <w:rsid w:val="3A2160C5"/>
    <w:rsid w:val="3A225EB7"/>
    <w:rsid w:val="3A231E3E"/>
    <w:rsid w:val="3A232853"/>
    <w:rsid w:val="3A241712"/>
    <w:rsid w:val="3A257964"/>
    <w:rsid w:val="3A2619B1"/>
    <w:rsid w:val="3A2636DC"/>
    <w:rsid w:val="3A287248"/>
    <w:rsid w:val="3A2B05F0"/>
    <w:rsid w:val="3A2B484E"/>
    <w:rsid w:val="3A2B6631"/>
    <w:rsid w:val="3A2B7DD7"/>
    <w:rsid w:val="3A2D4009"/>
    <w:rsid w:val="3A2E50F2"/>
    <w:rsid w:val="3A2E5AEA"/>
    <w:rsid w:val="3A2E6252"/>
    <w:rsid w:val="3A2F7368"/>
    <w:rsid w:val="3A3017DB"/>
    <w:rsid w:val="3A3243D8"/>
    <w:rsid w:val="3A337A2D"/>
    <w:rsid w:val="3A3571B4"/>
    <w:rsid w:val="3A3776FD"/>
    <w:rsid w:val="3A396F6B"/>
    <w:rsid w:val="3A3A0DB8"/>
    <w:rsid w:val="3A3E4B82"/>
    <w:rsid w:val="3A421FDD"/>
    <w:rsid w:val="3A422C7B"/>
    <w:rsid w:val="3A432D58"/>
    <w:rsid w:val="3A43552D"/>
    <w:rsid w:val="3A48160C"/>
    <w:rsid w:val="3A4D0E19"/>
    <w:rsid w:val="3A4E0DDD"/>
    <w:rsid w:val="3A4F4D7F"/>
    <w:rsid w:val="3A502E94"/>
    <w:rsid w:val="3A51285C"/>
    <w:rsid w:val="3A52627F"/>
    <w:rsid w:val="3A541FF7"/>
    <w:rsid w:val="3A550FAE"/>
    <w:rsid w:val="3A554509"/>
    <w:rsid w:val="3A571962"/>
    <w:rsid w:val="3A573895"/>
    <w:rsid w:val="3A575AF9"/>
    <w:rsid w:val="3A5C6756"/>
    <w:rsid w:val="3A5D453C"/>
    <w:rsid w:val="3A5E4DE1"/>
    <w:rsid w:val="3A5F4968"/>
    <w:rsid w:val="3A61159F"/>
    <w:rsid w:val="3A61539B"/>
    <w:rsid w:val="3A622985"/>
    <w:rsid w:val="3A667F7C"/>
    <w:rsid w:val="3A68043D"/>
    <w:rsid w:val="3A685059"/>
    <w:rsid w:val="3A695588"/>
    <w:rsid w:val="3A6A1317"/>
    <w:rsid w:val="3A6C488F"/>
    <w:rsid w:val="3A6E0353"/>
    <w:rsid w:val="3A7029FA"/>
    <w:rsid w:val="3A7118DE"/>
    <w:rsid w:val="3A734B7F"/>
    <w:rsid w:val="3A741333"/>
    <w:rsid w:val="3A764325"/>
    <w:rsid w:val="3A792AFA"/>
    <w:rsid w:val="3A7A72A7"/>
    <w:rsid w:val="3A7C7DE9"/>
    <w:rsid w:val="3A7D7C27"/>
    <w:rsid w:val="3A802DE0"/>
    <w:rsid w:val="3A80458D"/>
    <w:rsid w:val="3A81633B"/>
    <w:rsid w:val="3A82293D"/>
    <w:rsid w:val="3A854A54"/>
    <w:rsid w:val="3A8615B3"/>
    <w:rsid w:val="3A865169"/>
    <w:rsid w:val="3A867D3C"/>
    <w:rsid w:val="3A8906CB"/>
    <w:rsid w:val="3A8D5509"/>
    <w:rsid w:val="3A903BF3"/>
    <w:rsid w:val="3A915889"/>
    <w:rsid w:val="3A940FE3"/>
    <w:rsid w:val="3A971EE4"/>
    <w:rsid w:val="3A976C8F"/>
    <w:rsid w:val="3A9934A9"/>
    <w:rsid w:val="3A993BAE"/>
    <w:rsid w:val="3A9B2F64"/>
    <w:rsid w:val="3A9B4056"/>
    <w:rsid w:val="3A9C02AA"/>
    <w:rsid w:val="3AA06C07"/>
    <w:rsid w:val="3AA75054"/>
    <w:rsid w:val="3AAC0C35"/>
    <w:rsid w:val="3AAD2F41"/>
    <w:rsid w:val="3AAD42A5"/>
    <w:rsid w:val="3AAE3B44"/>
    <w:rsid w:val="3AAF14F3"/>
    <w:rsid w:val="3AB1072F"/>
    <w:rsid w:val="3AB16C78"/>
    <w:rsid w:val="3AB233B8"/>
    <w:rsid w:val="3AB25A08"/>
    <w:rsid w:val="3AB42542"/>
    <w:rsid w:val="3AB622D7"/>
    <w:rsid w:val="3AB93AC2"/>
    <w:rsid w:val="3ABD70B3"/>
    <w:rsid w:val="3AC00868"/>
    <w:rsid w:val="3AC017C7"/>
    <w:rsid w:val="3AC30F2B"/>
    <w:rsid w:val="3AC345DA"/>
    <w:rsid w:val="3AC35B3C"/>
    <w:rsid w:val="3AC505A3"/>
    <w:rsid w:val="3AC649C3"/>
    <w:rsid w:val="3AC72E01"/>
    <w:rsid w:val="3AC77B41"/>
    <w:rsid w:val="3ACA105D"/>
    <w:rsid w:val="3ACC2983"/>
    <w:rsid w:val="3ACC4283"/>
    <w:rsid w:val="3ACC595A"/>
    <w:rsid w:val="3ACD32DB"/>
    <w:rsid w:val="3ACD4D28"/>
    <w:rsid w:val="3AD42B50"/>
    <w:rsid w:val="3AD52740"/>
    <w:rsid w:val="3AD620FC"/>
    <w:rsid w:val="3AD82C28"/>
    <w:rsid w:val="3AD8338B"/>
    <w:rsid w:val="3AD92EAA"/>
    <w:rsid w:val="3ADB6274"/>
    <w:rsid w:val="3ADC7D6A"/>
    <w:rsid w:val="3AE26469"/>
    <w:rsid w:val="3AE27603"/>
    <w:rsid w:val="3AE4479C"/>
    <w:rsid w:val="3AE53C4F"/>
    <w:rsid w:val="3AE865FB"/>
    <w:rsid w:val="3AE949C4"/>
    <w:rsid w:val="3AE9651A"/>
    <w:rsid w:val="3AE967F9"/>
    <w:rsid w:val="3AE9708C"/>
    <w:rsid w:val="3AEA2BEF"/>
    <w:rsid w:val="3AEB545F"/>
    <w:rsid w:val="3AEB5D6B"/>
    <w:rsid w:val="3AEC0396"/>
    <w:rsid w:val="3AEE244B"/>
    <w:rsid w:val="3AF11EE4"/>
    <w:rsid w:val="3AF1395A"/>
    <w:rsid w:val="3AF13CEA"/>
    <w:rsid w:val="3AF410E4"/>
    <w:rsid w:val="3AF4117B"/>
    <w:rsid w:val="3AF81D4B"/>
    <w:rsid w:val="3AFB4B99"/>
    <w:rsid w:val="3AFC0924"/>
    <w:rsid w:val="3AFC7FFA"/>
    <w:rsid w:val="3AFD0C92"/>
    <w:rsid w:val="3AFD4A0A"/>
    <w:rsid w:val="3AFD5678"/>
    <w:rsid w:val="3AFD5736"/>
    <w:rsid w:val="3AFF5FA2"/>
    <w:rsid w:val="3B00217F"/>
    <w:rsid w:val="3B003F2D"/>
    <w:rsid w:val="3B005118"/>
    <w:rsid w:val="3B0123AA"/>
    <w:rsid w:val="3B04510D"/>
    <w:rsid w:val="3B072B6D"/>
    <w:rsid w:val="3B0956D7"/>
    <w:rsid w:val="3B0A6B5A"/>
    <w:rsid w:val="3B0C0B24"/>
    <w:rsid w:val="3B0C2274"/>
    <w:rsid w:val="3B0C692D"/>
    <w:rsid w:val="3B0F23C2"/>
    <w:rsid w:val="3B0F2D42"/>
    <w:rsid w:val="3B107B1F"/>
    <w:rsid w:val="3B13077B"/>
    <w:rsid w:val="3B150CAD"/>
    <w:rsid w:val="3B1654FE"/>
    <w:rsid w:val="3B1727A8"/>
    <w:rsid w:val="3B1A2483"/>
    <w:rsid w:val="3B1A521A"/>
    <w:rsid w:val="3B1B792F"/>
    <w:rsid w:val="3B232369"/>
    <w:rsid w:val="3B250BF7"/>
    <w:rsid w:val="3B281BDF"/>
    <w:rsid w:val="3B294EE8"/>
    <w:rsid w:val="3B3058C1"/>
    <w:rsid w:val="3B306A80"/>
    <w:rsid w:val="3B31058A"/>
    <w:rsid w:val="3B3330EF"/>
    <w:rsid w:val="3B351E28"/>
    <w:rsid w:val="3B382224"/>
    <w:rsid w:val="3B391BAC"/>
    <w:rsid w:val="3B3A2122"/>
    <w:rsid w:val="3B3B23D4"/>
    <w:rsid w:val="3B3B5237"/>
    <w:rsid w:val="3B3D2343"/>
    <w:rsid w:val="3B3D2AFC"/>
    <w:rsid w:val="3B3D4907"/>
    <w:rsid w:val="3B3D644F"/>
    <w:rsid w:val="3B3F56F7"/>
    <w:rsid w:val="3B3F6E4D"/>
    <w:rsid w:val="3B410695"/>
    <w:rsid w:val="3B4459BD"/>
    <w:rsid w:val="3B4474FB"/>
    <w:rsid w:val="3B450A85"/>
    <w:rsid w:val="3B462CED"/>
    <w:rsid w:val="3B4778DD"/>
    <w:rsid w:val="3B487BB9"/>
    <w:rsid w:val="3B4A609B"/>
    <w:rsid w:val="3B4C3C46"/>
    <w:rsid w:val="3B4C7172"/>
    <w:rsid w:val="3B4D02BA"/>
    <w:rsid w:val="3B4E0274"/>
    <w:rsid w:val="3B4E1C27"/>
    <w:rsid w:val="3B4F3130"/>
    <w:rsid w:val="3B4F7B4C"/>
    <w:rsid w:val="3B506C62"/>
    <w:rsid w:val="3B512B9C"/>
    <w:rsid w:val="3B546F63"/>
    <w:rsid w:val="3B584F2D"/>
    <w:rsid w:val="3B590718"/>
    <w:rsid w:val="3B590D04"/>
    <w:rsid w:val="3B5B5B3B"/>
    <w:rsid w:val="3B5D137F"/>
    <w:rsid w:val="3B5D1FDA"/>
    <w:rsid w:val="3B5D568E"/>
    <w:rsid w:val="3B5D722B"/>
    <w:rsid w:val="3B60251E"/>
    <w:rsid w:val="3B6273BD"/>
    <w:rsid w:val="3B6305ED"/>
    <w:rsid w:val="3B6320C9"/>
    <w:rsid w:val="3B64497A"/>
    <w:rsid w:val="3B683292"/>
    <w:rsid w:val="3B691AD2"/>
    <w:rsid w:val="3B694BE1"/>
    <w:rsid w:val="3B6C08C5"/>
    <w:rsid w:val="3B6C521C"/>
    <w:rsid w:val="3B6D7758"/>
    <w:rsid w:val="3B6E05CA"/>
    <w:rsid w:val="3B6E0A63"/>
    <w:rsid w:val="3B6E4774"/>
    <w:rsid w:val="3B706330"/>
    <w:rsid w:val="3B7566C9"/>
    <w:rsid w:val="3B776A9D"/>
    <w:rsid w:val="3B7878C8"/>
    <w:rsid w:val="3B7B35B3"/>
    <w:rsid w:val="3B7D732B"/>
    <w:rsid w:val="3B7E2EDF"/>
    <w:rsid w:val="3B7E67F2"/>
    <w:rsid w:val="3B7F4E52"/>
    <w:rsid w:val="3B81320A"/>
    <w:rsid w:val="3B823015"/>
    <w:rsid w:val="3B8747C0"/>
    <w:rsid w:val="3B8772B7"/>
    <w:rsid w:val="3B890054"/>
    <w:rsid w:val="3B8A02F7"/>
    <w:rsid w:val="3B8E0D70"/>
    <w:rsid w:val="3B9066B5"/>
    <w:rsid w:val="3B91619B"/>
    <w:rsid w:val="3B922687"/>
    <w:rsid w:val="3B922EDF"/>
    <w:rsid w:val="3B930EE8"/>
    <w:rsid w:val="3B94209A"/>
    <w:rsid w:val="3B953F7B"/>
    <w:rsid w:val="3B960B01"/>
    <w:rsid w:val="3B963EE7"/>
    <w:rsid w:val="3B9745DC"/>
    <w:rsid w:val="3B987078"/>
    <w:rsid w:val="3B99253E"/>
    <w:rsid w:val="3B9B2B1C"/>
    <w:rsid w:val="3B9B3F82"/>
    <w:rsid w:val="3B9C05D1"/>
    <w:rsid w:val="3B9E5898"/>
    <w:rsid w:val="3BA05290"/>
    <w:rsid w:val="3BA05455"/>
    <w:rsid w:val="3BA05966"/>
    <w:rsid w:val="3BA117FD"/>
    <w:rsid w:val="3BA460E4"/>
    <w:rsid w:val="3BA47E9E"/>
    <w:rsid w:val="3BA56D50"/>
    <w:rsid w:val="3BA67E7A"/>
    <w:rsid w:val="3BA725FA"/>
    <w:rsid w:val="3BA76E48"/>
    <w:rsid w:val="3BA935D7"/>
    <w:rsid w:val="3BA945C4"/>
    <w:rsid w:val="3BA95C34"/>
    <w:rsid w:val="3BA96372"/>
    <w:rsid w:val="3BAA1256"/>
    <w:rsid w:val="3BAA4334"/>
    <w:rsid w:val="3BAC5598"/>
    <w:rsid w:val="3BAC736A"/>
    <w:rsid w:val="3BAE3989"/>
    <w:rsid w:val="3BAE515D"/>
    <w:rsid w:val="3BAF0FC9"/>
    <w:rsid w:val="3BB012DD"/>
    <w:rsid w:val="3BB107EC"/>
    <w:rsid w:val="3BB26633"/>
    <w:rsid w:val="3BB51B6F"/>
    <w:rsid w:val="3BB60193"/>
    <w:rsid w:val="3BB6283D"/>
    <w:rsid w:val="3BB64B93"/>
    <w:rsid w:val="3BB6631D"/>
    <w:rsid w:val="3BB7198D"/>
    <w:rsid w:val="3BB74130"/>
    <w:rsid w:val="3BB9134A"/>
    <w:rsid w:val="3BB91539"/>
    <w:rsid w:val="3BB92FCA"/>
    <w:rsid w:val="3BBB4144"/>
    <w:rsid w:val="3BBD2087"/>
    <w:rsid w:val="3BBE35FD"/>
    <w:rsid w:val="3BBF6F50"/>
    <w:rsid w:val="3BC23266"/>
    <w:rsid w:val="3BC344B9"/>
    <w:rsid w:val="3BC3725E"/>
    <w:rsid w:val="3BC60CD2"/>
    <w:rsid w:val="3BC62A80"/>
    <w:rsid w:val="3BC62B0A"/>
    <w:rsid w:val="3BC727A8"/>
    <w:rsid w:val="3BCF77BE"/>
    <w:rsid w:val="3BD07FD5"/>
    <w:rsid w:val="3BD12CB1"/>
    <w:rsid w:val="3BD17633"/>
    <w:rsid w:val="3BD2784A"/>
    <w:rsid w:val="3BD54D6B"/>
    <w:rsid w:val="3BD84849"/>
    <w:rsid w:val="3BD8498A"/>
    <w:rsid w:val="3BD92CB3"/>
    <w:rsid w:val="3BDA6F9F"/>
    <w:rsid w:val="3BDA7C1C"/>
    <w:rsid w:val="3BDB04C0"/>
    <w:rsid w:val="3BDB05F6"/>
    <w:rsid w:val="3BDB3AB0"/>
    <w:rsid w:val="3BDB689E"/>
    <w:rsid w:val="3BDC534B"/>
    <w:rsid w:val="3BDD173A"/>
    <w:rsid w:val="3BDE40A1"/>
    <w:rsid w:val="3BDE5213"/>
    <w:rsid w:val="3BDF3B42"/>
    <w:rsid w:val="3BDF59D8"/>
    <w:rsid w:val="3BE3392B"/>
    <w:rsid w:val="3BE40FB8"/>
    <w:rsid w:val="3BE5208B"/>
    <w:rsid w:val="3BE62FC7"/>
    <w:rsid w:val="3BE70C49"/>
    <w:rsid w:val="3BE850ED"/>
    <w:rsid w:val="3BE93E5E"/>
    <w:rsid w:val="3BEC0728"/>
    <w:rsid w:val="3BEC299B"/>
    <w:rsid w:val="3BEC46D6"/>
    <w:rsid w:val="3BF060D2"/>
    <w:rsid w:val="3BF06B23"/>
    <w:rsid w:val="3BF373B8"/>
    <w:rsid w:val="3BF620DA"/>
    <w:rsid w:val="3BF82E56"/>
    <w:rsid w:val="3BFA74DA"/>
    <w:rsid w:val="3BFA7707"/>
    <w:rsid w:val="3BFB6943"/>
    <w:rsid w:val="3BFF4D00"/>
    <w:rsid w:val="3C003C08"/>
    <w:rsid w:val="3C033FA1"/>
    <w:rsid w:val="3C080641"/>
    <w:rsid w:val="3C08753D"/>
    <w:rsid w:val="3C0A254A"/>
    <w:rsid w:val="3C0A3132"/>
    <w:rsid w:val="3C0B2EEF"/>
    <w:rsid w:val="3C0C2B20"/>
    <w:rsid w:val="3C0D35DC"/>
    <w:rsid w:val="3C0D4AA0"/>
    <w:rsid w:val="3C0E1735"/>
    <w:rsid w:val="3C0F18A0"/>
    <w:rsid w:val="3C0F3969"/>
    <w:rsid w:val="3C0F6453"/>
    <w:rsid w:val="3C1001A0"/>
    <w:rsid w:val="3C1263AD"/>
    <w:rsid w:val="3C127194"/>
    <w:rsid w:val="3C165F42"/>
    <w:rsid w:val="3C167B68"/>
    <w:rsid w:val="3C174DD2"/>
    <w:rsid w:val="3C1810CD"/>
    <w:rsid w:val="3C186DB3"/>
    <w:rsid w:val="3C19432A"/>
    <w:rsid w:val="3C1948BA"/>
    <w:rsid w:val="3C1A2DCC"/>
    <w:rsid w:val="3C1A35DD"/>
    <w:rsid w:val="3C1A69BE"/>
    <w:rsid w:val="3C1A6D2B"/>
    <w:rsid w:val="3C1A7270"/>
    <w:rsid w:val="3C1D558E"/>
    <w:rsid w:val="3C1E38FA"/>
    <w:rsid w:val="3C1E5DF7"/>
    <w:rsid w:val="3C1E6D31"/>
    <w:rsid w:val="3C204671"/>
    <w:rsid w:val="3C2209F6"/>
    <w:rsid w:val="3C222923"/>
    <w:rsid w:val="3C225B73"/>
    <w:rsid w:val="3C24118C"/>
    <w:rsid w:val="3C2459F9"/>
    <w:rsid w:val="3C256E68"/>
    <w:rsid w:val="3C284277"/>
    <w:rsid w:val="3C29300F"/>
    <w:rsid w:val="3C29447E"/>
    <w:rsid w:val="3C2A38DE"/>
    <w:rsid w:val="3C2A6276"/>
    <w:rsid w:val="3C2D6334"/>
    <w:rsid w:val="3C2E55CC"/>
    <w:rsid w:val="3C334BF5"/>
    <w:rsid w:val="3C337C12"/>
    <w:rsid w:val="3C357AD2"/>
    <w:rsid w:val="3C371BD0"/>
    <w:rsid w:val="3C3A3522"/>
    <w:rsid w:val="3C3B7327"/>
    <w:rsid w:val="3C3C2D5C"/>
    <w:rsid w:val="3C3D1872"/>
    <w:rsid w:val="3C3E0F97"/>
    <w:rsid w:val="3C3F2833"/>
    <w:rsid w:val="3C450788"/>
    <w:rsid w:val="3C4537CE"/>
    <w:rsid w:val="3C461E13"/>
    <w:rsid w:val="3C483805"/>
    <w:rsid w:val="3C4A187A"/>
    <w:rsid w:val="3C4B3CAF"/>
    <w:rsid w:val="3C4B567C"/>
    <w:rsid w:val="3C4D13F4"/>
    <w:rsid w:val="3C4D53D4"/>
    <w:rsid w:val="3C4E3ED9"/>
    <w:rsid w:val="3C5047E2"/>
    <w:rsid w:val="3C533494"/>
    <w:rsid w:val="3C5462DE"/>
    <w:rsid w:val="3C57517F"/>
    <w:rsid w:val="3C590392"/>
    <w:rsid w:val="3C5A766D"/>
    <w:rsid w:val="3C5B475D"/>
    <w:rsid w:val="3C5C03D3"/>
    <w:rsid w:val="3C5C5848"/>
    <w:rsid w:val="3C5E6018"/>
    <w:rsid w:val="3C613C13"/>
    <w:rsid w:val="3C6177B3"/>
    <w:rsid w:val="3C6306B9"/>
    <w:rsid w:val="3C63442F"/>
    <w:rsid w:val="3C686F99"/>
    <w:rsid w:val="3C6921FA"/>
    <w:rsid w:val="3C6B7896"/>
    <w:rsid w:val="3C6C3758"/>
    <w:rsid w:val="3C6D55F2"/>
    <w:rsid w:val="3C6E7E15"/>
    <w:rsid w:val="3C6F3118"/>
    <w:rsid w:val="3C6F32A1"/>
    <w:rsid w:val="3C7153F3"/>
    <w:rsid w:val="3C716E6B"/>
    <w:rsid w:val="3C734327"/>
    <w:rsid w:val="3C743AD9"/>
    <w:rsid w:val="3C7710F8"/>
    <w:rsid w:val="3C781F7A"/>
    <w:rsid w:val="3C7945E5"/>
    <w:rsid w:val="3C7970A5"/>
    <w:rsid w:val="3C7A386B"/>
    <w:rsid w:val="3C7A3D31"/>
    <w:rsid w:val="3C7B2E34"/>
    <w:rsid w:val="3C7C3C7D"/>
    <w:rsid w:val="3C7C57FD"/>
    <w:rsid w:val="3C7E1E71"/>
    <w:rsid w:val="3C822790"/>
    <w:rsid w:val="3C83769C"/>
    <w:rsid w:val="3C881EC7"/>
    <w:rsid w:val="3C8E294D"/>
    <w:rsid w:val="3C9025E2"/>
    <w:rsid w:val="3C903B95"/>
    <w:rsid w:val="3C91031E"/>
    <w:rsid w:val="3C9544C9"/>
    <w:rsid w:val="3C97266F"/>
    <w:rsid w:val="3C9B7E60"/>
    <w:rsid w:val="3CA07B33"/>
    <w:rsid w:val="3CA23ABA"/>
    <w:rsid w:val="3CA30612"/>
    <w:rsid w:val="3CA8487C"/>
    <w:rsid w:val="3CA9265E"/>
    <w:rsid w:val="3CAC2F67"/>
    <w:rsid w:val="3CAF0B66"/>
    <w:rsid w:val="3CB10B9B"/>
    <w:rsid w:val="3CB16F83"/>
    <w:rsid w:val="3CB36830"/>
    <w:rsid w:val="3CB71023"/>
    <w:rsid w:val="3CBA010B"/>
    <w:rsid w:val="3CBB75DD"/>
    <w:rsid w:val="3CBC0904"/>
    <w:rsid w:val="3CBC3375"/>
    <w:rsid w:val="3CBC3E83"/>
    <w:rsid w:val="3CBE5E91"/>
    <w:rsid w:val="3CBF010F"/>
    <w:rsid w:val="3CC22D54"/>
    <w:rsid w:val="3CC33275"/>
    <w:rsid w:val="3CC40A98"/>
    <w:rsid w:val="3CC50B74"/>
    <w:rsid w:val="3CC52136"/>
    <w:rsid w:val="3CC5259C"/>
    <w:rsid w:val="3CC6538C"/>
    <w:rsid w:val="3CC66B5E"/>
    <w:rsid w:val="3CC72E8C"/>
    <w:rsid w:val="3CC756F8"/>
    <w:rsid w:val="3CC75C72"/>
    <w:rsid w:val="3CC80D5D"/>
    <w:rsid w:val="3CCE1289"/>
    <w:rsid w:val="3CCF140B"/>
    <w:rsid w:val="3CCF1E09"/>
    <w:rsid w:val="3CCF318E"/>
    <w:rsid w:val="3CD079EE"/>
    <w:rsid w:val="3CD27B53"/>
    <w:rsid w:val="3CD66811"/>
    <w:rsid w:val="3CD72A6B"/>
    <w:rsid w:val="3CD872BE"/>
    <w:rsid w:val="3CDB0C8B"/>
    <w:rsid w:val="3CDB1954"/>
    <w:rsid w:val="3CDC7F7A"/>
    <w:rsid w:val="3CDD35BC"/>
    <w:rsid w:val="3CDD693E"/>
    <w:rsid w:val="3CDF48D1"/>
    <w:rsid w:val="3CE04016"/>
    <w:rsid w:val="3CE11CED"/>
    <w:rsid w:val="3CE215C4"/>
    <w:rsid w:val="3CE22C29"/>
    <w:rsid w:val="3CE23118"/>
    <w:rsid w:val="3CE2682C"/>
    <w:rsid w:val="3CE47892"/>
    <w:rsid w:val="3CE60D1D"/>
    <w:rsid w:val="3CE74358"/>
    <w:rsid w:val="3CE75308"/>
    <w:rsid w:val="3CE756BB"/>
    <w:rsid w:val="3CE912B9"/>
    <w:rsid w:val="3CE946CC"/>
    <w:rsid w:val="3CEA5C2C"/>
    <w:rsid w:val="3CEB37F7"/>
    <w:rsid w:val="3CEC29BB"/>
    <w:rsid w:val="3CED648C"/>
    <w:rsid w:val="3CEF3F9F"/>
    <w:rsid w:val="3CF0523A"/>
    <w:rsid w:val="3CF117A2"/>
    <w:rsid w:val="3CF17EAC"/>
    <w:rsid w:val="3CF23CD2"/>
    <w:rsid w:val="3CF26439"/>
    <w:rsid w:val="3CF26FD8"/>
    <w:rsid w:val="3CF3617C"/>
    <w:rsid w:val="3CF435ED"/>
    <w:rsid w:val="3CF50348"/>
    <w:rsid w:val="3CF60E14"/>
    <w:rsid w:val="3CF76B8E"/>
    <w:rsid w:val="3CF91CB2"/>
    <w:rsid w:val="3CF9307F"/>
    <w:rsid w:val="3CFE624A"/>
    <w:rsid w:val="3CFF2EFF"/>
    <w:rsid w:val="3CFF59D6"/>
    <w:rsid w:val="3D00164C"/>
    <w:rsid w:val="3D02680A"/>
    <w:rsid w:val="3D0315DD"/>
    <w:rsid w:val="3D031667"/>
    <w:rsid w:val="3D035DC0"/>
    <w:rsid w:val="3D036D02"/>
    <w:rsid w:val="3D053213"/>
    <w:rsid w:val="3D053F47"/>
    <w:rsid w:val="3D0672FE"/>
    <w:rsid w:val="3D074D8B"/>
    <w:rsid w:val="3D08071D"/>
    <w:rsid w:val="3D0B1E40"/>
    <w:rsid w:val="3D0D16EF"/>
    <w:rsid w:val="3D10258D"/>
    <w:rsid w:val="3D1141E0"/>
    <w:rsid w:val="3D115F7D"/>
    <w:rsid w:val="3D124E59"/>
    <w:rsid w:val="3D125F3B"/>
    <w:rsid w:val="3D1447A3"/>
    <w:rsid w:val="3D167A38"/>
    <w:rsid w:val="3D186415"/>
    <w:rsid w:val="3D196C1A"/>
    <w:rsid w:val="3D1A0904"/>
    <w:rsid w:val="3D1A35B5"/>
    <w:rsid w:val="3D1B52EE"/>
    <w:rsid w:val="3D1B7E9C"/>
    <w:rsid w:val="3D1C1907"/>
    <w:rsid w:val="3D1C3D19"/>
    <w:rsid w:val="3D1F581E"/>
    <w:rsid w:val="3D2109D0"/>
    <w:rsid w:val="3D23713B"/>
    <w:rsid w:val="3D23722D"/>
    <w:rsid w:val="3D2420AD"/>
    <w:rsid w:val="3D250295"/>
    <w:rsid w:val="3D261E24"/>
    <w:rsid w:val="3D265B13"/>
    <w:rsid w:val="3D293C16"/>
    <w:rsid w:val="3D297BB1"/>
    <w:rsid w:val="3D297E98"/>
    <w:rsid w:val="3D2A1437"/>
    <w:rsid w:val="3D2B0044"/>
    <w:rsid w:val="3D2B7D9B"/>
    <w:rsid w:val="3D2C2DB7"/>
    <w:rsid w:val="3D3128A2"/>
    <w:rsid w:val="3D323BD3"/>
    <w:rsid w:val="3D324D8C"/>
    <w:rsid w:val="3D3659E4"/>
    <w:rsid w:val="3D37424B"/>
    <w:rsid w:val="3D382461"/>
    <w:rsid w:val="3D38311D"/>
    <w:rsid w:val="3D3C6872"/>
    <w:rsid w:val="3D3E0322"/>
    <w:rsid w:val="3D401148"/>
    <w:rsid w:val="3D4115CD"/>
    <w:rsid w:val="3D426C41"/>
    <w:rsid w:val="3D4339B9"/>
    <w:rsid w:val="3D4505C4"/>
    <w:rsid w:val="3D483969"/>
    <w:rsid w:val="3D4855F3"/>
    <w:rsid w:val="3D49542E"/>
    <w:rsid w:val="3D4B36BB"/>
    <w:rsid w:val="3D4D179A"/>
    <w:rsid w:val="3D4E1E93"/>
    <w:rsid w:val="3D4F4304"/>
    <w:rsid w:val="3D4F5D50"/>
    <w:rsid w:val="3D50100C"/>
    <w:rsid w:val="3D504D87"/>
    <w:rsid w:val="3D516A23"/>
    <w:rsid w:val="3D5225DB"/>
    <w:rsid w:val="3D526880"/>
    <w:rsid w:val="3D534738"/>
    <w:rsid w:val="3D536596"/>
    <w:rsid w:val="3D540560"/>
    <w:rsid w:val="3D545594"/>
    <w:rsid w:val="3D54606E"/>
    <w:rsid w:val="3D55662C"/>
    <w:rsid w:val="3D565F86"/>
    <w:rsid w:val="3D5876DC"/>
    <w:rsid w:val="3D5A05D5"/>
    <w:rsid w:val="3D5A0860"/>
    <w:rsid w:val="3D5C5F1C"/>
    <w:rsid w:val="3D5C7741"/>
    <w:rsid w:val="3D6046AB"/>
    <w:rsid w:val="3D614EFB"/>
    <w:rsid w:val="3D6307DC"/>
    <w:rsid w:val="3D64252C"/>
    <w:rsid w:val="3D650E27"/>
    <w:rsid w:val="3D661298"/>
    <w:rsid w:val="3D68287A"/>
    <w:rsid w:val="3D6873AF"/>
    <w:rsid w:val="3D6B7755"/>
    <w:rsid w:val="3D6C7658"/>
    <w:rsid w:val="3D7048F2"/>
    <w:rsid w:val="3D73347A"/>
    <w:rsid w:val="3D734E8A"/>
    <w:rsid w:val="3D7473D9"/>
    <w:rsid w:val="3D775497"/>
    <w:rsid w:val="3D795DBB"/>
    <w:rsid w:val="3D797402"/>
    <w:rsid w:val="3D7B5066"/>
    <w:rsid w:val="3D7D1865"/>
    <w:rsid w:val="3D7D37DC"/>
    <w:rsid w:val="3D7D6EF6"/>
    <w:rsid w:val="3D7E3E2A"/>
    <w:rsid w:val="3D7E7889"/>
    <w:rsid w:val="3D823245"/>
    <w:rsid w:val="3D85352C"/>
    <w:rsid w:val="3D865042"/>
    <w:rsid w:val="3D8736B2"/>
    <w:rsid w:val="3D881779"/>
    <w:rsid w:val="3D881CFD"/>
    <w:rsid w:val="3D8863C7"/>
    <w:rsid w:val="3D8A1F8E"/>
    <w:rsid w:val="3D8A23D8"/>
    <w:rsid w:val="3D8C6B16"/>
    <w:rsid w:val="3D911A8F"/>
    <w:rsid w:val="3D912D97"/>
    <w:rsid w:val="3D920557"/>
    <w:rsid w:val="3D9250BB"/>
    <w:rsid w:val="3D9444FF"/>
    <w:rsid w:val="3D973245"/>
    <w:rsid w:val="3D98044D"/>
    <w:rsid w:val="3D98496C"/>
    <w:rsid w:val="3D9B25C9"/>
    <w:rsid w:val="3D9B7DB1"/>
    <w:rsid w:val="3D9E3C51"/>
    <w:rsid w:val="3DA072CF"/>
    <w:rsid w:val="3DA20B90"/>
    <w:rsid w:val="3DA26ACD"/>
    <w:rsid w:val="3DA71D19"/>
    <w:rsid w:val="3DA82857"/>
    <w:rsid w:val="3DA83A5D"/>
    <w:rsid w:val="3DA908A7"/>
    <w:rsid w:val="3DA9316E"/>
    <w:rsid w:val="3DAA2A04"/>
    <w:rsid w:val="3DAA2FEA"/>
    <w:rsid w:val="3DAB41E2"/>
    <w:rsid w:val="3DAB7CA5"/>
    <w:rsid w:val="3DAD39E6"/>
    <w:rsid w:val="3DAD748F"/>
    <w:rsid w:val="3DAE000B"/>
    <w:rsid w:val="3DAE61D9"/>
    <w:rsid w:val="3DAF1635"/>
    <w:rsid w:val="3DAF20E1"/>
    <w:rsid w:val="3DB049A6"/>
    <w:rsid w:val="3DB0543C"/>
    <w:rsid w:val="3DB122E7"/>
    <w:rsid w:val="3DB26387"/>
    <w:rsid w:val="3DB50C73"/>
    <w:rsid w:val="3DB5319A"/>
    <w:rsid w:val="3DB55E0E"/>
    <w:rsid w:val="3DB715DC"/>
    <w:rsid w:val="3DB9252E"/>
    <w:rsid w:val="3DBA322B"/>
    <w:rsid w:val="3DBD26C3"/>
    <w:rsid w:val="3DBD328A"/>
    <w:rsid w:val="3DBD467C"/>
    <w:rsid w:val="3DBE02DF"/>
    <w:rsid w:val="3DBE5F2C"/>
    <w:rsid w:val="3DBF35AE"/>
    <w:rsid w:val="3DBF3C2B"/>
    <w:rsid w:val="3DC250AA"/>
    <w:rsid w:val="3DC357E8"/>
    <w:rsid w:val="3DC5395F"/>
    <w:rsid w:val="3DC54204"/>
    <w:rsid w:val="3DC55984"/>
    <w:rsid w:val="3DC8357D"/>
    <w:rsid w:val="3DC84FD8"/>
    <w:rsid w:val="3DC92CFC"/>
    <w:rsid w:val="3DCA3495"/>
    <w:rsid w:val="3DCB4191"/>
    <w:rsid w:val="3DCC00F6"/>
    <w:rsid w:val="3DCE15C1"/>
    <w:rsid w:val="3DCF7F75"/>
    <w:rsid w:val="3DD03780"/>
    <w:rsid w:val="3DD06322"/>
    <w:rsid w:val="3DD23E87"/>
    <w:rsid w:val="3DD2602F"/>
    <w:rsid w:val="3DD33C09"/>
    <w:rsid w:val="3DD408C3"/>
    <w:rsid w:val="3DD8543C"/>
    <w:rsid w:val="3DD97A46"/>
    <w:rsid w:val="3DDC221D"/>
    <w:rsid w:val="3DDC5D56"/>
    <w:rsid w:val="3DDD5782"/>
    <w:rsid w:val="3DDF0E2C"/>
    <w:rsid w:val="3DE01634"/>
    <w:rsid w:val="3DE13170"/>
    <w:rsid w:val="3DE1436E"/>
    <w:rsid w:val="3DE418E4"/>
    <w:rsid w:val="3DE45F8B"/>
    <w:rsid w:val="3DE9779E"/>
    <w:rsid w:val="3DE97A33"/>
    <w:rsid w:val="3DEA4ADE"/>
    <w:rsid w:val="3DEC451C"/>
    <w:rsid w:val="3DF03B89"/>
    <w:rsid w:val="3DF14C86"/>
    <w:rsid w:val="3DF211A7"/>
    <w:rsid w:val="3DF34D2D"/>
    <w:rsid w:val="3DF4255C"/>
    <w:rsid w:val="3DF44458"/>
    <w:rsid w:val="3DF92661"/>
    <w:rsid w:val="3DFA4C63"/>
    <w:rsid w:val="3DFA7839"/>
    <w:rsid w:val="3DFC373B"/>
    <w:rsid w:val="3DFD714E"/>
    <w:rsid w:val="3E005E61"/>
    <w:rsid w:val="3E006AA6"/>
    <w:rsid w:val="3E047FC5"/>
    <w:rsid w:val="3E0560F0"/>
    <w:rsid w:val="3E067CFD"/>
    <w:rsid w:val="3E093FF0"/>
    <w:rsid w:val="3E0B2D18"/>
    <w:rsid w:val="3E0B3592"/>
    <w:rsid w:val="3E0C10E8"/>
    <w:rsid w:val="3E0C337D"/>
    <w:rsid w:val="3E0C4997"/>
    <w:rsid w:val="3E0C59AC"/>
    <w:rsid w:val="3E0E1BFA"/>
    <w:rsid w:val="3E0F0597"/>
    <w:rsid w:val="3E0F1990"/>
    <w:rsid w:val="3E0F68CE"/>
    <w:rsid w:val="3E101F02"/>
    <w:rsid w:val="3E106FB8"/>
    <w:rsid w:val="3E117F72"/>
    <w:rsid w:val="3E156362"/>
    <w:rsid w:val="3E1636D7"/>
    <w:rsid w:val="3E174DB9"/>
    <w:rsid w:val="3E174EC3"/>
    <w:rsid w:val="3E187B2B"/>
    <w:rsid w:val="3E1A10B7"/>
    <w:rsid w:val="3E1B0554"/>
    <w:rsid w:val="3E1C2E2C"/>
    <w:rsid w:val="3E1C4A95"/>
    <w:rsid w:val="3E1F3045"/>
    <w:rsid w:val="3E1F7FAC"/>
    <w:rsid w:val="3E210442"/>
    <w:rsid w:val="3E225EC4"/>
    <w:rsid w:val="3E264AF2"/>
    <w:rsid w:val="3E273CE2"/>
    <w:rsid w:val="3E284261"/>
    <w:rsid w:val="3E2B755D"/>
    <w:rsid w:val="3E2D0A57"/>
    <w:rsid w:val="3E2E0DB1"/>
    <w:rsid w:val="3E2F4F19"/>
    <w:rsid w:val="3E310E25"/>
    <w:rsid w:val="3E312177"/>
    <w:rsid w:val="3E315A0D"/>
    <w:rsid w:val="3E32556B"/>
    <w:rsid w:val="3E350D5F"/>
    <w:rsid w:val="3E361AA9"/>
    <w:rsid w:val="3E3C1720"/>
    <w:rsid w:val="3E3C2C4E"/>
    <w:rsid w:val="3E3C5414"/>
    <w:rsid w:val="3E3C5AEF"/>
    <w:rsid w:val="3E3C5BC5"/>
    <w:rsid w:val="3E3F5A34"/>
    <w:rsid w:val="3E3F72C8"/>
    <w:rsid w:val="3E411710"/>
    <w:rsid w:val="3E412174"/>
    <w:rsid w:val="3E41232F"/>
    <w:rsid w:val="3E417E3F"/>
    <w:rsid w:val="3E4313B0"/>
    <w:rsid w:val="3E432FC1"/>
    <w:rsid w:val="3E444024"/>
    <w:rsid w:val="3E47285E"/>
    <w:rsid w:val="3E485A13"/>
    <w:rsid w:val="3E491D1E"/>
    <w:rsid w:val="3E496B14"/>
    <w:rsid w:val="3E496FE0"/>
    <w:rsid w:val="3E4C0C00"/>
    <w:rsid w:val="3E4D3F24"/>
    <w:rsid w:val="3E4F10C4"/>
    <w:rsid w:val="3E510229"/>
    <w:rsid w:val="3E5118EC"/>
    <w:rsid w:val="3E5277E6"/>
    <w:rsid w:val="3E550AF0"/>
    <w:rsid w:val="3E554590"/>
    <w:rsid w:val="3E5A46D4"/>
    <w:rsid w:val="3E5A72D9"/>
    <w:rsid w:val="3E5B2140"/>
    <w:rsid w:val="3E5C591E"/>
    <w:rsid w:val="3E5F0B06"/>
    <w:rsid w:val="3E5F7785"/>
    <w:rsid w:val="3E6124CE"/>
    <w:rsid w:val="3E630E12"/>
    <w:rsid w:val="3E64024E"/>
    <w:rsid w:val="3E647217"/>
    <w:rsid w:val="3E654DFE"/>
    <w:rsid w:val="3E661CDC"/>
    <w:rsid w:val="3E672D5A"/>
    <w:rsid w:val="3E6D68EF"/>
    <w:rsid w:val="3E6D7CEB"/>
    <w:rsid w:val="3E6F563A"/>
    <w:rsid w:val="3E742C68"/>
    <w:rsid w:val="3E750EF5"/>
    <w:rsid w:val="3E756323"/>
    <w:rsid w:val="3E786962"/>
    <w:rsid w:val="3E7A2248"/>
    <w:rsid w:val="3E7B428B"/>
    <w:rsid w:val="3E7E0885"/>
    <w:rsid w:val="3E7E2F6B"/>
    <w:rsid w:val="3E80165E"/>
    <w:rsid w:val="3E8061F0"/>
    <w:rsid w:val="3E8222D6"/>
    <w:rsid w:val="3E845875"/>
    <w:rsid w:val="3E86299B"/>
    <w:rsid w:val="3E8912B2"/>
    <w:rsid w:val="3E895356"/>
    <w:rsid w:val="3E8976FA"/>
    <w:rsid w:val="3E8C31C9"/>
    <w:rsid w:val="3E8C6495"/>
    <w:rsid w:val="3E8D2398"/>
    <w:rsid w:val="3E8F29C3"/>
    <w:rsid w:val="3E915361"/>
    <w:rsid w:val="3E916E83"/>
    <w:rsid w:val="3E9260D6"/>
    <w:rsid w:val="3E92628C"/>
    <w:rsid w:val="3E931698"/>
    <w:rsid w:val="3E943761"/>
    <w:rsid w:val="3E945407"/>
    <w:rsid w:val="3E945C17"/>
    <w:rsid w:val="3E96758F"/>
    <w:rsid w:val="3E983FA4"/>
    <w:rsid w:val="3E994A51"/>
    <w:rsid w:val="3E995F78"/>
    <w:rsid w:val="3E9A01F4"/>
    <w:rsid w:val="3E9B60B7"/>
    <w:rsid w:val="3E9C4D75"/>
    <w:rsid w:val="3E9D2726"/>
    <w:rsid w:val="3E9D44F4"/>
    <w:rsid w:val="3E9E1A93"/>
    <w:rsid w:val="3E9F51D2"/>
    <w:rsid w:val="3EA11E42"/>
    <w:rsid w:val="3EA1200A"/>
    <w:rsid w:val="3EA132AC"/>
    <w:rsid w:val="3EA177B5"/>
    <w:rsid w:val="3EA177D5"/>
    <w:rsid w:val="3EA269A2"/>
    <w:rsid w:val="3EA33DAE"/>
    <w:rsid w:val="3EA36A09"/>
    <w:rsid w:val="3EA412B0"/>
    <w:rsid w:val="3EA4424A"/>
    <w:rsid w:val="3EA5425F"/>
    <w:rsid w:val="3EA6691D"/>
    <w:rsid w:val="3EAA2A86"/>
    <w:rsid w:val="3EAD1CD6"/>
    <w:rsid w:val="3EAD2653"/>
    <w:rsid w:val="3EAD6B6C"/>
    <w:rsid w:val="3EB05C6A"/>
    <w:rsid w:val="3EB219E2"/>
    <w:rsid w:val="3EB223EC"/>
    <w:rsid w:val="3EB31D8E"/>
    <w:rsid w:val="3EB556A0"/>
    <w:rsid w:val="3EB60A5D"/>
    <w:rsid w:val="3EB80E95"/>
    <w:rsid w:val="3EB84C16"/>
    <w:rsid w:val="3EBA2684"/>
    <w:rsid w:val="3EBB305E"/>
    <w:rsid w:val="3EBC60AE"/>
    <w:rsid w:val="3EBE6BCF"/>
    <w:rsid w:val="3EBF3856"/>
    <w:rsid w:val="3EBF595A"/>
    <w:rsid w:val="3EBF76C0"/>
    <w:rsid w:val="3EC05EAD"/>
    <w:rsid w:val="3EC1795D"/>
    <w:rsid w:val="3EC250EE"/>
    <w:rsid w:val="3EC268B6"/>
    <w:rsid w:val="3EC534C3"/>
    <w:rsid w:val="3EC55A10"/>
    <w:rsid w:val="3EC61324"/>
    <w:rsid w:val="3EC66FEE"/>
    <w:rsid w:val="3ECA6176"/>
    <w:rsid w:val="3ECB5F31"/>
    <w:rsid w:val="3ECE2E56"/>
    <w:rsid w:val="3ECF0564"/>
    <w:rsid w:val="3ED03C16"/>
    <w:rsid w:val="3ED10601"/>
    <w:rsid w:val="3ED14F04"/>
    <w:rsid w:val="3ED36326"/>
    <w:rsid w:val="3ED70A3A"/>
    <w:rsid w:val="3ED74FA5"/>
    <w:rsid w:val="3ED77A5E"/>
    <w:rsid w:val="3EDA15C9"/>
    <w:rsid w:val="3EDB53BA"/>
    <w:rsid w:val="3EDB6A04"/>
    <w:rsid w:val="3EDB73BB"/>
    <w:rsid w:val="3EDE79C6"/>
    <w:rsid w:val="3EE03CDE"/>
    <w:rsid w:val="3EE31F37"/>
    <w:rsid w:val="3EE55913"/>
    <w:rsid w:val="3EE651E8"/>
    <w:rsid w:val="3EE75CF0"/>
    <w:rsid w:val="3EE83C69"/>
    <w:rsid w:val="3EE97E24"/>
    <w:rsid w:val="3EEA39EF"/>
    <w:rsid w:val="3EEC01A4"/>
    <w:rsid w:val="3EEE50DC"/>
    <w:rsid w:val="3EEF307E"/>
    <w:rsid w:val="3EF02E13"/>
    <w:rsid w:val="3EF142B8"/>
    <w:rsid w:val="3EF23831"/>
    <w:rsid w:val="3EF24297"/>
    <w:rsid w:val="3EF26D09"/>
    <w:rsid w:val="3EF415CA"/>
    <w:rsid w:val="3EF43DA9"/>
    <w:rsid w:val="3EF47B3D"/>
    <w:rsid w:val="3EF60B98"/>
    <w:rsid w:val="3EF75BAE"/>
    <w:rsid w:val="3EFB206D"/>
    <w:rsid w:val="3EFC1C69"/>
    <w:rsid w:val="3EFC51C8"/>
    <w:rsid w:val="3F0044FB"/>
    <w:rsid w:val="3F004663"/>
    <w:rsid w:val="3F007A05"/>
    <w:rsid w:val="3F01576A"/>
    <w:rsid w:val="3F023B8C"/>
    <w:rsid w:val="3F0410F9"/>
    <w:rsid w:val="3F066BF0"/>
    <w:rsid w:val="3F071379"/>
    <w:rsid w:val="3F072C87"/>
    <w:rsid w:val="3F0A7128"/>
    <w:rsid w:val="3F0B0C19"/>
    <w:rsid w:val="3F0B7330"/>
    <w:rsid w:val="3F0B7933"/>
    <w:rsid w:val="3F0C103E"/>
    <w:rsid w:val="3F0C16E4"/>
    <w:rsid w:val="3F0F738D"/>
    <w:rsid w:val="3F0F7BB9"/>
    <w:rsid w:val="3F13379C"/>
    <w:rsid w:val="3F134CBC"/>
    <w:rsid w:val="3F141D55"/>
    <w:rsid w:val="3F143E87"/>
    <w:rsid w:val="3F151168"/>
    <w:rsid w:val="3F16186C"/>
    <w:rsid w:val="3F163D1F"/>
    <w:rsid w:val="3F172AE0"/>
    <w:rsid w:val="3F177A97"/>
    <w:rsid w:val="3F1C67B3"/>
    <w:rsid w:val="3F1D3765"/>
    <w:rsid w:val="3F1E3057"/>
    <w:rsid w:val="3F1E3381"/>
    <w:rsid w:val="3F1F6A24"/>
    <w:rsid w:val="3F1F716C"/>
    <w:rsid w:val="3F1F760E"/>
    <w:rsid w:val="3F242EF3"/>
    <w:rsid w:val="3F2521B4"/>
    <w:rsid w:val="3F266425"/>
    <w:rsid w:val="3F271AF4"/>
    <w:rsid w:val="3F2D3F08"/>
    <w:rsid w:val="3F303582"/>
    <w:rsid w:val="3F34090C"/>
    <w:rsid w:val="3F342053"/>
    <w:rsid w:val="3F343F62"/>
    <w:rsid w:val="3F3468A0"/>
    <w:rsid w:val="3F374F51"/>
    <w:rsid w:val="3F397F24"/>
    <w:rsid w:val="3F3A59F2"/>
    <w:rsid w:val="3F3B6CDE"/>
    <w:rsid w:val="3F3C52C8"/>
    <w:rsid w:val="3F3E6A3A"/>
    <w:rsid w:val="3F40466B"/>
    <w:rsid w:val="3F410CE1"/>
    <w:rsid w:val="3F41101F"/>
    <w:rsid w:val="3F412D65"/>
    <w:rsid w:val="3F422C14"/>
    <w:rsid w:val="3F424735"/>
    <w:rsid w:val="3F432C50"/>
    <w:rsid w:val="3F4530CB"/>
    <w:rsid w:val="3F464128"/>
    <w:rsid w:val="3F47692B"/>
    <w:rsid w:val="3F486047"/>
    <w:rsid w:val="3F4C5E02"/>
    <w:rsid w:val="3F4C6614"/>
    <w:rsid w:val="3F4D75FA"/>
    <w:rsid w:val="3F4E232E"/>
    <w:rsid w:val="3F4E6E01"/>
    <w:rsid w:val="3F526E2E"/>
    <w:rsid w:val="3F540485"/>
    <w:rsid w:val="3F546A57"/>
    <w:rsid w:val="3F5503A3"/>
    <w:rsid w:val="3F560A40"/>
    <w:rsid w:val="3F577E93"/>
    <w:rsid w:val="3F594A8B"/>
    <w:rsid w:val="3F5A2305"/>
    <w:rsid w:val="3F5B1C8C"/>
    <w:rsid w:val="3F5B672D"/>
    <w:rsid w:val="3F5D1EF0"/>
    <w:rsid w:val="3F5E72BA"/>
    <w:rsid w:val="3F5F536D"/>
    <w:rsid w:val="3F62442F"/>
    <w:rsid w:val="3F634169"/>
    <w:rsid w:val="3F637425"/>
    <w:rsid w:val="3F656044"/>
    <w:rsid w:val="3F656A54"/>
    <w:rsid w:val="3F67665C"/>
    <w:rsid w:val="3F686261"/>
    <w:rsid w:val="3F690AAE"/>
    <w:rsid w:val="3F696545"/>
    <w:rsid w:val="3F6A5A92"/>
    <w:rsid w:val="3F6A5E19"/>
    <w:rsid w:val="3F6C5190"/>
    <w:rsid w:val="3F6D053D"/>
    <w:rsid w:val="3F6D115F"/>
    <w:rsid w:val="3F6D38CA"/>
    <w:rsid w:val="3F6D5BE4"/>
    <w:rsid w:val="3F704BD4"/>
    <w:rsid w:val="3F7160E6"/>
    <w:rsid w:val="3F75355D"/>
    <w:rsid w:val="3F753ED5"/>
    <w:rsid w:val="3F755F62"/>
    <w:rsid w:val="3F756DAC"/>
    <w:rsid w:val="3F770160"/>
    <w:rsid w:val="3F77294A"/>
    <w:rsid w:val="3F773F5E"/>
    <w:rsid w:val="3F776BBB"/>
    <w:rsid w:val="3F78532F"/>
    <w:rsid w:val="3F794D8F"/>
    <w:rsid w:val="3F7A4198"/>
    <w:rsid w:val="3F7A6B72"/>
    <w:rsid w:val="3F7E4149"/>
    <w:rsid w:val="3F7E51DD"/>
    <w:rsid w:val="3F8140F1"/>
    <w:rsid w:val="3F827606"/>
    <w:rsid w:val="3F837B23"/>
    <w:rsid w:val="3F850E51"/>
    <w:rsid w:val="3F861BA6"/>
    <w:rsid w:val="3F864508"/>
    <w:rsid w:val="3F8A5905"/>
    <w:rsid w:val="3F8C5D8F"/>
    <w:rsid w:val="3F8D0FBA"/>
    <w:rsid w:val="3F8D1B03"/>
    <w:rsid w:val="3F8F3430"/>
    <w:rsid w:val="3F90236C"/>
    <w:rsid w:val="3F90592E"/>
    <w:rsid w:val="3F9115F7"/>
    <w:rsid w:val="3F95429A"/>
    <w:rsid w:val="3F986D80"/>
    <w:rsid w:val="3F9A0B13"/>
    <w:rsid w:val="3F9A26A1"/>
    <w:rsid w:val="3F9B61F7"/>
    <w:rsid w:val="3F9D21B5"/>
    <w:rsid w:val="3F9D61EE"/>
    <w:rsid w:val="3F9E562D"/>
    <w:rsid w:val="3F9F27F1"/>
    <w:rsid w:val="3FA16D39"/>
    <w:rsid w:val="3FA2524A"/>
    <w:rsid w:val="3FA47E1E"/>
    <w:rsid w:val="3FA50A39"/>
    <w:rsid w:val="3FA54F30"/>
    <w:rsid w:val="3FA61DD6"/>
    <w:rsid w:val="3FA902F6"/>
    <w:rsid w:val="3FA93075"/>
    <w:rsid w:val="3FA94B93"/>
    <w:rsid w:val="3FAC79E8"/>
    <w:rsid w:val="3FAD322F"/>
    <w:rsid w:val="3FAD400B"/>
    <w:rsid w:val="3FAF1A7E"/>
    <w:rsid w:val="3FB24920"/>
    <w:rsid w:val="3FB24F85"/>
    <w:rsid w:val="3FB3156E"/>
    <w:rsid w:val="3FB35E10"/>
    <w:rsid w:val="3FB40340"/>
    <w:rsid w:val="3FB41373"/>
    <w:rsid w:val="3FB734FD"/>
    <w:rsid w:val="3FBC1A3F"/>
    <w:rsid w:val="3FBD23EC"/>
    <w:rsid w:val="3FBD2C32"/>
    <w:rsid w:val="3FBE3B69"/>
    <w:rsid w:val="3FC1599A"/>
    <w:rsid w:val="3FC25C55"/>
    <w:rsid w:val="3FC27A03"/>
    <w:rsid w:val="3FC714B8"/>
    <w:rsid w:val="3FC96E3A"/>
    <w:rsid w:val="3FC97FB6"/>
    <w:rsid w:val="3FCB2D5B"/>
    <w:rsid w:val="3FCB4736"/>
    <w:rsid w:val="3FCB70CC"/>
    <w:rsid w:val="3FCC4988"/>
    <w:rsid w:val="3FCE72F1"/>
    <w:rsid w:val="3FD01248"/>
    <w:rsid w:val="3FD01F04"/>
    <w:rsid w:val="3FD15E98"/>
    <w:rsid w:val="3FD453F2"/>
    <w:rsid w:val="3FD46D61"/>
    <w:rsid w:val="3FD47E6B"/>
    <w:rsid w:val="3FD7530A"/>
    <w:rsid w:val="3FDB225A"/>
    <w:rsid w:val="3FDC16E1"/>
    <w:rsid w:val="3FE0705F"/>
    <w:rsid w:val="3FE51585"/>
    <w:rsid w:val="3FE72821"/>
    <w:rsid w:val="3FE745E0"/>
    <w:rsid w:val="3FE82F79"/>
    <w:rsid w:val="3FEA0D08"/>
    <w:rsid w:val="3FEB187F"/>
    <w:rsid w:val="3FEB26E4"/>
    <w:rsid w:val="3FED4F69"/>
    <w:rsid w:val="3FEF46A8"/>
    <w:rsid w:val="3FEF6514"/>
    <w:rsid w:val="3FF04570"/>
    <w:rsid w:val="3FF42689"/>
    <w:rsid w:val="3FF61765"/>
    <w:rsid w:val="3FFB215E"/>
    <w:rsid w:val="3FFC4C27"/>
    <w:rsid w:val="3FFD0A3B"/>
    <w:rsid w:val="3FFD7BF6"/>
    <w:rsid w:val="3FFE19BE"/>
    <w:rsid w:val="3FFF24B2"/>
    <w:rsid w:val="3FFF6006"/>
    <w:rsid w:val="4000242B"/>
    <w:rsid w:val="4002670D"/>
    <w:rsid w:val="40045F03"/>
    <w:rsid w:val="40072D57"/>
    <w:rsid w:val="4008345A"/>
    <w:rsid w:val="40092997"/>
    <w:rsid w:val="400B2FBD"/>
    <w:rsid w:val="400B3949"/>
    <w:rsid w:val="400F2018"/>
    <w:rsid w:val="40102180"/>
    <w:rsid w:val="401146D6"/>
    <w:rsid w:val="40153FD6"/>
    <w:rsid w:val="401B7113"/>
    <w:rsid w:val="401D21C5"/>
    <w:rsid w:val="401D732F"/>
    <w:rsid w:val="401E0D8B"/>
    <w:rsid w:val="401E1A96"/>
    <w:rsid w:val="401F1485"/>
    <w:rsid w:val="401F6642"/>
    <w:rsid w:val="401F7555"/>
    <w:rsid w:val="40215527"/>
    <w:rsid w:val="40225F5C"/>
    <w:rsid w:val="4023363E"/>
    <w:rsid w:val="4026053E"/>
    <w:rsid w:val="40280169"/>
    <w:rsid w:val="4028049C"/>
    <w:rsid w:val="40287D29"/>
    <w:rsid w:val="40296203"/>
    <w:rsid w:val="402B105A"/>
    <w:rsid w:val="402B4F59"/>
    <w:rsid w:val="402D51B7"/>
    <w:rsid w:val="402E5F22"/>
    <w:rsid w:val="402E684A"/>
    <w:rsid w:val="40300E10"/>
    <w:rsid w:val="40305917"/>
    <w:rsid w:val="40337D20"/>
    <w:rsid w:val="40345E29"/>
    <w:rsid w:val="40373C06"/>
    <w:rsid w:val="40380E22"/>
    <w:rsid w:val="403832D2"/>
    <w:rsid w:val="40395660"/>
    <w:rsid w:val="403B6A6E"/>
    <w:rsid w:val="403C4634"/>
    <w:rsid w:val="403C77B5"/>
    <w:rsid w:val="403D18AE"/>
    <w:rsid w:val="403D5EC8"/>
    <w:rsid w:val="403E47FA"/>
    <w:rsid w:val="403F39C6"/>
    <w:rsid w:val="40415A40"/>
    <w:rsid w:val="40443B0C"/>
    <w:rsid w:val="40463BB0"/>
    <w:rsid w:val="4051001B"/>
    <w:rsid w:val="40517064"/>
    <w:rsid w:val="40526FD9"/>
    <w:rsid w:val="405368AD"/>
    <w:rsid w:val="40550877"/>
    <w:rsid w:val="40557F05"/>
    <w:rsid w:val="40595D5A"/>
    <w:rsid w:val="405B45C9"/>
    <w:rsid w:val="405B6F2C"/>
    <w:rsid w:val="405B70CE"/>
    <w:rsid w:val="405D58ED"/>
    <w:rsid w:val="405E0D8E"/>
    <w:rsid w:val="405E3BCF"/>
    <w:rsid w:val="405F20C5"/>
    <w:rsid w:val="405F34A4"/>
    <w:rsid w:val="405F66ED"/>
    <w:rsid w:val="40612C06"/>
    <w:rsid w:val="40642868"/>
    <w:rsid w:val="40645929"/>
    <w:rsid w:val="40646D0C"/>
    <w:rsid w:val="406549FC"/>
    <w:rsid w:val="40662A84"/>
    <w:rsid w:val="40672358"/>
    <w:rsid w:val="40685761"/>
    <w:rsid w:val="406946A2"/>
    <w:rsid w:val="406A2AE0"/>
    <w:rsid w:val="406A323D"/>
    <w:rsid w:val="406B009A"/>
    <w:rsid w:val="406D45A3"/>
    <w:rsid w:val="406E7B8B"/>
    <w:rsid w:val="406F6832"/>
    <w:rsid w:val="40704B32"/>
    <w:rsid w:val="40704F77"/>
    <w:rsid w:val="40711632"/>
    <w:rsid w:val="40714F85"/>
    <w:rsid w:val="40716236"/>
    <w:rsid w:val="407234DF"/>
    <w:rsid w:val="40733FC6"/>
    <w:rsid w:val="40734A1E"/>
    <w:rsid w:val="40752A53"/>
    <w:rsid w:val="40771364"/>
    <w:rsid w:val="40772E36"/>
    <w:rsid w:val="407A1A84"/>
    <w:rsid w:val="407C1020"/>
    <w:rsid w:val="407F0B45"/>
    <w:rsid w:val="408178BE"/>
    <w:rsid w:val="4083612C"/>
    <w:rsid w:val="408449F7"/>
    <w:rsid w:val="40850F4A"/>
    <w:rsid w:val="40870DE2"/>
    <w:rsid w:val="408818DE"/>
    <w:rsid w:val="408A16FD"/>
    <w:rsid w:val="408A307E"/>
    <w:rsid w:val="40951C2C"/>
    <w:rsid w:val="40981DE5"/>
    <w:rsid w:val="40983389"/>
    <w:rsid w:val="4099592E"/>
    <w:rsid w:val="409B153F"/>
    <w:rsid w:val="409B6212"/>
    <w:rsid w:val="409C2D4C"/>
    <w:rsid w:val="409C3F8C"/>
    <w:rsid w:val="409C66DE"/>
    <w:rsid w:val="409D0F16"/>
    <w:rsid w:val="409D5D7A"/>
    <w:rsid w:val="409F4154"/>
    <w:rsid w:val="40A13AAE"/>
    <w:rsid w:val="40A21CB4"/>
    <w:rsid w:val="40A2448B"/>
    <w:rsid w:val="40A32B51"/>
    <w:rsid w:val="40A3684D"/>
    <w:rsid w:val="40A67E0E"/>
    <w:rsid w:val="40A8309D"/>
    <w:rsid w:val="40A92EFF"/>
    <w:rsid w:val="40AC00D0"/>
    <w:rsid w:val="40AC502A"/>
    <w:rsid w:val="40AD10EA"/>
    <w:rsid w:val="40AE0122"/>
    <w:rsid w:val="40B03CFF"/>
    <w:rsid w:val="40B1791D"/>
    <w:rsid w:val="40B34675"/>
    <w:rsid w:val="40B4319F"/>
    <w:rsid w:val="40B550DF"/>
    <w:rsid w:val="40B83AC5"/>
    <w:rsid w:val="40BA3A2E"/>
    <w:rsid w:val="40BE676E"/>
    <w:rsid w:val="40BF62CA"/>
    <w:rsid w:val="40C27F89"/>
    <w:rsid w:val="40C364B6"/>
    <w:rsid w:val="40C40D91"/>
    <w:rsid w:val="40C44750"/>
    <w:rsid w:val="40C50991"/>
    <w:rsid w:val="40C652D1"/>
    <w:rsid w:val="40C66219"/>
    <w:rsid w:val="40C97AD5"/>
    <w:rsid w:val="40CB0EB0"/>
    <w:rsid w:val="40CB2789"/>
    <w:rsid w:val="40CF594E"/>
    <w:rsid w:val="40D04F17"/>
    <w:rsid w:val="40D1149A"/>
    <w:rsid w:val="40D169B9"/>
    <w:rsid w:val="40D225BA"/>
    <w:rsid w:val="40D23C76"/>
    <w:rsid w:val="40D26686"/>
    <w:rsid w:val="40D266BC"/>
    <w:rsid w:val="40D32538"/>
    <w:rsid w:val="40D71E9F"/>
    <w:rsid w:val="40D774DE"/>
    <w:rsid w:val="40D93256"/>
    <w:rsid w:val="40DC52F2"/>
    <w:rsid w:val="40DC58F4"/>
    <w:rsid w:val="40E02836"/>
    <w:rsid w:val="40E14768"/>
    <w:rsid w:val="40E268FE"/>
    <w:rsid w:val="40E51BFB"/>
    <w:rsid w:val="40E826D0"/>
    <w:rsid w:val="40E85247"/>
    <w:rsid w:val="40E87A0A"/>
    <w:rsid w:val="40EB393D"/>
    <w:rsid w:val="40EC44C7"/>
    <w:rsid w:val="40EE3D73"/>
    <w:rsid w:val="40EF00D3"/>
    <w:rsid w:val="40EF2A79"/>
    <w:rsid w:val="40F00CF5"/>
    <w:rsid w:val="40F05EC9"/>
    <w:rsid w:val="40F06995"/>
    <w:rsid w:val="40F202BD"/>
    <w:rsid w:val="40F464E2"/>
    <w:rsid w:val="40F614DB"/>
    <w:rsid w:val="40F6182D"/>
    <w:rsid w:val="40F63B96"/>
    <w:rsid w:val="40F956A6"/>
    <w:rsid w:val="40F976F0"/>
    <w:rsid w:val="40FA0B7C"/>
    <w:rsid w:val="40FF07E3"/>
    <w:rsid w:val="40FF7A17"/>
    <w:rsid w:val="410015B9"/>
    <w:rsid w:val="41022C69"/>
    <w:rsid w:val="41055DF9"/>
    <w:rsid w:val="41065AEE"/>
    <w:rsid w:val="410742ED"/>
    <w:rsid w:val="410B2E38"/>
    <w:rsid w:val="410E3BD1"/>
    <w:rsid w:val="410F0A26"/>
    <w:rsid w:val="410F68C9"/>
    <w:rsid w:val="4112042A"/>
    <w:rsid w:val="41120516"/>
    <w:rsid w:val="41122B56"/>
    <w:rsid w:val="41140DD3"/>
    <w:rsid w:val="41157011"/>
    <w:rsid w:val="41163876"/>
    <w:rsid w:val="41173D7E"/>
    <w:rsid w:val="411917F4"/>
    <w:rsid w:val="411937C8"/>
    <w:rsid w:val="411A25F9"/>
    <w:rsid w:val="411C75E7"/>
    <w:rsid w:val="411E702B"/>
    <w:rsid w:val="412071E1"/>
    <w:rsid w:val="41220B3A"/>
    <w:rsid w:val="41222335"/>
    <w:rsid w:val="412225DA"/>
    <w:rsid w:val="41227457"/>
    <w:rsid w:val="41233C62"/>
    <w:rsid w:val="41250C65"/>
    <w:rsid w:val="412767E5"/>
    <w:rsid w:val="41281AE7"/>
    <w:rsid w:val="41285751"/>
    <w:rsid w:val="41290D7F"/>
    <w:rsid w:val="412954E0"/>
    <w:rsid w:val="412C4152"/>
    <w:rsid w:val="412D5228"/>
    <w:rsid w:val="412E79FB"/>
    <w:rsid w:val="41322966"/>
    <w:rsid w:val="41345591"/>
    <w:rsid w:val="413752BB"/>
    <w:rsid w:val="413805E6"/>
    <w:rsid w:val="41395819"/>
    <w:rsid w:val="413D6612"/>
    <w:rsid w:val="413E0C80"/>
    <w:rsid w:val="413F350F"/>
    <w:rsid w:val="41406E31"/>
    <w:rsid w:val="414271FF"/>
    <w:rsid w:val="41434398"/>
    <w:rsid w:val="414539CB"/>
    <w:rsid w:val="41486963"/>
    <w:rsid w:val="414B0DFD"/>
    <w:rsid w:val="414C1E2F"/>
    <w:rsid w:val="414C471E"/>
    <w:rsid w:val="414C4F90"/>
    <w:rsid w:val="414E0433"/>
    <w:rsid w:val="414E05F4"/>
    <w:rsid w:val="414E7F37"/>
    <w:rsid w:val="414F2E44"/>
    <w:rsid w:val="4151063F"/>
    <w:rsid w:val="41530F12"/>
    <w:rsid w:val="415408C0"/>
    <w:rsid w:val="41560A5F"/>
    <w:rsid w:val="41562437"/>
    <w:rsid w:val="41562AF9"/>
    <w:rsid w:val="41572310"/>
    <w:rsid w:val="415726FF"/>
    <w:rsid w:val="415A011E"/>
    <w:rsid w:val="415B03CA"/>
    <w:rsid w:val="415B3C6B"/>
    <w:rsid w:val="415B43F8"/>
    <w:rsid w:val="41601D31"/>
    <w:rsid w:val="41605D16"/>
    <w:rsid w:val="41610E0B"/>
    <w:rsid w:val="41610FD0"/>
    <w:rsid w:val="416378F3"/>
    <w:rsid w:val="4165522A"/>
    <w:rsid w:val="416615C8"/>
    <w:rsid w:val="41674FF6"/>
    <w:rsid w:val="41685D9E"/>
    <w:rsid w:val="41696778"/>
    <w:rsid w:val="41697343"/>
    <w:rsid w:val="416C0D77"/>
    <w:rsid w:val="416C2C2E"/>
    <w:rsid w:val="416C4777"/>
    <w:rsid w:val="416D02EA"/>
    <w:rsid w:val="416D40B8"/>
    <w:rsid w:val="416D5778"/>
    <w:rsid w:val="416D66E8"/>
    <w:rsid w:val="4170577B"/>
    <w:rsid w:val="4172305A"/>
    <w:rsid w:val="41725058"/>
    <w:rsid w:val="41753FAE"/>
    <w:rsid w:val="417575B0"/>
    <w:rsid w:val="41761F5E"/>
    <w:rsid w:val="4177051F"/>
    <w:rsid w:val="417747F9"/>
    <w:rsid w:val="417B430D"/>
    <w:rsid w:val="417D16EB"/>
    <w:rsid w:val="417D5E36"/>
    <w:rsid w:val="41810D6B"/>
    <w:rsid w:val="41815836"/>
    <w:rsid w:val="41820937"/>
    <w:rsid w:val="4182152D"/>
    <w:rsid w:val="4182569C"/>
    <w:rsid w:val="4182744A"/>
    <w:rsid w:val="41840582"/>
    <w:rsid w:val="41842B74"/>
    <w:rsid w:val="41857D4A"/>
    <w:rsid w:val="41873FB4"/>
    <w:rsid w:val="41881A54"/>
    <w:rsid w:val="4188373E"/>
    <w:rsid w:val="418B6F45"/>
    <w:rsid w:val="418C5E4D"/>
    <w:rsid w:val="418C7B42"/>
    <w:rsid w:val="418F600A"/>
    <w:rsid w:val="41911676"/>
    <w:rsid w:val="41920220"/>
    <w:rsid w:val="41931657"/>
    <w:rsid w:val="41936C83"/>
    <w:rsid w:val="419475D7"/>
    <w:rsid w:val="41950B2F"/>
    <w:rsid w:val="419525CF"/>
    <w:rsid w:val="41957A70"/>
    <w:rsid w:val="419605FE"/>
    <w:rsid w:val="41966C29"/>
    <w:rsid w:val="41985C62"/>
    <w:rsid w:val="419A3B76"/>
    <w:rsid w:val="419A6D14"/>
    <w:rsid w:val="419B49AF"/>
    <w:rsid w:val="419C0460"/>
    <w:rsid w:val="419E41B1"/>
    <w:rsid w:val="419E53BB"/>
    <w:rsid w:val="419E63ED"/>
    <w:rsid w:val="41A002B0"/>
    <w:rsid w:val="41A03D74"/>
    <w:rsid w:val="41A10117"/>
    <w:rsid w:val="41A24C4A"/>
    <w:rsid w:val="41A52AA6"/>
    <w:rsid w:val="41A53138"/>
    <w:rsid w:val="41A578B4"/>
    <w:rsid w:val="41A673D7"/>
    <w:rsid w:val="41A75102"/>
    <w:rsid w:val="41A77B65"/>
    <w:rsid w:val="41AA2B6F"/>
    <w:rsid w:val="41AD4FFE"/>
    <w:rsid w:val="41AE016B"/>
    <w:rsid w:val="41B16663"/>
    <w:rsid w:val="41B50974"/>
    <w:rsid w:val="41B62D40"/>
    <w:rsid w:val="41B6445A"/>
    <w:rsid w:val="41B666D2"/>
    <w:rsid w:val="41B7001D"/>
    <w:rsid w:val="41C13DA5"/>
    <w:rsid w:val="41C51A2C"/>
    <w:rsid w:val="41C71300"/>
    <w:rsid w:val="41C77605"/>
    <w:rsid w:val="41C85F4A"/>
    <w:rsid w:val="41C93703"/>
    <w:rsid w:val="41C9624E"/>
    <w:rsid w:val="41C97774"/>
    <w:rsid w:val="41CA4FC0"/>
    <w:rsid w:val="41CC2DBB"/>
    <w:rsid w:val="41CC5581"/>
    <w:rsid w:val="41CD244B"/>
    <w:rsid w:val="41CF41E8"/>
    <w:rsid w:val="41D008D8"/>
    <w:rsid w:val="41D5097F"/>
    <w:rsid w:val="41D53635"/>
    <w:rsid w:val="41D67C22"/>
    <w:rsid w:val="41D70566"/>
    <w:rsid w:val="41D70D10"/>
    <w:rsid w:val="41D934A6"/>
    <w:rsid w:val="41D93564"/>
    <w:rsid w:val="41D93C7A"/>
    <w:rsid w:val="41DD28D2"/>
    <w:rsid w:val="41DE4755"/>
    <w:rsid w:val="41DF296A"/>
    <w:rsid w:val="41E22BDC"/>
    <w:rsid w:val="41E25488"/>
    <w:rsid w:val="41E30F8C"/>
    <w:rsid w:val="41E355BF"/>
    <w:rsid w:val="41E35FA7"/>
    <w:rsid w:val="41E64DD6"/>
    <w:rsid w:val="41E717E3"/>
    <w:rsid w:val="41E74EC2"/>
    <w:rsid w:val="41E9571B"/>
    <w:rsid w:val="41E974C9"/>
    <w:rsid w:val="41EA4345"/>
    <w:rsid w:val="41EA6663"/>
    <w:rsid w:val="41EB5644"/>
    <w:rsid w:val="41EE0C01"/>
    <w:rsid w:val="41EF5B6D"/>
    <w:rsid w:val="41F03996"/>
    <w:rsid w:val="41F1637D"/>
    <w:rsid w:val="41F320F5"/>
    <w:rsid w:val="41F338A3"/>
    <w:rsid w:val="41F34D5E"/>
    <w:rsid w:val="41F3562F"/>
    <w:rsid w:val="41F43399"/>
    <w:rsid w:val="41F57A87"/>
    <w:rsid w:val="41F744F7"/>
    <w:rsid w:val="41F82619"/>
    <w:rsid w:val="41F8595E"/>
    <w:rsid w:val="41F92911"/>
    <w:rsid w:val="41F9582C"/>
    <w:rsid w:val="41FD184A"/>
    <w:rsid w:val="41FD7048"/>
    <w:rsid w:val="41FE1815"/>
    <w:rsid w:val="41FE50D9"/>
    <w:rsid w:val="41FF7FF6"/>
    <w:rsid w:val="42005121"/>
    <w:rsid w:val="42007733"/>
    <w:rsid w:val="42011DAE"/>
    <w:rsid w:val="42014849"/>
    <w:rsid w:val="42017C40"/>
    <w:rsid w:val="42021E50"/>
    <w:rsid w:val="420362E4"/>
    <w:rsid w:val="42044B47"/>
    <w:rsid w:val="42066008"/>
    <w:rsid w:val="4207754D"/>
    <w:rsid w:val="42093FD6"/>
    <w:rsid w:val="420B0154"/>
    <w:rsid w:val="420C22BA"/>
    <w:rsid w:val="420D635A"/>
    <w:rsid w:val="42110D25"/>
    <w:rsid w:val="42122051"/>
    <w:rsid w:val="421279A2"/>
    <w:rsid w:val="42167983"/>
    <w:rsid w:val="4217061E"/>
    <w:rsid w:val="421847E9"/>
    <w:rsid w:val="421877CE"/>
    <w:rsid w:val="42191D09"/>
    <w:rsid w:val="421C3F3C"/>
    <w:rsid w:val="421D31B4"/>
    <w:rsid w:val="4220781F"/>
    <w:rsid w:val="42213106"/>
    <w:rsid w:val="4221357D"/>
    <w:rsid w:val="422212BE"/>
    <w:rsid w:val="42224789"/>
    <w:rsid w:val="422250E2"/>
    <w:rsid w:val="42256AFD"/>
    <w:rsid w:val="42263DC7"/>
    <w:rsid w:val="42265CF7"/>
    <w:rsid w:val="42267019"/>
    <w:rsid w:val="4228727E"/>
    <w:rsid w:val="422B5210"/>
    <w:rsid w:val="422C619B"/>
    <w:rsid w:val="422E22CC"/>
    <w:rsid w:val="423246D7"/>
    <w:rsid w:val="4233031A"/>
    <w:rsid w:val="423350DA"/>
    <w:rsid w:val="42343097"/>
    <w:rsid w:val="4235270E"/>
    <w:rsid w:val="423642C4"/>
    <w:rsid w:val="42366504"/>
    <w:rsid w:val="423821FE"/>
    <w:rsid w:val="4239456E"/>
    <w:rsid w:val="423C0B5E"/>
    <w:rsid w:val="423C2F74"/>
    <w:rsid w:val="423E265D"/>
    <w:rsid w:val="423E6828"/>
    <w:rsid w:val="423F116A"/>
    <w:rsid w:val="423F2A71"/>
    <w:rsid w:val="423F5177"/>
    <w:rsid w:val="42453ED9"/>
    <w:rsid w:val="42456F36"/>
    <w:rsid w:val="424630C1"/>
    <w:rsid w:val="4248357A"/>
    <w:rsid w:val="42497F67"/>
    <w:rsid w:val="424E7308"/>
    <w:rsid w:val="425000FE"/>
    <w:rsid w:val="4252760F"/>
    <w:rsid w:val="425365E6"/>
    <w:rsid w:val="4257147A"/>
    <w:rsid w:val="42571EFC"/>
    <w:rsid w:val="42593E1F"/>
    <w:rsid w:val="425C1BA8"/>
    <w:rsid w:val="425E0058"/>
    <w:rsid w:val="425E1FBE"/>
    <w:rsid w:val="425E5FC7"/>
    <w:rsid w:val="425F0250"/>
    <w:rsid w:val="42601FA2"/>
    <w:rsid w:val="42612369"/>
    <w:rsid w:val="42614D21"/>
    <w:rsid w:val="426217CA"/>
    <w:rsid w:val="42621ADA"/>
    <w:rsid w:val="42632172"/>
    <w:rsid w:val="4265025D"/>
    <w:rsid w:val="42664A0F"/>
    <w:rsid w:val="42672AE3"/>
    <w:rsid w:val="42675A78"/>
    <w:rsid w:val="4268685F"/>
    <w:rsid w:val="4269060A"/>
    <w:rsid w:val="42691E23"/>
    <w:rsid w:val="426A113B"/>
    <w:rsid w:val="426B47A5"/>
    <w:rsid w:val="426B4BA6"/>
    <w:rsid w:val="426B6873"/>
    <w:rsid w:val="426C0CFC"/>
    <w:rsid w:val="426F1140"/>
    <w:rsid w:val="426F4865"/>
    <w:rsid w:val="427264E9"/>
    <w:rsid w:val="4274202C"/>
    <w:rsid w:val="42753978"/>
    <w:rsid w:val="427C658F"/>
    <w:rsid w:val="427D61B0"/>
    <w:rsid w:val="427E5F71"/>
    <w:rsid w:val="428142D4"/>
    <w:rsid w:val="428153F0"/>
    <w:rsid w:val="42816E5E"/>
    <w:rsid w:val="42825877"/>
    <w:rsid w:val="428644C2"/>
    <w:rsid w:val="428661FC"/>
    <w:rsid w:val="4288120A"/>
    <w:rsid w:val="428A558D"/>
    <w:rsid w:val="428B1739"/>
    <w:rsid w:val="428B272C"/>
    <w:rsid w:val="428C1217"/>
    <w:rsid w:val="428C7052"/>
    <w:rsid w:val="428C75F6"/>
    <w:rsid w:val="428E0390"/>
    <w:rsid w:val="428E27D5"/>
    <w:rsid w:val="428E5146"/>
    <w:rsid w:val="428F6570"/>
    <w:rsid w:val="42905B96"/>
    <w:rsid w:val="42932922"/>
    <w:rsid w:val="42937435"/>
    <w:rsid w:val="429540AE"/>
    <w:rsid w:val="42985DC4"/>
    <w:rsid w:val="429942D2"/>
    <w:rsid w:val="429B01DA"/>
    <w:rsid w:val="429B42BC"/>
    <w:rsid w:val="429C09DF"/>
    <w:rsid w:val="429D4738"/>
    <w:rsid w:val="42A11B51"/>
    <w:rsid w:val="42A133A7"/>
    <w:rsid w:val="42A26E6E"/>
    <w:rsid w:val="42A41642"/>
    <w:rsid w:val="42A473F3"/>
    <w:rsid w:val="42A653BA"/>
    <w:rsid w:val="42A87384"/>
    <w:rsid w:val="42A97E53"/>
    <w:rsid w:val="42AB6F9C"/>
    <w:rsid w:val="42AE426E"/>
    <w:rsid w:val="42AF1B80"/>
    <w:rsid w:val="42AF32DB"/>
    <w:rsid w:val="42B12C51"/>
    <w:rsid w:val="42B26217"/>
    <w:rsid w:val="42B32C86"/>
    <w:rsid w:val="42B34AEE"/>
    <w:rsid w:val="42B52703"/>
    <w:rsid w:val="42B64197"/>
    <w:rsid w:val="42B71D1D"/>
    <w:rsid w:val="42B75819"/>
    <w:rsid w:val="42B771F3"/>
    <w:rsid w:val="42B82595"/>
    <w:rsid w:val="42B8264E"/>
    <w:rsid w:val="42B84FD1"/>
    <w:rsid w:val="42B97BC3"/>
    <w:rsid w:val="42BE2374"/>
    <w:rsid w:val="42BF1D87"/>
    <w:rsid w:val="42BF5395"/>
    <w:rsid w:val="42C02EB8"/>
    <w:rsid w:val="42C13FA2"/>
    <w:rsid w:val="42C14F5E"/>
    <w:rsid w:val="42C17596"/>
    <w:rsid w:val="42C25039"/>
    <w:rsid w:val="42C43A92"/>
    <w:rsid w:val="42C5339A"/>
    <w:rsid w:val="42C94A1E"/>
    <w:rsid w:val="42CB34BA"/>
    <w:rsid w:val="42CC2E99"/>
    <w:rsid w:val="42D0003E"/>
    <w:rsid w:val="42D04C2C"/>
    <w:rsid w:val="42D30E0C"/>
    <w:rsid w:val="42DA2A72"/>
    <w:rsid w:val="42DB3DD4"/>
    <w:rsid w:val="42DB79A6"/>
    <w:rsid w:val="42DC3339"/>
    <w:rsid w:val="42DD0656"/>
    <w:rsid w:val="42DD7F03"/>
    <w:rsid w:val="42DE4905"/>
    <w:rsid w:val="42DE75BF"/>
    <w:rsid w:val="42DF33B1"/>
    <w:rsid w:val="42DF4353"/>
    <w:rsid w:val="42E03A80"/>
    <w:rsid w:val="42E1233D"/>
    <w:rsid w:val="42E2204F"/>
    <w:rsid w:val="42E73198"/>
    <w:rsid w:val="42E92F39"/>
    <w:rsid w:val="42EA799C"/>
    <w:rsid w:val="42EC5E24"/>
    <w:rsid w:val="42ED1537"/>
    <w:rsid w:val="42ED160D"/>
    <w:rsid w:val="42EE0B0F"/>
    <w:rsid w:val="42EE56D3"/>
    <w:rsid w:val="42F02ED2"/>
    <w:rsid w:val="42F1209B"/>
    <w:rsid w:val="42F1695A"/>
    <w:rsid w:val="42F32534"/>
    <w:rsid w:val="42F35C5E"/>
    <w:rsid w:val="42F55BB4"/>
    <w:rsid w:val="42F63580"/>
    <w:rsid w:val="42F66B94"/>
    <w:rsid w:val="42F9268F"/>
    <w:rsid w:val="42F928FF"/>
    <w:rsid w:val="42F948A4"/>
    <w:rsid w:val="42FC22A9"/>
    <w:rsid w:val="42FE298F"/>
    <w:rsid w:val="42FE5942"/>
    <w:rsid w:val="43010098"/>
    <w:rsid w:val="4302191A"/>
    <w:rsid w:val="43032966"/>
    <w:rsid w:val="430329B5"/>
    <w:rsid w:val="4303326C"/>
    <w:rsid w:val="43036368"/>
    <w:rsid w:val="430540C3"/>
    <w:rsid w:val="43090B61"/>
    <w:rsid w:val="43095949"/>
    <w:rsid w:val="430B16C1"/>
    <w:rsid w:val="430B5C55"/>
    <w:rsid w:val="430C6D1E"/>
    <w:rsid w:val="430D3E24"/>
    <w:rsid w:val="430E5A3C"/>
    <w:rsid w:val="430F26E8"/>
    <w:rsid w:val="430F4AA9"/>
    <w:rsid w:val="430F4FD8"/>
    <w:rsid w:val="430F51D8"/>
    <w:rsid w:val="430F6BBE"/>
    <w:rsid w:val="43131FC8"/>
    <w:rsid w:val="43132CAE"/>
    <w:rsid w:val="4314319E"/>
    <w:rsid w:val="431515CC"/>
    <w:rsid w:val="43160791"/>
    <w:rsid w:val="43167D5F"/>
    <w:rsid w:val="4318438C"/>
    <w:rsid w:val="43191EFB"/>
    <w:rsid w:val="431A4CB1"/>
    <w:rsid w:val="431C37FE"/>
    <w:rsid w:val="431E7B14"/>
    <w:rsid w:val="43204107"/>
    <w:rsid w:val="43222685"/>
    <w:rsid w:val="43222DDF"/>
    <w:rsid w:val="43244305"/>
    <w:rsid w:val="43250D35"/>
    <w:rsid w:val="43274BE4"/>
    <w:rsid w:val="43285FDD"/>
    <w:rsid w:val="4328637E"/>
    <w:rsid w:val="432A02E1"/>
    <w:rsid w:val="432A6078"/>
    <w:rsid w:val="432B281E"/>
    <w:rsid w:val="432C76B7"/>
    <w:rsid w:val="432D1637"/>
    <w:rsid w:val="43300265"/>
    <w:rsid w:val="43305373"/>
    <w:rsid w:val="4331703E"/>
    <w:rsid w:val="4331708F"/>
    <w:rsid w:val="433302F0"/>
    <w:rsid w:val="43346DE7"/>
    <w:rsid w:val="43346EBA"/>
    <w:rsid w:val="433834D6"/>
    <w:rsid w:val="433A1E71"/>
    <w:rsid w:val="433B01F8"/>
    <w:rsid w:val="433B1502"/>
    <w:rsid w:val="433B7F45"/>
    <w:rsid w:val="433C627B"/>
    <w:rsid w:val="433D77C5"/>
    <w:rsid w:val="433E1A96"/>
    <w:rsid w:val="433F32C8"/>
    <w:rsid w:val="4340528D"/>
    <w:rsid w:val="4340580E"/>
    <w:rsid w:val="434075BC"/>
    <w:rsid w:val="434148A0"/>
    <w:rsid w:val="4342435E"/>
    <w:rsid w:val="434318D7"/>
    <w:rsid w:val="434418CD"/>
    <w:rsid w:val="43466B00"/>
    <w:rsid w:val="43480064"/>
    <w:rsid w:val="43482915"/>
    <w:rsid w:val="434A1018"/>
    <w:rsid w:val="434A68F4"/>
    <w:rsid w:val="434E3C78"/>
    <w:rsid w:val="434F15AD"/>
    <w:rsid w:val="434F77FF"/>
    <w:rsid w:val="43503578"/>
    <w:rsid w:val="435273FD"/>
    <w:rsid w:val="43534BCD"/>
    <w:rsid w:val="4353698A"/>
    <w:rsid w:val="435412BA"/>
    <w:rsid w:val="4355672E"/>
    <w:rsid w:val="43566DE0"/>
    <w:rsid w:val="43590474"/>
    <w:rsid w:val="4359242C"/>
    <w:rsid w:val="435B0782"/>
    <w:rsid w:val="435F3A18"/>
    <w:rsid w:val="43626BEF"/>
    <w:rsid w:val="4362763F"/>
    <w:rsid w:val="43632D2F"/>
    <w:rsid w:val="43640D03"/>
    <w:rsid w:val="43661735"/>
    <w:rsid w:val="43683470"/>
    <w:rsid w:val="436D5ED7"/>
    <w:rsid w:val="436E0209"/>
    <w:rsid w:val="436F639E"/>
    <w:rsid w:val="43713530"/>
    <w:rsid w:val="43721012"/>
    <w:rsid w:val="43723451"/>
    <w:rsid w:val="43730583"/>
    <w:rsid w:val="43737E74"/>
    <w:rsid w:val="437639DD"/>
    <w:rsid w:val="43772091"/>
    <w:rsid w:val="43784FA8"/>
    <w:rsid w:val="43786057"/>
    <w:rsid w:val="43793B0D"/>
    <w:rsid w:val="43795CFE"/>
    <w:rsid w:val="437E7BE7"/>
    <w:rsid w:val="437F57C6"/>
    <w:rsid w:val="43803E5D"/>
    <w:rsid w:val="43822D0C"/>
    <w:rsid w:val="43845FD8"/>
    <w:rsid w:val="43853221"/>
    <w:rsid w:val="4387469D"/>
    <w:rsid w:val="4388655A"/>
    <w:rsid w:val="438A4E1A"/>
    <w:rsid w:val="438A5007"/>
    <w:rsid w:val="438D049F"/>
    <w:rsid w:val="438E6478"/>
    <w:rsid w:val="438E6996"/>
    <w:rsid w:val="438F661B"/>
    <w:rsid w:val="439009A6"/>
    <w:rsid w:val="43904D0F"/>
    <w:rsid w:val="43912E12"/>
    <w:rsid w:val="43912FC7"/>
    <w:rsid w:val="439700F4"/>
    <w:rsid w:val="439B0C97"/>
    <w:rsid w:val="439B778F"/>
    <w:rsid w:val="439D3CF6"/>
    <w:rsid w:val="439D4A0F"/>
    <w:rsid w:val="439D69B4"/>
    <w:rsid w:val="439E6707"/>
    <w:rsid w:val="43A042C4"/>
    <w:rsid w:val="43A06B6B"/>
    <w:rsid w:val="43A24B41"/>
    <w:rsid w:val="43A277F0"/>
    <w:rsid w:val="43A34307"/>
    <w:rsid w:val="43A36FBB"/>
    <w:rsid w:val="43A7763B"/>
    <w:rsid w:val="43A77A27"/>
    <w:rsid w:val="43AB18E3"/>
    <w:rsid w:val="43AB4982"/>
    <w:rsid w:val="43AD1BA2"/>
    <w:rsid w:val="43AE1FFA"/>
    <w:rsid w:val="43AE71B9"/>
    <w:rsid w:val="43B11926"/>
    <w:rsid w:val="43B15514"/>
    <w:rsid w:val="43B27D8E"/>
    <w:rsid w:val="43B4696F"/>
    <w:rsid w:val="43B55471"/>
    <w:rsid w:val="43B564C1"/>
    <w:rsid w:val="43B73A1A"/>
    <w:rsid w:val="43B76522"/>
    <w:rsid w:val="43BC5396"/>
    <w:rsid w:val="43BC5682"/>
    <w:rsid w:val="43BF3FDE"/>
    <w:rsid w:val="43BF6B8A"/>
    <w:rsid w:val="43C146DE"/>
    <w:rsid w:val="43C34EAF"/>
    <w:rsid w:val="43C57AC2"/>
    <w:rsid w:val="43C81033"/>
    <w:rsid w:val="43CA195B"/>
    <w:rsid w:val="43CA551E"/>
    <w:rsid w:val="43CB01DE"/>
    <w:rsid w:val="43CC0E50"/>
    <w:rsid w:val="43CC3598"/>
    <w:rsid w:val="43CC5F83"/>
    <w:rsid w:val="43CD5A60"/>
    <w:rsid w:val="43D120EF"/>
    <w:rsid w:val="43D141FA"/>
    <w:rsid w:val="43D15FB1"/>
    <w:rsid w:val="43D207BB"/>
    <w:rsid w:val="43D3220E"/>
    <w:rsid w:val="43D51D85"/>
    <w:rsid w:val="43D63356"/>
    <w:rsid w:val="43DB7D3A"/>
    <w:rsid w:val="43DC7838"/>
    <w:rsid w:val="43E01F0F"/>
    <w:rsid w:val="43E35A8E"/>
    <w:rsid w:val="43E35CF7"/>
    <w:rsid w:val="43E362BA"/>
    <w:rsid w:val="43E5099F"/>
    <w:rsid w:val="43E54988"/>
    <w:rsid w:val="43E6048A"/>
    <w:rsid w:val="43E6398E"/>
    <w:rsid w:val="43EB1F96"/>
    <w:rsid w:val="43ED075C"/>
    <w:rsid w:val="43F03FD1"/>
    <w:rsid w:val="43F13E61"/>
    <w:rsid w:val="43F20345"/>
    <w:rsid w:val="43F263DD"/>
    <w:rsid w:val="43F32EA9"/>
    <w:rsid w:val="43F6182A"/>
    <w:rsid w:val="43F6451D"/>
    <w:rsid w:val="43F846F3"/>
    <w:rsid w:val="43F9142A"/>
    <w:rsid w:val="43F9776B"/>
    <w:rsid w:val="43FA1F1F"/>
    <w:rsid w:val="43FD36FF"/>
    <w:rsid w:val="43FD4711"/>
    <w:rsid w:val="43FD5D9C"/>
    <w:rsid w:val="43FD733E"/>
    <w:rsid w:val="43FE6B34"/>
    <w:rsid w:val="43FE6E9E"/>
    <w:rsid w:val="43FF144C"/>
    <w:rsid w:val="43FF7065"/>
    <w:rsid w:val="44004F9E"/>
    <w:rsid w:val="44005C30"/>
    <w:rsid w:val="44006B09"/>
    <w:rsid w:val="440202B5"/>
    <w:rsid w:val="44027178"/>
    <w:rsid w:val="44035ABA"/>
    <w:rsid w:val="44062039"/>
    <w:rsid w:val="44085B75"/>
    <w:rsid w:val="440920A4"/>
    <w:rsid w:val="440927E0"/>
    <w:rsid w:val="4409746C"/>
    <w:rsid w:val="440D1066"/>
    <w:rsid w:val="440E3217"/>
    <w:rsid w:val="440F432F"/>
    <w:rsid w:val="44103F97"/>
    <w:rsid w:val="44107169"/>
    <w:rsid w:val="44111F9B"/>
    <w:rsid w:val="44112088"/>
    <w:rsid w:val="44121665"/>
    <w:rsid w:val="4412524D"/>
    <w:rsid w:val="441301AE"/>
    <w:rsid w:val="44152602"/>
    <w:rsid w:val="44181E0E"/>
    <w:rsid w:val="44190A2E"/>
    <w:rsid w:val="441B2C89"/>
    <w:rsid w:val="441D7CC1"/>
    <w:rsid w:val="442073EE"/>
    <w:rsid w:val="442152DA"/>
    <w:rsid w:val="442206C6"/>
    <w:rsid w:val="44236FA6"/>
    <w:rsid w:val="44241CD7"/>
    <w:rsid w:val="44246EDE"/>
    <w:rsid w:val="442538CA"/>
    <w:rsid w:val="44264825"/>
    <w:rsid w:val="44267FAA"/>
    <w:rsid w:val="44285F01"/>
    <w:rsid w:val="442A2646"/>
    <w:rsid w:val="442B201A"/>
    <w:rsid w:val="442D446E"/>
    <w:rsid w:val="442D5495"/>
    <w:rsid w:val="442F55C8"/>
    <w:rsid w:val="443037FA"/>
    <w:rsid w:val="44324C02"/>
    <w:rsid w:val="4437476F"/>
    <w:rsid w:val="44384FBA"/>
    <w:rsid w:val="44390021"/>
    <w:rsid w:val="44392A3A"/>
    <w:rsid w:val="443C2A7C"/>
    <w:rsid w:val="443C7485"/>
    <w:rsid w:val="443D3F5E"/>
    <w:rsid w:val="443E3B9C"/>
    <w:rsid w:val="4440539A"/>
    <w:rsid w:val="444070B6"/>
    <w:rsid w:val="44446C38"/>
    <w:rsid w:val="44451F3A"/>
    <w:rsid w:val="44455332"/>
    <w:rsid w:val="44461A3E"/>
    <w:rsid w:val="44475071"/>
    <w:rsid w:val="4448497B"/>
    <w:rsid w:val="444B2527"/>
    <w:rsid w:val="444B27CE"/>
    <w:rsid w:val="4451439A"/>
    <w:rsid w:val="44520E53"/>
    <w:rsid w:val="44585C37"/>
    <w:rsid w:val="4459124F"/>
    <w:rsid w:val="445A3D54"/>
    <w:rsid w:val="445B69C6"/>
    <w:rsid w:val="445C5E83"/>
    <w:rsid w:val="445D062D"/>
    <w:rsid w:val="446162E9"/>
    <w:rsid w:val="44622BB0"/>
    <w:rsid w:val="4462484A"/>
    <w:rsid w:val="44625310"/>
    <w:rsid w:val="4464506E"/>
    <w:rsid w:val="4467501D"/>
    <w:rsid w:val="446A6C18"/>
    <w:rsid w:val="446A7E63"/>
    <w:rsid w:val="446B7DBE"/>
    <w:rsid w:val="446C146B"/>
    <w:rsid w:val="446E4DF6"/>
    <w:rsid w:val="44703230"/>
    <w:rsid w:val="44714A3E"/>
    <w:rsid w:val="44722CCC"/>
    <w:rsid w:val="44735770"/>
    <w:rsid w:val="44760CC4"/>
    <w:rsid w:val="44782D86"/>
    <w:rsid w:val="44784699"/>
    <w:rsid w:val="44786BA4"/>
    <w:rsid w:val="44792154"/>
    <w:rsid w:val="447970BB"/>
    <w:rsid w:val="447B2F30"/>
    <w:rsid w:val="447D039C"/>
    <w:rsid w:val="447D1F7A"/>
    <w:rsid w:val="447D3AC9"/>
    <w:rsid w:val="447E0C1D"/>
    <w:rsid w:val="447E5D4E"/>
    <w:rsid w:val="44827B22"/>
    <w:rsid w:val="44867251"/>
    <w:rsid w:val="44882B04"/>
    <w:rsid w:val="4489206F"/>
    <w:rsid w:val="448A1592"/>
    <w:rsid w:val="448E4661"/>
    <w:rsid w:val="448F72FE"/>
    <w:rsid w:val="4490021F"/>
    <w:rsid w:val="44900E85"/>
    <w:rsid w:val="44920940"/>
    <w:rsid w:val="44942645"/>
    <w:rsid w:val="449446DD"/>
    <w:rsid w:val="44951CEC"/>
    <w:rsid w:val="44965583"/>
    <w:rsid w:val="44965602"/>
    <w:rsid w:val="449776B0"/>
    <w:rsid w:val="44983428"/>
    <w:rsid w:val="4498417F"/>
    <w:rsid w:val="44995633"/>
    <w:rsid w:val="44997F5C"/>
    <w:rsid w:val="449A2CFC"/>
    <w:rsid w:val="449C25B1"/>
    <w:rsid w:val="449D5D95"/>
    <w:rsid w:val="449E397E"/>
    <w:rsid w:val="44A031AD"/>
    <w:rsid w:val="44A049D9"/>
    <w:rsid w:val="44A0621F"/>
    <w:rsid w:val="44A363BC"/>
    <w:rsid w:val="44A37EF7"/>
    <w:rsid w:val="44A43278"/>
    <w:rsid w:val="44A53B3E"/>
    <w:rsid w:val="44A61634"/>
    <w:rsid w:val="44A877D1"/>
    <w:rsid w:val="44A95F6C"/>
    <w:rsid w:val="44AA066E"/>
    <w:rsid w:val="44AA22D4"/>
    <w:rsid w:val="44AA3B64"/>
    <w:rsid w:val="44AC1414"/>
    <w:rsid w:val="44AF093A"/>
    <w:rsid w:val="44B1072E"/>
    <w:rsid w:val="44B43AE1"/>
    <w:rsid w:val="44B90523"/>
    <w:rsid w:val="44BA2C72"/>
    <w:rsid w:val="44BC49E3"/>
    <w:rsid w:val="44BD3991"/>
    <w:rsid w:val="44BE0336"/>
    <w:rsid w:val="44BE2589"/>
    <w:rsid w:val="44C01764"/>
    <w:rsid w:val="44C12057"/>
    <w:rsid w:val="44C22CBE"/>
    <w:rsid w:val="44C46444"/>
    <w:rsid w:val="44C55CAC"/>
    <w:rsid w:val="44C63AF1"/>
    <w:rsid w:val="44C8374F"/>
    <w:rsid w:val="44CD20C7"/>
    <w:rsid w:val="44CD23FD"/>
    <w:rsid w:val="44CD30D2"/>
    <w:rsid w:val="44CD34A3"/>
    <w:rsid w:val="44CD7E13"/>
    <w:rsid w:val="44CF67FA"/>
    <w:rsid w:val="44D03A5B"/>
    <w:rsid w:val="44D04586"/>
    <w:rsid w:val="44D15BD3"/>
    <w:rsid w:val="44D2693A"/>
    <w:rsid w:val="44D35A16"/>
    <w:rsid w:val="44D45B00"/>
    <w:rsid w:val="44D60C4A"/>
    <w:rsid w:val="44D62512"/>
    <w:rsid w:val="44D8091B"/>
    <w:rsid w:val="44DB2279"/>
    <w:rsid w:val="44DD06EB"/>
    <w:rsid w:val="44DE5F8F"/>
    <w:rsid w:val="44DE708D"/>
    <w:rsid w:val="44DF2DB6"/>
    <w:rsid w:val="44E071B5"/>
    <w:rsid w:val="44E2564C"/>
    <w:rsid w:val="44E25E83"/>
    <w:rsid w:val="44E25EB1"/>
    <w:rsid w:val="44E32208"/>
    <w:rsid w:val="44E4666D"/>
    <w:rsid w:val="44E51C6C"/>
    <w:rsid w:val="44E64193"/>
    <w:rsid w:val="44E72434"/>
    <w:rsid w:val="44E72878"/>
    <w:rsid w:val="44E80A86"/>
    <w:rsid w:val="44E82B35"/>
    <w:rsid w:val="44E92520"/>
    <w:rsid w:val="44E9678F"/>
    <w:rsid w:val="44EA0F3A"/>
    <w:rsid w:val="44EC7343"/>
    <w:rsid w:val="44F1396C"/>
    <w:rsid w:val="44F82682"/>
    <w:rsid w:val="44FB75AB"/>
    <w:rsid w:val="44FE2557"/>
    <w:rsid w:val="44FE669C"/>
    <w:rsid w:val="45002C52"/>
    <w:rsid w:val="45045FA8"/>
    <w:rsid w:val="45092945"/>
    <w:rsid w:val="450B0CB4"/>
    <w:rsid w:val="450B14B5"/>
    <w:rsid w:val="450C2F4F"/>
    <w:rsid w:val="450E2993"/>
    <w:rsid w:val="450E5E20"/>
    <w:rsid w:val="450E7246"/>
    <w:rsid w:val="4510562C"/>
    <w:rsid w:val="45126BE1"/>
    <w:rsid w:val="451304CA"/>
    <w:rsid w:val="45154347"/>
    <w:rsid w:val="4516518A"/>
    <w:rsid w:val="45190541"/>
    <w:rsid w:val="451A67D4"/>
    <w:rsid w:val="451B5679"/>
    <w:rsid w:val="451C7BB5"/>
    <w:rsid w:val="451E30A6"/>
    <w:rsid w:val="451F41BC"/>
    <w:rsid w:val="451F6F61"/>
    <w:rsid w:val="4521341D"/>
    <w:rsid w:val="4521530F"/>
    <w:rsid w:val="45216631"/>
    <w:rsid w:val="45240A83"/>
    <w:rsid w:val="45241EDD"/>
    <w:rsid w:val="45254A71"/>
    <w:rsid w:val="45264590"/>
    <w:rsid w:val="452803B1"/>
    <w:rsid w:val="452915C3"/>
    <w:rsid w:val="452B268D"/>
    <w:rsid w:val="452B494F"/>
    <w:rsid w:val="452C0D9A"/>
    <w:rsid w:val="452C50D4"/>
    <w:rsid w:val="452D1DC2"/>
    <w:rsid w:val="452F20BC"/>
    <w:rsid w:val="452F48F4"/>
    <w:rsid w:val="45316B49"/>
    <w:rsid w:val="45336150"/>
    <w:rsid w:val="4535632F"/>
    <w:rsid w:val="45356C2D"/>
    <w:rsid w:val="45366A52"/>
    <w:rsid w:val="453777D3"/>
    <w:rsid w:val="45392144"/>
    <w:rsid w:val="45393290"/>
    <w:rsid w:val="453B32C0"/>
    <w:rsid w:val="453E18DA"/>
    <w:rsid w:val="453F4E8C"/>
    <w:rsid w:val="4541586E"/>
    <w:rsid w:val="4542101B"/>
    <w:rsid w:val="4543683A"/>
    <w:rsid w:val="45452CD8"/>
    <w:rsid w:val="45456754"/>
    <w:rsid w:val="454607EE"/>
    <w:rsid w:val="454722BC"/>
    <w:rsid w:val="454722DA"/>
    <w:rsid w:val="454743B4"/>
    <w:rsid w:val="4548798E"/>
    <w:rsid w:val="454B01B7"/>
    <w:rsid w:val="454D2C91"/>
    <w:rsid w:val="454F0536"/>
    <w:rsid w:val="454F3AE7"/>
    <w:rsid w:val="4550369B"/>
    <w:rsid w:val="45527ACE"/>
    <w:rsid w:val="455476FF"/>
    <w:rsid w:val="45570C17"/>
    <w:rsid w:val="45575091"/>
    <w:rsid w:val="45580D55"/>
    <w:rsid w:val="455A0A95"/>
    <w:rsid w:val="455A25FC"/>
    <w:rsid w:val="455B4D16"/>
    <w:rsid w:val="455B6C5A"/>
    <w:rsid w:val="455C6204"/>
    <w:rsid w:val="456015FF"/>
    <w:rsid w:val="45602DDF"/>
    <w:rsid w:val="45641843"/>
    <w:rsid w:val="456A0921"/>
    <w:rsid w:val="456B603B"/>
    <w:rsid w:val="456B6944"/>
    <w:rsid w:val="456C7C5D"/>
    <w:rsid w:val="456D6A7E"/>
    <w:rsid w:val="456F2794"/>
    <w:rsid w:val="456F2991"/>
    <w:rsid w:val="45703022"/>
    <w:rsid w:val="45721E58"/>
    <w:rsid w:val="45726A0F"/>
    <w:rsid w:val="45772014"/>
    <w:rsid w:val="45772C66"/>
    <w:rsid w:val="457730D4"/>
    <w:rsid w:val="457953CC"/>
    <w:rsid w:val="457A04CB"/>
    <w:rsid w:val="457E584E"/>
    <w:rsid w:val="458118CB"/>
    <w:rsid w:val="4584400B"/>
    <w:rsid w:val="45894C40"/>
    <w:rsid w:val="458C1A14"/>
    <w:rsid w:val="458D0AB3"/>
    <w:rsid w:val="459013F9"/>
    <w:rsid w:val="45927B9E"/>
    <w:rsid w:val="459357E2"/>
    <w:rsid w:val="45936274"/>
    <w:rsid w:val="45941033"/>
    <w:rsid w:val="45941E41"/>
    <w:rsid w:val="45953097"/>
    <w:rsid w:val="45956777"/>
    <w:rsid w:val="45961716"/>
    <w:rsid w:val="459808CE"/>
    <w:rsid w:val="45984A28"/>
    <w:rsid w:val="45987076"/>
    <w:rsid w:val="459A1911"/>
    <w:rsid w:val="459C21D9"/>
    <w:rsid w:val="459C2AA4"/>
    <w:rsid w:val="45A07847"/>
    <w:rsid w:val="45A127FF"/>
    <w:rsid w:val="45A2210C"/>
    <w:rsid w:val="45A40FB1"/>
    <w:rsid w:val="45A444BB"/>
    <w:rsid w:val="45A50F6E"/>
    <w:rsid w:val="45A55DFD"/>
    <w:rsid w:val="45A874C4"/>
    <w:rsid w:val="45AA0617"/>
    <w:rsid w:val="45AB5409"/>
    <w:rsid w:val="45AD4CB1"/>
    <w:rsid w:val="45AD54B4"/>
    <w:rsid w:val="45AE01C2"/>
    <w:rsid w:val="45AE304E"/>
    <w:rsid w:val="45B02332"/>
    <w:rsid w:val="45B1671E"/>
    <w:rsid w:val="45B26A4B"/>
    <w:rsid w:val="45B279FC"/>
    <w:rsid w:val="45B47338"/>
    <w:rsid w:val="45B53C67"/>
    <w:rsid w:val="45B556A3"/>
    <w:rsid w:val="45BB10DA"/>
    <w:rsid w:val="45BC4EA8"/>
    <w:rsid w:val="45BD0F5F"/>
    <w:rsid w:val="45C14472"/>
    <w:rsid w:val="45C146A9"/>
    <w:rsid w:val="45C14BA3"/>
    <w:rsid w:val="45C1530F"/>
    <w:rsid w:val="45C1633F"/>
    <w:rsid w:val="45C34DD1"/>
    <w:rsid w:val="45C40201"/>
    <w:rsid w:val="45C40341"/>
    <w:rsid w:val="45C7444D"/>
    <w:rsid w:val="45C80749"/>
    <w:rsid w:val="45C82BC2"/>
    <w:rsid w:val="45C82C66"/>
    <w:rsid w:val="45C83899"/>
    <w:rsid w:val="45C84034"/>
    <w:rsid w:val="45C85647"/>
    <w:rsid w:val="45C86107"/>
    <w:rsid w:val="45C959E9"/>
    <w:rsid w:val="45CB1E22"/>
    <w:rsid w:val="45CF2101"/>
    <w:rsid w:val="45CF6DB3"/>
    <w:rsid w:val="45D054E1"/>
    <w:rsid w:val="45D135AF"/>
    <w:rsid w:val="45D21E38"/>
    <w:rsid w:val="45D317B9"/>
    <w:rsid w:val="45D43FEC"/>
    <w:rsid w:val="45D60A2D"/>
    <w:rsid w:val="45D66FD5"/>
    <w:rsid w:val="45D71D2E"/>
    <w:rsid w:val="45D95AA6"/>
    <w:rsid w:val="45DC4A98"/>
    <w:rsid w:val="45DC549E"/>
    <w:rsid w:val="45DD3DE5"/>
    <w:rsid w:val="45DD5596"/>
    <w:rsid w:val="45DE06F0"/>
    <w:rsid w:val="45DE2A01"/>
    <w:rsid w:val="45DE63A1"/>
    <w:rsid w:val="45DF5A0B"/>
    <w:rsid w:val="45E1645E"/>
    <w:rsid w:val="45E32C7A"/>
    <w:rsid w:val="45E40828"/>
    <w:rsid w:val="45E43B02"/>
    <w:rsid w:val="45E60F53"/>
    <w:rsid w:val="45E61119"/>
    <w:rsid w:val="45E618D3"/>
    <w:rsid w:val="45E73C44"/>
    <w:rsid w:val="45E87957"/>
    <w:rsid w:val="45E974E6"/>
    <w:rsid w:val="45EF5A76"/>
    <w:rsid w:val="45F310EC"/>
    <w:rsid w:val="45F50A94"/>
    <w:rsid w:val="45F71A29"/>
    <w:rsid w:val="45FB3C6E"/>
    <w:rsid w:val="45FF12D0"/>
    <w:rsid w:val="45FF70A1"/>
    <w:rsid w:val="46001285"/>
    <w:rsid w:val="4600191A"/>
    <w:rsid w:val="46004707"/>
    <w:rsid w:val="46007019"/>
    <w:rsid w:val="4602674D"/>
    <w:rsid w:val="460334B0"/>
    <w:rsid w:val="46036F48"/>
    <w:rsid w:val="4604541E"/>
    <w:rsid w:val="46055C0B"/>
    <w:rsid w:val="460674A4"/>
    <w:rsid w:val="46072613"/>
    <w:rsid w:val="46077DD3"/>
    <w:rsid w:val="460805E0"/>
    <w:rsid w:val="460828EC"/>
    <w:rsid w:val="46083505"/>
    <w:rsid w:val="46091BE1"/>
    <w:rsid w:val="4609762C"/>
    <w:rsid w:val="460A6625"/>
    <w:rsid w:val="460B74CD"/>
    <w:rsid w:val="460E351B"/>
    <w:rsid w:val="46101FFE"/>
    <w:rsid w:val="46102AF7"/>
    <w:rsid w:val="46106169"/>
    <w:rsid w:val="46115240"/>
    <w:rsid w:val="4612476D"/>
    <w:rsid w:val="461268C9"/>
    <w:rsid w:val="46130554"/>
    <w:rsid w:val="461A1F79"/>
    <w:rsid w:val="461B348E"/>
    <w:rsid w:val="461C46C5"/>
    <w:rsid w:val="461C4810"/>
    <w:rsid w:val="461D5D28"/>
    <w:rsid w:val="461D6CD9"/>
    <w:rsid w:val="461E126F"/>
    <w:rsid w:val="461F0DDC"/>
    <w:rsid w:val="461F72B0"/>
    <w:rsid w:val="46202E05"/>
    <w:rsid w:val="462110F8"/>
    <w:rsid w:val="46217FD9"/>
    <w:rsid w:val="46221B7D"/>
    <w:rsid w:val="46222FA9"/>
    <w:rsid w:val="462273A6"/>
    <w:rsid w:val="462417D4"/>
    <w:rsid w:val="46252190"/>
    <w:rsid w:val="4625486F"/>
    <w:rsid w:val="46255D37"/>
    <w:rsid w:val="46264B45"/>
    <w:rsid w:val="46285ED1"/>
    <w:rsid w:val="462B3D56"/>
    <w:rsid w:val="462D0B51"/>
    <w:rsid w:val="462D68B0"/>
    <w:rsid w:val="462E0A41"/>
    <w:rsid w:val="462E5DF2"/>
    <w:rsid w:val="462F341B"/>
    <w:rsid w:val="4631143E"/>
    <w:rsid w:val="46326935"/>
    <w:rsid w:val="4633134F"/>
    <w:rsid w:val="4633142C"/>
    <w:rsid w:val="46354D27"/>
    <w:rsid w:val="46366582"/>
    <w:rsid w:val="46385813"/>
    <w:rsid w:val="4639176A"/>
    <w:rsid w:val="463919FD"/>
    <w:rsid w:val="463B28A6"/>
    <w:rsid w:val="463B584D"/>
    <w:rsid w:val="463C3642"/>
    <w:rsid w:val="463D3184"/>
    <w:rsid w:val="463D4287"/>
    <w:rsid w:val="463E5FD1"/>
    <w:rsid w:val="463F2C45"/>
    <w:rsid w:val="464078D3"/>
    <w:rsid w:val="46407D1D"/>
    <w:rsid w:val="4642621B"/>
    <w:rsid w:val="46431172"/>
    <w:rsid w:val="464362AC"/>
    <w:rsid w:val="46437187"/>
    <w:rsid w:val="46447C39"/>
    <w:rsid w:val="4645313C"/>
    <w:rsid w:val="46457E85"/>
    <w:rsid w:val="464A2ECE"/>
    <w:rsid w:val="464C0148"/>
    <w:rsid w:val="464C5C65"/>
    <w:rsid w:val="464D790E"/>
    <w:rsid w:val="464E38D3"/>
    <w:rsid w:val="46502789"/>
    <w:rsid w:val="46505861"/>
    <w:rsid w:val="465157F5"/>
    <w:rsid w:val="465165F4"/>
    <w:rsid w:val="465455C2"/>
    <w:rsid w:val="46567874"/>
    <w:rsid w:val="46570A12"/>
    <w:rsid w:val="46577354"/>
    <w:rsid w:val="465810C1"/>
    <w:rsid w:val="465863B2"/>
    <w:rsid w:val="465925D5"/>
    <w:rsid w:val="46594003"/>
    <w:rsid w:val="465A2DAC"/>
    <w:rsid w:val="465B77B2"/>
    <w:rsid w:val="46601119"/>
    <w:rsid w:val="466323ED"/>
    <w:rsid w:val="4664755A"/>
    <w:rsid w:val="46674E60"/>
    <w:rsid w:val="466818B9"/>
    <w:rsid w:val="46681F4E"/>
    <w:rsid w:val="46690B4C"/>
    <w:rsid w:val="466A09F2"/>
    <w:rsid w:val="466B117A"/>
    <w:rsid w:val="466B25F0"/>
    <w:rsid w:val="467051E0"/>
    <w:rsid w:val="46711AB7"/>
    <w:rsid w:val="46754EEC"/>
    <w:rsid w:val="46756C2A"/>
    <w:rsid w:val="46763549"/>
    <w:rsid w:val="4676434E"/>
    <w:rsid w:val="4676641C"/>
    <w:rsid w:val="46773C51"/>
    <w:rsid w:val="467806A1"/>
    <w:rsid w:val="4678224A"/>
    <w:rsid w:val="46794B93"/>
    <w:rsid w:val="467B34B8"/>
    <w:rsid w:val="467B7496"/>
    <w:rsid w:val="467D36E0"/>
    <w:rsid w:val="467D4684"/>
    <w:rsid w:val="467E3C76"/>
    <w:rsid w:val="4682613E"/>
    <w:rsid w:val="468576A1"/>
    <w:rsid w:val="46875808"/>
    <w:rsid w:val="46892FE5"/>
    <w:rsid w:val="468A168B"/>
    <w:rsid w:val="468A4D8B"/>
    <w:rsid w:val="468D5764"/>
    <w:rsid w:val="46905E30"/>
    <w:rsid w:val="4694420F"/>
    <w:rsid w:val="46955074"/>
    <w:rsid w:val="46982087"/>
    <w:rsid w:val="469B18E1"/>
    <w:rsid w:val="469D09CE"/>
    <w:rsid w:val="469E4CE2"/>
    <w:rsid w:val="46A11EF3"/>
    <w:rsid w:val="46A16181"/>
    <w:rsid w:val="46A37312"/>
    <w:rsid w:val="46A4788D"/>
    <w:rsid w:val="46A630E6"/>
    <w:rsid w:val="46A71F68"/>
    <w:rsid w:val="46A73CB6"/>
    <w:rsid w:val="46A96281"/>
    <w:rsid w:val="46AB420A"/>
    <w:rsid w:val="46AE6F33"/>
    <w:rsid w:val="46AF3694"/>
    <w:rsid w:val="46B2348B"/>
    <w:rsid w:val="46B300A5"/>
    <w:rsid w:val="46B30DE6"/>
    <w:rsid w:val="46B34549"/>
    <w:rsid w:val="46B52C50"/>
    <w:rsid w:val="46B72338"/>
    <w:rsid w:val="46B94DB4"/>
    <w:rsid w:val="46BD426B"/>
    <w:rsid w:val="46BD4E1B"/>
    <w:rsid w:val="46BE150E"/>
    <w:rsid w:val="46BF536D"/>
    <w:rsid w:val="46C056B5"/>
    <w:rsid w:val="46C21D48"/>
    <w:rsid w:val="46C24A50"/>
    <w:rsid w:val="46C34279"/>
    <w:rsid w:val="46C71A07"/>
    <w:rsid w:val="46C75117"/>
    <w:rsid w:val="46C81311"/>
    <w:rsid w:val="46C8703F"/>
    <w:rsid w:val="46C96FC2"/>
    <w:rsid w:val="46C97FDC"/>
    <w:rsid w:val="46CE20F8"/>
    <w:rsid w:val="46CE59EE"/>
    <w:rsid w:val="46CE6FD6"/>
    <w:rsid w:val="46CF74D3"/>
    <w:rsid w:val="46D04E91"/>
    <w:rsid w:val="46D05BA6"/>
    <w:rsid w:val="46D06472"/>
    <w:rsid w:val="46D11EDF"/>
    <w:rsid w:val="46D67ADE"/>
    <w:rsid w:val="46D86895"/>
    <w:rsid w:val="46DC584E"/>
    <w:rsid w:val="46DD26B1"/>
    <w:rsid w:val="46E222D4"/>
    <w:rsid w:val="46E479CE"/>
    <w:rsid w:val="46E75CC4"/>
    <w:rsid w:val="46E929DB"/>
    <w:rsid w:val="46EA537B"/>
    <w:rsid w:val="46EA5436"/>
    <w:rsid w:val="46EB7AE7"/>
    <w:rsid w:val="46F04E55"/>
    <w:rsid w:val="46F06931"/>
    <w:rsid w:val="46F13959"/>
    <w:rsid w:val="46F4575B"/>
    <w:rsid w:val="46F54B2E"/>
    <w:rsid w:val="46F60169"/>
    <w:rsid w:val="46F85D21"/>
    <w:rsid w:val="46FA2178"/>
    <w:rsid w:val="46FC2FAC"/>
    <w:rsid w:val="46FC5C72"/>
    <w:rsid w:val="46FC7FA6"/>
    <w:rsid w:val="46FF4E27"/>
    <w:rsid w:val="47007F9E"/>
    <w:rsid w:val="47020AA9"/>
    <w:rsid w:val="4704055E"/>
    <w:rsid w:val="47064A3B"/>
    <w:rsid w:val="4707416C"/>
    <w:rsid w:val="47083DE6"/>
    <w:rsid w:val="470926F4"/>
    <w:rsid w:val="470A0334"/>
    <w:rsid w:val="470A4AA4"/>
    <w:rsid w:val="470A6245"/>
    <w:rsid w:val="470B249F"/>
    <w:rsid w:val="470B387B"/>
    <w:rsid w:val="470B3EAB"/>
    <w:rsid w:val="470B7AC5"/>
    <w:rsid w:val="470D2E28"/>
    <w:rsid w:val="470D3C59"/>
    <w:rsid w:val="470E70AC"/>
    <w:rsid w:val="470E70B3"/>
    <w:rsid w:val="47104667"/>
    <w:rsid w:val="47124454"/>
    <w:rsid w:val="471525D8"/>
    <w:rsid w:val="47170634"/>
    <w:rsid w:val="47172AAD"/>
    <w:rsid w:val="471747EC"/>
    <w:rsid w:val="471803A0"/>
    <w:rsid w:val="471B2853"/>
    <w:rsid w:val="471D2B6C"/>
    <w:rsid w:val="471D55EA"/>
    <w:rsid w:val="471E2976"/>
    <w:rsid w:val="471E3F32"/>
    <w:rsid w:val="471E7C15"/>
    <w:rsid w:val="47212B62"/>
    <w:rsid w:val="47222314"/>
    <w:rsid w:val="47226FD9"/>
    <w:rsid w:val="472312B9"/>
    <w:rsid w:val="47232A87"/>
    <w:rsid w:val="47233F39"/>
    <w:rsid w:val="47242666"/>
    <w:rsid w:val="47261F21"/>
    <w:rsid w:val="47263565"/>
    <w:rsid w:val="47276D20"/>
    <w:rsid w:val="47280293"/>
    <w:rsid w:val="4729004F"/>
    <w:rsid w:val="47293DA5"/>
    <w:rsid w:val="4729480B"/>
    <w:rsid w:val="472A1896"/>
    <w:rsid w:val="472C440A"/>
    <w:rsid w:val="472D6135"/>
    <w:rsid w:val="472D6192"/>
    <w:rsid w:val="472E3BD4"/>
    <w:rsid w:val="472E658B"/>
    <w:rsid w:val="472F66E6"/>
    <w:rsid w:val="47307948"/>
    <w:rsid w:val="47322E83"/>
    <w:rsid w:val="473236C0"/>
    <w:rsid w:val="47324754"/>
    <w:rsid w:val="47347438"/>
    <w:rsid w:val="4736707A"/>
    <w:rsid w:val="4737251B"/>
    <w:rsid w:val="47385DC1"/>
    <w:rsid w:val="47386761"/>
    <w:rsid w:val="47386BAA"/>
    <w:rsid w:val="473A4B86"/>
    <w:rsid w:val="473D1017"/>
    <w:rsid w:val="473E4ACF"/>
    <w:rsid w:val="4740402F"/>
    <w:rsid w:val="474156B1"/>
    <w:rsid w:val="474312E2"/>
    <w:rsid w:val="4743164D"/>
    <w:rsid w:val="47460F19"/>
    <w:rsid w:val="47473566"/>
    <w:rsid w:val="4748195D"/>
    <w:rsid w:val="47486A40"/>
    <w:rsid w:val="474904B3"/>
    <w:rsid w:val="47490A0A"/>
    <w:rsid w:val="474A631C"/>
    <w:rsid w:val="474A6C5C"/>
    <w:rsid w:val="474C4C0F"/>
    <w:rsid w:val="474E0FBA"/>
    <w:rsid w:val="474F17A4"/>
    <w:rsid w:val="4750080F"/>
    <w:rsid w:val="47503B46"/>
    <w:rsid w:val="475112F4"/>
    <w:rsid w:val="47515DF6"/>
    <w:rsid w:val="47531190"/>
    <w:rsid w:val="47546B7B"/>
    <w:rsid w:val="475640B0"/>
    <w:rsid w:val="47564ECF"/>
    <w:rsid w:val="47566CE0"/>
    <w:rsid w:val="47576E5A"/>
    <w:rsid w:val="47596E9F"/>
    <w:rsid w:val="475A075A"/>
    <w:rsid w:val="475A387A"/>
    <w:rsid w:val="475C0A15"/>
    <w:rsid w:val="475C4778"/>
    <w:rsid w:val="475F65C6"/>
    <w:rsid w:val="47617B01"/>
    <w:rsid w:val="47637130"/>
    <w:rsid w:val="47650004"/>
    <w:rsid w:val="476562A1"/>
    <w:rsid w:val="47670A64"/>
    <w:rsid w:val="47691C28"/>
    <w:rsid w:val="476B5E8C"/>
    <w:rsid w:val="476D46F8"/>
    <w:rsid w:val="476E1136"/>
    <w:rsid w:val="476F0470"/>
    <w:rsid w:val="4770676B"/>
    <w:rsid w:val="4772542D"/>
    <w:rsid w:val="477330D1"/>
    <w:rsid w:val="47733284"/>
    <w:rsid w:val="47733F9B"/>
    <w:rsid w:val="47737835"/>
    <w:rsid w:val="47744287"/>
    <w:rsid w:val="47761DE7"/>
    <w:rsid w:val="47771574"/>
    <w:rsid w:val="477817C0"/>
    <w:rsid w:val="477868A4"/>
    <w:rsid w:val="477908C9"/>
    <w:rsid w:val="47795AD5"/>
    <w:rsid w:val="477A0869"/>
    <w:rsid w:val="477A5CCA"/>
    <w:rsid w:val="477D1A11"/>
    <w:rsid w:val="477D340C"/>
    <w:rsid w:val="47811F51"/>
    <w:rsid w:val="47812409"/>
    <w:rsid w:val="478163F5"/>
    <w:rsid w:val="4782390C"/>
    <w:rsid w:val="47825986"/>
    <w:rsid w:val="47837521"/>
    <w:rsid w:val="47851B9E"/>
    <w:rsid w:val="4785723F"/>
    <w:rsid w:val="47866DF0"/>
    <w:rsid w:val="47882798"/>
    <w:rsid w:val="478A5DC7"/>
    <w:rsid w:val="478C7A02"/>
    <w:rsid w:val="478F0B12"/>
    <w:rsid w:val="478F42F1"/>
    <w:rsid w:val="478F7569"/>
    <w:rsid w:val="479313C2"/>
    <w:rsid w:val="47941C85"/>
    <w:rsid w:val="47957E84"/>
    <w:rsid w:val="4796116A"/>
    <w:rsid w:val="4796165F"/>
    <w:rsid w:val="47962E2F"/>
    <w:rsid w:val="47987600"/>
    <w:rsid w:val="47990E08"/>
    <w:rsid w:val="479937BD"/>
    <w:rsid w:val="479C455D"/>
    <w:rsid w:val="479D293A"/>
    <w:rsid w:val="479D3E1D"/>
    <w:rsid w:val="479D5BEC"/>
    <w:rsid w:val="479E02A3"/>
    <w:rsid w:val="47A0778B"/>
    <w:rsid w:val="47A17631"/>
    <w:rsid w:val="47A4553E"/>
    <w:rsid w:val="47A51084"/>
    <w:rsid w:val="47A6256A"/>
    <w:rsid w:val="47A730DA"/>
    <w:rsid w:val="47A81443"/>
    <w:rsid w:val="47A92109"/>
    <w:rsid w:val="47AA462F"/>
    <w:rsid w:val="47AB122F"/>
    <w:rsid w:val="47AD679B"/>
    <w:rsid w:val="47AF542D"/>
    <w:rsid w:val="47AF6964"/>
    <w:rsid w:val="47B0454D"/>
    <w:rsid w:val="47B06222"/>
    <w:rsid w:val="47B164F6"/>
    <w:rsid w:val="47B16554"/>
    <w:rsid w:val="47B372EB"/>
    <w:rsid w:val="47B50951"/>
    <w:rsid w:val="47B5615A"/>
    <w:rsid w:val="47B72927"/>
    <w:rsid w:val="47B90E8F"/>
    <w:rsid w:val="47B972A2"/>
    <w:rsid w:val="47BB7667"/>
    <w:rsid w:val="47BD5F4A"/>
    <w:rsid w:val="47BD607E"/>
    <w:rsid w:val="47BE1FA0"/>
    <w:rsid w:val="47BE2FB0"/>
    <w:rsid w:val="47BE5D7A"/>
    <w:rsid w:val="47BF4397"/>
    <w:rsid w:val="47C13ED6"/>
    <w:rsid w:val="47C33ACC"/>
    <w:rsid w:val="47C4152E"/>
    <w:rsid w:val="47C50090"/>
    <w:rsid w:val="47C56820"/>
    <w:rsid w:val="47C62904"/>
    <w:rsid w:val="47C81667"/>
    <w:rsid w:val="47C90257"/>
    <w:rsid w:val="47CD027C"/>
    <w:rsid w:val="47CE7525"/>
    <w:rsid w:val="47D00E1C"/>
    <w:rsid w:val="47D04630"/>
    <w:rsid w:val="47D22934"/>
    <w:rsid w:val="47D231D1"/>
    <w:rsid w:val="47D2400B"/>
    <w:rsid w:val="47D430C4"/>
    <w:rsid w:val="47D46AAB"/>
    <w:rsid w:val="47D66CF1"/>
    <w:rsid w:val="47DD2B18"/>
    <w:rsid w:val="47DD41BD"/>
    <w:rsid w:val="47DF28E0"/>
    <w:rsid w:val="47DF324C"/>
    <w:rsid w:val="47E040E7"/>
    <w:rsid w:val="47E32174"/>
    <w:rsid w:val="47E349BA"/>
    <w:rsid w:val="47E84382"/>
    <w:rsid w:val="47E86474"/>
    <w:rsid w:val="47EB5613"/>
    <w:rsid w:val="47EB729C"/>
    <w:rsid w:val="47EB7EA4"/>
    <w:rsid w:val="47ED61C2"/>
    <w:rsid w:val="47EE2EA3"/>
    <w:rsid w:val="47F02F12"/>
    <w:rsid w:val="47F10A2F"/>
    <w:rsid w:val="47F11C55"/>
    <w:rsid w:val="47F464A4"/>
    <w:rsid w:val="47FB04FC"/>
    <w:rsid w:val="47FB2F15"/>
    <w:rsid w:val="47FD762E"/>
    <w:rsid w:val="47FE19DE"/>
    <w:rsid w:val="47FE4A26"/>
    <w:rsid w:val="47FF6805"/>
    <w:rsid w:val="48020C75"/>
    <w:rsid w:val="4803179E"/>
    <w:rsid w:val="48044689"/>
    <w:rsid w:val="48052B82"/>
    <w:rsid w:val="48081842"/>
    <w:rsid w:val="480B7FF5"/>
    <w:rsid w:val="480D1AD1"/>
    <w:rsid w:val="480D406B"/>
    <w:rsid w:val="480D5362"/>
    <w:rsid w:val="480E25A0"/>
    <w:rsid w:val="481126C8"/>
    <w:rsid w:val="48117779"/>
    <w:rsid w:val="4812145F"/>
    <w:rsid w:val="48130E41"/>
    <w:rsid w:val="48135400"/>
    <w:rsid w:val="48135B10"/>
    <w:rsid w:val="48135EFD"/>
    <w:rsid w:val="48136DEF"/>
    <w:rsid w:val="48145C5A"/>
    <w:rsid w:val="48152D9E"/>
    <w:rsid w:val="481608EC"/>
    <w:rsid w:val="48183BD7"/>
    <w:rsid w:val="481946FE"/>
    <w:rsid w:val="481A34DB"/>
    <w:rsid w:val="481A7D3C"/>
    <w:rsid w:val="481D04F3"/>
    <w:rsid w:val="481D3B60"/>
    <w:rsid w:val="481E3C44"/>
    <w:rsid w:val="48204769"/>
    <w:rsid w:val="4821352A"/>
    <w:rsid w:val="48247FDA"/>
    <w:rsid w:val="48253225"/>
    <w:rsid w:val="4827552F"/>
    <w:rsid w:val="482777E3"/>
    <w:rsid w:val="4829173E"/>
    <w:rsid w:val="482A0ED2"/>
    <w:rsid w:val="482A6076"/>
    <w:rsid w:val="482B08A5"/>
    <w:rsid w:val="482B6CCE"/>
    <w:rsid w:val="482D3841"/>
    <w:rsid w:val="48311BC9"/>
    <w:rsid w:val="48313466"/>
    <w:rsid w:val="48313A8F"/>
    <w:rsid w:val="48321EB2"/>
    <w:rsid w:val="483248F6"/>
    <w:rsid w:val="48327DEC"/>
    <w:rsid w:val="48362D3C"/>
    <w:rsid w:val="4838471C"/>
    <w:rsid w:val="48390E19"/>
    <w:rsid w:val="48393976"/>
    <w:rsid w:val="483A29AB"/>
    <w:rsid w:val="483B65A4"/>
    <w:rsid w:val="483E5E79"/>
    <w:rsid w:val="4840053C"/>
    <w:rsid w:val="48407471"/>
    <w:rsid w:val="4840749F"/>
    <w:rsid w:val="48413B54"/>
    <w:rsid w:val="484206E1"/>
    <w:rsid w:val="48420BDC"/>
    <w:rsid w:val="484271F4"/>
    <w:rsid w:val="48446027"/>
    <w:rsid w:val="484638AC"/>
    <w:rsid w:val="484641FC"/>
    <w:rsid w:val="48473486"/>
    <w:rsid w:val="484C204C"/>
    <w:rsid w:val="484C75B7"/>
    <w:rsid w:val="484D1150"/>
    <w:rsid w:val="484D1E02"/>
    <w:rsid w:val="484E36AF"/>
    <w:rsid w:val="484E73B1"/>
    <w:rsid w:val="484F3A44"/>
    <w:rsid w:val="48502F6F"/>
    <w:rsid w:val="485126C9"/>
    <w:rsid w:val="48515DC8"/>
    <w:rsid w:val="48515E8C"/>
    <w:rsid w:val="4854029F"/>
    <w:rsid w:val="48540412"/>
    <w:rsid w:val="48552E84"/>
    <w:rsid w:val="48574D4B"/>
    <w:rsid w:val="48593FCD"/>
    <w:rsid w:val="485B6C46"/>
    <w:rsid w:val="485F62FE"/>
    <w:rsid w:val="48600259"/>
    <w:rsid w:val="486251EA"/>
    <w:rsid w:val="48630D4D"/>
    <w:rsid w:val="48637706"/>
    <w:rsid w:val="48647B4F"/>
    <w:rsid w:val="486C7D0F"/>
    <w:rsid w:val="486C7E4A"/>
    <w:rsid w:val="486E0FF2"/>
    <w:rsid w:val="486F6008"/>
    <w:rsid w:val="48790E7B"/>
    <w:rsid w:val="487A075D"/>
    <w:rsid w:val="487A2306"/>
    <w:rsid w:val="487C00B9"/>
    <w:rsid w:val="487C04D9"/>
    <w:rsid w:val="487C783D"/>
    <w:rsid w:val="487D1B31"/>
    <w:rsid w:val="487E1A93"/>
    <w:rsid w:val="48816B9E"/>
    <w:rsid w:val="48817320"/>
    <w:rsid w:val="48822D9A"/>
    <w:rsid w:val="488351EA"/>
    <w:rsid w:val="48845933"/>
    <w:rsid w:val="48856A21"/>
    <w:rsid w:val="48857174"/>
    <w:rsid w:val="48861F15"/>
    <w:rsid w:val="48872EF9"/>
    <w:rsid w:val="48875243"/>
    <w:rsid w:val="488776D7"/>
    <w:rsid w:val="48880377"/>
    <w:rsid w:val="48897310"/>
    <w:rsid w:val="488B61BE"/>
    <w:rsid w:val="488B62F3"/>
    <w:rsid w:val="488B6834"/>
    <w:rsid w:val="488D5BB3"/>
    <w:rsid w:val="48900CE7"/>
    <w:rsid w:val="4890319F"/>
    <w:rsid w:val="489130C1"/>
    <w:rsid w:val="489265E7"/>
    <w:rsid w:val="4895552F"/>
    <w:rsid w:val="4898385E"/>
    <w:rsid w:val="489A57C8"/>
    <w:rsid w:val="489B5A9B"/>
    <w:rsid w:val="489C0B4D"/>
    <w:rsid w:val="489C4169"/>
    <w:rsid w:val="489D6486"/>
    <w:rsid w:val="48A5572C"/>
    <w:rsid w:val="48AB7A33"/>
    <w:rsid w:val="48AD7025"/>
    <w:rsid w:val="48B01D2B"/>
    <w:rsid w:val="48B068AC"/>
    <w:rsid w:val="48B13A9E"/>
    <w:rsid w:val="48B14397"/>
    <w:rsid w:val="48B20DB9"/>
    <w:rsid w:val="48B40105"/>
    <w:rsid w:val="48B44F4A"/>
    <w:rsid w:val="48B475D6"/>
    <w:rsid w:val="48B6136C"/>
    <w:rsid w:val="48B62656"/>
    <w:rsid w:val="48B63E7D"/>
    <w:rsid w:val="48BC0AC0"/>
    <w:rsid w:val="48BD34D6"/>
    <w:rsid w:val="48BD65E6"/>
    <w:rsid w:val="48BF0F83"/>
    <w:rsid w:val="48C04CC4"/>
    <w:rsid w:val="48C04CFB"/>
    <w:rsid w:val="48C22822"/>
    <w:rsid w:val="48C355FC"/>
    <w:rsid w:val="48C400DF"/>
    <w:rsid w:val="48C40E4F"/>
    <w:rsid w:val="48C42A3E"/>
    <w:rsid w:val="48C50562"/>
    <w:rsid w:val="48C91E02"/>
    <w:rsid w:val="48C9414A"/>
    <w:rsid w:val="48CA3DC5"/>
    <w:rsid w:val="48CC1253"/>
    <w:rsid w:val="48CE11C6"/>
    <w:rsid w:val="48CF6406"/>
    <w:rsid w:val="48D22339"/>
    <w:rsid w:val="48D32C95"/>
    <w:rsid w:val="48D3302F"/>
    <w:rsid w:val="48D3748B"/>
    <w:rsid w:val="48D46B7F"/>
    <w:rsid w:val="48D549C5"/>
    <w:rsid w:val="48D557CE"/>
    <w:rsid w:val="48D60AB8"/>
    <w:rsid w:val="48D71BD5"/>
    <w:rsid w:val="48D72771"/>
    <w:rsid w:val="48D766C0"/>
    <w:rsid w:val="48D94EB3"/>
    <w:rsid w:val="48DA77D0"/>
    <w:rsid w:val="48DC67DE"/>
    <w:rsid w:val="48DE4B3F"/>
    <w:rsid w:val="48DE7934"/>
    <w:rsid w:val="48E320F3"/>
    <w:rsid w:val="48E5074C"/>
    <w:rsid w:val="48E757AA"/>
    <w:rsid w:val="48E819CF"/>
    <w:rsid w:val="48E82098"/>
    <w:rsid w:val="48EA092F"/>
    <w:rsid w:val="48EA6DC0"/>
    <w:rsid w:val="48EF18FF"/>
    <w:rsid w:val="48F232F1"/>
    <w:rsid w:val="48F23CDB"/>
    <w:rsid w:val="48F6071D"/>
    <w:rsid w:val="48F75C30"/>
    <w:rsid w:val="48F9109C"/>
    <w:rsid w:val="48F9530B"/>
    <w:rsid w:val="48FB2111"/>
    <w:rsid w:val="48FB27F0"/>
    <w:rsid w:val="48FB2AC8"/>
    <w:rsid w:val="48FC1950"/>
    <w:rsid w:val="48FC3319"/>
    <w:rsid w:val="48FF016C"/>
    <w:rsid w:val="48FF36FD"/>
    <w:rsid w:val="48FF5823"/>
    <w:rsid w:val="4900018B"/>
    <w:rsid w:val="49042E3A"/>
    <w:rsid w:val="490513AD"/>
    <w:rsid w:val="490573DD"/>
    <w:rsid w:val="49061C83"/>
    <w:rsid w:val="49092801"/>
    <w:rsid w:val="490A679B"/>
    <w:rsid w:val="490C2778"/>
    <w:rsid w:val="490C3235"/>
    <w:rsid w:val="490D53F8"/>
    <w:rsid w:val="490E2D81"/>
    <w:rsid w:val="490F4313"/>
    <w:rsid w:val="491164F6"/>
    <w:rsid w:val="49125CF3"/>
    <w:rsid w:val="49127246"/>
    <w:rsid w:val="491700A5"/>
    <w:rsid w:val="49172B6D"/>
    <w:rsid w:val="49197772"/>
    <w:rsid w:val="491A2CAB"/>
    <w:rsid w:val="491B75CE"/>
    <w:rsid w:val="49204989"/>
    <w:rsid w:val="49226976"/>
    <w:rsid w:val="49240B39"/>
    <w:rsid w:val="49240C48"/>
    <w:rsid w:val="49246A8D"/>
    <w:rsid w:val="49271746"/>
    <w:rsid w:val="49281601"/>
    <w:rsid w:val="49283E1A"/>
    <w:rsid w:val="49284D7B"/>
    <w:rsid w:val="49286805"/>
    <w:rsid w:val="492B1DE4"/>
    <w:rsid w:val="492C2E5D"/>
    <w:rsid w:val="492C5AC5"/>
    <w:rsid w:val="49303C2F"/>
    <w:rsid w:val="49322C5B"/>
    <w:rsid w:val="49324FF0"/>
    <w:rsid w:val="49357497"/>
    <w:rsid w:val="493B1763"/>
    <w:rsid w:val="493C2B62"/>
    <w:rsid w:val="493D4947"/>
    <w:rsid w:val="493D5513"/>
    <w:rsid w:val="493D570E"/>
    <w:rsid w:val="493E6E64"/>
    <w:rsid w:val="493F512F"/>
    <w:rsid w:val="49431BB4"/>
    <w:rsid w:val="49462949"/>
    <w:rsid w:val="494767BD"/>
    <w:rsid w:val="49477BAB"/>
    <w:rsid w:val="4948541D"/>
    <w:rsid w:val="49487AE0"/>
    <w:rsid w:val="494924D4"/>
    <w:rsid w:val="49494CF1"/>
    <w:rsid w:val="494F6F6F"/>
    <w:rsid w:val="49507A41"/>
    <w:rsid w:val="4951444D"/>
    <w:rsid w:val="49530C3D"/>
    <w:rsid w:val="495338C3"/>
    <w:rsid w:val="4953791E"/>
    <w:rsid w:val="495452AB"/>
    <w:rsid w:val="495537E0"/>
    <w:rsid w:val="4959554E"/>
    <w:rsid w:val="495A3107"/>
    <w:rsid w:val="495B27B5"/>
    <w:rsid w:val="495B2C95"/>
    <w:rsid w:val="495B5171"/>
    <w:rsid w:val="495C2C76"/>
    <w:rsid w:val="495C59E9"/>
    <w:rsid w:val="495D15DC"/>
    <w:rsid w:val="495E3293"/>
    <w:rsid w:val="495F66D2"/>
    <w:rsid w:val="495F7590"/>
    <w:rsid w:val="49604C76"/>
    <w:rsid w:val="49631D1E"/>
    <w:rsid w:val="49641B2B"/>
    <w:rsid w:val="496541A2"/>
    <w:rsid w:val="49664224"/>
    <w:rsid w:val="49665A81"/>
    <w:rsid w:val="49682D8B"/>
    <w:rsid w:val="49692EE5"/>
    <w:rsid w:val="496A215F"/>
    <w:rsid w:val="496C4368"/>
    <w:rsid w:val="496F0BFB"/>
    <w:rsid w:val="496F377F"/>
    <w:rsid w:val="49701AE3"/>
    <w:rsid w:val="497020EA"/>
    <w:rsid w:val="497211EE"/>
    <w:rsid w:val="497520F7"/>
    <w:rsid w:val="497555B5"/>
    <w:rsid w:val="49766D2C"/>
    <w:rsid w:val="4977185E"/>
    <w:rsid w:val="4977360C"/>
    <w:rsid w:val="497A6A13"/>
    <w:rsid w:val="497F0E43"/>
    <w:rsid w:val="497F1DAA"/>
    <w:rsid w:val="497F7633"/>
    <w:rsid w:val="49803317"/>
    <w:rsid w:val="49820121"/>
    <w:rsid w:val="498203FE"/>
    <w:rsid w:val="4982047B"/>
    <w:rsid w:val="498316DB"/>
    <w:rsid w:val="498520AB"/>
    <w:rsid w:val="498663B9"/>
    <w:rsid w:val="49867CF3"/>
    <w:rsid w:val="49880580"/>
    <w:rsid w:val="49883BD1"/>
    <w:rsid w:val="4988748B"/>
    <w:rsid w:val="49892CAC"/>
    <w:rsid w:val="498A08F7"/>
    <w:rsid w:val="498C36CB"/>
    <w:rsid w:val="498D0841"/>
    <w:rsid w:val="498D7075"/>
    <w:rsid w:val="49900B72"/>
    <w:rsid w:val="49905205"/>
    <w:rsid w:val="4990782C"/>
    <w:rsid w:val="499246FF"/>
    <w:rsid w:val="49930E1F"/>
    <w:rsid w:val="49932115"/>
    <w:rsid w:val="49952BFE"/>
    <w:rsid w:val="49953BD4"/>
    <w:rsid w:val="49967064"/>
    <w:rsid w:val="49985037"/>
    <w:rsid w:val="4998758F"/>
    <w:rsid w:val="4999531C"/>
    <w:rsid w:val="49997257"/>
    <w:rsid w:val="499B01EF"/>
    <w:rsid w:val="499B66D1"/>
    <w:rsid w:val="499C5030"/>
    <w:rsid w:val="499C5F2F"/>
    <w:rsid w:val="49A325B3"/>
    <w:rsid w:val="49A43F3C"/>
    <w:rsid w:val="49A62143"/>
    <w:rsid w:val="49A8294B"/>
    <w:rsid w:val="49A86F36"/>
    <w:rsid w:val="49AB03A1"/>
    <w:rsid w:val="49AC05F5"/>
    <w:rsid w:val="49AC2D5E"/>
    <w:rsid w:val="49AD5AB1"/>
    <w:rsid w:val="49B07322"/>
    <w:rsid w:val="49B52C28"/>
    <w:rsid w:val="49B54586"/>
    <w:rsid w:val="49B66B9D"/>
    <w:rsid w:val="49B72FF8"/>
    <w:rsid w:val="49B81B9F"/>
    <w:rsid w:val="49B82B8F"/>
    <w:rsid w:val="49B833B3"/>
    <w:rsid w:val="49B838D7"/>
    <w:rsid w:val="49BC1A6E"/>
    <w:rsid w:val="49BF3E9A"/>
    <w:rsid w:val="49BF4ECD"/>
    <w:rsid w:val="49BF5567"/>
    <w:rsid w:val="49C10D2B"/>
    <w:rsid w:val="49C11C0E"/>
    <w:rsid w:val="49C20808"/>
    <w:rsid w:val="49C21444"/>
    <w:rsid w:val="49C34E42"/>
    <w:rsid w:val="49C46DAC"/>
    <w:rsid w:val="49C87C66"/>
    <w:rsid w:val="49CB65E7"/>
    <w:rsid w:val="49CB71B4"/>
    <w:rsid w:val="49CD0E85"/>
    <w:rsid w:val="49CD147E"/>
    <w:rsid w:val="49CF0C91"/>
    <w:rsid w:val="49CF27E6"/>
    <w:rsid w:val="49D04E1F"/>
    <w:rsid w:val="49D17445"/>
    <w:rsid w:val="49D17A92"/>
    <w:rsid w:val="49D252FF"/>
    <w:rsid w:val="49D6755D"/>
    <w:rsid w:val="49D7060F"/>
    <w:rsid w:val="49D84A41"/>
    <w:rsid w:val="49D9361E"/>
    <w:rsid w:val="49D942C7"/>
    <w:rsid w:val="49D97E23"/>
    <w:rsid w:val="49DC3D54"/>
    <w:rsid w:val="49DE3E93"/>
    <w:rsid w:val="49DF30B2"/>
    <w:rsid w:val="49DF4D80"/>
    <w:rsid w:val="49DF6875"/>
    <w:rsid w:val="49E113CD"/>
    <w:rsid w:val="49E14F29"/>
    <w:rsid w:val="49E2480C"/>
    <w:rsid w:val="49E35378"/>
    <w:rsid w:val="49E53B80"/>
    <w:rsid w:val="49E85EBA"/>
    <w:rsid w:val="49E97107"/>
    <w:rsid w:val="49EF336E"/>
    <w:rsid w:val="49EF5D1C"/>
    <w:rsid w:val="49F00D71"/>
    <w:rsid w:val="49F31DF1"/>
    <w:rsid w:val="49F3676E"/>
    <w:rsid w:val="49F41039"/>
    <w:rsid w:val="49F45D13"/>
    <w:rsid w:val="49F86B3A"/>
    <w:rsid w:val="49FC7A95"/>
    <w:rsid w:val="49FD3DF1"/>
    <w:rsid w:val="4A010AC3"/>
    <w:rsid w:val="4A020EDA"/>
    <w:rsid w:val="4A031344"/>
    <w:rsid w:val="4A063BD5"/>
    <w:rsid w:val="4A06662F"/>
    <w:rsid w:val="4A08695A"/>
    <w:rsid w:val="4A0C6405"/>
    <w:rsid w:val="4A0D3F70"/>
    <w:rsid w:val="4A0D5D1E"/>
    <w:rsid w:val="4A0E3EA2"/>
    <w:rsid w:val="4A0E6E11"/>
    <w:rsid w:val="4A12383F"/>
    <w:rsid w:val="4A143D56"/>
    <w:rsid w:val="4A154A9B"/>
    <w:rsid w:val="4A157618"/>
    <w:rsid w:val="4A164149"/>
    <w:rsid w:val="4A164460"/>
    <w:rsid w:val="4A172FED"/>
    <w:rsid w:val="4A182424"/>
    <w:rsid w:val="4A183041"/>
    <w:rsid w:val="4A1B4F2E"/>
    <w:rsid w:val="4A1B6691"/>
    <w:rsid w:val="4A1D5DE6"/>
    <w:rsid w:val="4A1E6D76"/>
    <w:rsid w:val="4A205A52"/>
    <w:rsid w:val="4A211429"/>
    <w:rsid w:val="4A2164F5"/>
    <w:rsid w:val="4A2222C5"/>
    <w:rsid w:val="4A24004A"/>
    <w:rsid w:val="4A270867"/>
    <w:rsid w:val="4A286D71"/>
    <w:rsid w:val="4A29412A"/>
    <w:rsid w:val="4A295066"/>
    <w:rsid w:val="4A2952BF"/>
    <w:rsid w:val="4A296BD1"/>
    <w:rsid w:val="4A297504"/>
    <w:rsid w:val="4A2F74B8"/>
    <w:rsid w:val="4A3140EE"/>
    <w:rsid w:val="4A3301B9"/>
    <w:rsid w:val="4A346EA4"/>
    <w:rsid w:val="4A34774F"/>
    <w:rsid w:val="4A3603A2"/>
    <w:rsid w:val="4A36129B"/>
    <w:rsid w:val="4A371981"/>
    <w:rsid w:val="4A3A11E3"/>
    <w:rsid w:val="4A3D4856"/>
    <w:rsid w:val="4A3E4A22"/>
    <w:rsid w:val="4A3F0F31"/>
    <w:rsid w:val="4A41081B"/>
    <w:rsid w:val="4A434DCA"/>
    <w:rsid w:val="4A437992"/>
    <w:rsid w:val="4A49144C"/>
    <w:rsid w:val="4A4B47F6"/>
    <w:rsid w:val="4A4C28AF"/>
    <w:rsid w:val="4A4C28BB"/>
    <w:rsid w:val="4A4D400F"/>
    <w:rsid w:val="4A4E6A63"/>
    <w:rsid w:val="4A4F226C"/>
    <w:rsid w:val="4A4F57F1"/>
    <w:rsid w:val="4A504D0E"/>
    <w:rsid w:val="4A511EB4"/>
    <w:rsid w:val="4A512DD0"/>
    <w:rsid w:val="4A527F45"/>
    <w:rsid w:val="4A543776"/>
    <w:rsid w:val="4A54394D"/>
    <w:rsid w:val="4A557611"/>
    <w:rsid w:val="4A56032E"/>
    <w:rsid w:val="4A57221E"/>
    <w:rsid w:val="4A5736C6"/>
    <w:rsid w:val="4A585057"/>
    <w:rsid w:val="4A5A64FF"/>
    <w:rsid w:val="4A5A771A"/>
    <w:rsid w:val="4A5B2184"/>
    <w:rsid w:val="4A5B74EE"/>
    <w:rsid w:val="4A602075"/>
    <w:rsid w:val="4A6069F6"/>
    <w:rsid w:val="4A631061"/>
    <w:rsid w:val="4A644955"/>
    <w:rsid w:val="4A645D4B"/>
    <w:rsid w:val="4A654E8F"/>
    <w:rsid w:val="4A657717"/>
    <w:rsid w:val="4A68198C"/>
    <w:rsid w:val="4A683EDB"/>
    <w:rsid w:val="4A6B3C0E"/>
    <w:rsid w:val="4A6C2776"/>
    <w:rsid w:val="4A6F4C4D"/>
    <w:rsid w:val="4A7123CF"/>
    <w:rsid w:val="4A71390E"/>
    <w:rsid w:val="4A723E32"/>
    <w:rsid w:val="4A733AAE"/>
    <w:rsid w:val="4A7463FF"/>
    <w:rsid w:val="4A7470B5"/>
    <w:rsid w:val="4A761B16"/>
    <w:rsid w:val="4A767D68"/>
    <w:rsid w:val="4A783AE0"/>
    <w:rsid w:val="4A7A4A44"/>
    <w:rsid w:val="4A7E391C"/>
    <w:rsid w:val="4A802863"/>
    <w:rsid w:val="4A805944"/>
    <w:rsid w:val="4A806344"/>
    <w:rsid w:val="4A807682"/>
    <w:rsid w:val="4A842FF6"/>
    <w:rsid w:val="4A853DAC"/>
    <w:rsid w:val="4A874006"/>
    <w:rsid w:val="4A8A3011"/>
    <w:rsid w:val="4A8A7BFD"/>
    <w:rsid w:val="4A8B1C82"/>
    <w:rsid w:val="4A8B3252"/>
    <w:rsid w:val="4A8B709D"/>
    <w:rsid w:val="4A8D28A2"/>
    <w:rsid w:val="4A8D6256"/>
    <w:rsid w:val="4A8E23D3"/>
    <w:rsid w:val="4A8E44B9"/>
    <w:rsid w:val="4A907543"/>
    <w:rsid w:val="4A9156AF"/>
    <w:rsid w:val="4A945738"/>
    <w:rsid w:val="4A961CF5"/>
    <w:rsid w:val="4A975B98"/>
    <w:rsid w:val="4A981C28"/>
    <w:rsid w:val="4A98610D"/>
    <w:rsid w:val="4A993F9C"/>
    <w:rsid w:val="4A995E76"/>
    <w:rsid w:val="4A9B272A"/>
    <w:rsid w:val="4A9B787A"/>
    <w:rsid w:val="4A9F6A02"/>
    <w:rsid w:val="4AA11B13"/>
    <w:rsid w:val="4AA20B5D"/>
    <w:rsid w:val="4AA30431"/>
    <w:rsid w:val="4AA32D55"/>
    <w:rsid w:val="4AA541A9"/>
    <w:rsid w:val="4AAA3F43"/>
    <w:rsid w:val="4AAA45CB"/>
    <w:rsid w:val="4AAA5C63"/>
    <w:rsid w:val="4AAB4E1B"/>
    <w:rsid w:val="4AAD7A07"/>
    <w:rsid w:val="4AAE12AF"/>
    <w:rsid w:val="4AAF391C"/>
    <w:rsid w:val="4AB039E7"/>
    <w:rsid w:val="4AB10824"/>
    <w:rsid w:val="4AB14BF9"/>
    <w:rsid w:val="4AB2002F"/>
    <w:rsid w:val="4AB207FC"/>
    <w:rsid w:val="4AB37F71"/>
    <w:rsid w:val="4AB4661C"/>
    <w:rsid w:val="4AB544AA"/>
    <w:rsid w:val="4AB74178"/>
    <w:rsid w:val="4AB809E6"/>
    <w:rsid w:val="4AB80C2D"/>
    <w:rsid w:val="4ABA2E1D"/>
    <w:rsid w:val="4ABB1C1E"/>
    <w:rsid w:val="4ABB39CC"/>
    <w:rsid w:val="4ABC06D3"/>
    <w:rsid w:val="4ABC7E17"/>
    <w:rsid w:val="4ABD5996"/>
    <w:rsid w:val="4ABE25DA"/>
    <w:rsid w:val="4AC15993"/>
    <w:rsid w:val="4AC22215"/>
    <w:rsid w:val="4AC26B09"/>
    <w:rsid w:val="4AC70F4C"/>
    <w:rsid w:val="4AC75478"/>
    <w:rsid w:val="4AC9166F"/>
    <w:rsid w:val="4AC929FC"/>
    <w:rsid w:val="4ACB17B9"/>
    <w:rsid w:val="4ACC2559"/>
    <w:rsid w:val="4ACC6C2B"/>
    <w:rsid w:val="4ACE1C73"/>
    <w:rsid w:val="4AD0171C"/>
    <w:rsid w:val="4AD24E3F"/>
    <w:rsid w:val="4AD357F9"/>
    <w:rsid w:val="4AD55311"/>
    <w:rsid w:val="4AD5554B"/>
    <w:rsid w:val="4AD55B10"/>
    <w:rsid w:val="4AD61A3C"/>
    <w:rsid w:val="4AD70707"/>
    <w:rsid w:val="4AD77D28"/>
    <w:rsid w:val="4AD86A6C"/>
    <w:rsid w:val="4AD91813"/>
    <w:rsid w:val="4AD92B34"/>
    <w:rsid w:val="4ADA11A0"/>
    <w:rsid w:val="4ADA15E9"/>
    <w:rsid w:val="4ADB7F1B"/>
    <w:rsid w:val="4ADD7DE7"/>
    <w:rsid w:val="4ADE17FE"/>
    <w:rsid w:val="4ADE1A8F"/>
    <w:rsid w:val="4ADE70C1"/>
    <w:rsid w:val="4ADF3B5F"/>
    <w:rsid w:val="4AE01EE0"/>
    <w:rsid w:val="4AE1417A"/>
    <w:rsid w:val="4AE234A2"/>
    <w:rsid w:val="4AE32FD2"/>
    <w:rsid w:val="4AE341BF"/>
    <w:rsid w:val="4AE42916"/>
    <w:rsid w:val="4AE452F9"/>
    <w:rsid w:val="4AE5288A"/>
    <w:rsid w:val="4AE6632C"/>
    <w:rsid w:val="4AE66C9B"/>
    <w:rsid w:val="4AE74C33"/>
    <w:rsid w:val="4AE85DD1"/>
    <w:rsid w:val="4AE865D9"/>
    <w:rsid w:val="4AEF0EBE"/>
    <w:rsid w:val="4AF31149"/>
    <w:rsid w:val="4AF377AE"/>
    <w:rsid w:val="4AFC1298"/>
    <w:rsid w:val="4AFC12A2"/>
    <w:rsid w:val="4AFC4AD3"/>
    <w:rsid w:val="4AFC77AB"/>
    <w:rsid w:val="4AFD326F"/>
    <w:rsid w:val="4AFE550C"/>
    <w:rsid w:val="4AFE5971"/>
    <w:rsid w:val="4B0141C0"/>
    <w:rsid w:val="4B0240F8"/>
    <w:rsid w:val="4B027548"/>
    <w:rsid w:val="4B027E16"/>
    <w:rsid w:val="4B031080"/>
    <w:rsid w:val="4B031EF8"/>
    <w:rsid w:val="4B0340A4"/>
    <w:rsid w:val="4B09298A"/>
    <w:rsid w:val="4B0940A8"/>
    <w:rsid w:val="4B097D05"/>
    <w:rsid w:val="4B0A3B99"/>
    <w:rsid w:val="4B0A5209"/>
    <w:rsid w:val="4B0B2966"/>
    <w:rsid w:val="4B0C3ABF"/>
    <w:rsid w:val="4B0C5FD6"/>
    <w:rsid w:val="4B0E08CB"/>
    <w:rsid w:val="4B0E7B51"/>
    <w:rsid w:val="4B10077F"/>
    <w:rsid w:val="4B114C9E"/>
    <w:rsid w:val="4B131C62"/>
    <w:rsid w:val="4B13769D"/>
    <w:rsid w:val="4B146D74"/>
    <w:rsid w:val="4B157580"/>
    <w:rsid w:val="4B162B48"/>
    <w:rsid w:val="4B162E07"/>
    <w:rsid w:val="4B186FF8"/>
    <w:rsid w:val="4B194DD9"/>
    <w:rsid w:val="4B1D3753"/>
    <w:rsid w:val="4B1F03CD"/>
    <w:rsid w:val="4B1F3523"/>
    <w:rsid w:val="4B202AE4"/>
    <w:rsid w:val="4B205995"/>
    <w:rsid w:val="4B20711B"/>
    <w:rsid w:val="4B210521"/>
    <w:rsid w:val="4B2257F9"/>
    <w:rsid w:val="4B261BC9"/>
    <w:rsid w:val="4B2772B4"/>
    <w:rsid w:val="4B285F3B"/>
    <w:rsid w:val="4B28759E"/>
    <w:rsid w:val="4B2A3AB6"/>
    <w:rsid w:val="4B2A57F2"/>
    <w:rsid w:val="4B2B447A"/>
    <w:rsid w:val="4B2C520D"/>
    <w:rsid w:val="4B2D179F"/>
    <w:rsid w:val="4B2E419E"/>
    <w:rsid w:val="4B2E4EC4"/>
    <w:rsid w:val="4B2F3286"/>
    <w:rsid w:val="4B2F44D1"/>
    <w:rsid w:val="4B335C59"/>
    <w:rsid w:val="4B345259"/>
    <w:rsid w:val="4B3519D1"/>
    <w:rsid w:val="4B35410D"/>
    <w:rsid w:val="4B366517"/>
    <w:rsid w:val="4B37041D"/>
    <w:rsid w:val="4B3835D8"/>
    <w:rsid w:val="4B3A3171"/>
    <w:rsid w:val="4B3D1C65"/>
    <w:rsid w:val="4B3E77B9"/>
    <w:rsid w:val="4B410375"/>
    <w:rsid w:val="4B425E9C"/>
    <w:rsid w:val="4B435771"/>
    <w:rsid w:val="4B4428DD"/>
    <w:rsid w:val="4B4527FE"/>
    <w:rsid w:val="4B456ECB"/>
    <w:rsid w:val="4B4614E8"/>
    <w:rsid w:val="4B4675CC"/>
    <w:rsid w:val="4B474AB3"/>
    <w:rsid w:val="4B4805A4"/>
    <w:rsid w:val="4B4A1CA4"/>
    <w:rsid w:val="4B4B2742"/>
    <w:rsid w:val="4B4D11A9"/>
    <w:rsid w:val="4B4D3290"/>
    <w:rsid w:val="4B4D4D96"/>
    <w:rsid w:val="4B4E059D"/>
    <w:rsid w:val="4B504907"/>
    <w:rsid w:val="4B5100E0"/>
    <w:rsid w:val="4B5303C3"/>
    <w:rsid w:val="4B531E57"/>
    <w:rsid w:val="4B541535"/>
    <w:rsid w:val="4B543C27"/>
    <w:rsid w:val="4B547BFD"/>
    <w:rsid w:val="4B554786"/>
    <w:rsid w:val="4B5D73B1"/>
    <w:rsid w:val="4B602117"/>
    <w:rsid w:val="4B613255"/>
    <w:rsid w:val="4B6159DE"/>
    <w:rsid w:val="4B6252AD"/>
    <w:rsid w:val="4B6416C5"/>
    <w:rsid w:val="4B64767A"/>
    <w:rsid w:val="4B653983"/>
    <w:rsid w:val="4B6A57F0"/>
    <w:rsid w:val="4B6B42B6"/>
    <w:rsid w:val="4B6B53F2"/>
    <w:rsid w:val="4B6C3016"/>
    <w:rsid w:val="4B6F1657"/>
    <w:rsid w:val="4B706F4F"/>
    <w:rsid w:val="4B7122DD"/>
    <w:rsid w:val="4B7135EB"/>
    <w:rsid w:val="4B736055"/>
    <w:rsid w:val="4B7427CB"/>
    <w:rsid w:val="4B776A44"/>
    <w:rsid w:val="4B7807AC"/>
    <w:rsid w:val="4B79283C"/>
    <w:rsid w:val="4B7C13AE"/>
    <w:rsid w:val="4B7E7F66"/>
    <w:rsid w:val="4B8006B7"/>
    <w:rsid w:val="4B866B66"/>
    <w:rsid w:val="4B8766F2"/>
    <w:rsid w:val="4B887D52"/>
    <w:rsid w:val="4B890F47"/>
    <w:rsid w:val="4B8C5D00"/>
    <w:rsid w:val="4B8E1289"/>
    <w:rsid w:val="4B8E5B1C"/>
    <w:rsid w:val="4B8F45B8"/>
    <w:rsid w:val="4B9020F0"/>
    <w:rsid w:val="4B92735F"/>
    <w:rsid w:val="4B9368D6"/>
    <w:rsid w:val="4B9413DA"/>
    <w:rsid w:val="4B943E03"/>
    <w:rsid w:val="4B951286"/>
    <w:rsid w:val="4B971452"/>
    <w:rsid w:val="4B9A0FE8"/>
    <w:rsid w:val="4B9A41B6"/>
    <w:rsid w:val="4B9C1A50"/>
    <w:rsid w:val="4B9D479A"/>
    <w:rsid w:val="4B9E28BB"/>
    <w:rsid w:val="4B9F0803"/>
    <w:rsid w:val="4B9F209B"/>
    <w:rsid w:val="4BA274BD"/>
    <w:rsid w:val="4BA522BB"/>
    <w:rsid w:val="4BA6604A"/>
    <w:rsid w:val="4BA735FA"/>
    <w:rsid w:val="4BA81B2D"/>
    <w:rsid w:val="4BA95F1B"/>
    <w:rsid w:val="4BAB078B"/>
    <w:rsid w:val="4BAC105F"/>
    <w:rsid w:val="4BAE5956"/>
    <w:rsid w:val="4BAF0871"/>
    <w:rsid w:val="4BAF1A8C"/>
    <w:rsid w:val="4BB05FE5"/>
    <w:rsid w:val="4BB4326E"/>
    <w:rsid w:val="4BB43FF6"/>
    <w:rsid w:val="4BB6191C"/>
    <w:rsid w:val="4BB739C1"/>
    <w:rsid w:val="4BBA3A3D"/>
    <w:rsid w:val="4BBA3C84"/>
    <w:rsid w:val="4BBB7216"/>
    <w:rsid w:val="4BBD569E"/>
    <w:rsid w:val="4BBD5C14"/>
    <w:rsid w:val="4BBF1A95"/>
    <w:rsid w:val="4BC13445"/>
    <w:rsid w:val="4BC14AFB"/>
    <w:rsid w:val="4BC1732F"/>
    <w:rsid w:val="4BC17AC9"/>
    <w:rsid w:val="4BC2206E"/>
    <w:rsid w:val="4BC22A29"/>
    <w:rsid w:val="4BC56471"/>
    <w:rsid w:val="4BC63A5B"/>
    <w:rsid w:val="4BC66B07"/>
    <w:rsid w:val="4BC839E8"/>
    <w:rsid w:val="4BC85923"/>
    <w:rsid w:val="4BCC6E16"/>
    <w:rsid w:val="4BCE7B28"/>
    <w:rsid w:val="4BD33840"/>
    <w:rsid w:val="4BD35A2A"/>
    <w:rsid w:val="4BD77886"/>
    <w:rsid w:val="4BDA5C54"/>
    <w:rsid w:val="4BDD5A81"/>
    <w:rsid w:val="4BDD6E23"/>
    <w:rsid w:val="4BDE7891"/>
    <w:rsid w:val="4BE05CE0"/>
    <w:rsid w:val="4BE13907"/>
    <w:rsid w:val="4BE34E0A"/>
    <w:rsid w:val="4BE41249"/>
    <w:rsid w:val="4BE85BF3"/>
    <w:rsid w:val="4BE93FD4"/>
    <w:rsid w:val="4BEA3A82"/>
    <w:rsid w:val="4BEE08B0"/>
    <w:rsid w:val="4BEE4817"/>
    <w:rsid w:val="4BEF73A7"/>
    <w:rsid w:val="4BEF7409"/>
    <w:rsid w:val="4BF36A46"/>
    <w:rsid w:val="4BF4337C"/>
    <w:rsid w:val="4BF54F6F"/>
    <w:rsid w:val="4BF707D3"/>
    <w:rsid w:val="4BF822D5"/>
    <w:rsid w:val="4BF8255F"/>
    <w:rsid w:val="4BF85262"/>
    <w:rsid w:val="4BFA4EE7"/>
    <w:rsid w:val="4BFA7AA2"/>
    <w:rsid w:val="4BFB2D58"/>
    <w:rsid w:val="4BFB452B"/>
    <w:rsid w:val="4BFD0DB5"/>
    <w:rsid w:val="4BFF5B3B"/>
    <w:rsid w:val="4C001F60"/>
    <w:rsid w:val="4C010EDD"/>
    <w:rsid w:val="4C013661"/>
    <w:rsid w:val="4C0254DA"/>
    <w:rsid w:val="4C0336DE"/>
    <w:rsid w:val="4C0353AE"/>
    <w:rsid w:val="4C0373FE"/>
    <w:rsid w:val="4C05271E"/>
    <w:rsid w:val="4C057D58"/>
    <w:rsid w:val="4C0602E2"/>
    <w:rsid w:val="4C0821D7"/>
    <w:rsid w:val="4C0D22FF"/>
    <w:rsid w:val="4C0D44AB"/>
    <w:rsid w:val="4C0E0484"/>
    <w:rsid w:val="4C0E7921"/>
    <w:rsid w:val="4C1030CE"/>
    <w:rsid w:val="4C107007"/>
    <w:rsid w:val="4C123AC0"/>
    <w:rsid w:val="4C133A41"/>
    <w:rsid w:val="4C13601B"/>
    <w:rsid w:val="4C15710C"/>
    <w:rsid w:val="4C1635B0"/>
    <w:rsid w:val="4C187578"/>
    <w:rsid w:val="4C19415C"/>
    <w:rsid w:val="4C1965D2"/>
    <w:rsid w:val="4C1A7246"/>
    <w:rsid w:val="4C1B2975"/>
    <w:rsid w:val="4C1B70A0"/>
    <w:rsid w:val="4C1C0D8F"/>
    <w:rsid w:val="4C1C4AB9"/>
    <w:rsid w:val="4C1E560B"/>
    <w:rsid w:val="4C20442F"/>
    <w:rsid w:val="4C211D5B"/>
    <w:rsid w:val="4C2220A7"/>
    <w:rsid w:val="4C2337BD"/>
    <w:rsid w:val="4C241C81"/>
    <w:rsid w:val="4C247D3C"/>
    <w:rsid w:val="4C2612FC"/>
    <w:rsid w:val="4C276F07"/>
    <w:rsid w:val="4C2863EB"/>
    <w:rsid w:val="4C296B6D"/>
    <w:rsid w:val="4C2B6930"/>
    <w:rsid w:val="4C2D65D4"/>
    <w:rsid w:val="4C2F0FC1"/>
    <w:rsid w:val="4C2F7E40"/>
    <w:rsid w:val="4C301810"/>
    <w:rsid w:val="4C3019D9"/>
    <w:rsid w:val="4C303004"/>
    <w:rsid w:val="4C343F17"/>
    <w:rsid w:val="4C360CBA"/>
    <w:rsid w:val="4C3B3017"/>
    <w:rsid w:val="4C3C3067"/>
    <w:rsid w:val="4C3E402F"/>
    <w:rsid w:val="4C3E425B"/>
    <w:rsid w:val="4C40062D"/>
    <w:rsid w:val="4C411C81"/>
    <w:rsid w:val="4C437859"/>
    <w:rsid w:val="4C4641FC"/>
    <w:rsid w:val="4C47121B"/>
    <w:rsid w:val="4C49784B"/>
    <w:rsid w:val="4C4A5008"/>
    <w:rsid w:val="4C4B1A14"/>
    <w:rsid w:val="4C4B3030"/>
    <w:rsid w:val="4C4B4EC0"/>
    <w:rsid w:val="4C4C0D04"/>
    <w:rsid w:val="4C4C2506"/>
    <w:rsid w:val="4C4D19C4"/>
    <w:rsid w:val="4C4D2293"/>
    <w:rsid w:val="4C50415B"/>
    <w:rsid w:val="4C54002E"/>
    <w:rsid w:val="4C55311B"/>
    <w:rsid w:val="4C561F96"/>
    <w:rsid w:val="4C56285A"/>
    <w:rsid w:val="4C5761C3"/>
    <w:rsid w:val="4C5B3FF4"/>
    <w:rsid w:val="4C5C2E41"/>
    <w:rsid w:val="4C5D0D29"/>
    <w:rsid w:val="4C5D17C0"/>
    <w:rsid w:val="4C5D4E4A"/>
    <w:rsid w:val="4C5E7ECD"/>
    <w:rsid w:val="4C6270CE"/>
    <w:rsid w:val="4C630069"/>
    <w:rsid w:val="4C63428E"/>
    <w:rsid w:val="4C636E83"/>
    <w:rsid w:val="4C64349E"/>
    <w:rsid w:val="4C650797"/>
    <w:rsid w:val="4C672062"/>
    <w:rsid w:val="4C6A4DFC"/>
    <w:rsid w:val="4C6A608E"/>
    <w:rsid w:val="4C6B34A3"/>
    <w:rsid w:val="4C6C1338"/>
    <w:rsid w:val="4C6D3DA8"/>
    <w:rsid w:val="4C6D448C"/>
    <w:rsid w:val="4C707D2E"/>
    <w:rsid w:val="4C717FF4"/>
    <w:rsid w:val="4C7268F4"/>
    <w:rsid w:val="4C730352"/>
    <w:rsid w:val="4C735952"/>
    <w:rsid w:val="4C754C79"/>
    <w:rsid w:val="4C7869E7"/>
    <w:rsid w:val="4C7939E9"/>
    <w:rsid w:val="4C795F65"/>
    <w:rsid w:val="4C7A261F"/>
    <w:rsid w:val="4C7B1D9D"/>
    <w:rsid w:val="4C7B4897"/>
    <w:rsid w:val="4C7C6557"/>
    <w:rsid w:val="4C7C75FD"/>
    <w:rsid w:val="4C7D362F"/>
    <w:rsid w:val="4C7E4CB1"/>
    <w:rsid w:val="4C7F5F2C"/>
    <w:rsid w:val="4C8004C7"/>
    <w:rsid w:val="4C831CE4"/>
    <w:rsid w:val="4C877044"/>
    <w:rsid w:val="4C894B76"/>
    <w:rsid w:val="4C89644E"/>
    <w:rsid w:val="4C8970D4"/>
    <w:rsid w:val="4C8B4547"/>
    <w:rsid w:val="4C8E7057"/>
    <w:rsid w:val="4C8F2B51"/>
    <w:rsid w:val="4C8F6EBF"/>
    <w:rsid w:val="4C910E89"/>
    <w:rsid w:val="4C913FD3"/>
    <w:rsid w:val="4C923F55"/>
    <w:rsid w:val="4C9341BE"/>
    <w:rsid w:val="4C943063"/>
    <w:rsid w:val="4C9755B7"/>
    <w:rsid w:val="4C9814EE"/>
    <w:rsid w:val="4C98268C"/>
    <w:rsid w:val="4C986BBF"/>
    <w:rsid w:val="4C9919FA"/>
    <w:rsid w:val="4C995810"/>
    <w:rsid w:val="4C997D3D"/>
    <w:rsid w:val="4C9E1708"/>
    <w:rsid w:val="4C9F4B8E"/>
    <w:rsid w:val="4CA074CD"/>
    <w:rsid w:val="4CA12184"/>
    <w:rsid w:val="4CA15284"/>
    <w:rsid w:val="4CA22CE3"/>
    <w:rsid w:val="4CA443B7"/>
    <w:rsid w:val="4CA914C6"/>
    <w:rsid w:val="4CAB344A"/>
    <w:rsid w:val="4CAC5CC3"/>
    <w:rsid w:val="4CAC6895"/>
    <w:rsid w:val="4CB114B9"/>
    <w:rsid w:val="4CB1345B"/>
    <w:rsid w:val="4CB2435A"/>
    <w:rsid w:val="4CB32D7E"/>
    <w:rsid w:val="4CB42DC9"/>
    <w:rsid w:val="4CB50027"/>
    <w:rsid w:val="4CB66B41"/>
    <w:rsid w:val="4CB701C3"/>
    <w:rsid w:val="4CB76657"/>
    <w:rsid w:val="4CB77772"/>
    <w:rsid w:val="4CB80E4F"/>
    <w:rsid w:val="4CB81013"/>
    <w:rsid w:val="4CB82701"/>
    <w:rsid w:val="4CB84EC7"/>
    <w:rsid w:val="4CB8736E"/>
    <w:rsid w:val="4CBA2FAE"/>
    <w:rsid w:val="4CBA4888"/>
    <w:rsid w:val="4CBA735F"/>
    <w:rsid w:val="4CBD3C6D"/>
    <w:rsid w:val="4CBE051F"/>
    <w:rsid w:val="4CBE3011"/>
    <w:rsid w:val="4CBE3D75"/>
    <w:rsid w:val="4CBE490D"/>
    <w:rsid w:val="4CBE77A4"/>
    <w:rsid w:val="4CBF5D9B"/>
    <w:rsid w:val="4CC11B1C"/>
    <w:rsid w:val="4CC27C61"/>
    <w:rsid w:val="4CC31472"/>
    <w:rsid w:val="4CC52999"/>
    <w:rsid w:val="4CCA0CC9"/>
    <w:rsid w:val="4CCA439B"/>
    <w:rsid w:val="4CCD0192"/>
    <w:rsid w:val="4CD1365E"/>
    <w:rsid w:val="4CD419B0"/>
    <w:rsid w:val="4CD462ED"/>
    <w:rsid w:val="4CD53E98"/>
    <w:rsid w:val="4CD62D3F"/>
    <w:rsid w:val="4CD81197"/>
    <w:rsid w:val="4CD86981"/>
    <w:rsid w:val="4CDC2F1E"/>
    <w:rsid w:val="4CDC4DB4"/>
    <w:rsid w:val="4CDC6FA2"/>
    <w:rsid w:val="4CDD10E9"/>
    <w:rsid w:val="4CDD7868"/>
    <w:rsid w:val="4CDE0904"/>
    <w:rsid w:val="4CE134A2"/>
    <w:rsid w:val="4CE22361"/>
    <w:rsid w:val="4CE32ABB"/>
    <w:rsid w:val="4CE37624"/>
    <w:rsid w:val="4CE4198F"/>
    <w:rsid w:val="4CE67D8A"/>
    <w:rsid w:val="4CE75BFA"/>
    <w:rsid w:val="4CE807DA"/>
    <w:rsid w:val="4CEC2563"/>
    <w:rsid w:val="4CEE3C70"/>
    <w:rsid w:val="4CEE4718"/>
    <w:rsid w:val="4CF1583F"/>
    <w:rsid w:val="4CF24A79"/>
    <w:rsid w:val="4CF37899"/>
    <w:rsid w:val="4CF51418"/>
    <w:rsid w:val="4CF61E7A"/>
    <w:rsid w:val="4CF666D0"/>
    <w:rsid w:val="4CFC1A54"/>
    <w:rsid w:val="4CFE4E4E"/>
    <w:rsid w:val="4CFF0F76"/>
    <w:rsid w:val="4D004273"/>
    <w:rsid w:val="4D03279D"/>
    <w:rsid w:val="4D037E68"/>
    <w:rsid w:val="4D057181"/>
    <w:rsid w:val="4D091724"/>
    <w:rsid w:val="4D094EC3"/>
    <w:rsid w:val="4D0D3165"/>
    <w:rsid w:val="4D0E13A9"/>
    <w:rsid w:val="4D102B4D"/>
    <w:rsid w:val="4D110E15"/>
    <w:rsid w:val="4D125249"/>
    <w:rsid w:val="4D134814"/>
    <w:rsid w:val="4D152CE0"/>
    <w:rsid w:val="4D186E02"/>
    <w:rsid w:val="4D1A2C2C"/>
    <w:rsid w:val="4D1E1373"/>
    <w:rsid w:val="4D1E2322"/>
    <w:rsid w:val="4D1F4941"/>
    <w:rsid w:val="4D1F6DE6"/>
    <w:rsid w:val="4D225FCC"/>
    <w:rsid w:val="4D2434EC"/>
    <w:rsid w:val="4D243E83"/>
    <w:rsid w:val="4D244050"/>
    <w:rsid w:val="4D260FE9"/>
    <w:rsid w:val="4D261854"/>
    <w:rsid w:val="4D287213"/>
    <w:rsid w:val="4D2A3F2B"/>
    <w:rsid w:val="4D2C3D77"/>
    <w:rsid w:val="4D2D4BC0"/>
    <w:rsid w:val="4D2D6B40"/>
    <w:rsid w:val="4D2E2B7B"/>
    <w:rsid w:val="4D2E4C08"/>
    <w:rsid w:val="4D3060C0"/>
    <w:rsid w:val="4D32161E"/>
    <w:rsid w:val="4D32224A"/>
    <w:rsid w:val="4D332448"/>
    <w:rsid w:val="4D3430C2"/>
    <w:rsid w:val="4D351DAC"/>
    <w:rsid w:val="4D353A05"/>
    <w:rsid w:val="4D3552FF"/>
    <w:rsid w:val="4D355CB8"/>
    <w:rsid w:val="4D371A30"/>
    <w:rsid w:val="4D3763FF"/>
    <w:rsid w:val="4D3A32CE"/>
    <w:rsid w:val="4D3D7E6E"/>
    <w:rsid w:val="4D401E53"/>
    <w:rsid w:val="4D41465D"/>
    <w:rsid w:val="4D421959"/>
    <w:rsid w:val="4D46543A"/>
    <w:rsid w:val="4D467EC5"/>
    <w:rsid w:val="4D471547"/>
    <w:rsid w:val="4D493511"/>
    <w:rsid w:val="4D493A76"/>
    <w:rsid w:val="4D4943FF"/>
    <w:rsid w:val="4D4A49E0"/>
    <w:rsid w:val="4D4D03D7"/>
    <w:rsid w:val="4D4E0492"/>
    <w:rsid w:val="4D4F3A52"/>
    <w:rsid w:val="4D502185"/>
    <w:rsid w:val="4D513DE0"/>
    <w:rsid w:val="4D5410B5"/>
    <w:rsid w:val="4D554AAF"/>
    <w:rsid w:val="4D5607B5"/>
    <w:rsid w:val="4D57334A"/>
    <w:rsid w:val="4D57657B"/>
    <w:rsid w:val="4D5D1B64"/>
    <w:rsid w:val="4D6154A9"/>
    <w:rsid w:val="4D616AAD"/>
    <w:rsid w:val="4D6819D3"/>
    <w:rsid w:val="4D6903FA"/>
    <w:rsid w:val="4D6929EB"/>
    <w:rsid w:val="4D694321"/>
    <w:rsid w:val="4D6A034A"/>
    <w:rsid w:val="4D6B3488"/>
    <w:rsid w:val="4D6B4964"/>
    <w:rsid w:val="4D6E5E1B"/>
    <w:rsid w:val="4D711E4D"/>
    <w:rsid w:val="4D7574D2"/>
    <w:rsid w:val="4D763074"/>
    <w:rsid w:val="4D770D13"/>
    <w:rsid w:val="4D7806D0"/>
    <w:rsid w:val="4D7968EE"/>
    <w:rsid w:val="4D7B72DC"/>
    <w:rsid w:val="4D7D140D"/>
    <w:rsid w:val="4D7F0CE1"/>
    <w:rsid w:val="4D81128B"/>
    <w:rsid w:val="4D812783"/>
    <w:rsid w:val="4D815836"/>
    <w:rsid w:val="4D815DE3"/>
    <w:rsid w:val="4D817BBB"/>
    <w:rsid w:val="4D853C39"/>
    <w:rsid w:val="4D864729"/>
    <w:rsid w:val="4D866514"/>
    <w:rsid w:val="4D867169"/>
    <w:rsid w:val="4D883B5D"/>
    <w:rsid w:val="4D887A78"/>
    <w:rsid w:val="4D892642"/>
    <w:rsid w:val="4D893612"/>
    <w:rsid w:val="4D8B2323"/>
    <w:rsid w:val="4D8B24BC"/>
    <w:rsid w:val="4D8B377E"/>
    <w:rsid w:val="4D8B3B2A"/>
    <w:rsid w:val="4D8C02B4"/>
    <w:rsid w:val="4D8D08B2"/>
    <w:rsid w:val="4D8F5115"/>
    <w:rsid w:val="4D92171C"/>
    <w:rsid w:val="4D941A66"/>
    <w:rsid w:val="4D95678D"/>
    <w:rsid w:val="4D997B37"/>
    <w:rsid w:val="4D9B1E79"/>
    <w:rsid w:val="4D9D560B"/>
    <w:rsid w:val="4D9D7499"/>
    <w:rsid w:val="4D9E466F"/>
    <w:rsid w:val="4D9F71C8"/>
    <w:rsid w:val="4DA06753"/>
    <w:rsid w:val="4DA3301C"/>
    <w:rsid w:val="4DA35AC2"/>
    <w:rsid w:val="4DA40D08"/>
    <w:rsid w:val="4DA42E3E"/>
    <w:rsid w:val="4DA60964"/>
    <w:rsid w:val="4DA9588E"/>
    <w:rsid w:val="4DA97930"/>
    <w:rsid w:val="4DAA70C3"/>
    <w:rsid w:val="4DAB1FDE"/>
    <w:rsid w:val="4DAE5A6A"/>
    <w:rsid w:val="4DAF2700"/>
    <w:rsid w:val="4DB767CF"/>
    <w:rsid w:val="4DB77ED9"/>
    <w:rsid w:val="4DB91120"/>
    <w:rsid w:val="4DB91F73"/>
    <w:rsid w:val="4DBC3795"/>
    <w:rsid w:val="4DC16DD5"/>
    <w:rsid w:val="4DC31516"/>
    <w:rsid w:val="4DC36677"/>
    <w:rsid w:val="4DC40316"/>
    <w:rsid w:val="4DC80697"/>
    <w:rsid w:val="4DC84E00"/>
    <w:rsid w:val="4DCA0138"/>
    <w:rsid w:val="4DCF0108"/>
    <w:rsid w:val="4DCF28EE"/>
    <w:rsid w:val="4DD01D3E"/>
    <w:rsid w:val="4DD37366"/>
    <w:rsid w:val="4DD4222A"/>
    <w:rsid w:val="4DD454D1"/>
    <w:rsid w:val="4DD51F2A"/>
    <w:rsid w:val="4DD64DE5"/>
    <w:rsid w:val="4DD74412"/>
    <w:rsid w:val="4DD813A3"/>
    <w:rsid w:val="4DD82499"/>
    <w:rsid w:val="4DD9352D"/>
    <w:rsid w:val="4DD9437C"/>
    <w:rsid w:val="4DD96EA1"/>
    <w:rsid w:val="4DDB52B1"/>
    <w:rsid w:val="4DDB648F"/>
    <w:rsid w:val="4DDC039A"/>
    <w:rsid w:val="4DDC2AC7"/>
    <w:rsid w:val="4DDF5B3B"/>
    <w:rsid w:val="4DE11B66"/>
    <w:rsid w:val="4DE16AF7"/>
    <w:rsid w:val="4DE21DF8"/>
    <w:rsid w:val="4DE34DBB"/>
    <w:rsid w:val="4DE541EB"/>
    <w:rsid w:val="4DE7076E"/>
    <w:rsid w:val="4DE84CEC"/>
    <w:rsid w:val="4DE95DC1"/>
    <w:rsid w:val="4DEA7825"/>
    <w:rsid w:val="4DEB642B"/>
    <w:rsid w:val="4DEC0B5B"/>
    <w:rsid w:val="4DF06083"/>
    <w:rsid w:val="4DF176EF"/>
    <w:rsid w:val="4DF55447"/>
    <w:rsid w:val="4DF55AA8"/>
    <w:rsid w:val="4DF80009"/>
    <w:rsid w:val="4DF83507"/>
    <w:rsid w:val="4DF92C03"/>
    <w:rsid w:val="4DF93A97"/>
    <w:rsid w:val="4DFB7C6D"/>
    <w:rsid w:val="4DFC42B6"/>
    <w:rsid w:val="4DFD6D73"/>
    <w:rsid w:val="4E013DEC"/>
    <w:rsid w:val="4E023D7D"/>
    <w:rsid w:val="4E0336C0"/>
    <w:rsid w:val="4E03393A"/>
    <w:rsid w:val="4E044775"/>
    <w:rsid w:val="4E051F49"/>
    <w:rsid w:val="4E056A27"/>
    <w:rsid w:val="4E0A2368"/>
    <w:rsid w:val="4E0A56B8"/>
    <w:rsid w:val="4E0A71A8"/>
    <w:rsid w:val="4E0B6A5B"/>
    <w:rsid w:val="4E0C3D3A"/>
    <w:rsid w:val="4E0D59B7"/>
    <w:rsid w:val="4E0E0960"/>
    <w:rsid w:val="4E0F5AE7"/>
    <w:rsid w:val="4E131878"/>
    <w:rsid w:val="4E1402DE"/>
    <w:rsid w:val="4E153D38"/>
    <w:rsid w:val="4E175F83"/>
    <w:rsid w:val="4E176B9A"/>
    <w:rsid w:val="4E180AF7"/>
    <w:rsid w:val="4E19394E"/>
    <w:rsid w:val="4E1B0510"/>
    <w:rsid w:val="4E1D2E71"/>
    <w:rsid w:val="4E1E00B7"/>
    <w:rsid w:val="4E1E7D47"/>
    <w:rsid w:val="4E1F7D65"/>
    <w:rsid w:val="4E203AB3"/>
    <w:rsid w:val="4E2521D3"/>
    <w:rsid w:val="4E254F46"/>
    <w:rsid w:val="4E262F6E"/>
    <w:rsid w:val="4E266826"/>
    <w:rsid w:val="4E27719B"/>
    <w:rsid w:val="4E2B7024"/>
    <w:rsid w:val="4E2C2210"/>
    <w:rsid w:val="4E2C2A55"/>
    <w:rsid w:val="4E3012DC"/>
    <w:rsid w:val="4E3046D1"/>
    <w:rsid w:val="4E305D72"/>
    <w:rsid w:val="4E306F0C"/>
    <w:rsid w:val="4E3259F5"/>
    <w:rsid w:val="4E34393E"/>
    <w:rsid w:val="4E3558C4"/>
    <w:rsid w:val="4E384DF4"/>
    <w:rsid w:val="4E3A1D21"/>
    <w:rsid w:val="4E3F7C2B"/>
    <w:rsid w:val="4E404A66"/>
    <w:rsid w:val="4E406784"/>
    <w:rsid w:val="4E41068C"/>
    <w:rsid w:val="4E4168DE"/>
    <w:rsid w:val="4E464A6A"/>
    <w:rsid w:val="4E465C3F"/>
    <w:rsid w:val="4E46762C"/>
    <w:rsid w:val="4E4801A7"/>
    <w:rsid w:val="4E487EB8"/>
    <w:rsid w:val="4E490196"/>
    <w:rsid w:val="4E49394A"/>
    <w:rsid w:val="4E495565"/>
    <w:rsid w:val="4E4A6ACD"/>
    <w:rsid w:val="4E4B036C"/>
    <w:rsid w:val="4E4D59E6"/>
    <w:rsid w:val="4E514EE7"/>
    <w:rsid w:val="4E543767"/>
    <w:rsid w:val="4E574B50"/>
    <w:rsid w:val="4E593A24"/>
    <w:rsid w:val="4E5A1A23"/>
    <w:rsid w:val="4E5A257E"/>
    <w:rsid w:val="4E5E0EB0"/>
    <w:rsid w:val="4E5E4D9B"/>
    <w:rsid w:val="4E6323B1"/>
    <w:rsid w:val="4E633104"/>
    <w:rsid w:val="4E635664"/>
    <w:rsid w:val="4E6525F7"/>
    <w:rsid w:val="4E65364D"/>
    <w:rsid w:val="4E655F25"/>
    <w:rsid w:val="4E676345"/>
    <w:rsid w:val="4E680D12"/>
    <w:rsid w:val="4E694A00"/>
    <w:rsid w:val="4E6A6DCF"/>
    <w:rsid w:val="4E6B5499"/>
    <w:rsid w:val="4E6C60F0"/>
    <w:rsid w:val="4E6D10A5"/>
    <w:rsid w:val="4E6D1482"/>
    <w:rsid w:val="4E6E192C"/>
    <w:rsid w:val="4E6F0E8C"/>
    <w:rsid w:val="4E6F5025"/>
    <w:rsid w:val="4E704CA0"/>
    <w:rsid w:val="4E7070A8"/>
    <w:rsid w:val="4E707755"/>
    <w:rsid w:val="4E716384"/>
    <w:rsid w:val="4E720529"/>
    <w:rsid w:val="4E735F77"/>
    <w:rsid w:val="4E7437A5"/>
    <w:rsid w:val="4E760D0B"/>
    <w:rsid w:val="4E763DB8"/>
    <w:rsid w:val="4E765942"/>
    <w:rsid w:val="4E77217B"/>
    <w:rsid w:val="4E792D2D"/>
    <w:rsid w:val="4E796078"/>
    <w:rsid w:val="4E7A3B1C"/>
    <w:rsid w:val="4E7B3B9E"/>
    <w:rsid w:val="4E7C1FDE"/>
    <w:rsid w:val="4E7C5D89"/>
    <w:rsid w:val="4E7D7917"/>
    <w:rsid w:val="4E8422ED"/>
    <w:rsid w:val="4E842343"/>
    <w:rsid w:val="4E857E03"/>
    <w:rsid w:val="4E872543"/>
    <w:rsid w:val="4E874EF2"/>
    <w:rsid w:val="4E8B1908"/>
    <w:rsid w:val="4E8B6131"/>
    <w:rsid w:val="4E8D774C"/>
    <w:rsid w:val="4E912926"/>
    <w:rsid w:val="4E946A0E"/>
    <w:rsid w:val="4E9A62A5"/>
    <w:rsid w:val="4E9E0826"/>
    <w:rsid w:val="4E9F0C87"/>
    <w:rsid w:val="4EA2121D"/>
    <w:rsid w:val="4EA330F5"/>
    <w:rsid w:val="4EA45257"/>
    <w:rsid w:val="4EA763A3"/>
    <w:rsid w:val="4EA7674C"/>
    <w:rsid w:val="4EA95076"/>
    <w:rsid w:val="4EA958CA"/>
    <w:rsid w:val="4EAC1FAA"/>
    <w:rsid w:val="4EAD3793"/>
    <w:rsid w:val="4EAD6F4A"/>
    <w:rsid w:val="4EB02863"/>
    <w:rsid w:val="4EB070F4"/>
    <w:rsid w:val="4EB40A03"/>
    <w:rsid w:val="4EB66B27"/>
    <w:rsid w:val="4EB74C7E"/>
    <w:rsid w:val="4EB86189"/>
    <w:rsid w:val="4EB936D1"/>
    <w:rsid w:val="4EBA48D2"/>
    <w:rsid w:val="4EBB5264"/>
    <w:rsid w:val="4EBB7678"/>
    <w:rsid w:val="4EBD5AF0"/>
    <w:rsid w:val="4EBE6513"/>
    <w:rsid w:val="4EC02516"/>
    <w:rsid w:val="4EC217CD"/>
    <w:rsid w:val="4EC3165E"/>
    <w:rsid w:val="4EC771DD"/>
    <w:rsid w:val="4EC82426"/>
    <w:rsid w:val="4ECA561D"/>
    <w:rsid w:val="4ECC5E61"/>
    <w:rsid w:val="4ECD3CCE"/>
    <w:rsid w:val="4ED0243D"/>
    <w:rsid w:val="4ED26EA1"/>
    <w:rsid w:val="4ED4719E"/>
    <w:rsid w:val="4ED66F0F"/>
    <w:rsid w:val="4ED7041B"/>
    <w:rsid w:val="4ED76FC4"/>
    <w:rsid w:val="4ED86DCE"/>
    <w:rsid w:val="4EDD6607"/>
    <w:rsid w:val="4EDE5D5D"/>
    <w:rsid w:val="4EDE5EDB"/>
    <w:rsid w:val="4EE009A4"/>
    <w:rsid w:val="4EE04A49"/>
    <w:rsid w:val="4EE97C5A"/>
    <w:rsid w:val="4EEA058F"/>
    <w:rsid w:val="4EEE5E7A"/>
    <w:rsid w:val="4EF3156E"/>
    <w:rsid w:val="4EF42215"/>
    <w:rsid w:val="4EF43951"/>
    <w:rsid w:val="4EF643A0"/>
    <w:rsid w:val="4EF760CE"/>
    <w:rsid w:val="4EF77E57"/>
    <w:rsid w:val="4EFA2179"/>
    <w:rsid w:val="4EFA6702"/>
    <w:rsid w:val="4EFD3162"/>
    <w:rsid w:val="4EFD3435"/>
    <w:rsid w:val="4EFD4F1D"/>
    <w:rsid w:val="4EFE738A"/>
    <w:rsid w:val="4F00544E"/>
    <w:rsid w:val="4F015C39"/>
    <w:rsid w:val="4F0177CA"/>
    <w:rsid w:val="4F035942"/>
    <w:rsid w:val="4F040A3E"/>
    <w:rsid w:val="4F043B94"/>
    <w:rsid w:val="4F044BFC"/>
    <w:rsid w:val="4F061390"/>
    <w:rsid w:val="4F0834ED"/>
    <w:rsid w:val="4F090DB4"/>
    <w:rsid w:val="4F0B065C"/>
    <w:rsid w:val="4F0E220A"/>
    <w:rsid w:val="4F0F2043"/>
    <w:rsid w:val="4F0F7AAE"/>
    <w:rsid w:val="4F104F47"/>
    <w:rsid w:val="4F1212CD"/>
    <w:rsid w:val="4F12306A"/>
    <w:rsid w:val="4F13452F"/>
    <w:rsid w:val="4F14737F"/>
    <w:rsid w:val="4F151603"/>
    <w:rsid w:val="4F162E1E"/>
    <w:rsid w:val="4F1847D1"/>
    <w:rsid w:val="4F18763F"/>
    <w:rsid w:val="4F1E09DB"/>
    <w:rsid w:val="4F1E656F"/>
    <w:rsid w:val="4F1F3C75"/>
    <w:rsid w:val="4F1F78DF"/>
    <w:rsid w:val="4F223FF1"/>
    <w:rsid w:val="4F244236"/>
    <w:rsid w:val="4F2466C0"/>
    <w:rsid w:val="4F2576A2"/>
    <w:rsid w:val="4F265F70"/>
    <w:rsid w:val="4F27282A"/>
    <w:rsid w:val="4F28014C"/>
    <w:rsid w:val="4F2902CC"/>
    <w:rsid w:val="4F294095"/>
    <w:rsid w:val="4F2A2BF4"/>
    <w:rsid w:val="4F2A522D"/>
    <w:rsid w:val="4F2B2B29"/>
    <w:rsid w:val="4F2C1FD2"/>
    <w:rsid w:val="4F2C4E99"/>
    <w:rsid w:val="4F2C63DD"/>
    <w:rsid w:val="4F2D1094"/>
    <w:rsid w:val="4F2F2487"/>
    <w:rsid w:val="4F334479"/>
    <w:rsid w:val="4F3501F1"/>
    <w:rsid w:val="4F355850"/>
    <w:rsid w:val="4F36602D"/>
    <w:rsid w:val="4F377967"/>
    <w:rsid w:val="4F391364"/>
    <w:rsid w:val="4F3928C3"/>
    <w:rsid w:val="4F3A5808"/>
    <w:rsid w:val="4F3A5F6E"/>
    <w:rsid w:val="4F3A7563"/>
    <w:rsid w:val="4F3A75B6"/>
    <w:rsid w:val="4F3C6B5E"/>
    <w:rsid w:val="4F425F4B"/>
    <w:rsid w:val="4F433012"/>
    <w:rsid w:val="4F490BDC"/>
    <w:rsid w:val="4F4977F9"/>
    <w:rsid w:val="4F4A3C90"/>
    <w:rsid w:val="4F4A79AB"/>
    <w:rsid w:val="4F4B7508"/>
    <w:rsid w:val="4F4C062C"/>
    <w:rsid w:val="4F4D7E22"/>
    <w:rsid w:val="4F4F47F2"/>
    <w:rsid w:val="4F4F6EB4"/>
    <w:rsid w:val="4F505FCA"/>
    <w:rsid w:val="4F506DD9"/>
    <w:rsid w:val="4F511463"/>
    <w:rsid w:val="4F51508A"/>
    <w:rsid w:val="4F527237"/>
    <w:rsid w:val="4F54047F"/>
    <w:rsid w:val="4F561E23"/>
    <w:rsid w:val="4F5702DE"/>
    <w:rsid w:val="4F57157C"/>
    <w:rsid w:val="4F575F9B"/>
    <w:rsid w:val="4F5843DC"/>
    <w:rsid w:val="4F5A41AD"/>
    <w:rsid w:val="4F5B0D81"/>
    <w:rsid w:val="4F5B7D73"/>
    <w:rsid w:val="4F5D52A4"/>
    <w:rsid w:val="4F5F1D03"/>
    <w:rsid w:val="4F604B42"/>
    <w:rsid w:val="4F6267DE"/>
    <w:rsid w:val="4F656B09"/>
    <w:rsid w:val="4F670750"/>
    <w:rsid w:val="4F6768BA"/>
    <w:rsid w:val="4F692969"/>
    <w:rsid w:val="4F6939F7"/>
    <w:rsid w:val="4F6D68D9"/>
    <w:rsid w:val="4F6E025C"/>
    <w:rsid w:val="4F7055E5"/>
    <w:rsid w:val="4F710AFD"/>
    <w:rsid w:val="4F71277C"/>
    <w:rsid w:val="4F732181"/>
    <w:rsid w:val="4F7336A7"/>
    <w:rsid w:val="4F7800DE"/>
    <w:rsid w:val="4F7906C8"/>
    <w:rsid w:val="4F7A1C76"/>
    <w:rsid w:val="4F7F2E2B"/>
    <w:rsid w:val="4F7F480E"/>
    <w:rsid w:val="4F7F752F"/>
    <w:rsid w:val="4F800910"/>
    <w:rsid w:val="4F810D07"/>
    <w:rsid w:val="4F854843"/>
    <w:rsid w:val="4F883984"/>
    <w:rsid w:val="4F8A5257"/>
    <w:rsid w:val="4F8C5472"/>
    <w:rsid w:val="4F8D256B"/>
    <w:rsid w:val="4F9015E0"/>
    <w:rsid w:val="4F903278"/>
    <w:rsid w:val="4F917436"/>
    <w:rsid w:val="4F964D9C"/>
    <w:rsid w:val="4F980780"/>
    <w:rsid w:val="4F986EB3"/>
    <w:rsid w:val="4F9B0E06"/>
    <w:rsid w:val="4F9B0E6F"/>
    <w:rsid w:val="4F9B2AFA"/>
    <w:rsid w:val="4F9C5FA9"/>
    <w:rsid w:val="4F9E458A"/>
    <w:rsid w:val="4F9E596F"/>
    <w:rsid w:val="4F9E7BBD"/>
    <w:rsid w:val="4F9F38BD"/>
    <w:rsid w:val="4FA13E06"/>
    <w:rsid w:val="4FA2515B"/>
    <w:rsid w:val="4FA30972"/>
    <w:rsid w:val="4FA345C9"/>
    <w:rsid w:val="4FA72771"/>
    <w:rsid w:val="4FAA7331"/>
    <w:rsid w:val="4FAC4B07"/>
    <w:rsid w:val="4FAD19FD"/>
    <w:rsid w:val="4FAD4AE6"/>
    <w:rsid w:val="4FAE3B00"/>
    <w:rsid w:val="4FB05508"/>
    <w:rsid w:val="4FB120D2"/>
    <w:rsid w:val="4FB24936"/>
    <w:rsid w:val="4FB363A8"/>
    <w:rsid w:val="4FB455A0"/>
    <w:rsid w:val="4FB85B5F"/>
    <w:rsid w:val="4FB97C44"/>
    <w:rsid w:val="4FBA0CBA"/>
    <w:rsid w:val="4FBA4E12"/>
    <w:rsid w:val="4FBA7A09"/>
    <w:rsid w:val="4FBD63B7"/>
    <w:rsid w:val="4FBF5D0D"/>
    <w:rsid w:val="4FBF720F"/>
    <w:rsid w:val="4FC0520B"/>
    <w:rsid w:val="4FC14F19"/>
    <w:rsid w:val="4FC155E1"/>
    <w:rsid w:val="4FC40104"/>
    <w:rsid w:val="4FC863CA"/>
    <w:rsid w:val="4FC9093A"/>
    <w:rsid w:val="4FC9649B"/>
    <w:rsid w:val="4FCD0E1A"/>
    <w:rsid w:val="4FCD667C"/>
    <w:rsid w:val="4FCE1616"/>
    <w:rsid w:val="4FD206AE"/>
    <w:rsid w:val="4FD2763B"/>
    <w:rsid w:val="4FD42ED4"/>
    <w:rsid w:val="4FD447F6"/>
    <w:rsid w:val="4FD63E51"/>
    <w:rsid w:val="4FD833F0"/>
    <w:rsid w:val="4FD86C34"/>
    <w:rsid w:val="4FD94397"/>
    <w:rsid w:val="4FD974F3"/>
    <w:rsid w:val="4FDA72A4"/>
    <w:rsid w:val="4FDC4FBF"/>
    <w:rsid w:val="4FDC515A"/>
    <w:rsid w:val="4FDD2DBE"/>
    <w:rsid w:val="4FDE7C9D"/>
    <w:rsid w:val="4FE62968"/>
    <w:rsid w:val="4FE80FF9"/>
    <w:rsid w:val="4FE927A0"/>
    <w:rsid w:val="4FEA114F"/>
    <w:rsid w:val="4FEA6911"/>
    <w:rsid w:val="4FEB4310"/>
    <w:rsid w:val="4FEC139D"/>
    <w:rsid w:val="4FEC3D5B"/>
    <w:rsid w:val="4FEC5ABD"/>
    <w:rsid w:val="4FEF0F20"/>
    <w:rsid w:val="4FEF2575"/>
    <w:rsid w:val="4FF06443"/>
    <w:rsid w:val="4FF0684A"/>
    <w:rsid w:val="4FF212B9"/>
    <w:rsid w:val="4FF21AC3"/>
    <w:rsid w:val="4FF24B6B"/>
    <w:rsid w:val="4FF2671E"/>
    <w:rsid w:val="4FF5790B"/>
    <w:rsid w:val="4FF66D32"/>
    <w:rsid w:val="4FF75FC0"/>
    <w:rsid w:val="4FF82C49"/>
    <w:rsid w:val="4FF96F48"/>
    <w:rsid w:val="4FFB2B50"/>
    <w:rsid w:val="4FFB5980"/>
    <w:rsid w:val="4FFB6CD8"/>
    <w:rsid w:val="4FFC489E"/>
    <w:rsid w:val="4FFD1A3E"/>
    <w:rsid w:val="4FFD340A"/>
    <w:rsid w:val="4FFD3827"/>
    <w:rsid w:val="4FFE57BD"/>
    <w:rsid w:val="4FFF663D"/>
    <w:rsid w:val="50014CF5"/>
    <w:rsid w:val="50014F71"/>
    <w:rsid w:val="50027558"/>
    <w:rsid w:val="5003209D"/>
    <w:rsid w:val="50032AE0"/>
    <w:rsid w:val="50040870"/>
    <w:rsid w:val="50051EDC"/>
    <w:rsid w:val="5005474C"/>
    <w:rsid w:val="50061C0F"/>
    <w:rsid w:val="500841DB"/>
    <w:rsid w:val="5009188D"/>
    <w:rsid w:val="500A0449"/>
    <w:rsid w:val="500C3C41"/>
    <w:rsid w:val="500D218E"/>
    <w:rsid w:val="500D6A78"/>
    <w:rsid w:val="500E27F0"/>
    <w:rsid w:val="500F3094"/>
    <w:rsid w:val="50127D4C"/>
    <w:rsid w:val="501402D6"/>
    <w:rsid w:val="50141A52"/>
    <w:rsid w:val="50151238"/>
    <w:rsid w:val="50151DD1"/>
    <w:rsid w:val="5015321C"/>
    <w:rsid w:val="5017445B"/>
    <w:rsid w:val="50191F95"/>
    <w:rsid w:val="501B4046"/>
    <w:rsid w:val="501C1715"/>
    <w:rsid w:val="501E03E5"/>
    <w:rsid w:val="501E43A7"/>
    <w:rsid w:val="502426BC"/>
    <w:rsid w:val="50285A89"/>
    <w:rsid w:val="50296690"/>
    <w:rsid w:val="502F60D4"/>
    <w:rsid w:val="5031572A"/>
    <w:rsid w:val="50324CCA"/>
    <w:rsid w:val="503505F4"/>
    <w:rsid w:val="50355365"/>
    <w:rsid w:val="50361809"/>
    <w:rsid w:val="50371D47"/>
    <w:rsid w:val="50375AE1"/>
    <w:rsid w:val="50395232"/>
    <w:rsid w:val="503A2AB3"/>
    <w:rsid w:val="503E28D1"/>
    <w:rsid w:val="504024B2"/>
    <w:rsid w:val="50411FCD"/>
    <w:rsid w:val="504150FB"/>
    <w:rsid w:val="50435702"/>
    <w:rsid w:val="50436FA4"/>
    <w:rsid w:val="50446212"/>
    <w:rsid w:val="504644CA"/>
    <w:rsid w:val="5046728B"/>
    <w:rsid w:val="50472AC0"/>
    <w:rsid w:val="50483F54"/>
    <w:rsid w:val="504A2674"/>
    <w:rsid w:val="504A7DA1"/>
    <w:rsid w:val="504C65CE"/>
    <w:rsid w:val="504F70AA"/>
    <w:rsid w:val="50501DB4"/>
    <w:rsid w:val="50503356"/>
    <w:rsid w:val="50526B81"/>
    <w:rsid w:val="50561BFB"/>
    <w:rsid w:val="505C17AE"/>
    <w:rsid w:val="505C2D85"/>
    <w:rsid w:val="505D789E"/>
    <w:rsid w:val="50621EBD"/>
    <w:rsid w:val="50627260"/>
    <w:rsid w:val="50630F01"/>
    <w:rsid w:val="50637B32"/>
    <w:rsid w:val="50662FDF"/>
    <w:rsid w:val="50670FCE"/>
    <w:rsid w:val="506A2B57"/>
    <w:rsid w:val="506B379F"/>
    <w:rsid w:val="506C6F14"/>
    <w:rsid w:val="507071CC"/>
    <w:rsid w:val="507329AF"/>
    <w:rsid w:val="507403D4"/>
    <w:rsid w:val="50743E4F"/>
    <w:rsid w:val="50746219"/>
    <w:rsid w:val="5074633C"/>
    <w:rsid w:val="50753CDC"/>
    <w:rsid w:val="507562E3"/>
    <w:rsid w:val="50770378"/>
    <w:rsid w:val="50777E4E"/>
    <w:rsid w:val="50783FC7"/>
    <w:rsid w:val="507B7E86"/>
    <w:rsid w:val="507D16A5"/>
    <w:rsid w:val="507D1EEB"/>
    <w:rsid w:val="507E17DB"/>
    <w:rsid w:val="507F000A"/>
    <w:rsid w:val="50825FDB"/>
    <w:rsid w:val="508419B6"/>
    <w:rsid w:val="50854860"/>
    <w:rsid w:val="5086111D"/>
    <w:rsid w:val="50861876"/>
    <w:rsid w:val="50875D46"/>
    <w:rsid w:val="508A2D99"/>
    <w:rsid w:val="508B7B1B"/>
    <w:rsid w:val="508F1AF2"/>
    <w:rsid w:val="508F1F95"/>
    <w:rsid w:val="508F505F"/>
    <w:rsid w:val="509046D3"/>
    <w:rsid w:val="50916C45"/>
    <w:rsid w:val="50917D69"/>
    <w:rsid w:val="50923CF9"/>
    <w:rsid w:val="50944DF8"/>
    <w:rsid w:val="50947199"/>
    <w:rsid w:val="50964D8D"/>
    <w:rsid w:val="50967373"/>
    <w:rsid w:val="50970A38"/>
    <w:rsid w:val="5097626F"/>
    <w:rsid w:val="509911CD"/>
    <w:rsid w:val="509D07D0"/>
    <w:rsid w:val="509D0C69"/>
    <w:rsid w:val="509F55CA"/>
    <w:rsid w:val="50A0217A"/>
    <w:rsid w:val="50A469A9"/>
    <w:rsid w:val="50A7114E"/>
    <w:rsid w:val="50A72271"/>
    <w:rsid w:val="50A7498E"/>
    <w:rsid w:val="50A84A1D"/>
    <w:rsid w:val="50AB2D41"/>
    <w:rsid w:val="50B138A7"/>
    <w:rsid w:val="50B37964"/>
    <w:rsid w:val="50B97C9A"/>
    <w:rsid w:val="50BA27D4"/>
    <w:rsid w:val="50BA46C5"/>
    <w:rsid w:val="50BB06EF"/>
    <w:rsid w:val="50BC7722"/>
    <w:rsid w:val="50BD777F"/>
    <w:rsid w:val="50BE655E"/>
    <w:rsid w:val="50BE6A7A"/>
    <w:rsid w:val="50C17863"/>
    <w:rsid w:val="50C25CD8"/>
    <w:rsid w:val="50C316BD"/>
    <w:rsid w:val="50C42643"/>
    <w:rsid w:val="50C665BF"/>
    <w:rsid w:val="50C71F70"/>
    <w:rsid w:val="50C72C4E"/>
    <w:rsid w:val="50C76031"/>
    <w:rsid w:val="50CA55B8"/>
    <w:rsid w:val="50CB45E1"/>
    <w:rsid w:val="50CD4459"/>
    <w:rsid w:val="50D24AFC"/>
    <w:rsid w:val="50D35442"/>
    <w:rsid w:val="50D442C5"/>
    <w:rsid w:val="50D531EC"/>
    <w:rsid w:val="50D57E6A"/>
    <w:rsid w:val="50D63522"/>
    <w:rsid w:val="50D650BC"/>
    <w:rsid w:val="50D65D1D"/>
    <w:rsid w:val="50D668D5"/>
    <w:rsid w:val="50D73174"/>
    <w:rsid w:val="50D94433"/>
    <w:rsid w:val="50DB4230"/>
    <w:rsid w:val="50DC2769"/>
    <w:rsid w:val="50DD1EDA"/>
    <w:rsid w:val="50DD4F76"/>
    <w:rsid w:val="50DE69BF"/>
    <w:rsid w:val="50E5045E"/>
    <w:rsid w:val="50E55935"/>
    <w:rsid w:val="50E6017C"/>
    <w:rsid w:val="50E609D0"/>
    <w:rsid w:val="50E80A14"/>
    <w:rsid w:val="50E845DF"/>
    <w:rsid w:val="50E960C0"/>
    <w:rsid w:val="50EA3AC4"/>
    <w:rsid w:val="50EB0390"/>
    <w:rsid w:val="50F1774B"/>
    <w:rsid w:val="50F25C6E"/>
    <w:rsid w:val="50F32662"/>
    <w:rsid w:val="50F3420A"/>
    <w:rsid w:val="50F36AE4"/>
    <w:rsid w:val="50F64259"/>
    <w:rsid w:val="50F648AD"/>
    <w:rsid w:val="50F64AFA"/>
    <w:rsid w:val="50F929CE"/>
    <w:rsid w:val="50F97A16"/>
    <w:rsid w:val="50FB5614"/>
    <w:rsid w:val="50FC6D71"/>
    <w:rsid w:val="50FE57E0"/>
    <w:rsid w:val="50FE5BD8"/>
    <w:rsid w:val="51011172"/>
    <w:rsid w:val="510466B5"/>
    <w:rsid w:val="510617D7"/>
    <w:rsid w:val="51080F9B"/>
    <w:rsid w:val="51083697"/>
    <w:rsid w:val="510B6CA6"/>
    <w:rsid w:val="510D1F22"/>
    <w:rsid w:val="510D2AA8"/>
    <w:rsid w:val="510D70F0"/>
    <w:rsid w:val="510D731C"/>
    <w:rsid w:val="510E7D42"/>
    <w:rsid w:val="5111410E"/>
    <w:rsid w:val="51132A40"/>
    <w:rsid w:val="511606B1"/>
    <w:rsid w:val="51171A09"/>
    <w:rsid w:val="51173AE3"/>
    <w:rsid w:val="5118164E"/>
    <w:rsid w:val="511856D5"/>
    <w:rsid w:val="511B15A0"/>
    <w:rsid w:val="511E02A1"/>
    <w:rsid w:val="511E6E18"/>
    <w:rsid w:val="511F6B40"/>
    <w:rsid w:val="511F77DD"/>
    <w:rsid w:val="51215792"/>
    <w:rsid w:val="51220301"/>
    <w:rsid w:val="51226553"/>
    <w:rsid w:val="512354D6"/>
    <w:rsid w:val="51254A47"/>
    <w:rsid w:val="512556E6"/>
    <w:rsid w:val="512877FE"/>
    <w:rsid w:val="51294EE5"/>
    <w:rsid w:val="512A3AB8"/>
    <w:rsid w:val="512B141B"/>
    <w:rsid w:val="512B27E7"/>
    <w:rsid w:val="512B7684"/>
    <w:rsid w:val="512C2F2E"/>
    <w:rsid w:val="512E6233"/>
    <w:rsid w:val="512F6C95"/>
    <w:rsid w:val="513025BE"/>
    <w:rsid w:val="51305635"/>
    <w:rsid w:val="51321BB6"/>
    <w:rsid w:val="5132252E"/>
    <w:rsid w:val="5134301E"/>
    <w:rsid w:val="5136774B"/>
    <w:rsid w:val="513802B1"/>
    <w:rsid w:val="51394C2E"/>
    <w:rsid w:val="51400F30"/>
    <w:rsid w:val="514021AB"/>
    <w:rsid w:val="51402E7D"/>
    <w:rsid w:val="51423058"/>
    <w:rsid w:val="514276D4"/>
    <w:rsid w:val="514364CA"/>
    <w:rsid w:val="5144724C"/>
    <w:rsid w:val="5147356F"/>
    <w:rsid w:val="51493AE0"/>
    <w:rsid w:val="5149719B"/>
    <w:rsid w:val="514A2AF2"/>
    <w:rsid w:val="514D45BB"/>
    <w:rsid w:val="514E605D"/>
    <w:rsid w:val="514F69BA"/>
    <w:rsid w:val="51506CD9"/>
    <w:rsid w:val="51515BEA"/>
    <w:rsid w:val="51523BC0"/>
    <w:rsid w:val="51542945"/>
    <w:rsid w:val="515479F1"/>
    <w:rsid w:val="5155774C"/>
    <w:rsid w:val="5156613E"/>
    <w:rsid w:val="51583E4A"/>
    <w:rsid w:val="51584271"/>
    <w:rsid w:val="515863C1"/>
    <w:rsid w:val="51587B0E"/>
    <w:rsid w:val="515A068E"/>
    <w:rsid w:val="515B4D47"/>
    <w:rsid w:val="515D16D3"/>
    <w:rsid w:val="515D5D32"/>
    <w:rsid w:val="515F6BDD"/>
    <w:rsid w:val="51606A8B"/>
    <w:rsid w:val="516119A2"/>
    <w:rsid w:val="516276FE"/>
    <w:rsid w:val="51633BE8"/>
    <w:rsid w:val="516507DA"/>
    <w:rsid w:val="51664196"/>
    <w:rsid w:val="51694182"/>
    <w:rsid w:val="516A175D"/>
    <w:rsid w:val="516B302B"/>
    <w:rsid w:val="516E6B87"/>
    <w:rsid w:val="516F4C83"/>
    <w:rsid w:val="51725BA5"/>
    <w:rsid w:val="51765FC3"/>
    <w:rsid w:val="5176689F"/>
    <w:rsid w:val="51766D0B"/>
    <w:rsid w:val="51774258"/>
    <w:rsid w:val="51783B19"/>
    <w:rsid w:val="51792ABD"/>
    <w:rsid w:val="517A5B2C"/>
    <w:rsid w:val="517B33F4"/>
    <w:rsid w:val="517D0ABA"/>
    <w:rsid w:val="517D5D48"/>
    <w:rsid w:val="51805EFD"/>
    <w:rsid w:val="5181255E"/>
    <w:rsid w:val="51820816"/>
    <w:rsid w:val="518508DF"/>
    <w:rsid w:val="5186227F"/>
    <w:rsid w:val="51870AAC"/>
    <w:rsid w:val="51876BF0"/>
    <w:rsid w:val="51890B3A"/>
    <w:rsid w:val="51894D32"/>
    <w:rsid w:val="518A41A2"/>
    <w:rsid w:val="518B0C2B"/>
    <w:rsid w:val="518D5397"/>
    <w:rsid w:val="518F1542"/>
    <w:rsid w:val="51905BB3"/>
    <w:rsid w:val="51911BE0"/>
    <w:rsid w:val="51914B42"/>
    <w:rsid w:val="51920983"/>
    <w:rsid w:val="51927B45"/>
    <w:rsid w:val="5194438B"/>
    <w:rsid w:val="51952E82"/>
    <w:rsid w:val="51964435"/>
    <w:rsid w:val="5196484B"/>
    <w:rsid w:val="51977671"/>
    <w:rsid w:val="51986815"/>
    <w:rsid w:val="519933B4"/>
    <w:rsid w:val="519A258E"/>
    <w:rsid w:val="519B5DBE"/>
    <w:rsid w:val="519D1945"/>
    <w:rsid w:val="519D1FCD"/>
    <w:rsid w:val="519D2F0D"/>
    <w:rsid w:val="51A00905"/>
    <w:rsid w:val="51A02844"/>
    <w:rsid w:val="51A256F6"/>
    <w:rsid w:val="51A44AFA"/>
    <w:rsid w:val="51A6208C"/>
    <w:rsid w:val="51A72F52"/>
    <w:rsid w:val="51A81E7D"/>
    <w:rsid w:val="51A96C75"/>
    <w:rsid w:val="51AB13FC"/>
    <w:rsid w:val="51AB2083"/>
    <w:rsid w:val="51AE4EE3"/>
    <w:rsid w:val="51B0417F"/>
    <w:rsid w:val="51B1088E"/>
    <w:rsid w:val="51B15CA2"/>
    <w:rsid w:val="51B232EA"/>
    <w:rsid w:val="51B45A74"/>
    <w:rsid w:val="51B84888"/>
    <w:rsid w:val="51B85CD5"/>
    <w:rsid w:val="51BE6644"/>
    <w:rsid w:val="51C13C76"/>
    <w:rsid w:val="51C17C50"/>
    <w:rsid w:val="51C208DD"/>
    <w:rsid w:val="51C53DB0"/>
    <w:rsid w:val="51C57FF5"/>
    <w:rsid w:val="51C67522"/>
    <w:rsid w:val="51C8336E"/>
    <w:rsid w:val="51CA7957"/>
    <w:rsid w:val="51CB0CD3"/>
    <w:rsid w:val="51CB359C"/>
    <w:rsid w:val="51CE2237"/>
    <w:rsid w:val="51D112E0"/>
    <w:rsid w:val="51D156E4"/>
    <w:rsid w:val="51D20FA7"/>
    <w:rsid w:val="51D75236"/>
    <w:rsid w:val="51D830B6"/>
    <w:rsid w:val="51DA3A3B"/>
    <w:rsid w:val="51DA4B03"/>
    <w:rsid w:val="51DC173E"/>
    <w:rsid w:val="51DC27F9"/>
    <w:rsid w:val="51DC30A1"/>
    <w:rsid w:val="51DD6505"/>
    <w:rsid w:val="51DE005C"/>
    <w:rsid w:val="51DF08FE"/>
    <w:rsid w:val="51DF2DAE"/>
    <w:rsid w:val="51E02930"/>
    <w:rsid w:val="51E06F83"/>
    <w:rsid w:val="51E21EFD"/>
    <w:rsid w:val="51E43AB2"/>
    <w:rsid w:val="51E507DC"/>
    <w:rsid w:val="51E54D76"/>
    <w:rsid w:val="51E72B40"/>
    <w:rsid w:val="51EA30D4"/>
    <w:rsid w:val="51EB4444"/>
    <w:rsid w:val="51EC5B7B"/>
    <w:rsid w:val="51EF3C17"/>
    <w:rsid w:val="51F018FA"/>
    <w:rsid w:val="51F021AD"/>
    <w:rsid w:val="51F03112"/>
    <w:rsid w:val="51F13802"/>
    <w:rsid w:val="51F577C4"/>
    <w:rsid w:val="51F7068C"/>
    <w:rsid w:val="51F86A07"/>
    <w:rsid w:val="51FD4A47"/>
    <w:rsid w:val="51FD7237"/>
    <w:rsid w:val="51FE75BC"/>
    <w:rsid w:val="52000723"/>
    <w:rsid w:val="520143BB"/>
    <w:rsid w:val="52035A43"/>
    <w:rsid w:val="520457F9"/>
    <w:rsid w:val="52056F67"/>
    <w:rsid w:val="52081BED"/>
    <w:rsid w:val="520A43EB"/>
    <w:rsid w:val="520C2400"/>
    <w:rsid w:val="520C55BF"/>
    <w:rsid w:val="520F2FD5"/>
    <w:rsid w:val="520F73E7"/>
    <w:rsid w:val="5211647C"/>
    <w:rsid w:val="52142F68"/>
    <w:rsid w:val="521C4E9A"/>
    <w:rsid w:val="521D0058"/>
    <w:rsid w:val="521F0CE5"/>
    <w:rsid w:val="521F5CC0"/>
    <w:rsid w:val="522018F3"/>
    <w:rsid w:val="52204DEE"/>
    <w:rsid w:val="52221733"/>
    <w:rsid w:val="52221D40"/>
    <w:rsid w:val="522307D5"/>
    <w:rsid w:val="52232583"/>
    <w:rsid w:val="52245083"/>
    <w:rsid w:val="52253F42"/>
    <w:rsid w:val="52271947"/>
    <w:rsid w:val="52285DEB"/>
    <w:rsid w:val="52291B63"/>
    <w:rsid w:val="522925FF"/>
    <w:rsid w:val="522C236D"/>
    <w:rsid w:val="522C5A06"/>
    <w:rsid w:val="522D4AFC"/>
    <w:rsid w:val="522E5EFF"/>
    <w:rsid w:val="522F616D"/>
    <w:rsid w:val="52350BA2"/>
    <w:rsid w:val="52392176"/>
    <w:rsid w:val="523A04D8"/>
    <w:rsid w:val="523A78CD"/>
    <w:rsid w:val="523C3645"/>
    <w:rsid w:val="523C53F3"/>
    <w:rsid w:val="523D1875"/>
    <w:rsid w:val="5240094B"/>
    <w:rsid w:val="52403CDA"/>
    <w:rsid w:val="5242124A"/>
    <w:rsid w:val="52431EBE"/>
    <w:rsid w:val="52460CB1"/>
    <w:rsid w:val="524635CC"/>
    <w:rsid w:val="52466DB1"/>
    <w:rsid w:val="52481FEA"/>
    <w:rsid w:val="524904CB"/>
    <w:rsid w:val="524B670A"/>
    <w:rsid w:val="524D0BE8"/>
    <w:rsid w:val="524D13AE"/>
    <w:rsid w:val="524F1880"/>
    <w:rsid w:val="52517586"/>
    <w:rsid w:val="52532D5B"/>
    <w:rsid w:val="525527A2"/>
    <w:rsid w:val="52583910"/>
    <w:rsid w:val="52586AF4"/>
    <w:rsid w:val="525B7ABE"/>
    <w:rsid w:val="525C5A95"/>
    <w:rsid w:val="525C7C23"/>
    <w:rsid w:val="525F3E0F"/>
    <w:rsid w:val="525F50D2"/>
    <w:rsid w:val="525F5585"/>
    <w:rsid w:val="52602908"/>
    <w:rsid w:val="52605B7D"/>
    <w:rsid w:val="52617E47"/>
    <w:rsid w:val="52660B74"/>
    <w:rsid w:val="5268443A"/>
    <w:rsid w:val="5268591A"/>
    <w:rsid w:val="526A6467"/>
    <w:rsid w:val="526C2B23"/>
    <w:rsid w:val="526C337C"/>
    <w:rsid w:val="526D1A50"/>
    <w:rsid w:val="526D7562"/>
    <w:rsid w:val="527032EE"/>
    <w:rsid w:val="527209B4"/>
    <w:rsid w:val="527228C9"/>
    <w:rsid w:val="527717D3"/>
    <w:rsid w:val="527728CF"/>
    <w:rsid w:val="527B6107"/>
    <w:rsid w:val="527D13AF"/>
    <w:rsid w:val="527E0DBE"/>
    <w:rsid w:val="527F70E7"/>
    <w:rsid w:val="52807993"/>
    <w:rsid w:val="528475DF"/>
    <w:rsid w:val="52850A1D"/>
    <w:rsid w:val="528559C7"/>
    <w:rsid w:val="52897566"/>
    <w:rsid w:val="528B1DBA"/>
    <w:rsid w:val="528B39DB"/>
    <w:rsid w:val="528D5C4E"/>
    <w:rsid w:val="528F038A"/>
    <w:rsid w:val="528F7303"/>
    <w:rsid w:val="52901A20"/>
    <w:rsid w:val="52906178"/>
    <w:rsid w:val="5291668C"/>
    <w:rsid w:val="52941E5A"/>
    <w:rsid w:val="529854D2"/>
    <w:rsid w:val="52993617"/>
    <w:rsid w:val="52996D16"/>
    <w:rsid w:val="529C2335"/>
    <w:rsid w:val="529D18C2"/>
    <w:rsid w:val="529D47BA"/>
    <w:rsid w:val="52A23485"/>
    <w:rsid w:val="52A31916"/>
    <w:rsid w:val="52A71279"/>
    <w:rsid w:val="52A76347"/>
    <w:rsid w:val="52A91490"/>
    <w:rsid w:val="52AA4A52"/>
    <w:rsid w:val="52AB2578"/>
    <w:rsid w:val="52AD62F0"/>
    <w:rsid w:val="52AD654D"/>
    <w:rsid w:val="52AE0496"/>
    <w:rsid w:val="52AF21E8"/>
    <w:rsid w:val="52AF64EE"/>
    <w:rsid w:val="52AF7E40"/>
    <w:rsid w:val="52B016CD"/>
    <w:rsid w:val="52B222AD"/>
    <w:rsid w:val="52B27B7D"/>
    <w:rsid w:val="52B34DE5"/>
    <w:rsid w:val="52B400B5"/>
    <w:rsid w:val="52B4417E"/>
    <w:rsid w:val="52B60C6D"/>
    <w:rsid w:val="52B71F11"/>
    <w:rsid w:val="52B72CCB"/>
    <w:rsid w:val="52BE04FE"/>
    <w:rsid w:val="52BE073F"/>
    <w:rsid w:val="52BF4136"/>
    <w:rsid w:val="52C47841"/>
    <w:rsid w:val="52C53DE7"/>
    <w:rsid w:val="52C553E8"/>
    <w:rsid w:val="52C647CB"/>
    <w:rsid w:val="52C73BD9"/>
    <w:rsid w:val="52C8417D"/>
    <w:rsid w:val="52C84F59"/>
    <w:rsid w:val="52C85147"/>
    <w:rsid w:val="52CA226C"/>
    <w:rsid w:val="52CA702A"/>
    <w:rsid w:val="52CA7E6C"/>
    <w:rsid w:val="52CD6ED9"/>
    <w:rsid w:val="52D11624"/>
    <w:rsid w:val="52D13B66"/>
    <w:rsid w:val="52D150D3"/>
    <w:rsid w:val="52D22779"/>
    <w:rsid w:val="52D75678"/>
    <w:rsid w:val="52D761BC"/>
    <w:rsid w:val="52D9353C"/>
    <w:rsid w:val="52D954BD"/>
    <w:rsid w:val="52DA3410"/>
    <w:rsid w:val="52DA3A8F"/>
    <w:rsid w:val="52DA6A61"/>
    <w:rsid w:val="52DC0984"/>
    <w:rsid w:val="52DC2464"/>
    <w:rsid w:val="52DE2852"/>
    <w:rsid w:val="52DF6735"/>
    <w:rsid w:val="52DF7A8B"/>
    <w:rsid w:val="52E053BB"/>
    <w:rsid w:val="52E11959"/>
    <w:rsid w:val="52E131CA"/>
    <w:rsid w:val="52E215B1"/>
    <w:rsid w:val="52E216B2"/>
    <w:rsid w:val="52E51D43"/>
    <w:rsid w:val="52EA0C77"/>
    <w:rsid w:val="52ED04FF"/>
    <w:rsid w:val="52ED26BB"/>
    <w:rsid w:val="52EE061D"/>
    <w:rsid w:val="52EE49F1"/>
    <w:rsid w:val="52F17432"/>
    <w:rsid w:val="52F20A60"/>
    <w:rsid w:val="52F32A6E"/>
    <w:rsid w:val="52F34A67"/>
    <w:rsid w:val="52F42B49"/>
    <w:rsid w:val="52FA0D15"/>
    <w:rsid w:val="52FB39C7"/>
    <w:rsid w:val="52FB7CC8"/>
    <w:rsid w:val="52FC362B"/>
    <w:rsid w:val="52FD435E"/>
    <w:rsid w:val="52FD7478"/>
    <w:rsid w:val="52FE6936"/>
    <w:rsid w:val="530207EE"/>
    <w:rsid w:val="530443EF"/>
    <w:rsid w:val="53046BE3"/>
    <w:rsid w:val="53066F15"/>
    <w:rsid w:val="53072F91"/>
    <w:rsid w:val="53084F89"/>
    <w:rsid w:val="530A0EDD"/>
    <w:rsid w:val="530E725A"/>
    <w:rsid w:val="5312649D"/>
    <w:rsid w:val="53126B33"/>
    <w:rsid w:val="5315111D"/>
    <w:rsid w:val="53160EB1"/>
    <w:rsid w:val="53176136"/>
    <w:rsid w:val="53184BC8"/>
    <w:rsid w:val="53195211"/>
    <w:rsid w:val="53195D09"/>
    <w:rsid w:val="531B589F"/>
    <w:rsid w:val="53202524"/>
    <w:rsid w:val="5320789E"/>
    <w:rsid w:val="53210759"/>
    <w:rsid w:val="53236DA1"/>
    <w:rsid w:val="53245DFE"/>
    <w:rsid w:val="53251613"/>
    <w:rsid w:val="53274DC3"/>
    <w:rsid w:val="532760A3"/>
    <w:rsid w:val="532A6510"/>
    <w:rsid w:val="532D0001"/>
    <w:rsid w:val="532F30AA"/>
    <w:rsid w:val="53324587"/>
    <w:rsid w:val="53333839"/>
    <w:rsid w:val="5334495E"/>
    <w:rsid w:val="53345444"/>
    <w:rsid w:val="53376138"/>
    <w:rsid w:val="5338074B"/>
    <w:rsid w:val="533875D5"/>
    <w:rsid w:val="533B1C60"/>
    <w:rsid w:val="533B3627"/>
    <w:rsid w:val="533C5AB4"/>
    <w:rsid w:val="533C7578"/>
    <w:rsid w:val="53434EB1"/>
    <w:rsid w:val="53441128"/>
    <w:rsid w:val="53444B5D"/>
    <w:rsid w:val="53453F4B"/>
    <w:rsid w:val="53473D59"/>
    <w:rsid w:val="53477D7E"/>
    <w:rsid w:val="5348751B"/>
    <w:rsid w:val="534876A6"/>
    <w:rsid w:val="534A1D91"/>
    <w:rsid w:val="534A4F68"/>
    <w:rsid w:val="534B354F"/>
    <w:rsid w:val="534C1074"/>
    <w:rsid w:val="534E226E"/>
    <w:rsid w:val="534F1BE7"/>
    <w:rsid w:val="53510B85"/>
    <w:rsid w:val="535145DC"/>
    <w:rsid w:val="5354093D"/>
    <w:rsid w:val="5354619F"/>
    <w:rsid w:val="5355480C"/>
    <w:rsid w:val="53572BF3"/>
    <w:rsid w:val="53583DDA"/>
    <w:rsid w:val="5359642D"/>
    <w:rsid w:val="535A6D3D"/>
    <w:rsid w:val="535B6AAE"/>
    <w:rsid w:val="535B7B08"/>
    <w:rsid w:val="535D24A4"/>
    <w:rsid w:val="535E7B79"/>
    <w:rsid w:val="535F10FA"/>
    <w:rsid w:val="535F1354"/>
    <w:rsid w:val="53610DA9"/>
    <w:rsid w:val="53611977"/>
    <w:rsid w:val="536122BB"/>
    <w:rsid w:val="53615001"/>
    <w:rsid w:val="53620C55"/>
    <w:rsid w:val="53627F74"/>
    <w:rsid w:val="53656A16"/>
    <w:rsid w:val="53660DE1"/>
    <w:rsid w:val="53664C4E"/>
    <w:rsid w:val="536A1A09"/>
    <w:rsid w:val="536A3D92"/>
    <w:rsid w:val="536C3BAD"/>
    <w:rsid w:val="53706840"/>
    <w:rsid w:val="537142AB"/>
    <w:rsid w:val="537218B9"/>
    <w:rsid w:val="5374156D"/>
    <w:rsid w:val="53741C81"/>
    <w:rsid w:val="537508EE"/>
    <w:rsid w:val="53753789"/>
    <w:rsid w:val="53762B86"/>
    <w:rsid w:val="53777EB2"/>
    <w:rsid w:val="53793AF1"/>
    <w:rsid w:val="537A7450"/>
    <w:rsid w:val="537B4CF2"/>
    <w:rsid w:val="537D6AD6"/>
    <w:rsid w:val="537E38BC"/>
    <w:rsid w:val="53801679"/>
    <w:rsid w:val="53813A19"/>
    <w:rsid w:val="538208DC"/>
    <w:rsid w:val="5382138F"/>
    <w:rsid w:val="5384132E"/>
    <w:rsid w:val="5387090A"/>
    <w:rsid w:val="538711BE"/>
    <w:rsid w:val="53890482"/>
    <w:rsid w:val="538948D5"/>
    <w:rsid w:val="538B3A1C"/>
    <w:rsid w:val="538C0B68"/>
    <w:rsid w:val="538E5967"/>
    <w:rsid w:val="538E7FFA"/>
    <w:rsid w:val="538F119C"/>
    <w:rsid w:val="53910F3C"/>
    <w:rsid w:val="539409A7"/>
    <w:rsid w:val="53966D85"/>
    <w:rsid w:val="53971AE3"/>
    <w:rsid w:val="539834D6"/>
    <w:rsid w:val="539A234D"/>
    <w:rsid w:val="539B2198"/>
    <w:rsid w:val="539B6DA5"/>
    <w:rsid w:val="53A05E55"/>
    <w:rsid w:val="53A24E91"/>
    <w:rsid w:val="53A31DB9"/>
    <w:rsid w:val="53A44F5A"/>
    <w:rsid w:val="53A542F0"/>
    <w:rsid w:val="53A56FC8"/>
    <w:rsid w:val="53A625F7"/>
    <w:rsid w:val="53A66DAC"/>
    <w:rsid w:val="53A81E0D"/>
    <w:rsid w:val="53A93924"/>
    <w:rsid w:val="53A94D0A"/>
    <w:rsid w:val="53AA3992"/>
    <w:rsid w:val="53AA4016"/>
    <w:rsid w:val="53AC7200"/>
    <w:rsid w:val="53AE2320"/>
    <w:rsid w:val="53AE3F14"/>
    <w:rsid w:val="53B042EA"/>
    <w:rsid w:val="53B05948"/>
    <w:rsid w:val="53B1708B"/>
    <w:rsid w:val="53B17E48"/>
    <w:rsid w:val="53B67427"/>
    <w:rsid w:val="53B674CE"/>
    <w:rsid w:val="53B844A9"/>
    <w:rsid w:val="53BA34D0"/>
    <w:rsid w:val="53BC0C1F"/>
    <w:rsid w:val="53BC394F"/>
    <w:rsid w:val="53BD381B"/>
    <w:rsid w:val="53BE2993"/>
    <w:rsid w:val="53BE6965"/>
    <w:rsid w:val="53C11704"/>
    <w:rsid w:val="53C12912"/>
    <w:rsid w:val="53C14605"/>
    <w:rsid w:val="53C22E43"/>
    <w:rsid w:val="53C30FA1"/>
    <w:rsid w:val="53C84847"/>
    <w:rsid w:val="53C869C5"/>
    <w:rsid w:val="53C92DC1"/>
    <w:rsid w:val="53C953AC"/>
    <w:rsid w:val="53C95985"/>
    <w:rsid w:val="53CA2610"/>
    <w:rsid w:val="53CB23D2"/>
    <w:rsid w:val="53CB4A9A"/>
    <w:rsid w:val="53CB669E"/>
    <w:rsid w:val="53CB7E5F"/>
    <w:rsid w:val="53CE4770"/>
    <w:rsid w:val="53D13189"/>
    <w:rsid w:val="53D14EBF"/>
    <w:rsid w:val="53D47DF9"/>
    <w:rsid w:val="53D77AC9"/>
    <w:rsid w:val="53D87615"/>
    <w:rsid w:val="53DA1732"/>
    <w:rsid w:val="53DB6F0A"/>
    <w:rsid w:val="53DE3845"/>
    <w:rsid w:val="53DE7084"/>
    <w:rsid w:val="53DF278E"/>
    <w:rsid w:val="53E10D58"/>
    <w:rsid w:val="53E2153B"/>
    <w:rsid w:val="53E43695"/>
    <w:rsid w:val="53E618A1"/>
    <w:rsid w:val="53E64DD8"/>
    <w:rsid w:val="53E67D0C"/>
    <w:rsid w:val="53E77541"/>
    <w:rsid w:val="53E85B4F"/>
    <w:rsid w:val="53EB0007"/>
    <w:rsid w:val="53ED65E7"/>
    <w:rsid w:val="53EE2919"/>
    <w:rsid w:val="53EF57CF"/>
    <w:rsid w:val="53F131C4"/>
    <w:rsid w:val="53F23E29"/>
    <w:rsid w:val="53F31199"/>
    <w:rsid w:val="53F72014"/>
    <w:rsid w:val="53F9488C"/>
    <w:rsid w:val="53FD32A8"/>
    <w:rsid w:val="54012FD3"/>
    <w:rsid w:val="5401727A"/>
    <w:rsid w:val="540279B6"/>
    <w:rsid w:val="5403433C"/>
    <w:rsid w:val="54042F71"/>
    <w:rsid w:val="540470D1"/>
    <w:rsid w:val="54055AD4"/>
    <w:rsid w:val="54056ECB"/>
    <w:rsid w:val="54063704"/>
    <w:rsid w:val="54077FBB"/>
    <w:rsid w:val="5408268C"/>
    <w:rsid w:val="540A3A96"/>
    <w:rsid w:val="540B7381"/>
    <w:rsid w:val="540C508D"/>
    <w:rsid w:val="540D34EB"/>
    <w:rsid w:val="540E17C1"/>
    <w:rsid w:val="54102B78"/>
    <w:rsid w:val="54134879"/>
    <w:rsid w:val="541440C9"/>
    <w:rsid w:val="54170765"/>
    <w:rsid w:val="541741D6"/>
    <w:rsid w:val="541A39B2"/>
    <w:rsid w:val="541A6434"/>
    <w:rsid w:val="541A64AD"/>
    <w:rsid w:val="541B5777"/>
    <w:rsid w:val="541C6180"/>
    <w:rsid w:val="541E2F21"/>
    <w:rsid w:val="541E4EDC"/>
    <w:rsid w:val="541F321E"/>
    <w:rsid w:val="541F7D02"/>
    <w:rsid w:val="5420228D"/>
    <w:rsid w:val="54210D44"/>
    <w:rsid w:val="54215E4A"/>
    <w:rsid w:val="54232D0E"/>
    <w:rsid w:val="542409DE"/>
    <w:rsid w:val="542445FF"/>
    <w:rsid w:val="54252B39"/>
    <w:rsid w:val="54253D14"/>
    <w:rsid w:val="542611F9"/>
    <w:rsid w:val="5426635A"/>
    <w:rsid w:val="54285E64"/>
    <w:rsid w:val="542A674C"/>
    <w:rsid w:val="542B58DF"/>
    <w:rsid w:val="542C2841"/>
    <w:rsid w:val="542E16B3"/>
    <w:rsid w:val="542E7977"/>
    <w:rsid w:val="54301834"/>
    <w:rsid w:val="54306716"/>
    <w:rsid w:val="543116D8"/>
    <w:rsid w:val="543317E7"/>
    <w:rsid w:val="54336372"/>
    <w:rsid w:val="54337852"/>
    <w:rsid w:val="54367C66"/>
    <w:rsid w:val="54371673"/>
    <w:rsid w:val="54372D88"/>
    <w:rsid w:val="54397119"/>
    <w:rsid w:val="543A2652"/>
    <w:rsid w:val="543B447E"/>
    <w:rsid w:val="544043E3"/>
    <w:rsid w:val="544215DC"/>
    <w:rsid w:val="54424505"/>
    <w:rsid w:val="544575C8"/>
    <w:rsid w:val="544578AC"/>
    <w:rsid w:val="54461745"/>
    <w:rsid w:val="544644C4"/>
    <w:rsid w:val="544669FD"/>
    <w:rsid w:val="544759C2"/>
    <w:rsid w:val="544D7D8B"/>
    <w:rsid w:val="544E68DE"/>
    <w:rsid w:val="544F5C48"/>
    <w:rsid w:val="545253A1"/>
    <w:rsid w:val="5455639C"/>
    <w:rsid w:val="545674D7"/>
    <w:rsid w:val="54580A0A"/>
    <w:rsid w:val="545853DC"/>
    <w:rsid w:val="54594C92"/>
    <w:rsid w:val="5459725F"/>
    <w:rsid w:val="545C1CAB"/>
    <w:rsid w:val="545C4D54"/>
    <w:rsid w:val="545F186C"/>
    <w:rsid w:val="545F42F0"/>
    <w:rsid w:val="5460621F"/>
    <w:rsid w:val="5461502B"/>
    <w:rsid w:val="5462251D"/>
    <w:rsid w:val="546361D4"/>
    <w:rsid w:val="54641DA5"/>
    <w:rsid w:val="546649A9"/>
    <w:rsid w:val="54666328"/>
    <w:rsid w:val="546704F0"/>
    <w:rsid w:val="54677920"/>
    <w:rsid w:val="54686973"/>
    <w:rsid w:val="54694499"/>
    <w:rsid w:val="546A278B"/>
    <w:rsid w:val="546E385E"/>
    <w:rsid w:val="546E5ED3"/>
    <w:rsid w:val="54724CBB"/>
    <w:rsid w:val="547302FA"/>
    <w:rsid w:val="54776B98"/>
    <w:rsid w:val="547846DC"/>
    <w:rsid w:val="547925F7"/>
    <w:rsid w:val="547A66A6"/>
    <w:rsid w:val="547F1F0F"/>
    <w:rsid w:val="547F347D"/>
    <w:rsid w:val="54803E09"/>
    <w:rsid w:val="548134DD"/>
    <w:rsid w:val="548351DE"/>
    <w:rsid w:val="54841B9F"/>
    <w:rsid w:val="548740BC"/>
    <w:rsid w:val="5489214A"/>
    <w:rsid w:val="54897B40"/>
    <w:rsid w:val="548B2CF1"/>
    <w:rsid w:val="548C2C0C"/>
    <w:rsid w:val="54901A26"/>
    <w:rsid w:val="54904994"/>
    <w:rsid w:val="54921C42"/>
    <w:rsid w:val="549414A4"/>
    <w:rsid w:val="54996882"/>
    <w:rsid w:val="549B6A88"/>
    <w:rsid w:val="549E7362"/>
    <w:rsid w:val="549E786E"/>
    <w:rsid w:val="549F2B6C"/>
    <w:rsid w:val="54A13C33"/>
    <w:rsid w:val="54A212AB"/>
    <w:rsid w:val="54A2519A"/>
    <w:rsid w:val="54A37F06"/>
    <w:rsid w:val="54A41EF9"/>
    <w:rsid w:val="54A43723"/>
    <w:rsid w:val="54A5112C"/>
    <w:rsid w:val="54A551E3"/>
    <w:rsid w:val="54A84FC1"/>
    <w:rsid w:val="54A93AF7"/>
    <w:rsid w:val="54AD696D"/>
    <w:rsid w:val="54AE0FDD"/>
    <w:rsid w:val="54AE4185"/>
    <w:rsid w:val="54B100B8"/>
    <w:rsid w:val="54B25E40"/>
    <w:rsid w:val="54B73DDB"/>
    <w:rsid w:val="54B82AFD"/>
    <w:rsid w:val="54B85811"/>
    <w:rsid w:val="54BC5AB4"/>
    <w:rsid w:val="54BD1520"/>
    <w:rsid w:val="54BD677B"/>
    <w:rsid w:val="54BE2A37"/>
    <w:rsid w:val="54BE459A"/>
    <w:rsid w:val="54C11BE5"/>
    <w:rsid w:val="54C204F9"/>
    <w:rsid w:val="54C50699"/>
    <w:rsid w:val="54C56A34"/>
    <w:rsid w:val="54C618EB"/>
    <w:rsid w:val="54C90114"/>
    <w:rsid w:val="54C97C12"/>
    <w:rsid w:val="54CA59CD"/>
    <w:rsid w:val="54CB6136"/>
    <w:rsid w:val="54D0158C"/>
    <w:rsid w:val="54D322CA"/>
    <w:rsid w:val="54D412D8"/>
    <w:rsid w:val="54D52565"/>
    <w:rsid w:val="54D53163"/>
    <w:rsid w:val="54D63B0D"/>
    <w:rsid w:val="54D9315A"/>
    <w:rsid w:val="54DA62E9"/>
    <w:rsid w:val="54DC1FBE"/>
    <w:rsid w:val="54DC4C6B"/>
    <w:rsid w:val="54DE15AE"/>
    <w:rsid w:val="54DE2777"/>
    <w:rsid w:val="54DF57CC"/>
    <w:rsid w:val="54E2072E"/>
    <w:rsid w:val="54E30E49"/>
    <w:rsid w:val="54E63D3C"/>
    <w:rsid w:val="54E808BF"/>
    <w:rsid w:val="54E83610"/>
    <w:rsid w:val="54E85C1C"/>
    <w:rsid w:val="54E92E0B"/>
    <w:rsid w:val="54E93398"/>
    <w:rsid w:val="54E9361A"/>
    <w:rsid w:val="54EB0F5A"/>
    <w:rsid w:val="54EC3ACB"/>
    <w:rsid w:val="54ED646E"/>
    <w:rsid w:val="54EF2BF0"/>
    <w:rsid w:val="54F051D3"/>
    <w:rsid w:val="54F24A79"/>
    <w:rsid w:val="54F34332"/>
    <w:rsid w:val="54F40207"/>
    <w:rsid w:val="54F441BF"/>
    <w:rsid w:val="54F565E1"/>
    <w:rsid w:val="54F75F49"/>
    <w:rsid w:val="54FA047F"/>
    <w:rsid w:val="54FC6198"/>
    <w:rsid w:val="54FE4C59"/>
    <w:rsid w:val="54FF2FC1"/>
    <w:rsid w:val="550917B1"/>
    <w:rsid w:val="55097998"/>
    <w:rsid w:val="550A0ED6"/>
    <w:rsid w:val="550A2F91"/>
    <w:rsid w:val="550D3076"/>
    <w:rsid w:val="550F6210"/>
    <w:rsid w:val="55114CDD"/>
    <w:rsid w:val="55116D62"/>
    <w:rsid w:val="55125D4C"/>
    <w:rsid w:val="55187E0D"/>
    <w:rsid w:val="551A4D78"/>
    <w:rsid w:val="551C258A"/>
    <w:rsid w:val="55213A11"/>
    <w:rsid w:val="55213A49"/>
    <w:rsid w:val="55216B22"/>
    <w:rsid w:val="55224E90"/>
    <w:rsid w:val="5523714F"/>
    <w:rsid w:val="55262AD0"/>
    <w:rsid w:val="552652CA"/>
    <w:rsid w:val="552705DC"/>
    <w:rsid w:val="552B0711"/>
    <w:rsid w:val="552B174F"/>
    <w:rsid w:val="552D3FF7"/>
    <w:rsid w:val="552E395D"/>
    <w:rsid w:val="552E4368"/>
    <w:rsid w:val="552E6BE9"/>
    <w:rsid w:val="5530732D"/>
    <w:rsid w:val="553121A9"/>
    <w:rsid w:val="553127ED"/>
    <w:rsid w:val="5531510A"/>
    <w:rsid w:val="55316115"/>
    <w:rsid w:val="55322ADD"/>
    <w:rsid w:val="55335A63"/>
    <w:rsid w:val="55342CF9"/>
    <w:rsid w:val="55344AA7"/>
    <w:rsid w:val="5535287C"/>
    <w:rsid w:val="55367712"/>
    <w:rsid w:val="553A440E"/>
    <w:rsid w:val="553D6BC9"/>
    <w:rsid w:val="5544313F"/>
    <w:rsid w:val="55463FDF"/>
    <w:rsid w:val="55467A74"/>
    <w:rsid w:val="55472A2C"/>
    <w:rsid w:val="55484BBB"/>
    <w:rsid w:val="55487C22"/>
    <w:rsid w:val="55491271"/>
    <w:rsid w:val="554A5A49"/>
    <w:rsid w:val="554B4D08"/>
    <w:rsid w:val="554B6250"/>
    <w:rsid w:val="55510743"/>
    <w:rsid w:val="5551141D"/>
    <w:rsid w:val="55513EA8"/>
    <w:rsid w:val="55524F2D"/>
    <w:rsid w:val="55540CA5"/>
    <w:rsid w:val="555545D1"/>
    <w:rsid w:val="555551A6"/>
    <w:rsid w:val="55575D1B"/>
    <w:rsid w:val="555825B7"/>
    <w:rsid w:val="555965DF"/>
    <w:rsid w:val="555C68E7"/>
    <w:rsid w:val="555D4E60"/>
    <w:rsid w:val="5560019C"/>
    <w:rsid w:val="556010E8"/>
    <w:rsid w:val="55604802"/>
    <w:rsid w:val="5560602E"/>
    <w:rsid w:val="5563298F"/>
    <w:rsid w:val="55636514"/>
    <w:rsid w:val="55636FAF"/>
    <w:rsid w:val="55664241"/>
    <w:rsid w:val="55676C2B"/>
    <w:rsid w:val="55696EC8"/>
    <w:rsid w:val="556A2E62"/>
    <w:rsid w:val="556B3907"/>
    <w:rsid w:val="556D4C7B"/>
    <w:rsid w:val="556D5750"/>
    <w:rsid w:val="556E268C"/>
    <w:rsid w:val="556E2D8B"/>
    <w:rsid w:val="55721EB8"/>
    <w:rsid w:val="55733857"/>
    <w:rsid w:val="55744A29"/>
    <w:rsid w:val="557538FA"/>
    <w:rsid w:val="55762D0E"/>
    <w:rsid w:val="55774994"/>
    <w:rsid w:val="55791E47"/>
    <w:rsid w:val="557A4EF2"/>
    <w:rsid w:val="557C5E2C"/>
    <w:rsid w:val="557C7F6D"/>
    <w:rsid w:val="557D644E"/>
    <w:rsid w:val="557D73C7"/>
    <w:rsid w:val="5581515C"/>
    <w:rsid w:val="55816518"/>
    <w:rsid w:val="55821CB6"/>
    <w:rsid w:val="55846EA0"/>
    <w:rsid w:val="55853868"/>
    <w:rsid w:val="5586583C"/>
    <w:rsid w:val="55880550"/>
    <w:rsid w:val="55882F16"/>
    <w:rsid w:val="55883978"/>
    <w:rsid w:val="558A0575"/>
    <w:rsid w:val="558A4596"/>
    <w:rsid w:val="558C043F"/>
    <w:rsid w:val="558C5A37"/>
    <w:rsid w:val="558E1B65"/>
    <w:rsid w:val="558E5D80"/>
    <w:rsid w:val="5590172B"/>
    <w:rsid w:val="55905269"/>
    <w:rsid w:val="55916F9B"/>
    <w:rsid w:val="55954A7A"/>
    <w:rsid w:val="5596416A"/>
    <w:rsid w:val="55990CD5"/>
    <w:rsid w:val="5599492D"/>
    <w:rsid w:val="559A080E"/>
    <w:rsid w:val="559A3B5E"/>
    <w:rsid w:val="559B0682"/>
    <w:rsid w:val="559C40DA"/>
    <w:rsid w:val="559D2979"/>
    <w:rsid w:val="559D4AB5"/>
    <w:rsid w:val="559E0172"/>
    <w:rsid w:val="559F19BC"/>
    <w:rsid w:val="559F1AA1"/>
    <w:rsid w:val="559F4509"/>
    <w:rsid w:val="55A03EAE"/>
    <w:rsid w:val="55A10AC3"/>
    <w:rsid w:val="55A164E2"/>
    <w:rsid w:val="55A54F70"/>
    <w:rsid w:val="55A63F67"/>
    <w:rsid w:val="55A64280"/>
    <w:rsid w:val="55A7399A"/>
    <w:rsid w:val="55A74127"/>
    <w:rsid w:val="55A81151"/>
    <w:rsid w:val="55A821C1"/>
    <w:rsid w:val="55A8315B"/>
    <w:rsid w:val="55A901D2"/>
    <w:rsid w:val="55AA6172"/>
    <w:rsid w:val="55AC0DF6"/>
    <w:rsid w:val="55AE2A04"/>
    <w:rsid w:val="55AE4859"/>
    <w:rsid w:val="55AF376B"/>
    <w:rsid w:val="55B14ADF"/>
    <w:rsid w:val="55B160F8"/>
    <w:rsid w:val="55B6198C"/>
    <w:rsid w:val="55B653AF"/>
    <w:rsid w:val="55B8083D"/>
    <w:rsid w:val="55B84F06"/>
    <w:rsid w:val="55B86BD7"/>
    <w:rsid w:val="55BD3EC9"/>
    <w:rsid w:val="55BD4689"/>
    <w:rsid w:val="55BE5BAB"/>
    <w:rsid w:val="55BF080A"/>
    <w:rsid w:val="55BF0E73"/>
    <w:rsid w:val="55BF552F"/>
    <w:rsid w:val="55C25D09"/>
    <w:rsid w:val="55C26379"/>
    <w:rsid w:val="55C45E37"/>
    <w:rsid w:val="55C47289"/>
    <w:rsid w:val="55C523D8"/>
    <w:rsid w:val="55C54B2A"/>
    <w:rsid w:val="55C5664D"/>
    <w:rsid w:val="55C675D0"/>
    <w:rsid w:val="55CD61F5"/>
    <w:rsid w:val="55CF7C44"/>
    <w:rsid w:val="55D0168C"/>
    <w:rsid w:val="55D11AA8"/>
    <w:rsid w:val="55D32512"/>
    <w:rsid w:val="55D36CFA"/>
    <w:rsid w:val="55D50038"/>
    <w:rsid w:val="55D52F22"/>
    <w:rsid w:val="55D54A80"/>
    <w:rsid w:val="55DB295C"/>
    <w:rsid w:val="55DC3B4D"/>
    <w:rsid w:val="55DC4785"/>
    <w:rsid w:val="55DE0A80"/>
    <w:rsid w:val="55DE268A"/>
    <w:rsid w:val="55DE4951"/>
    <w:rsid w:val="55DE4F2E"/>
    <w:rsid w:val="55DF4A13"/>
    <w:rsid w:val="55DF5C85"/>
    <w:rsid w:val="55E30B66"/>
    <w:rsid w:val="55E879CE"/>
    <w:rsid w:val="55EB366A"/>
    <w:rsid w:val="55EB439C"/>
    <w:rsid w:val="55EE35A6"/>
    <w:rsid w:val="55EE4C56"/>
    <w:rsid w:val="55F03DCC"/>
    <w:rsid w:val="55F10BEA"/>
    <w:rsid w:val="55F11B10"/>
    <w:rsid w:val="55F12998"/>
    <w:rsid w:val="55F1516F"/>
    <w:rsid w:val="55F3076C"/>
    <w:rsid w:val="55F3677C"/>
    <w:rsid w:val="55F41702"/>
    <w:rsid w:val="55F706CE"/>
    <w:rsid w:val="55F730DA"/>
    <w:rsid w:val="55F7504E"/>
    <w:rsid w:val="55F75DF3"/>
    <w:rsid w:val="55F82812"/>
    <w:rsid w:val="55F867B7"/>
    <w:rsid w:val="55FD43A2"/>
    <w:rsid w:val="55FD6E53"/>
    <w:rsid w:val="55FE30B7"/>
    <w:rsid w:val="55FE32CC"/>
    <w:rsid w:val="560023C4"/>
    <w:rsid w:val="56002499"/>
    <w:rsid w:val="560127CC"/>
    <w:rsid w:val="560657A1"/>
    <w:rsid w:val="56074242"/>
    <w:rsid w:val="56081BDB"/>
    <w:rsid w:val="560A6996"/>
    <w:rsid w:val="560C77F5"/>
    <w:rsid w:val="560E0E04"/>
    <w:rsid w:val="560E1C81"/>
    <w:rsid w:val="560E7AD9"/>
    <w:rsid w:val="560F53F7"/>
    <w:rsid w:val="5613103E"/>
    <w:rsid w:val="56135E24"/>
    <w:rsid w:val="56150435"/>
    <w:rsid w:val="56167EFB"/>
    <w:rsid w:val="56173FE6"/>
    <w:rsid w:val="56181120"/>
    <w:rsid w:val="561847FD"/>
    <w:rsid w:val="561A0102"/>
    <w:rsid w:val="561A1259"/>
    <w:rsid w:val="561A3C9D"/>
    <w:rsid w:val="561B63F2"/>
    <w:rsid w:val="561C4BFE"/>
    <w:rsid w:val="561D2C04"/>
    <w:rsid w:val="561D7ED8"/>
    <w:rsid w:val="561E237E"/>
    <w:rsid w:val="561E4F78"/>
    <w:rsid w:val="561F5822"/>
    <w:rsid w:val="56226FF5"/>
    <w:rsid w:val="5624337B"/>
    <w:rsid w:val="562468CA"/>
    <w:rsid w:val="5626180E"/>
    <w:rsid w:val="562621AC"/>
    <w:rsid w:val="56263EA9"/>
    <w:rsid w:val="562667CC"/>
    <w:rsid w:val="5627411E"/>
    <w:rsid w:val="56277440"/>
    <w:rsid w:val="56283DDD"/>
    <w:rsid w:val="5628488F"/>
    <w:rsid w:val="562B5CF0"/>
    <w:rsid w:val="562C31E7"/>
    <w:rsid w:val="562F082F"/>
    <w:rsid w:val="562F242E"/>
    <w:rsid w:val="563113AD"/>
    <w:rsid w:val="56325EB0"/>
    <w:rsid w:val="56363A97"/>
    <w:rsid w:val="56377F7D"/>
    <w:rsid w:val="56385DD0"/>
    <w:rsid w:val="56387F8F"/>
    <w:rsid w:val="563B0993"/>
    <w:rsid w:val="563D7812"/>
    <w:rsid w:val="56400847"/>
    <w:rsid w:val="56404CD3"/>
    <w:rsid w:val="56410322"/>
    <w:rsid w:val="56424097"/>
    <w:rsid w:val="564464B9"/>
    <w:rsid w:val="564570F9"/>
    <w:rsid w:val="56480278"/>
    <w:rsid w:val="5648045F"/>
    <w:rsid w:val="56481953"/>
    <w:rsid w:val="56497986"/>
    <w:rsid w:val="564A6E31"/>
    <w:rsid w:val="564D0E7D"/>
    <w:rsid w:val="564E166C"/>
    <w:rsid w:val="564E4ED1"/>
    <w:rsid w:val="56505911"/>
    <w:rsid w:val="56520719"/>
    <w:rsid w:val="56521689"/>
    <w:rsid w:val="565421AA"/>
    <w:rsid w:val="56546007"/>
    <w:rsid w:val="56563FF5"/>
    <w:rsid w:val="56567C36"/>
    <w:rsid w:val="56573A60"/>
    <w:rsid w:val="5658284A"/>
    <w:rsid w:val="56585E50"/>
    <w:rsid w:val="565C2C39"/>
    <w:rsid w:val="565E29AE"/>
    <w:rsid w:val="565E3D1E"/>
    <w:rsid w:val="565E46B2"/>
    <w:rsid w:val="5664423B"/>
    <w:rsid w:val="5667461A"/>
    <w:rsid w:val="566B035E"/>
    <w:rsid w:val="566D6A2E"/>
    <w:rsid w:val="56730D68"/>
    <w:rsid w:val="567315FF"/>
    <w:rsid w:val="56746674"/>
    <w:rsid w:val="56770847"/>
    <w:rsid w:val="567A473C"/>
    <w:rsid w:val="567C0AA8"/>
    <w:rsid w:val="567D5D9E"/>
    <w:rsid w:val="567F1490"/>
    <w:rsid w:val="56805D73"/>
    <w:rsid w:val="56810B43"/>
    <w:rsid w:val="56825794"/>
    <w:rsid w:val="56847C04"/>
    <w:rsid w:val="56853A91"/>
    <w:rsid w:val="5686476D"/>
    <w:rsid w:val="56867CE9"/>
    <w:rsid w:val="568A2E25"/>
    <w:rsid w:val="568A446B"/>
    <w:rsid w:val="568A7C89"/>
    <w:rsid w:val="568D14EB"/>
    <w:rsid w:val="568D4151"/>
    <w:rsid w:val="568D48D7"/>
    <w:rsid w:val="56900301"/>
    <w:rsid w:val="569021B1"/>
    <w:rsid w:val="56904F7A"/>
    <w:rsid w:val="56906FF3"/>
    <w:rsid w:val="56940F52"/>
    <w:rsid w:val="56966B24"/>
    <w:rsid w:val="56972187"/>
    <w:rsid w:val="5697301A"/>
    <w:rsid w:val="569A4363"/>
    <w:rsid w:val="569F41A2"/>
    <w:rsid w:val="569F7E8A"/>
    <w:rsid w:val="56A51664"/>
    <w:rsid w:val="56A6209B"/>
    <w:rsid w:val="56A633FE"/>
    <w:rsid w:val="56A64249"/>
    <w:rsid w:val="56A67E4E"/>
    <w:rsid w:val="56A82478"/>
    <w:rsid w:val="56A83132"/>
    <w:rsid w:val="56AD07C0"/>
    <w:rsid w:val="56AD2836"/>
    <w:rsid w:val="56AF0889"/>
    <w:rsid w:val="56B41E25"/>
    <w:rsid w:val="56B45E9F"/>
    <w:rsid w:val="56B61904"/>
    <w:rsid w:val="56B75A63"/>
    <w:rsid w:val="56B76E54"/>
    <w:rsid w:val="56B87FCB"/>
    <w:rsid w:val="56B95729"/>
    <w:rsid w:val="56BC4E15"/>
    <w:rsid w:val="56BC556F"/>
    <w:rsid w:val="56BC69FE"/>
    <w:rsid w:val="56BD3CD4"/>
    <w:rsid w:val="56C0654E"/>
    <w:rsid w:val="56C24012"/>
    <w:rsid w:val="56C37E91"/>
    <w:rsid w:val="56C4574F"/>
    <w:rsid w:val="56C715FB"/>
    <w:rsid w:val="56C92351"/>
    <w:rsid w:val="56CA7AA0"/>
    <w:rsid w:val="56CB16CE"/>
    <w:rsid w:val="56CB47B9"/>
    <w:rsid w:val="56CB4F97"/>
    <w:rsid w:val="56CD745B"/>
    <w:rsid w:val="56CE6835"/>
    <w:rsid w:val="56CF482F"/>
    <w:rsid w:val="56D14BA7"/>
    <w:rsid w:val="56D16EA0"/>
    <w:rsid w:val="56D173A6"/>
    <w:rsid w:val="56D24578"/>
    <w:rsid w:val="56D310C4"/>
    <w:rsid w:val="56D3268E"/>
    <w:rsid w:val="56D71B8E"/>
    <w:rsid w:val="56D73EF4"/>
    <w:rsid w:val="56D906E3"/>
    <w:rsid w:val="56D95D49"/>
    <w:rsid w:val="56DA5961"/>
    <w:rsid w:val="56DE023E"/>
    <w:rsid w:val="56DE0B2F"/>
    <w:rsid w:val="56DE5ED5"/>
    <w:rsid w:val="56DE6725"/>
    <w:rsid w:val="56E04390"/>
    <w:rsid w:val="56E129AD"/>
    <w:rsid w:val="56E17016"/>
    <w:rsid w:val="56E206B9"/>
    <w:rsid w:val="56E458CB"/>
    <w:rsid w:val="56E63182"/>
    <w:rsid w:val="56E67FE8"/>
    <w:rsid w:val="56EA0D73"/>
    <w:rsid w:val="56ED32C7"/>
    <w:rsid w:val="56EE06EB"/>
    <w:rsid w:val="56EE13DA"/>
    <w:rsid w:val="56F014D0"/>
    <w:rsid w:val="56F05E0C"/>
    <w:rsid w:val="56F16703"/>
    <w:rsid w:val="56F336D9"/>
    <w:rsid w:val="56F3380C"/>
    <w:rsid w:val="56F339A6"/>
    <w:rsid w:val="56F53441"/>
    <w:rsid w:val="56F75D68"/>
    <w:rsid w:val="56F95FA8"/>
    <w:rsid w:val="56FA3D0F"/>
    <w:rsid w:val="56FA762A"/>
    <w:rsid w:val="56FB7731"/>
    <w:rsid w:val="56FB7BAC"/>
    <w:rsid w:val="56FD37C1"/>
    <w:rsid w:val="56FD4305"/>
    <w:rsid w:val="56FD475E"/>
    <w:rsid w:val="56FE69BD"/>
    <w:rsid w:val="570028BA"/>
    <w:rsid w:val="570034B8"/>
    <w:rsid w:val="5701202D"/>
    <w:rsid w:val="57015062"/>
    <w:rsid w:val="5702376B"/>
    <w:rsid w:val="57027F88"/>
    <w:rsid w:val="57033E9A"/>
    <w:rsid w:val="5703656D"/>
    <w:rsid w:val="57053E7D"/>
    <w:rsid w:val="57057071"/>
    <w:rsid w:val="5706417E"/>
    <w:rsid w:val="5708734C"/>
    <w:rsid w:val="570C65BA"/>
    <w:rsid w:val="570F1B1D"/>
    <w:rsid w:val="570F6EB1"/>
    <w:rsid w:val="57112B91"/>
    <w:rsid w:val="57121D97"/>
    <w:rsid w:val="57124959"/>
    <w:rsid w:val="57147A04"/>
    <w:rsid w:val="57157145"/>
    <w:rsid w:val="571930A7"/>
    <w:rsid w:val="571A39E9"/>
    <w:rsid w:val="571A6C4A"/>
    <w:rsid w:val="571C1C03"/>
    <w:rsid w:val="571E3062"/>
    <w:rsid w:val="571E3157"/>
    <w:rsid w:val="571E77E6"/>
    <w:rsid w:val="57213795"/>
    <w:rsid w:val="57216447"/>
    <w:rsid w:val="572171F5"/>
    <w:rsid w:val="5724010C"/>
    <w:rsid w:val="57252D31"/>
    <w:rsid w:val="57276C06"/>
    <w:rsid w:val="57277DA4"/>
    <w:rsid w:val="572A46D5"/>
    <w:rsid w:val="572C54C2"/>
    <w:rsid w:val="572D714A"/>
    <w:rsid w:val="572F0702"/>
    <w:rsid w:val="572F7C0F"/>
    <w:rsid w:val="573308D8"/>
    <w:rsid w:val="57336144"/>
    <w:rsid w:val="57372E07"/>
    <w:rsid w:val="573960FE"/>
    <w:rsid w:val="573B67BE"/>
    <w:rsid w:val="57403B81"/>
    <w:rsid w:val="57414E74"/>
    <w:rsid w:val="574203F9"/>
    <w:rsid w:val="57445B4E"/>
    <w:rsid w:val="5744704A"/>
    <w:rsid w:val="57465EFE"/>
    <w:rsid w:val="5749028E"/>
    <w:rsid w:val="574C197E"/>
    <w:rsid w:val="574D4690"/>
    <w:rsid w:val="574E32C8"/>
    <w:rsid w:val="575015D9"/>
    <w:rsid w:val="57514D53"/>
    <w:rsid w:val="57527A32"/>
    <w:rsid w:val="57536CD1"/>
    <w:rsid w:val="5754474F"/>
    <w:rsid w:val="5755071F"/>
    <w:rsid w:val="57555107"/>
    <w:rsid w:val="57571E7E"/>
    <w:rsid w:val="575A56C8"/>
    <w:rsid w:val="575B0D00"/>
    <w:rsid w:val="575C7A33"/>
    <w:rsid w:val="575C7B45"/>
    <w:rsid w:val="575D544B"/>
    <w:rsid w:val="575E7524"/>
    <w:rsid w:val="57602517"/>
    <w:rsid w:val="576140EF"/>
    <w:rsid w:val="57632B3D"/>
    <w:rsid w:val="5763576C"/>
    <w:rsid w:val="57637CD3"/>
    <w:rsid w:val="57640945"/>
    <w:rsid w:val="57646043"/>
    <w:rsid w:val="5765719A"/>
    <w:rsid w:val="57692617"/>
    <w:rsid w:val="576A454F"/>
    <w:rsid w:val="576A62EF"/>
    <w:rsid w:val="576D2F04"/>
    <w:rsid w:val="57711FF9"/>
    <w:rsid w:val="57743881"/>
    <w:rsid w:val="57744C6A"/>
    <w:rsid w:val="57762180"/>
    <w:rsid w:val="57791B03"/>
    <w:rsid w:val="577E2E79"/>
    <w:rsid w:val="57803CDA"/>
    <w:rsid w:val="57810239"/>
    <w:rsid w:val="57836C40"/>
    <w:rsid w:val="57856D2A"/>
    <w:rsid w:val="57867F43"/>
    <w:rsid w:val="578810DA"/>
    <w:rsid w:val="578D01F5"/>
    <w:rsid w:val="57910761"/>
    <w:rsid w:val="57912A20"/>
    <w:rsid w:val="57921355"/>
    <w:rsid w:val="57924600"/>
    <w:rsid w:val="57970285"/>
    <w:rsid w:val="57990BC1"/>
    <w:rsid w:val="579916B2"/>
    <w:rsid w:val="57996E43"/>
    <w:rsid w:val="579A5D60"/>
    <w:rsid w:val="579A7614"/>
    <w:rsid w:val="579C68BC"/>
    <w:rsid w:val="579C7E49"/>
    <w:rsid w:val="579E445A"/>
    <w:rsid w:val="579E7811"/>
    <w:rsid w:val="579E7939"/>
    <w:rsid w:val="579F014E"/>
    <w:rsid w:val="57A400B0"/>
    <w:rsid w:val="57A4331E"/>
    <w:rsid w:val="57A44E40"/>
    <w:rsid w:val="57A47D47"/>
    <w:rsid w:val="57A61EAE"/>
    <w:rsid w:val="57A92B7F"/>
    <w:rsid w:val="57AA309B"/>
    <w:rsid w:val="57AA729C"/>
    <w:rsid w:val="57AC03CE"/>
    <w:rsid w:val="57AC6B77"/>
    <w:rsid w:val="57B035CD"/>
    <w:rsid w:val="57B30341"/>
    <w:rsid w:val="57B33638"/>
    <w:rsid w:val="57B50F77"/>
    <w:rsid w:val="57B5136B"/>
    <w:rsid w:val="57B546C8"/>
    <w:rsid w:val="57B63E99"/>
    <w:rsid w:val="57B75C8E"/>
    <w:rsid w:val="57B91294"/>
    <w:rsid w:val="57BB1FCF"/>
    <w:rsid w:val="57BC2B32"/>
    <w:rsid w:val="57BD219C"/>
    <w:rsid w:val="57BD2FA5"/>
    <w:rsid w:val="57BE68AA"/>
    <w:rsid w:val="57BF7AFF"/>
    <w:rsid w:val="57C00A20"/>
    <w:rsid w:val="57C02F8E"/>
    <w:rsid w:val="57C13CAD"/>
    <w:rsid w:val="57C21364"/>
    <w:rsid w:val="57C77B21"/>
    <w:rsid w:val="57C81613"/>
    <w:rsid w:val="57CD0BA5"/>
    <w:rsid w:val="57CE6C52"/>
    <w:rsid w:val="57CF0F37"/>
    <w:rsid w:val="57D13C95"/>
    <w:rsid w:val="57D176B6"/>
    <w:rsid w:val="57D578E9"/>
    <w:rsid w:val="57D64006"/>
    <w:rsid w:val="57D76DB6"/>
    <w:rsid w:val="57D81E5D"/>
    <w:rsid w:val="57D87466"/>
    <w:rsid w:val="57DA468D"/>
    <w:rsid w:val="57E05C0C"/>
    <w:rsid w:val="57E16918"/>
    <w:rsid w:val="57E24C8E"/>
    <w:rsid w:val="57E30D49"/>
    <w:rsid w:val="57E36FB4"/>
    <w:rsid w:val="57E47C99"/>
    <w:rsid w:val="57E55A73"/>
    <w:rsid w:val="57E813C1"/>
    <w:rsid w:val="57E94C56"/>
    <w:rsid w:val="57EB4D9C"/>
    <w:rsid w:val="57ED033C"/>
    <w:rsid w:val="57EE718F"/>
    <w:rsid w:val="57EF12C2"/>
    <w:rsid w:val="57EF4CB5"/>
    <w:rsid w:val="57F0371D"/>
    <w:rsid w:val="57F177A1"/>
    <w:rsid w:val="57F347A6"/>
    <w:rsid w:val="57F55830"/>
    <w:rsid w:val="57F652BC"/>
    <w:rsid w:val="57F91F71"/>
    <w:rsid w:val="57FA1990"/>
    <w:rsid w:val="57FB4107"/>
    <w:rsid w:val="57FE3F7C"/>
    <w:rsid w:val="58015B15"/>
    <w:rsid w:val="58040BF9"/>
    <w:rsid w:val="58064DCE"/>
    <w:rsid w:val="58066CE9"/>
    <w:rsid w:val="58080DF2"/>
    <w:rsid w:val="580845BE"/>
    <w:rsid w:val="58087899"/>
    <w:rsid w:val="58096C32"/>
    <w:rsid w:val="580C501E"/>
    <w:rsid w:val="580D455F"/>
    <w:rsid w:val="580E66BF"/>
    <w:rsid w:val="580E706A"/>
    <w:rsid w:val="58102E9B"/>
    <w:rsid w:val="581035A5"/>
    <w:rsid w:val="58122FAA"/>
    <w:rsid w:val="58136BF6"/>
    <w:rsid w:val="58146A07"/>
    <w:rsid w:val="58150BC0"/>
    <w:rsid w:val="58170F32"/>
    <w:rsid w:val="58172D8F"/>
    <w:rsid w:val="581763A8"/>
    <w:rsid w:val="58190801"/>
    <w:rsid w:val="581A5C5C"/>
    <w:rsid w:val="581B374A"/>
    <w:rsid w:val="581E2919"/>
    <w:rsid w:val="582004E3"/>
    <w:rsid w:val="5820466F"/>
    <w:rsid w:val="582247FC"/>
    <w:rsid w:val="5823696F"/>
    <w:rsid w:val="58242BB1"/>
    <w:rsid w:val="58262358"/>
    <w:rsid w:val="582901C7"/>
    <w:rsid w:val="58290EFA"/>
    <w:rsid w:val="5829466B"/>
    <w:rsid w:val="582A0D9F"/>
    <w:rsid w:val="582A66BC"/>
    <w:rsid w:val="582E0DDB"/>
    <w:rsid w:val="582E21DF"/>
    <w:rsid w:val="582F3781"/>
    <w:rsid w:val="583034C9"/>
    <w:rsid w:val="58313520"/>
    <w:rsid w:val="583354EA"/>
    <w:rsid w:val="583612A6"/>
    <w:rsid w:val="58362FF8"/>
    <w:rsid w:val="5837615E"/>
    <w:rsid w:val="58393D88"/>
    <w:rsid w:val="583956E1"/>
    <w:rsid w:val="583A72B5"/>
    <w:rsid w:val="583D2519"/>
    <w:rsid w:val="583F34FE"/>
    <w:rsid w:val="58410808"/>
    <w:rsid w:val="58433738"/>
    <w:rsid w:val="58450AB7"/>
    <w:rsid w:val="5847068D"/>
    <w:rsid w:val="58492617"/>
    <w:rsid w:val="58492EC1"/>
    <w:rsid w:val="584A6717"/>
    <w:rsid w:val="584E16CC"/>
    <w:rsid w:val="584E4D8F"/>
    <w:rsid w:val="585027C9"/>
    <w:rsid w:val="58533496"/>
    <w:rsid w:val="58535440"/>
    <w:rsid w:val="585817F9"/>
    <w:rsid w:val="5859757E"/>
    <w:rsid w:val="585A2A77"/>
    <w:rsid w:val="585B613C"/>
    <w:rsid w:val="585B7AC2"/>
    <w:rsid w:val="585C6C4D"/>
    <w:rsid w:val="585D6F7C"/>
    <w:rsid w:val="585F64F9"/>
    <w:rsid w:val="585F6A4E"/>
    <w:rsid w:val="58611C64"/>
    <w:rsid w:val="586236D9"/>
    <w:rsid w:val="58632671"/>
    <w:rsid w:val="586373C8"/>
    <w:rsid w:val="586747A4"/>
    <w:rsid w:val="58675193"/>
    <w:rsid w:val="586C48DC"/>
    <w:rsid w:val="587066D9"/>
    <w:rsid w:val="58735DE2"/>
    <w:rsid w:val="587555C6"/>
    <w:rsid w:val="587651AC"/>
    <w:rsid w:val="587734B8"/>
    <w:rsid w:val="587A1577"/>
    <w:rsid w:val="587F1644"/>
    <w:rsid w:val="58802275"/>
    <w:rsid w:val="58812AD9"/>
    <w:rsid w:val="588164A3"/>
    <w:rsid w:val="58816DC9"/>
    <w:rsid w:val="58823D9C"/>
    <w:rsid w:val="58832B43"/>
    <w:rsid w:val="58846F67"/>
    <w:rsid w:val="58851304"/>
    <w:rsid w:val="588546FD"/>
    <w:rsid w:val="58862113"/>
    <w:rsid w:val="588866C7"/>
    <w:rsid w:val="5889335C"/>
    <w:rsid w:val="588E409C"/>
    <w:rsid w:val="588E44CE"/>
    <w:rsid w:val="588F6515"/>
    <w:rsid w:val="589076DB"/>
    <w:rsid w:val="58910EEF"/>
    <w:rsid w:val="58932C93"/>
    <w:rsid w:val="589555F3"/>
    <w:rsid w:val="58957156"/>
    <w:rsid w:val="58960437"/>
    <w:rsid w:val="58963DBF"/>
    <w:rsid w:val="589663A1"/>
    <w:rsid w:val="5897543F"/>
    <w:rsid w:val="589766D3"/>
    <w:rsid w:val="589966D9"/>
    <w:rsid w:val="589A7317"/>
    <w:rsid w:val="589C75F5"/>
    <w:rsid w:val="589D6C8D"/>
    <w:rsid w:val="589D7782"/>
    <w:rsid w:val="58A11FFF"/>
    <w:rsid w:val="58A12453"/>
    <w:rsid w:val="58A255C2"/>
    <w:rsid w:val="58A33E0B"/>
    <w:rsid w:val="58A56D1E"/>
    <w:rsid w:val="58A9450C"/>
    <w:rsid w:val="58AA6AAC"/>
    <w:rsid w:val="58AB2ACC"/>
    <w:rsid w:val="58AB5EAB"/>
    <w:rsid w:val="58AC69D1"/>
    <w:rsid w:val="58AF01B4"/>
    <w:rsid w:val="58AF0FFB"/>
    <w:rsid w:val="58B1219F"/>
    <w:rsid w:val="58B414E0"/>
    <w:rsid w:val="58B4208E"/>
    <w:rsid w:val="58B46CEA"/>
    <w:rsid w:val="58B61A65"/>
    <w:rsid w:val="58B75CC9"/>
    <w:rsid w:val="58BC55B2"/>
    <w:rsid w:val="58BD2FDD"/>
    <w:rsid w:val="58C00931"/>
    <w:rsid w:val="58C01B53"/>
    <w:rsid w:val="58C10EC1"/>
    <w:rsid w:val="58C1194C"/>
    <w:rsid w:val="58C173DC"/>
    <w:rsid w:val="58C3061C"/>
    <w:rsid w:val="58C319FE"/>
    <w:rsid w:val="58C44394"/>
    <w:rsid w:val="58C576A1"/>
    <w:rsid w:val="58C63C68"/>
    <w:rsid w:val="58C80121"/>
    <w:rsid w:val="58C84571"/>
    <w:rsid w:val="58CA0025"/>
    <w:rsid w:val="58CA6BBC"/>
    <w:rsid w:val="58CB37C5"/>
    <w:rsid w:val="58CC01A5"/>
    <w:rsid w:val="58CC50C4"/>
    <w:rsid w:val="58CD2279"/>
    <w:rsid w:val="58CE59D8"/>
    <w:rsid w:val="58CF3D08"/>
    <w:rsid w:val="58CF55AA"/>
    <w:rsid w:val="58D14EB4"/>
    <w:rsid w:val="58D33D61"/>
    <w:rsid w:val="58D425E1"/>
    <w:rsid w:val="58D751BC"/>
    <w:rsid w:val="58D97BD3"/>
    <w:rsid w:val="58DA6709"/>
    <w:rsid w:val="58DA7ACF"/>
    <w:rsid w:val="58DB7BBF"/>
    <w:rsid w:val="58E1708A"/>
    <w:rsid w:val="58E2387B"/>
    <w:rsid w:val="58E42429"/>
    <w:rsid w:val="58E442E2"/>
    <w:rsid w:val="58E51464"/>
    <w:rsid w:val="58E84F0E"/>
    <w:rsid w:val="58E85EDC"/>
    <w:rsid w:val="58EC770E"/>
    <w:rsid w:val="58ED3383"/>
    <w:rsid w:val="58ED3415"/>
    <w:rsid w:val="58ED38EB"/>
    <w:rsid w:val="58EE4C9E"/>
    <w:rsid w:val="58F02800"/>
    <w:rsid w:val="58F132CE"/>
    <w:rsid w:val="58F24BF6"/>
    <w:rsid w:val="58F273D2"/>
    <w:rsid w:val="58F43BA1"/>
    <w:rsid w:val="58F43C41"/>
    <w:rsid w:val="58F44461"/>
    <w:rsid w:val="58F55CAE"/>
    <w:rsid w:val="58F672CD"/>
    <w:rsid w:val="58F72073"/>
    <w:rsid w:val="58F725F2"/>
    <w:rsid w:val="58F76517"/>
    <w:rsid w:val="58F82650"/>
    <w:rsid w:val="58F90A6B"/>
    <w:rsid w:val="58F93B17"/>
    <w:rsid w:val="58F95D6D"/>
    <w:rsid w:val="58FC5003"/>
    <w:rsid w:val="58FC6D00"/>
    <w:rsid w:val="58FF53CC"/>
    <w:rsid w:val="59001C49"/>
    <w:rsid w:val="590131FB"/>
    <w:rsid w:val="59036501"/>
    <w:rsid w:val="59064A9B"/>
    <w:rsid w:val="59091DA7"/>
    <w:rsid w:val="590C0AE3"/>
    <w:rsid w:val="590C39F3"/>
    <w:rsid w:val="590D4097"/>
    <w:rsid w:val="590D4A54"/>
    <w:rsid w:val="59106321"/>
    <w:rsid w:val="59114407"/>
    <w:rsid w:val="59116466"/>
    <w:rsid w:val="59120181"/>
    <w:rsid w:val="59123351"/>
    <w:rsid w:val="5913036D"/>
    <w:rsid w:val="591361CC"/>
    <w:rsid w:val="59141F3F"/>
    <w:rsid w:val="5915074C"/>
    <w:rsid w:val="591517BE"/>
    <w:rsid w:val="59181C3A"/>
    <w:rsid w:val="59184A67"/>
    <w:rsid w:val="59186533"/>
    <w:rsid w:val="59191044"/>
    <w:rsid w:val="591A24CC"/>
    <w:rsid w:val="591C1E2E"/>
    <w:rsid w:val="591E1CF6"/>
    <w:rsid w:val="591F10AE"/>
    <w:rsid w:val="59210831"/>
    <w:rsid w:val="5923568A"/>
    <w:rsid w:val="59240582"/>
    <w:rsid w:val="59243079"/>
    <w:rsid w:val="59244E60"/>
    <w:rsid w:val="5927765B"/>
    <w:rsid w:val="592B4413"/>
    <w:rsid w:val="592B61C1"/>
    <w:rsid w:val="592B66BF"/>
    <w:rsid w:val="592C37D8"/>
    <w:rsid w:val="592C3E5D"/>
    <w:rsid w:val="592D1199"/>
    <w:rsid w:val="592F1930"/>
    <w:rsid w:val="59320C69"/>
    <w:rsid w:val="59330735"/>
    <w:rsid w:val="59337BDA"/>
    <w:rsid w:val="59362A13"/>
    <w:rsid w:val="59371A8D"/>
    <w:rsid w:val="59376F65"/>
    <w:rsid w:val="59391E56"/>
    <w:rsid w:val="593A439E"/>
    <w:rsid w:val="593A5375"/>
    <w:rsid w:val="593A54AA"/>
    <w:rsid w:val="593B4564"/>
    <w:rsid w:val="593B5D5C"/>
    <w:rsid w:val="593B68CF"/>
    <w:rsid w:val="593C2FD0"/>
    <w:rsid w:val="593C4897"/>
    <w:rsid w:val="593D4BCA"/>
    <w:rsid w:val="593F1F6B"/>
    <w:rsid w:val="59403AC9"/>
    <w:rsid w:val="594061D4"/>
    <w:rsid w:val="59413987"/>
    <w:rsid w:val="59442D7B"/>
    <w:rsid w:val="59455379"/>
    <w:rsid w:val="594612B4"/>
    <w:rsid w:val="594657A9"/>
    <w:rsid w:val="59475599"/>
    <w:rsid w:val="594768F8"/>
    <w:rsid w:val="59493940"/>
    <w:rsid w:val="594A0CAC"/>
    <w:rsid w:val="594B0691"/>
    <w:rsid w:val="594B23BF"/>
    <w:rsid w:val="594C6863"/>
    <w:rsid w:val="594E315C"/>
    <w:rsid w:val="594F39D1"/>
    <w:rsid w:val="594F437B"/>
    <w:rsid w:val="595079D6"/>
    <w:rsid w:val="5952374E"/>
    <w:rsid w:val="59555853"/>
    <w:rsid w:val="5959410B"/>
    <w:rsid w:val="595F061C"/>
    <w:rsid w:val="595F72E2"/>
    <w:rsid w:val="5960230F"/>
    <w:rsid w:val="59616A65"/>
    <w:rsid w:val="5962291D"/>
    <w:rsid w:val="59623A5A"/>
    <w:rsid w:val="5963595B"/>
    <w:rsid w:val="5964217A"/>
    <w:rsid w:val="596519DD"/>
    <w:rsid w:val="59657925"/>
    <w:rsid w:val="59670124"/>
    <w:rsid w:val="596A53E8"/>
    <w:rsid w:val="596C0CB3"/>
    <w:rsid w:val="596E52FD"/>
    <w:rsid w:val="59705057"/>
    <w:rsid w:val="5971210D"/>
    <w:rsid w:val="597141B2"/>
    <w:rsid w:val="59722DA0"/>
    <w:rsid w:val="5975780A"/>
    <w:rsid w:val="59772EB0"/>
    <w:rsid w:val="59796E92"/>
    <w:rsid w:val="5979701F"/>
    <w:rsid w:val="597E5514"/>
    <w:rsid w:val="597E5526"/>
    <w:rsid w:val="597F2582"/>
    <w:rsid w:val="598025D3"/>
    <w:rsid w:val="59817871"/>
    <w:rsid w:val="59827E28"/>
    <w:rsid w:val="598333A8"/>
    <w:rsid w:val="59853B23"/>
    <w:rsid w:val="59863F49"/>
    <w:rsid w:val="59870F03"/>
    <w:rsid w:val="598A550B"/>
    <w:rsid w:val="598A65C8"/>
    <w:rsid w:val="598C622D"/>
    <w:rsid w:val="598E6678"/>
    <w:rsid w:val="598F472F"/>
    <w:rsid w:val="59905618"/>
    <w:rsid w:val="59912393"/>
    <w:rsid w:val="59940EB5"/>
    <w:rsid w:val="599532CD"/>
    <w:rsid w:val="59967FE8"/>
    <w:rsid w:val="59973856"/>
    <w:rsid w:val="5999312B"/>
    <w:rsid w:val="599C184B"/>
    <w:rsid w:val="599E65D2"/>
    <w:rsid w:val="599F73F5"/>
    <w:rsid w:val="59A0095D"/>
    <w:rsid w:val="59A015B4"/>
    <w:rsid w:val="59A103B1"/>
    <w:rsid w:val="59A65CC0"/>
    <w:rsid w:val="59A67170"/>
    <w:rsid w:val="59A67A4A"/>
    <w:rsid w:val="59AA358A"/>
    <w:rsid w:val="59AA4DF5"/>
    <w:rsid w:val="59B10AE1"/>
    <w:rsid w:val="59B306B8"/>
    <w:rsid w:val="59B45627"/>
    <w:rsid w:val="59B4580A"/>
    <w:rsid w:val="59B57559"/>
    <w:rsid w:val="59B60181"/>
    <w:rsid w:val="59B8562B"/>
    <w:rsid w:val="59BA27C5"/>
    <w:rsid w:val="59BC0C82"/>
    <w:rsid w:val="59BD7115"/>
    <w:rsid w:val="59C02DAD"/>
    <w:rsid w:val="59C36049"/>
    <w:rsid w:val="59C4289D"/>
    <w:rsid w:val="59C42A07"/>
    <w:rsid w:val="59C507A2"/>
    <w:rsid w:val="59CA4777"/>
    <w:rsid w:val="59CB6D67"/>
    <w:rsid w:val="59CD7278"/>
    <w:rsid w:val="59CE4A2E"/>
    <w:rsid w:val="59CE69D7"/>
    <w:rsid w:val="59CF4D9E"/>
    <w:rsid w:val="59D027FE"/>
    <w:rsid w:val="59D81EA5"/>
    <w:rsid w:val="59D97178"/>
    <w:rsid w:val="59DA62AE"/>
    <w:rsid w:val="59DB5B49"/>
    <w:rsid w:val="59DB6862"/>
    <w:rsid w:val="59DD205E"/>
    <w:rsid w:val="59DD570D"/>
    <w:rsid w:val="59DD62FA"/>
    <w:rsid w:val="59DE4FE1"/>
    <w:rsid w:val="59E10EAF"/>
    <w:rsid w:val="59E22D24"/>
    <w:rsid w:val="59E231C9"/>
    <w:rsid w:val="59E24AD2"/>
    <w:rsid w:val="59E36A9C"/>
    <w:rsid w:val="59E36BC2"/>
    <w:rsid w:val="59E4195D"/>
    <w:rsid w:val="59E52B83"/>
    <w:rsid w:val="59E72DCB"/>
    <w:rsid w:val="59E77F81"/>
    <w:rsid w:val="59E90AAE"/>
    <w:rsid w:val="59E92304"/>
    <w:rsid w:val="59EB243A"/>
    <w:rsid w:val="59EB419E"/>
    <w:rsid w:val="59EC550F"/>
    <w:rsid w:val="59ED3807"/>
    <w:rsid w:val="59EF1CB1"/>
    <w:rsid w:val="59EF5441"/>
    <w:rsid w:val="59F15A79"/>
    <w:rsid w:val="59F17F1C"/>
    <w:rsid w:val="59F345D8"/>
    <w:rsid w:val="59F42A57"/>
    <w:rsid w:val="59F705C5"/>
    <w:rsid w:val="59F70789"/>
    <w:rsid w:val="59F86D18"/>
    <w:rsid w:val="59FC2854"/>
    <w:rsid w:val="59FD0AEE"/>
    <w:rsid w:val="59FD190B"/>
    <w:rsid w:val="5A00220A"/>
    <w:rsid w:val="5A035FBC"/>
    <w:rsid w:val="5A041BB1"/>
    <w:rsid w:val="5A044EF9"/>
    <w:rsid w:val="5A047552"/>
    <w:rsid w:val="5A051ADD"/>
    <w:rsid w:val="5A073DC0"/>
    <w:rsid w:val="5A080814"/>
    <w:rsid w:val="5A0A045A"/>
    <w:rsid w:val="5A0A0C13"/>
    <w:rsid w:val="5A0B4DDB"/>
    <w:rsid w:val="5A0B6B84"/>
    <w:rsid w:val="5A0F2607"/>
    <w:rsid w:val="5A1425E2"/>
    <w:rsid w:val="5A172431"/>
    <w:rsid w:val="5A1A1640"/>
    <w:rsid w:val="5A1B2694"/>
    <w:rsid w:val="5A1C44A8"/>
    <w:rsid w:val="5A1C5864"/>
    <w:rsid w:val="5A1D756D"/>
    <w:rsid w:val="5A1F5D26"/>
    <w:rsid w:val="5A214565"/>
    <w:rsid w:val="5A26255B"/>
    <w:rsid w:val="5A271EA9"/>
    <w:rsid w:val="5A286026"/>
    <w:rsid w:val="5A287EFD"/>
    <w:rsid w:val="5A2A0227"/>
    <w:rsid w:val="5A2B50B3"/>
    <w:rsid w:val="5A2E2D03"/>
    <w:rsid w:val="5A2F10CA"/>
    <w:rsid w:val="5A36306F"/>
    <w:rsid w:val="5A363FC7"/>
    <w:rsid w:val="5A365D2D"/>
    <w:rsid w:val="5A374D94"/>
    <w:rsid w:val="5A382A06"/>
    <w:rsid w:val="5A383CD6"/>
    <w:rsid w:val="5A3B7215"/>
    <w:rsid w:val="5A3F494A"/>
    <w:rsid w:val="5A3F548E"/>
    <w:rsid w:val="5A403EEE"/>
    <w:rsid w:val="5A4240F2"/>
    <w:rsid w:val="5A437FB8"/>
    <w:rsid w:val="5A44737F"/>
    <w:rsid w:val="5A462ABB"/>
    <w:rsid w:val="5A467B8D"/>
    <w:rsid w:val="5A470DD9"/>
    <w:rsid w:val="5A4730BC"/>
    <w:rsid w:val="5A477C87"/>
    <w:rsid w:val="5A48743A"/>
    <w:rsid w:val="5A4C72CC"/>
    <w:rsid w:val="5A4E2F07"/>
    <w:rsid w:val="5A511C57"/>
    <w:rsid w:val="5A53292F"/>
    <w:rsid w:val="5A535CB4"/>
    <w:rsid w:val="5A544481"/>
    <w:rsid w:val="5A595A29"/>
    <w:rsid w:val="5A596E55"/>
    <w:rsid w:val="5A5A6D5E"/>
    <w:rsid w:val="5A5D6536"/>
    <w:rsid w:val="5A5E7C31"/>
    <w:rsid w:val="5A5F0FDB"/>
    <w:rsid w:val="5A5F25C6"/>
    <w:rsid w:val="5A5F51D6"/>
    <w:rsid w:val="5A6371A6"/>
    <w:rsid w:val="5A6379E5"/>
    <w:rsid w:val="5A6459EE"/>
    <w:rsid w:val="5A646A96"/>
    <w:rsid w:val="5A652401"/>
    <w:rsid w:val="5A662DCE"/>
    <w:rsid w:val="5A663D58"/>
    <w:rsid w:val="5A66498B"/>
    <w:rsid w:val="5A6672CC"/>
    <w:rsid w:val="5A6A51EF"/>
    <w:rsid w:val="5A6A7EA6"/>
    <w:rsid w:val="5A6D4A41"/>
    <w:rsid w:val="5A6E1B8A"/>
    <w:rsid w:val="5A6E26D1"/>
    <w:rsid w:val="5A7372C6"/>
    <w:rsid w:val="5A753486"/>
    <w:rsid w:val="5A766C6C"/>
    <w:rsid w:val="5A776714"/>
    <w:rsid w:val="5A78064D"/>
    <w:rsid w:val="5A7C3CDB"/>
    <w:rsid w:val="5A7F3B71"/>
    <w:rsid w:val="5A7F4E67"/>
    <w:rsid w:val="5A832619"/>
    <w:rsid w:val="5A8418D2"/>
    <w:rsid w:val="5A86637A"/>
    <w:rsid w:val="5A875679"/>
    <w:rsid w:val="5A8A1DD8"/>
    <w:rsid w:val="5A8B33BB"/>
    <w:rsid w:val="5A8B5169"/>
    <w:rsid w:val="5A8C0EE1"/>
    <w:rsid w:val="5A8C7208"/>
    <w:rsid w:val="5A8D2322"/>
    <w:rsid w:val="5A904BBE"/>
    <w:rsid w:val="5A905107"/>
    <w:rsid w:val="5A9102A6"/>
    <w:rsid w:val="5A923A57"/>
    <w:rsid w:val="5A927243"/>
    <w:rsid w:val="5A930319"/>
    <w:rsid w:val="5A9304C2"/>
    <w:rsid w:val="5A952230"/>
    <w:rsid w:val="5A954906"/>
    <w:rsid w:val="5A9756E8"/>
    <w:rsid w:val="5A975FA5"/>
    <w:rsid w:val="5A9810B7"/>
    <w:rsid w:val="5A9816A6"/>
    <w:rsid w:val="5A982C3A"/>
    <w:rsid w:val="5A9A2114"/>
    <w:rsid w:val="5A9A4378"/>
    <w:rsid w:val="5A9A7E18"/>
    <w:rsid w:val="5A9C760E"/>
    <w:rsid w:val="5A9D30EE"/>
    <w:rsid w:val="5AA00832"/>
    <w:rsid w:val="5AA1278A"/>
    <w:rsid w:val="5AA47FD9"/>
    <w:rsid w:val="5AA540F1"/>
    <w:rsid w:val="5AA54CB9"/>
    <w:rsid w:val="5AA62467"/>
    <w:rsid w:val="5AA71877"/>
    <w:rsid w:val="5AA77AC9"/>
    <w:rsid w:val="5AA8433C"/>
    <w:rsid w:val="5AAB1367"/>
    <w:rsid w:val="5AAB7E3E"/>
    <w:rsid w:val="5AAC7C04"/>
    <w:rsid w:val="5AAD28E9"/>
    <w:rsid w:val="5AAD6AE9"/>
    <w:rsid w:val="5AAE02B7"/>
    <w:rsid w:val="5AB03480"/>
    <w:rsid w:val="5AB0511D"/>
    <w:rsid w:val="5AB558A9"/>
    <w:rsid w:val="5AB842EA"/>
    <w:rsid w:val="5AB8467B"/>
    <w:rsid w:val="5AB87AE0"/>
    <w:rsid w:val="5ABA0B58"/>
    <w:rsid w:val="5ABB5323"/>
    <w:rsid w:val="5ABB68F5"/>
    <w:rsid w:val="5ABC4CBC"/>
    <w:rsid w:val="5ABD033C"/>
    <w:rsid w:val="5AC1675D"/>
    <w:rsid w:val="5AC266B1"/>
    <w:rsid w:val="5AC468CD"/>
    <w:rsid w:val="5AC61022"/>
    <w:rsid w:val="5AC63A97"/>
    <w:rsid w:val="5AC661A1"/>
    <w:rsid w:val="5AC715D3"/>
    <w:rsid w:val="5AC8669E"/>
    <w:rsid w:val="5ACA3C5E"/>
    <w:rsid w:val="5ACC10C7"/>
    <w:rsid w:val="5ACF68F5"/>
    <w:rsid w:val="5AD01EDE"/>
    <w:rsid w:val="5AD10F40"/>
    <w:rsid w:val="5AD20FEA"/>
    <w:rsid w:val="5AD26FEE"/>
    <w:rsid w:val="5AD350D5"/>
    <w:rsid w:val="5AD479A4"/>
    <w:rsid w:val="5AD77F85"/>
    <w:rsid w:val="5AD84127"/>
    <w:rsid w:val="5ADA4C24"/>
    <w:rsid w:val="5ADA7D65"/>
    <w:rsid w:val="5ADE05C9"/>
    <w:rsid w:val="5ADE3B8E"/>
    <w:rsid w:val="5ADE5E2A"/>
    <w:rsid w:val="5ADF3707"/>
    <w:rsid w:val="5ADF6C98"/>
    <w:rsid w:val="5AE2054A"/>
    <w:rsid w:val="5AE54426"/>
    <w:rsid w:val="5AE65BB4"/>
    <w:rsid w:val="5AE80631"/>
    <w:rsid w:val="5AE8436A"/>
    <w:rsid w:val="5AEA13B9"/>
    <w:rsid w:val="5AEA5C0E"/>
    <w:rsid w:val="5AEA76E6"/>
    <w:rsid w:val="5AEB56EE"/>
    <w:rsid w:val="5AEC1EE9"/>
    <w:rsid w:val="5AEC2D3D"/>
    <w:rsid w:val="5AED4D69"/>
    <w:rsid w:val="5AF20181"/>
    <w:rsid w:val="5AF255FD"/>
    <w:rsid w:val="5AF54CD9"/>
    <w:rsid w:val="5AF96577"/>
    <w:rsid w:val="5AF97B5F"/>
    <w:rsid w:val="5AFC5403"/>
    <w:rsid w:val="5AFF69CD"/>
    <w:rsid w:val="5B006962"/>
    <w:rsid w:val="5B0171D9"/>
    <w:rsid w:val="5B02593F"/>
    <w:rsid w:val="5B036BDA"/>
    <w:rsid w:val="5B046076"/>
    <w:rsid w:val="5B046CCA"/>
    <w:rsid w:val="5B063975"/>
    <w:rsid w:val="5B081C66"/>
    <w:rsid w:val="5B0A0784"/>
    <w:rsid w:val="5B0B002D"/>
    <w:rsid w:val="5B0B7F0A"/>
    <w:rsid w:val="5B0C174A"/>
    <w:rsid w:val="5B0D23A7"/>
    <w:rsid w:val="5B0E0C41"/>
    <w:rsid w:val="5B0E2845"/>
    <w:rsid w:val="5B0E7B48"/>
    <w:rsid w:val="5B101B12"/>
    <w:rsid w:val="5B10566E"/>
    <w:rsid w:val="5B123072"/>
    <w:rsid w:val="5B1645A9"/>
    <w:rsid w:val="5B174B1B"/>
    <w:rsid w:val="5B187984"/>
    <w:rsid w:val="5B197B81"/>
    <w:rsid w:val="5B1A4362"/>
    <w:rsid w:val="5B1A60F9"/>
    <w:rsid w:val="5B1F7039"/>
    <w:rsid w:val="5B210530"/>
    <w:rsid w:val="5B21532A"/>
    <w:rsid w:val="5B223D51"/>
    <w:rsid w:val="5B242058"/>
    <w:rsid w:val="5B262DDA"/>
    <w:rsid w:val="5B264E92"/>
    <w:rsid w:val="5B2709CA"/>
    <w:rsid w:val="5B286D4F"/>
    <w:rsid w:val="5B2C01D0"/>
    <w:rsid w:val="5B2C2CB3"/>
    <w:rsid w:val="5B2D31D3"/>
    <w:rsid w:val="5B2E428D"/>
    <w:rsid w:val="5B2E507A"/>
    <w:rsid w:val="5B326DB3"/>
    <w:rsid w:val="5B351579"/>
    <w:rsid w:val="5B372BFB"/>
    <w:rsid w:val="5B38460D"/>
    <w:rsid w:val="5B3A6B8F"/>
    <w:rsid w:val="5B3C561B"/>
    <w:rsid w:val="5B3D642F"/>
    <w:rsid w:val="5B3E4CEB"/>
    <w:rsid w:val="5B3F6479"/>
    <w:rsid w:val="5B3F678A"/>
    <w:rsid w:val="5B411CCC"/>
    <w:rsid w:val="5B427294"/>
    <w:rsid w:val="5B4325A2"/>
    <w:rsid w:val="5B440750"/>
    <w:rsid w:val="5B445260"/>
    <w:rsid w:val="5B447D74"/>
    <w:rsid w:val="5B451F2E"/>
    <w:rsid w:val="5B4533A6"/>
    <w:rsid w:val="5B4672E2"/>
    <w:rsid w:val="5B4811EC"/>
    <w:rsid w:val="5B486836"/>
    <w:rsid w:val="5B487BEE"/>
    <w:rsid w:val="5B4901B0"/>
    <w:rsid w:val="5B490CC7"/>
    <w:rsid w:val="5B49453D"/>
    <w:rsid w:val="5B4A5024"/>
    <w:rsid w:val="5B4B48F9"/>
    <w:rsid w:val="5B4C7992"/>
    <w:rsid w:val="5B4E62EE"/>
    <w:rsid w:val="5B4F6DF9"/>
    <w:rsid w:val="5B521C08"/>
    <w:rsid w:val="5B540CBC"/>
    <w:rsid w:val="5B545645"/>
    <w:rsid w:val="5B552148"/>
    <w:rsid w:val="5B554A83"/>
    <w:rsid w:val="5B555CD2"/>
    <w:rsid w:val="5B57329D"/>
    <w:rsid w:val="5B58460C"/>
    <w:rsid w:val="5B593C55"/>
    <w:rsid w:val="5B5A197A"/>
    <w:rsid w:val="5B5B6FDE"/>
    <w:rsid w:val="5B5B7EE1"/>
    <w:rsid w:val="5B5C0004"/>
    <w:rsid w:val="5B5C727B"/>
    <w:rsid w:val="5B5C78B8"/>
    <w:rsid w:val="5B5D329C"/>
    <w:rsid w:val="5B604E39"/>
    <w:rsid w:val="5B61593F"/>
    <w:rsid w:val="5B615FCD"/>
    <w:rsid w:val="5B62564D"/>
    <w:rsid w:val="5B645680"/>
    <w:rsid w:val="5B646305"/>
    <w:rsid w:val="5B68050F"/>
    <w:rsid w:val="5B6828B1"/>
    <w:rsid w:val="5B6912C4"/>
    <w:rsid w:val="5B6956AE"/>
    <w:rsid w:val="5B6A1CFE"/>
    <w:rsid w:val="5B6C3FA6"/>
    <w:rsid w:val="5B6D24FF"/>
    <w:rsid w:val="5B6D486F"/>
    <w:rsid w:val="5B6E2664"/>
    <w:rsid w:val="5B6E53DB"/>
    <w:rsid w:val="5B6F409B"/>
    <w:rsid w:val="5B70435F"/>
    <w:rsid w:val="5B705825"/>
    <w:rsid w:val="5B74614C"/>
    <w:rsid w:val="5B753162"/>
    <w:rsid w:val="5B7756EE"/>
    <w:rsid w:val="5B782D6C"/>
    <w:rsid w:val="5B783C06"/>
    <w:rsid w:val="5B7857E3"/>
    <w:rsid w:val="5B791E47"/>
    <w:rsid w:val="5B79290F"/>
    <w:rsid w:val="5B795C1D"/>
    <w:rsid w:val="5B7A336A"/>
    <w:rsid w:val="5B7A7456"/>
    <w:rsid w:val="5B7E4CCE"/>
    <w:rsid w:val="5B7E6A7C"/>
    <w:rsid w:val="5B804D5D"/>
    <w:rsid w:val="5B834092"/>
    <w:rsid w:val="5B844238"/>
    <w:rsid w:val="5B861490"/>
    <w:rsid w:val="5B8717AF"/>
    <w:rsid w:val="5B871DD5"/>
    <w:rsid w:val="5B8B3ACA"/>
    <w:rsid w:val="5B8B4DFF"/>
    <w:rsid w:val="5B8D4138"/>
    <w:rsid w:val="5B8E60FA"/>
    <w:rsid w:val="5B8F47E5"/>
    <w:rsid w:val="5B931E62"/>
    <w:rsid w:val="5B935145"/>
    <w:rsid w:val="5B96491F"/>
    <w:rsid w:val="5B96497D"/>
    <w:rsid w:val="5B991B67"/>
    <w:rsid w:val="5B9D2004"/>
    <w:rsid w:val="5BA03A89"/>
    <w:rsid w:val="5BA10D6D"/>
    <w:rsid w:val="5BA1276A"/>
    <w:rsid w:val="5BA12C7F"/>
    <w:rsid w:val="5BA136C3"/>
    <w:rsid w:val="5BA159E3"/>
    <w:rsid w:val="5BA3148B"/>
    <w:rsid w:val="5BA55692"/>
    <w:rsid w:val="5BA613FF"/>
    <w:rsid w:val="5BA826A0"/>
    <w:rsid w:val="5BA84FCE"/>
    <w:rsid w:val="5BA92464"/>
    <w:rsid w:val="5BAA673E"/>
    <w:rsid w:val="5BAB141B"/>
    <w:rsid w:val="5BAD213A"/>
    <w:rsid w:val="5BAD54F3"/>
    <w:rsid w:val="5BAD7361"/>
    <w:rsid w:val="5BAE36B3"/>
    <w:rsid w:val="5BB029AE"/>
    <w:rsid w:val="5BB071A8"/>
    <w:rsid w:val="5BB16207"/>
    <w:rsid w:val="5BB63AA1"/>
    <w:rsid w:val="5BB9503D"/>
    <w:rsid w:val="5BB959B5"/>
    <w:rsid w:val="5BBC04F1"/>
    <w:rsid w:val="5BBD51A5"/>
    <w:rsid w:val="5BBE5599"/>
    <w:rsid w:val="5BC24734"/>
    <w:rsid w:val="5BC3165B"/>
    <w:rsid w:val="5BC32EBC"/>
    <w:rsid w:val="5BC4401A"/>
    <w:rsid w:val="5BC4760F"/>
    <w:rsid w:val="5BC66A32"/>
    <w:rsid w:val="5BC70423"/>
    <w:rsid w:val="5BC71130"/>
    <w:rsid w:val="5BC75919"/>
    <w:rsid w:val="5BC87DF9"/>
    <w:rsid w:val="5BC95364"/>
    <w:rsid w:val="5BCC17A7"/>
    <w:rsid w:val="5BCD799B"/>
    <w:rsid w:val="5BCF725F"/>
    <w:rsid w:val="5BD10144"/>
    <w:rsid w:val="5BD2049A"/>
    <w:rsid w:val="5BD2187F"/>
    <w:rsid w:val="5BD41E0C"/>
    <w:rsid w:val="5BD42B40"/>
    <w:rsid w:val="5BD52C71"/>
    <w:rsid w:val="5BDE39BF"/>
    <w:rsid w:val="5BE063B8"/>
    <w:rsid w:val="5BE20B5C"/>
    <w:rsid w:val="5BE329AE"/>
    <w:rsid w:val="5BE72AD7"/>
    <w:rsid w:val="5BE73963"/>
    <w:rsid w:val="5BE865EB"/>
    <w:rsid w:val="5BE86A37"/>
    <w:rsid w:val="5BE90B6F"/>
    <w:rsid w:val="5BE96D4A"/>
    <w:rsid w:val="5BEB2530"/>
    <w:rsid w:val="5BEC0AC6"/>
    <w:rsid w:val="5BEC173D"/>
    <w:rsid w:val="5BEC4D47"/>
    <w:rsid w:val="5BEC60E9"/>
    <w:rsid w:val="5BED0F62"/>
    <w:rsid w:val="5BEF1728"/>
    <w:rsid w:val="5BF11889"/>
    <w:rsid w:val="5BF14800"/>
    <w:rsid w:val="5BF14AB5"/>
    <w:rsid w:val="5BF30B5E"/>
    <w:rsid w:val="5BF44F90"/>
    <w:rsid w:val="5BF91174"/>
    <w:rsid w:val="5BFA1517"/>
    <w:rsid w:val="5BFB4649"/>
    <w:rsid w:val="5BFD2097"/>
    <w:rsid w:val="5BFF48AF"/>
    <w:rsid w:val="5C00312A"/>
    <w:rsid w:val="5C007491"/>
    <w:rsid w:val="5C0379A8"/>
    <w:rsid w:val="5C04095A"/>
    <w:rsid w:val="5C053E4A"/>
    <w:rsid w:val="5C090E2A"/>
    <w:rsid w:val="5C0A10E6"/>
    <w:rsid w:val="5C0A53EF"/>
    <w:rsid w:val="5C0B428D"/>
    <w:rsid w:val="5C0B7307"/>
    <w:rsid w:val="5C0C6C93"/>
    <w:rsid w:val="5C0D1E93"/>
    <w:rsid w:val="5C0F06A9"/>
    <w:rsid w:val="5C123B88"/>
    <w:rsid w:val="5C13158B"/>
    <w:rsid w:val="5C14628F"/>
    <w:rsid w:val="5C15197C"/>
    <w:rsid w:val="5C161D46"/>
    <w:rsid w:val="5C180C7F"/>
    <w:rsid w:val="5C182BDB"/>
    <w:rsid w:val="5C185B66"/>
    <w:rsid w:val="5C185F09"/>
    <w:rsid w:val="5C1877F2"/>
    <w:rsid w:val="5C191B77"/>
    <w:rsid w:val="5C194B34"/>
    <w:rsid w:val="5C1F5924"/>
    <w:rsid w:val="5C20604D"/>
    <w:rsid w:val="5C2100CD"/>
    <w:rsid w:val="5C220507"/>
    <w:rsid w:val="5C234E45"/>
    <w:rsid w:val="5C235BD4"/>
    <w:rsid w:val="5C236C13"/>
    <w:rsid w:val="5C240EBA"/>
    <w:rsid w:val="5C260829"/>
    <w:rsid w:val="5C272C70"/>
    <w:rsid w:val="5C294C3A"/>
    <w:rsid w:val="5C295F26"/>
    <w:rsid w:val="5C2B1EF7"/>
    <w:rsid w:val="5C2B40FC"/>
    <w:rsid w:val="5C2B6009"/>
    <w:rsid w:val="5C2C297C"/>
    <w:rsid w:val="5C2C2A22"/>
    <w:rsid w:val="5C2E26AB"/>
    <w:rsid w:val="5C2F304D"/>
    <w:rsid w:val="5C3220ED"/>
    <w:rsid w:val="5C3313CD"/>
    <w:rsid w:val="5C3437B0"/>
    <w:rsid w:val="5C347AE7"/>
    <w:rsid w:val="5C351482"/>
    <w:rsid w:val="5C365B07"/>
    <w:rsid w:val="5C366FAA"/>
    <w:rsid w:val="5C367357"/>
    <w:rsid w:val="5C373282"/>
    <w:rsid w:val="5C3817B9"/>
    <w:rsid w:val="5C384E7D"/>
    <w:rsid w:val="5C3B0ADD"/>
    <w:rsid w:val="5C3B28C2"/>
    <w:rsid w:val="5C3E6451"/>
    <w:rsid w:val="5C410CB5"/>
    <w:rsid w:val="5C4253AB"/>
    <w:rsid w:val="5C4532CA"/>
    <w:rsid w:val="5C45759A"/>
    <w:rsid w:val="5C461527"/>
    <w:rsid w:val="5C480E38"/>
    <w:rsid w:val="5C494570"/>
    <w:rsid w:val="5C4952DC"/>
    <w:rsid w:val="5C4B2318"/>
    <w:rsid w:val="5C4D2F92"/>
    <w:rsid w:val="5C4E4970"/>
    <w:rsid w:val="5C4E4B7A"/>
    <w:rsid w:val="5C4F10D3"/>
    <w:rsid w:val="5C531CB7"/>
    <w:rsid w:val="5C537030"/>
    <w:rsid w:val="5C547EE9"/>
    <w:rsid w:val="5C557BF4"/>
    <w:rsid w:val="5C561F1C"/>
    <w:rsid w:val="5C5626C9"/>
    <w:rsid w:val="5C565849"/>
    <w:rsid w:val="5C586940"/>
    <w:rsid w:val="5C5D3B6B"/>
    <w:rsid w:val="5C5D52E9"/>
    <w:rsid w:val="5C5E1610"/>
    <w:rsid w:val="5C5E425E"/>
    <w:rsid w:val="5C666577"/>
    <w:rsid w:val="5C674A15"/>
    <w:rsid w:val="5C6754F0"/>
    <w:rsid w:val="5C68342D"/>
    <w:rsid w:val="5C6857AA"/>
    <w:rsid w:val="5C6A5252"/>
    <w:rsid w:val="5C6D4880"/>
    <w:rsid w:val="5C6E6707"/>
    <w:rsid w:val="5C6F3B5E"/>
    <w:rsid w:val="5C700ABB"/>
    <w:rsid w:val="5C712EAE"/>
    <w:rsid w:val="5C7165E1"/>
    <w:rsid w:val="5C723888"/>
    <w:rsid w:val="5C724BD2"/>
    <w:rsid w:val="5C732173"/>
    <w:rsid w:val="5C762723"/>
    <w:rsid w:val="5C791AAA"/>
    <w:rsid w:val="5C7A700A"/>
    <w:rsid w:val="5C7D2180"/>
    <w:rsid w:val="5C7D4F86"/>
    <w:rsid w:val="5C81547B"/>
    <w:rsid w:val="5C8271B2"/>
    <w:rsid w:val="5C8308A3"/>
    <w:rsid w:val="5C832169"/>
    <w:rsid w:val="5C846880"/>
    <w:rsid w:val="5C8654F0"/>
    <w:rsid w:val="5C870080"/>
    <w:rsid w:val="5C892954"/>
    <w:rsid w:val="5C894486"/>
    <w:rsid w:val="5C8A324F"/>
    <w:rsid w:val="5C8A4F4F"/>
    <w:rsid w:val="5C8A7F88"/>
    <w:rsid w:val="5C8C254E"/>
    <w:rsid w:val="5C8F20DB"/>
    <w:rsid w:val="5C8F2AD0"/>
    <w:rsid w:val="5C90184F"/>
    <w:rsid w:val="5C904CB9"/>
    <w:rsid w:val="5C917F1F"/>
    <w:rsid w:val="5C922515"/>
    <w:rsid w:val="5C942574"/>
    <w:rsid w:val="5C990449"/>
    <w:rsid w:val="5C9920E6"/>
    <w:rsid w:val="5C9A6231"/>
    <w:rsid w:val="5C9B26DD"/>
    <w:rsid w:val="5C9B3811"/>
    <w:rsid w:val="5C9C54A5"/>
    <w:rsid w:val="5C9D73D6"/>
    <w:rsid w:val="5C9F314E"/>
    <w:rsid w:val="5CA04211"/>
    <w:rsid w:val="5CA170EE"/>
    <w:rsid w:val="5CA2630E"/>
    <w:rsid w:val="5CA41A17"/>
    <w:rsid w:val="5CA50038"/>
    <w:rsid w:val="5CA76AB3"/>
    <w:rsid w:val="5CA95EC4"/>
    <w:rsid w:val="5CAC10C7"/>
    <w:rsid w:val="5CAC6943"/>
    <w:rsid w:val="5CAD4B36"/>
    <w:rsid w:val="5CAF6B84"/>
    <w:rsid w:val="5CB2013E"/>
    <w:rsid w:val="5CB339BC"/>
    <w:rsid w:val="5CB4669E"/>
    <w:rsid w:val="5CB470D6"/>
    <w:rsid w:val="5CB523CA"/>
    <w:rsid w:val="5CB615AD"/>
    <w:rsid w:val="5CB7009D"/>
    <w:rsid w:val="5CB9002E"/>
    <w:rsid w:val="5CBB7E16"/>
    <w:rsid w:val="5CBC0A71"/>
    <w:rsid w:val="5CBE07A6"/>
    <w:rsid w:val="5CBF3537"/>
    <w:rsid w:val="5CC21BB7"/>
    <w:rsid w:val="5CC3102B"/>
    <w:rsid w:val="5CC31CB8"/>
    <w:rsid w:val="5CC327F9"/>
    <w:rsid w:val="5CC372E6"/>
    <w:rsid w:val="5CC53988"/>
    <w:rsid w:val="5CC85A78"/>
    <w:rsid w:val="5CC93D27"/>
    <w:rsid w:val="5CC974E3"/>
    <w:rsid w:val="5CCA2F91"/>
    <w:rsid w:val="5CCF0496"/>
    <w:rsid w:val="5CCF13B0"/>
    <w:rsid w:val="5CD016DE"/>
    <w:rsid w:val="5CD1290C"/>
    <w:rsid w:val="5CD13C12"/>
    <w:rsid w:val="5CD17901"/>
    <w:rsid w:val="5CD24B62"/>
    <w:rsid w:val="5CD36980"/>
    <w:rsid w:val="5CD36D0A"/>
    <w:rsid w:val="5CD65723"/>
    <w:rsid w:val="5CD76FDC"/>
    <w:rsid w:val="5CD82ED2"/>
    <w:rsid w:val="5CD93599"/>
    <w:rsid w:val="5CD93B93"/>
    <w:rsid w:val="5CDB1161"/>
    <w:rsid w:val="5CE045E7"/>
    <w:rsid w:val="5CE3006B"/>
    <w:rsid w:val="5CE515C0"/>
    <w:rsid w:val="5CE519DC"/>
    <w:rsid w:val="5CE57B16"/>
    <w:rsid w:val="5CE60CEB"/>
    <w:rsid w:val="5CE85355"/>
    <w:rsid w:val="5CEA6861"/>
    <w:rsid w:val="5CEB2B52"/>
    <w:rsid w:val="5CEC2F0F"/>
    <w:rsid w:val="5CED3731"/>
    <w:rsid w:val="5CF1022E"/>
    <w:rsid w:val="5CF21999"/>
    <w:rsid w:val="5CF2566F"/>
    <w:rsid w:val="5CF266EF"/>
    <w:rsid w:val="5CF418CE"/>
    <w:rsid w:val="5CF53766"/>
    <w:rsid w:val="5CF66F38"/>
    <w:rsid w:val="5CF85423"/>
    <w:rsid w:val="5CF95E33"/>
    <w:rsid w:val="5CFA262F"/>
    <w:rsid w:val="5CFC6F90"/>
    <w:rsid w:val="5CFF69CC"/>
    <w:rsid w:val="5D017E3C"/>
    <w:rsid w:val="5D02548B"/>
    <w:rsid w:val="5D0315F7"/>
    <w:rsid w:val="5D05603C"/>
    <w:rsid w:val="5D061763"/>
    <w:rsid w:val="5D07484F"/>
    <w:rsid w:val="5D087971"/>
    <w:rsid w:val="5D0955FF"/>
    <w:rsid w:val="5D097BAD"/>
    <w:rsid w:val="5D0A438C"/>
    <w:rsid w:val="5D0C02C5"/>
    <w:rsid w:val="5D0F0FDA"/>
    <w:rsid w:val="5D107BA8"/>
    <w:rsid w:val="5D124987"/>
    <w:rsid w:val="5D150495"/>
    <w:rsid w:val="5D177036"/>
    <w:rsid w:val="5D184CAE"/>
    <w:rsid w:val="5D1A0A26"/>
    <w:rsid w:val="5D1A3D36"/>
    <w:rsid w:val="5D1C02FB"/>
    <w:rsid w:val="5D1E0517"/>
    <w:rsid w:val="5D1F0EEA"/>
    <w:rsid w:val="5D203DED"/>
    <w:rsid w:val="5D211DB5"/>
    <w:rsid w:val="5D214DD6"/>
    <w:rsid w:val="5D2154E6"/>
    <w:rsid w:val="5D23372A"/>
    <w:rsid w:val="5D2418A5"/>
    <w:rsid w:val="5D2573D0"/>
    <w:rsid w:val="5D271EAF"/>
    <w:rsid w:val="5D2A0304"/>
    <w:rsid w:val="5D2A09E5"/>
    <w:rsid w:val="5D2A439A"/>
    <w:rsid w:val="5D2B1C80"/>
    <w:rsid w:val="5D2B49E2"/>
    <w:rsid w:val="5D2B715A"/>
    <w:rsid w:val="5D2C0FAA"/>
    <w:rsid w:val="5D302E54"/>
    <w:rsid w:val="5D33630D"/>
    <w:rsid w:val="5D340645"/>
    <w:rsid w:val="5D342A38"/>
    <w:rsid w:val="5D344536"/>
    <w:rsid w:val="5D362A80"/>
    <w:rsid w:val="5D3B0319"/>
    <w:rsid w:val="5D3C6BEF"/>
    <w:rsid w:val="5D3D1206"/>
    <w:rsid w:val="5D415FB3"/>
    <w:rsid w:val="5D417387"/>
    <w:rsid w:val="5D4479C9"/>
    <w:rsid w:val="5D4567E9"/>
    <w:rsid w:val="5D462BE5"/>
    <w:rsid w:val="5D4923AA"/>
    <w:rsid w:val="5D4A306E"/>
    <w:rsid w:val="5D4B1489"/>
    <w:rsid w:val="5D4C032F"/>
    <w:rsid w:val="5D4C7B15"/>
    <w:rsid w:val="5D4E6471"/>
    <w:rsid w:val="5D4E7CE9"/>
    <w:rsid w:val="5D4F3AC9"/>
    <w:rsid w:val="5D50391A"/>
    <w:rsid w:val="5D504478"/>
    <w:rsid w:val="5D5235A4"/>
    <w:rsid w:val="5D555C28"/>
    <w:rsid w:val="5D560D44"/>
    <w:rsid w:val="5D5757D7"/>
    <w:rsid w:val="5D587B30"/>
    <w:rsid w:val="5D5A50DE"/>
    <w:rsid w:val="5D5B0A9B"/>
    <w:rsid w:val="5D5D7D54"/>
    <w:rsid w:val="5D5F0CC2"/>
    <w:rsid w:val="5D5F1654"/>
    <w:rsid w:val="5D632DD3"/>
    <w:rsid w:val="5D6347F4"/>
    <w:rsid w:val="5D641B51"/>
    <w:rsid w:val="5D647D73"/>
    <w:rsid w:val="5D665A1A"/>
    <w:rsid w:val="5D675C3A"/>
    <w:rsid w:val="5D694C13"/>
    <w:rsid w:val="5D6972B8"/>
    <w:rsid w:val="5D697F28"/>
    <w:rsid w:val="5D6A39A3"/>
    <w:rsid w:val="5D6C63B9"/>
    <w:rsid w:val="5D7063A0"/>
    <w:rsid w:val="5D715A12"/>
    <w:rsid w:val="5D721CC5"/>
    <w:rsid w:val="5D742AEC"/>
    <w:rsid w:val="5D750476"/>
    <w:rsid w:val="5D7623FA"/>
    <w:rsid w:val="5D7734DC"/>
    <w:rsid w:val="5D785466"/>
    <w:rsid w:val="5D7C1361"/>
    <w:rsid w:val="5D7C4F85"/>
    <w:rsid w:val="5D7E27AE"/>
    <w:rsid w:val="5D7E52D6"/>
    <w:rsid w:val="5D7F1174"/>
    <w:rsid w:val="5D802A23"/>
    <w:rsid w:val="5D812247"/>
    <w:rsid w:val="5D812B8D"/>
    <w:rsid w:val="5D8159C8"/>
    <w:rsid w:val="5D823054"/>
    <w:rsid w:val="5D841173"/>
    <w:rsid w:val="5D852344"/>
    <w:rsid w:val="5D855F42"/>
    <w:rsid w:val="5D863FC1"/>
    <w:rsid w:val="5D871691"/>
    <w:rsid w:val="5D876BD1"/>
    <w:rsid w:val="5D893027"/>
    <w:rsid w:val="5D8A253D"/>
    <w:rsid w:val="5D8A7842"/>
    <w:rsid w:val="5D8B5511"/>
    <w:rsid w:val="5D8C1212"/>
    <w:rsid w:val="5D8D1C9A"/>
    <w:rsid w:val="5D8D2B0D"/>
    <w:rsid w:val="5D8F31C2"/>
    <w:rsid w:val="5D8F3D6B"/>
    <w:rsid w:val="5D937F53"/>
    <w:rsid w:val="5D960009"/>
    <w:rsid w:val="5D980AA4"/>
    <w:rsid w:val="5D9A6AB7"/>
    <w:rsid w:val="5D9A73DF"/>
    <w:rsid w:val="5D9E3FCC"/>
    <w:rsid w:val="5DA052A8"/>
    <w:rsid w:val="5DA12EF6"/>
    <w:rsid w:val="5DA54347"/>
    <w:rsid w:val="5DA54794"/>
    <w:rsid w:val="5DA57641"/>
    <w:rsid w:val="5DA66549"/>
    <w:rsid w:val="5DA71E96"/>
    <w:rsid w:val="5DA804D4"/>
    <w:rsid w:val="5DA8625C"/>
    <w:rsid w:val="5DA93817"/>
    <w:rsid w:val="5DAA3E0E"/>
    <w:rsid w:val="5DAC71E6"/>
    <w:rsid w:val="5DAD21B6"/>
    <w:rsid w:val="5DAD617B"/>
    <w:rsid w:val="5DB12F4B"/>
    <w:rsid w:val="5DB216CF"/>
    <w:rsid w:val="5DB427FE"/>
    <w:rsid w:val="5DB6074F"/>
    <w:rsid w:val="5DB620E7"/>
    <w:rsid w:val="5DB76E5D"/>
    <w:rsid w:val="5DB81F30"/>
    <w:rsid w:val="5DB87C39"/>
    <w:rsid w:val="5DB94574"/>
    <w:rsid w:val="5DB961C1"/>
    <w:rsid w:val="5DBA0AC6"/>
    <w:rsid w:val="5DBA1859"/>
    <w:rsid w:val="5DBB1DCF"/>
    <w:rsid w:val="5DBD4879"/>
    <w:rsid w:val="5DBE2191"/>
    <w:rsid w:val="5DC11FE8"/>
    <w:rsid w:val="5DC15346"/>
    <w:rsid w:val="5DC41E05"/>
    <w:rsid w:val="5DC503CF"/>
    <w:rsid w:val="5DC665BD"/>
    <w:rsid w:val="5DC739DF"/>
    <w:rsid w:val="5DC854D0"/>
    <w:rsid w:val="5DC944B4"/>
    <w:rsid w:val="5DCC2069"/>
    <w:rsid w:val="5DCD1351"/>
    <w:rsid w:val="5DCF543D"/>
    <w:rsid w:val="5DD07961"/>
    <w:rsid w:val="5DD45876"/>
    <w:rsid w:val="5DD619A0"/>
    <w:rsid w:val="5DD9065D"/>
    <w:rsid w:val="5DDA011C"/>
    <w:rsid w:val="5DDB6ECD"/>
    <w:rsid w:val="5DDC5CDC"/>
    <w:rsid w:val="5DDC64BD"/>
    <w:rsid w:val="5DDC71FD"/>
    <w:rsid w:val="5DDD3DBA"/>
    <w:rsid w:val="5DDE7CDB"/>
    <w:rsid w:val="5DDF63AB"/>
    <w:rsid w:val="5DE01476"/>
    <w:rsid w:val="5DE01973"/>
    <w:rsid w:val="5DE275A8"/>
    <w:rsid w:val="5DE451F1"/>
    <w:rsid w:val="5DE80B25"/>
    <w:rsid w:val="5DE821F7"/>
    <w:rsid w:val="5DE84681"/>
    <w:rsid w:val="5DEA0758"/>
    <w:rsid w:val="5DEA7DF8"/>
    <w:rsid w:val="5DEC0CDE"/>
    <w:rsid w:val="5DEC23C3"/>
    <w:rsid w:val="5DEC6BAC"/>
    <w:rsid w:val="5DED15CA"/>
    <w:rsid w:val="5DF04876"/>
    <w:rsid w:val="5DF059D3"/>
    <w:rsid w:val="5DF1392B"/>
    <w:rsid w:val="5DF15F9A"/>
    <w:rsid w:val="5DF35FE0"/>
    <w:rsid w:val="5DF5217B"/>
    <w:rsid w:val="5DF52EBD"/>
    <w:rsid w:val="5DF72B16"/>
    <w:rsid w:val="5DF94B28"/>
    <w:rsid w:val="5DFB2606"/>
    <w:rsid w:val="5DFB4F94"/>
    <w:rsid w:val="5DFD637E"/>
    <w:rsid w:val="5DFE041E"/>
    <w:rsid w:val="5DFE2F45"/>
    <w:rsid w:val="5DFF6C56"/>
    <w:rsid w:val="5E007207"/>
    <w:rsid w:val="5E014F1E"/>
    <w:rsid w:val="5E03087D"/>
    <w:rsid w:val="5E0344C3"/>
    <w:rsid w:val="5E04316A"/>
    <w:rsid w:val="5E04413E"/>
    <w:rsid w:val="5E053D08"/>
    <w:rsid w:val="5E061B89"/>
    <w:rsid w:val="5E082225"/>
    <w:rsid w:val="5E0A317F"/>
    <w:rsid w:val="5E0A7BAA"/>
    <w:rsid w:val="5E0B34AA"/>
    <w:rsid w:val="5E0B47F6"/>
    <w:rsid w:val="5E0C1986"/>
    <w:rsid w:val="5E0E058B"/>
    <w:rsid w:val="5E0E4430"/>
    <w:rsid w:val="5E0E6406"/>
    <w:rsid w:val="5E114F66"/>
    <w:rsid w:val="5E1647FE"/>
    <w:rsid w:val="5E167440"/>
    <w:rsid w:val="5E174F66"/>
    <w:rsid w:val="5E1831B8"/>
    <w:rsid w:val="5E1851DE"/>
    <w:rsid w:val="5E1926A2"/>
    <w:rsid w:val="5E192BDC"/>
    <w:rsid w:val="5E1A21C7"/>
    <w:rsid w:val="5E1B0418"/>
    <w:rsid w:val="5E1C0C53"/>
    <w:rsid w:val="5E1E00A2"/>
    <w:rsid w:val="5E1E298E"/>
    <w:rsid w:val="5E1F0A30"/>
    <w:rsid w:val="5E202B99"/>
    <w:rsid w:val="5E205713"/>
    <w:rsid w:val="5E212B70"/>
    <w:rsid w:val="5E221674"/>
    <w:rsid w:val="5E224037"/>
    <w:rsid w:val="5E2356B9"/>
    <w:rsid w:val="5E282CCF"/>
    <w:rsid w:val="5E284D8B"/>
    <w:rsid w:val="5E2A59B6"/>
    <w:rsid w:val="5E2C0A11"/>
    <w:rsid w:val="5E2C6698"/>
    <w:rsid w:val="5E2C6C63"/>
    <w:rsid w:val="5E2C7B44"/>
    <w:rsid w:val="5E2E0D12"/>
    <w:rsid w:val="5E2E2BE4"/>
    <w:rsid w:val="5E31527A"/>
    <w:rsid w:val="5E3161DB"/>
    <w:rsid w:val="5E331DA0"/>
    <w:rsid w:val="5E3361E5"/>
    <w:rsid w:val="5E357D96"/>
    <w:rsid w:val="5E361BDD"/>
    <w:rsid w:val="5E3641C2"/>
    <w:rsid w:val="5E387B09"/>
    <w:rsid w:val="5E3A15F7"/>
    <w:rsid w:val="5E3A5E4B"/>
    <w:rsid w:val="5E3D192F"/>
    <w:rsid w:val="5E3D49CC"/>
    <w:rsid w:val="5E3E65A1"/>
    <w:rsid w:val="5E3F3569"/>
    <w:rsid w:val="5E42276B"/>
    <w:rsid w:val="5E422DD2"/>
    <w:rsid w:val="5E452F15"/>
    <w:rsid w:val="5E45471D"/>
    <w:rsid w:val="5E47584B"/>
    <w:rsid w:val="5E4843B7"/>
    <w:rsid w:val="5E48511F"/>
    <w:rsid w:val="5E49228D"/>
    <w:rsid w:val="5E4D0988"/>
    <w:rsid w:val="5E4D2E98"/>
    <w:rsid w:val="5E4E08CF"/>
    <w:rsid w:val="5E4F44C3"/>
    <w:rsid w:val="5E4F4700"/>
    <w:rsid w:val="5E512226"/>
    <w:rsid w:val="5E52287B"/>
    <w:rsid w:val="5E5319F5"/>
    <w:rsid w:val="5E565A8E"/>
    <w:rsid w:val="5E5A21D5"/>
    <w:rsid w:val="5E5A2293"/>
    <w:rsid w:val="5E5B5B06"/>
    <w:rsid w:val="5E626207"/>
    <w:rsid w:val="5E6419E0"/>
    <w:rsid w:val="5E65042E"/>
    <w:rsid w:val="5E651C80"/>
    <w:rsid w:val="5E667B48"/>
    <w:rsid w:val="5E672E0C"/>
    <w:rsid w:val="5E6779CA"/>
    <w:rsid w:val="5E6975AD"/>
    <w:rsid w:val="5E6A1107"/>
    <w:rsid w:val="5E6C3B00"/>
    <w:rsid w:val="5E6C52B2"/>
    <w:rsid w:val="5E6F64A1"/>
    <w:rsid w:val="5E704F7D"/>
    <w:rsid w:val="5E731290"/>
    <w:rsid w:val="5E7427E5"/>
    <w:rsid w:val="5E7919F9"/>
    <w:rsid w:val="5E7B0F26"/>
    <w:rsid w:val="5E7B3747"/>
    <w:rsid w:val="5E7B70C4"/>
    <w:rsid w:val="5E7B7CFC"/>
    <w:rsid w:val="5E7F2BD4"/>
    <w:rsid w:val="5E822755"/>
    <w:rsid w:val="5E86113A"/>
    <w:rsid w:val="5E863B4F"/>
    <w:rsid w:val="5E86427D"/>
    <w:rsid w:val="5E8759BC"/>
    <w:rsid w:val="5E8843BF"/>
    <w:rsid w:val="5E8A0600"/>
    <w:rsid w:val="5E8C14B0"/>
    <w:rsid w:val="5E8C2846"/>
    <w:rsid w:val="5E8C3512"/>
    <w:rsid w:val="5E8D0BEB"/>
    <w:rsid w:val="5E8D218E"/>
    <w:rsid w:val="5E9260C6"/>
    <w:rsid w:val="5E952C7B"/>
    <w:rsid w:val="5E9657A9"/>
    <w:rsid w:val="5E981E16"/>
    <w:rsid w:val="5E9B034A"/>
    <w:rsid w:val="5E9E2996"/>
    <w:rsid w:val="5E9F0293"/>
    <w:rsid w:val="5EA04F5B"/>
    <w:rsid w:val="5EA1393C"/>
    <w:rsid w:val="5EA25CCC"/>
    <w:rsid w:val="5EA50B29"/>
    <w:rsid w:val="5EA83F26"/>
    <w:rsid w:val="5EAA3A93"/>
    <w:rsid w:val="5EAA7148"/>
    <w:rsid w:val="5EAA78E8"/>
    <w:rsid w:val="5EAB402C"/>
    <w:rsid w:val="5EAC5FF9"/>
    <w:rsid w:val="5EAC619A"/>
    <w:rsid w:val="5EAC6A97"/>
    <w:rsid w:val="5EAE1426"/>
    <w:rsid w:val="5EAE58CA"/>
    <w:rsid w:val="5EAF150A"/>
    <w:rsid w:val="5EAF747E"/>
    <w:rsid w:val="5EB10F03"/>
    <w:rsid w:val="5EB10F16"/>
    <w:rsid w:val="5EB236E5"/>
    <w:rsid w:val="5EB56613"/>
    <w:rsid w:val="5EB61F5F"/>
    <w:rsid w:val="5EB76E00"/>
    <w:rsid w:val="5EB86749"/>
    <w:rsid w:val="5EBB6F55"/>
    <w:rsid w:val="5EBB7F2F"/>
    <w:rsid w:val="5EBC3473"/>
    <w:rsid w:val="5EBF0559"/>
    <w:rsid w:val="5EBF0ECB"/>
    <w:rsid w:val="5EBF1885"/>
    <w:rsid w:val="5EBF7A1F"/>
    <w:rsid w:val="5EC6163E"/>
    <w:rsid w:val="5EC7698C"/>
    <w:rsid w:val="5EC923F3"/>
    <w:rsid w:val="5EC935AC"/>
    <w:rsid w:val="5ECD440A"/>
    <w:rsid w:val="5ECD578B"/>
    <w:rsid w:val="5ECE3C85"/>
    <w:rsid w:val="5ECF3E31"/>
    <w:rsid w:val="5ECF7C6F"/>
    <w:rsid w:val="5ED21D26"/>
    <w:rsid w:val="5ED27BE1"/>
    <w:rsid w:val="5ED4499E"/>
    <w:rsid w:val="5ED502B1"/>
    <w:rsid w:val="5ED6342A"/>
    <w:rsid w:val="5ED6434E"/>
    <w:rsid w:val="5ED8036D"/>
    <w:rsid w:val="5ED82D14"/>
    <w:rsid w:val="5ED8390F"/>
    <w:rsid w:val="5EDA739C"/>
    <w:rsid w:val="5EDD3BDC"/>
    <w:rsid w:val="5EDF17A9"/>
    <w:rsid w:val="5EDF7832"/>
    <w:rsid w:val="5EE0535F"/>
    <w:rsid w:val="5EE174EB"/>
    <w:rsid w:val="5EE17A4E"/>
    <w:rsid w:val="5EE32416"/>
    <w:rsid w:val="5EE5015A"/>
    <w:rsid w:val="5EE51A22"/>
    <w:rsid w:val="5EE603EA"/>
    <w:rsid w:val="5EE70A5F"/>
    <w:rsid w:val="5EE70DDC"/>
    <w:rsid w:val="5EE810EB"/>
    <w:rsid w:val="5EE832F7"/>
    <w:rsid w:val="5EE964F1"/>
    <w:rsid w:val="5EE9774D"/>
    <w:rsid w:val="5EEA3EC1"/>
    <w:rsid w:val="5EEA4A34"/>
    <w:rsid w:val="5EEE1E2C"/>
    <w:rsid w:val="5EEE6CB7"/>
    <w:rsid w:val="5EF1012D"/>
    <w:rsid w:val="5EF1116F"/>
    <w:rsid w:val="5EF12F16"/>
    <w:rsid w:val="5EF203DB"/>
    <w:rsid w:val="5EF54CCE"/>
    <w:rsid w:val="5EFA0B0F"/>
    <w:rsid w:val="5EFB4E74"/>
    <w:rsid w:val="5EFD0600"/>
    <w:rsid w:val="5EFF6967"/>
    <w:rsid w:val="5F00241C"/>
    <w:rsid w:val="5F0125EC"/>
    <w:rsid w:val="5F01266F"/>
    <w:rsid w:val="5F021772"/>
    <w:rsid w:val="5F040A38"/>
    <w:rsid w:val="5F074653"/>
    <w:rsid w:val="5F0757AD"/>
    <w:rsid w:val="5F085EE4"/>
    <w:rsid w:val="5F0A2785"/>
    <w:rsid w:val="5F0A3DA5"/>
    <w:rsid w:val="5F0A3E4D"/>
    <w:rsid w:val="5F0C25F1"/>
    <w:rsid w:val="5F0D3084"/>
    <w:rsid w:val="5F0D6B7A"/>
    <w:rsid w:val="5F0E7944"/>
    <w:rsid w:val="5F100BC9"/>
    <w:rsid w:val="5F12755C"/>
    <w:rsid w:val="5F1516CC"/>
    <w:rsid w:val="5F171FA0"/>
    <w:rsid w:val="5F180999"/>
    <w:rsid w:val="5F196683"/>
    <w:rsid w:val="5F1A1334"/>
    <w:rsid w:val="5F1D30FB"/>
    <w:rsid w:val="5F1F7C96"/>
    <w:rsid w:val="5F205B8C"/>
    <w:rsid w:val="5F213B3C"/>
    <w:rsid w:val="5F217E4A"/>
    <w:rsid w:val="5F227739"/>
    <w:rsid w:val="5F2330D0"/>
    <w:rsid w:val="5F2669C7"/>
    <w:rsid w:val="5F2764B1"/>
    <w:rsid w:val="5F27742B"/>
    <w:rsid w:val="5F280A74"/>
    <w:rsid w:val="5F281AE6"/>
    <w:rsid w:val="5F28714B"/>
    <w:rsid w:val="5F287831"/>
    <w:rsid w:val="5F292A61"/>
    <w:rsid w:val="5F295D22"/>
    <w:rsid w:val="5F2A236A"/>
    <w:rsid w:val="5F2A5093"/>
    <w:rsid w:val="5F2B6F1B"/>
    <w:rsid w:val="5F2C1420"/>
    <w:rsid w:val="5F2D2A55"/>
    <w:rsid w:val="5F2F513B"/>
    <w:rsid w:val="5F306B64"/>
    <w:rsid w:val="5F311D58"/>
    <w:rsid w:val="5F3273C0"/>
    <w:rsid w:val="5F331229"/>
    <w:rsid w:val="5F3465A1"/>
    <w:rsid w:val="5F3533EF"/>
    <w:rsid w:val="5F355D8A"/>
    <w:rsid w:val="5F3636B8"/>
    <w:rsid w:val="5F381055"/>
    <w:rsid w:val="5F381638"/>
    <w:rsid w:val="5F3A427F"/>
    <w:rsid w:val="5F3A54C2"/>
    <w:rsid w:val="5F3B1357"/>
    <w:rsid w:val="5F3B6362"/>
    <w:rsid w:val="5F3B7AAF"/>
    <w:rsid w:val="5F3D5024"/>
    <w:rsid w:val="5F40363E"/>
    <w:rsid w:val="5F406A84"/>
    <w:rsid w:val="5F413C83"/>
    <w:rsid w:val="5F41673E"/>
    <w:rsid w:val="5F421952"/>
    <w:rsid w:val="5F464C53"/>
    <w:rsid w:val="5F465B35"/>
    <w:rsid w:val="5F474D41"/>
    <w:rsid w:val="5F4751CE"/>
    <w:rsid w:val="5F490B80"/>
    <w:rsid w:val="5F4A6AB8"/>
    <w:rsid w:val="5F5304BC"/>
    <w:rsid w:val="5F534892"/>
    <w:rsid w:val="5F5561D2"/>
    <w:rsid w:val="5F596ACC"/>
    <w:rsid w:val="5F5B1FBD"/>
    <w:rsid w:val="5F5B2F83"/>
    <w:rsid w:val="5F5C5A09"/>
    <w:rsid w:val="5F5D3118"/>
    <w:rsid w:val="5F5D5537"/>
    <w:rsid w:val="5F5E4519"/>
    <w:rsid w:val="5F605821"/>
    <w:rsid w:val="5F607354"/>
    <w:rsid w:val="5F6128BE"/>
    <w:rsid w:val="5F613AD9"/>
    <w:rsid w:val="5F614678"/>
    <w:rsid w:val="5F6179CE"/>
    <w:rsid w:val="5F617D81"/>
    <w:rsid w:val="5F62570D"/>
    <w:rsid w:val="5F64370E"/>
    <w:rsid w:val="5F6465CB"/>
    <w:rsid w:val="5F6647EC"/>
    <w:rsid w:val="5F664A90"/>
    <w:rsid w:val="5F6661A5"/>
    <w:rsid w:val="5F66666A"/>
    <w:rsid w:val="5F6B1720"/>
    <w:rsid w:val="5F6B181B"/>
    <w:rsid w:val="5F6B37BB"/>
    <w:rsid w:val="5F6B7703"/>
    <w:rsid w:val="5F6C0B5E"/>
    <w:rsid w:val="5F6C6046"/>
    <w:rsid w:val="5F6E6F82"/>
    <w:rsid w:val="5F705A8F"/>
    <w:rsid w:val="5F717A6E"/>
    <w:rsid w:val="5F72150E"/>
    <w:rsid w:val="5F726E08"/>
    <w:rsid w:val="5F73441E"/>
    <w:rsid w:val="5F76068D"/>
    <w:rsid w:val="5F76117D"/>
    <w:rsid w:val="5F777670"/>
    <w:rsid w:val="5F7A3364"/>
    <w:rsid w:val="5F7C0903"/>
    <w:rsid w:val="5F7C2F88"/>
    <w:rsid w:val="5F7C32D2"/>
    <w:rsid w:val="5F7F03D9"/>
    <w:rsid w:val="5F820B81"/>
    <w:rsid w:val="5F822615"/>
    <w:rsid w:val="5F830B05"/>
    <w:rsid w:val="5F88168F"/>
    <w:rsid w:val="5F882F3A"/>
    <w:rsid w:val="5F8A175E"/>
    <w:rsid w:val="5F8B37EC"/>
    <w:rsid w:val="5F8C5A7A"/>
    <w:rsid w:val="5F8D7463"/>
    <w:rsid w:val="5F8D7737"/>
    <w:rsid w:val="5F8E0BC3"/>
    <w:rsid w:val="5F902771"/>
    <w:rsid w:val="5F9042A5"/>
    <w:rsid w:val="5F916509"/>
    <w:rsid w:val="5F9456CD"/>
    <w:rsid w:val="5F9602C9"/>
    <w:rsid w:val="5F9737AE"/>
    <w:rsid w:val="5F973A30"/>
    <w:rsid w:val="5F97635E"/>
    <w:rsid w:val="5F992727"/>
    <w:rsid w:val="5F9971AC"/>
    <w:rsid w:val="5F9A1497"/>
    <w:rsid w:val="5F9A3BD8"/>
    <w:rsid w:val="5F9B0E85"/>
    <w:rsid w:val="5F9D44C9"/>
    <w:rsid w:val="5F9E76ED"/>
    <w:rsid w:val="5FA016B7"/>
    <w:rsid w:val="5FA2077C"/>
    <w:rsid w:val="5FA27A5F"/>
    <w:rsid w:val="5FA32AFD"/>
    <w:rsid w:val="5FA40A7B"/>
    <w:rsid w:val="5FA45975"/>
    <w:rsid w:val="5FA55D24"/>
    <w:rsid w:val="5FA62A45"/>
    <w:rsid w:val="5FA657A6"/>
    <w:rsid w:val="5FA71859"/>
    <w:rsid w:val="5FA92FE5"/>
    <w:rsid w:val="5FAB11B0"/>
    <w:rsid w:val="5FAD5B82"/>
    <w:rsid w:val="5FAE7285"/>
    <w:rsid w:val="5FB011CE"/>
    <w:rsid w:val="5FB1705E"/>
    <w:rsid w:val="5FB2252C"/>
    <w:rsid w:val="5FB34431"/>
    <w:rsid w:val="5FB500CA"/>
    <w:rsid w:val="5FB647BD"/>
    <w:rsid w:val="5FB7306B"/>
    <w:rsid w:val="5FB76A00"/>
    <w:rsid w:val="5FB802EA"/>
    <w:rsid w:val="5FB80669"/>
    <w:rsid w:val="5FBB0675"/>
    <w:rsid w:val="5FBB1392"/>
    <w:rsid w:val="5FBC4017"/>
    <w:rsid w:val="5FBC7B73"/>
    <w:rsid w:val="5FBF2C92"/>
    <w:rsid w:val="5FC07CDB"/>
    <w:rsid w:val="5FC279E6"/>
    <w:rsid w:val="5FC3072E"/>
    <w:rsid w:val="5FC367C7"/>
    <w:rsid w:val="5FC559EA"/>
    <w:rsid w:val="5FC756C7"/>
    <w:rsid w:val="5FCB30B0"/>
    <w:rsid w:val="5FCC28E5"/>
    <w:rsid w:val="5FD37063"/>
    <w:rsid w:val="5FD418AB"/>
    <w:rsid w:val="5FD4774C"/>
    <w:rsid w:val="5FD650D9"/>
    <w:rsid w:val="5FD67A6F"/>
    <w:rsid w:val="5FD770FE"/>
    <w:rsid w:val="5FDC7A97"/>
    <w:rsid w:val="5FE1243E"/>
    <w:rsid w:val="5FE33B7B"/>
    <w:rsid w:val="5FE42D1F"/>
    <w:rsid w:val="5FE570CA"/>
    <w:rsid w:val="5FE70DEA"/>
    <w:rsid w:val="5FE90148"/>
    <w:rsid w:val="5FE931D6"/>
    <w:rsid w:val="5FEB152F"/>
    <w:rsid w:val="5FEB2BA4"/>
    <w:rsid w:val="5FF0241B"/>
    <w:rsid w:val="5FF12A4A"/>
    <w:rsid w:val="5FF40827"/>
    <w:rsid w:val="5FF533D4"/>
    <w:rsid w:val="5FF54F1F"/>
    <w:rsid w:val="5FF732A1"/>
    <w:rsid w:val="5FF74C19"/>
    <w:rsid w:val="5FF86A20"/>
    <w:rsid w:val="5FF94469"/>
    <w:rsid w:val="5FFC4BD3"/>
    <w:rsid w:val="5FFC638B"/>
    <w:rsid w:val="5FFD4C1A"/>
    <w:rsid w:val="5FFD5CCC"/>
    <w:rsid w:val="5FFE33A7"/>
    <w:rsid w:val="600032C0"/>
    <w:rsid w:val="60012795"/>
    <w:rsid w:val="60016769"/>
    <w:rsid w:val="600357A2"/>
    <w:rsid w:val="600475D3"/>
    <w:rsid w:val="600808F0"/>
    <w:rsid w:val="60093535"/>
    <w:rsid w:val="600C23EC"/>
    <w:rsid w:val="60116111"/>
    <w:rsid w:val="60124D67"/>
    <w:rsid w:val="60136A83"/>
    <w:rsid w:val="601470CF"/>
    <w:rsid w:val="601534D4"/>
    <w:rsid w:val="60160594"/>
    <w:rsid w:val="6016488C"/>
    <w:rsid w:val="60167A2E"/>
    <w:rsid w:val="60174A64"/>
    <w:rsid w:val="601930C2"/>
    <w:rsid w:val="60195750"/>
    <w:rsid w:val="601A3D57"/>
    <w:rsid w:val="601C0DA9"/>
    <w:rsid w:val="601D6507"/>
    <w:rsid w:val="601E41DF"/>
    <w:rsid w:val="60215D53"/>
    <w:rsid w:val="60216216"/>
    <w:rsid w:val="602606BB"/>
    <w:rsid w:val="60262747"/>
    <w:rsid w:val="60272907"/>
    <w:rsid w:val="602734B1"/>
    <w:rsid w:val="6028345A"/>
    <w:rsid w:val="602B3602"/>
    <w:rsid w:val="60300A25"/>
    <w:rsid w:val="60356538"/>
    <w:rsid w:val="603658A5"/>
    <w:rsid w:val="603670AD"/>
    <w:rsid w:val="6039489E"/>
    <w:rsid w:val="603966C7"/>
    <w:rsid w:val="603C59E0"/>
    <w:rsid w:val="603F2CE3"/>
    <w:rsid w:val="603F3968"/>
    <w:rsid w:val="60412D5A"/>
    <w:rsid w:val="604430C7"/>
    <w:rsid w:val="60456E72"/>
    <w:rsid w:val="60474679"/>
    <w:rsid w:val="604A517F"/>
    <w:rsid w:val="604B2FEE"/>
    <w:rsid w:val="604C59FD"/>
    <w:rsid w:val="604E0799"/>
    <w:rsid w:val="604E0A9C"/>
    <w:rsid w:val="604F1457"/>
    <w:rsid w:val="60514D8F"/>
    <w:rsid w:val="605161FB"/>
    <w:rsid w:val="60516A43"/>
    <w:rsid w:val="60544F6C"/>
    <w:rsid w:val="60567AD1"/>
    <w:rsid w:val="60597AB8"/>
    <w:rsid w:val="605D29A2"/>
    <w:rsid w:val="605D3104"/>
    <w:rsid w:val="605D316F"/>
    <w:rsid w:val="605F751E"/>
    <w:rsid w:val="60611E64"/>
    <w:rsid w:val="606145D0"/>
    <w:rsid w:val="6062560B"/>
    <w:rsid w:val="606340E6"/>
    <w:rsid w:val="6065388F"/>
    <w:rsid w:val="6066019C"/>
    <w:rsid w:val="60662C9B"/>
    <w:rsid w:val="606647BC"/>
    <w:rsid w:val="606665D3"/>
    <w:rsid w:val="606749B9"/>
    <w:rsid w:val="60675196"/>
    <w:rsid w:val="606751B9"/>
    <w:rsid w:val="60683486"/>
    <w:rsid w:val="606867C3"/>
    <w:rsid w:val="6068726B"/>
    <w:rsid w:val="60687989"/>
    <w:rsid w:val="606961CC"/>
    <w:rsid w:val="6069670F"/>
    <w:rsid w:val="606C1A86"/>
    <w:rsid w:val="606F72DB"/>
    <w:rsid w:val="60703883"/>
    <w:rsid w:val="6071361B"/>
    <w:rsid w:val="6071407C"/>
    <w:rsid w:val="60716BAF"/>
    <w:rsid w:val="60716F2C"/>
    <w:rsid w:val="607269DF"/>
    <w:rsid w:val="607418CF"/>
    <w:rsid w:val="6075116F"/>
    <w:rsid w:val="6079241F"/>
    <w:rsid w:val="60795DC5"/>
    <w:rsid w:val="607A7322"/>
    <w:rsid w:val="607C2CC9"/>
    <w:rsid w:val="607D4FE6"/>
    <w:rsid w:val="607E307A"/>
    <w:rsid w:val="607F09D9"/>
    <w:rsid w:val="607F18F9"/>
    <w:rsid w:val="608116E6"/>
    <w:rsid w:val="60820053"/>
    <w:rsid w:val="60820189"/>
    <w:rsid w:val="60831C82"/>
    <w:rsid w:val="60874063"/>
    <w:rsid w:val="6088719A"/>
    <w:rsid w:val="60894B1F"/>
    <w:rsid w:val="608B1D63"/>
    <w:rsid w:val="608B423A"/>
    <w:rsid w:val="608C498E"/>
    <w:rsid w:val="608E5DBA"/>
    <w:rsid w:val="6090049C"/>
    <w:rsid w:val="60910419"/>
    <w:rsid w:val="60915396"/>
    <w:rsid w:val="60933D47"/>
    <w:rsid w:val="60941B82"/>
    <w:rsid w:val="60944C42"/>
    <w:rsid w:val="60950472"/>
    <w:rsid w:val="60955EDC"/>
    <w:rsid w:val="60974411"/>
    <w:rsid w:val="609864CA"/>
    <w:rsid w:val="60990209"/>
    <w:rsid w:val="609A582B"/>
    <w:rsid w:val="609B5D89"/>
    <w:rsid w:val="60A32EF4"/>
    <w:rsid w:val="60A621AF"/>
    <w:rsid w:val="60A7597A"/>
    <w:rsid w:val="60AC0D51"/>
    <w:rsid w:val="60AE7E03"/>
    <w:rsid w:val="60B04186"/>
    <w:rsid w:val="60B30F76"/>
    <w:rsid w:val="60B66CB8"/>
    <w:rsid w:val="60B80EFA"/>
    <w:rsid w:val="60B8739F"/>
    <w:rsid w:val="60B968C4"/>
    <w:rsid w:val="60BB5D8D"/>
    <w:rsid w:val="60BE1114"/>
    <w:rsid w:val="60BE5CD1"/>
    <w:rsid w:val="60BF7E46"/>
    <w:rsid w:val="60C034FB"/>
    <w:rsid w:val="60C2196D"/>
    <w:rsid w:val="60C34E19"/>
    <w:rsid w:val="60C51A2C"/>
    <w:rsid w:val="60C55230"/>
    <w:rsid w:val="60C9588F"/>
    <w:rsid w:val="60CC453C"/>
    <w:rsid w:val="60CC7399"/>
    <w:rsid w:val="60CF021F"/>
    <w:rsid w:val="60CF230F"/>
    <w:rsid w:val="60CF3F2C"/>
    <w:rsid w:val="60D64AEE"/>
    <w:rsid w:val="60D73318"/>
    <w:rsid w:val="60D966A5"/>
    <w:rsid w:val="60DA0E17"/>
    <w:rsid w:val="60DA621A"/>
    <w:rsid w:val="60DC0A0E"/>
    <w:rsid w:val="60DD07E1"/>
    <w:rsid w:val="60DD6A93"/>
    <w:rsid w:val="60E040CD"/>
    <w:rsid w:val="60E262E8"/>
    <w:rsid w:val="60E70A63"/>
    <w:rsid w:val="60E87FF2"/>
    <w:rsid w:val="60E92DBC"/>
    <w:rsid w:val="60F03F78"/>
    <w:rsid w:val="60F24707"/>
    <w:rsid w:val="60F2733C"/>
    <w:rsid w:val="60F3411E"/>
    <w:rsid w:val="60F375C4"/>
    <w:rsid w:val="60F37F57"/>
    <w:rsid w:val="60F47BE6"/>
    <w:rsid w:val="60F506F0"/>
    <w:rsid w:val="60F51826"/>
    <w:rsid w:val="60F620F6"/>
    <w:rsid w:val="60FA1B2B"/>
    <w:rsid w:val="60FA42A6"/>
    <w:rsid w:val="60FD65C4"/>
    <w:rsid w:val="60FE5BF9"/>
    <w:rsid w:val="60FF41BB"/>
    <w:rsid w:val="60FF5F74"/>
    <w:rsid w:val="610065D6"/>
    <w:rsid w:val="61027A15"/>
    <w:rsid w:val="61035D90"/>
    <w:rsid w:val="6103623F"/>
    <w:rsid w:val="610362D4"/>
    <w:rsid w:val="61037CA3"/>
    <w:rsid w:val="61047A23"/>
    <w:rsid w:val="61067D4B"/>
    <w:rsid w:val="61082457"/>
    <w:rsid w:val="61091F93"/>
    <w:rsid w:val="61095105"/>
    <w:rsid w:val="610A2E74"/>
    <w:rsid w:val="610A7CFF"/>
    <w:rsid w:val="610B6AA9"/>
    <w:rsid w:val="610D044D"/>
    <w:rsid w:val="610D5F9C"/>
    <w:rsid w:val="610F0176"/>
    <w:rsid w:val="610F3257"/>
    <w:rsid w:val="6112171F"/>
    <w:rsid w:val="61126E6B"/>
    <w:rsid w:val="61137C66"/>
    <w:rsid w:val="61155D61"/>
    <w:rsid w:val="6116474A"/>
    <w:rsid w:val="611A0FF5"/>
    <w:rsid w:val="611C2257"/>
    <w:rsid w:val="611E09B3"/>
    <w:rsid w:val="611E0A1B"/>
    <w:rsid w:val="611E65EF"/>
    <w:rsid w:val="61202383"/>
    <w:rsid w:val="6122434D"/>
    <w:rsid w:val="61227EAA"/>
    <w:rsid w:val="61240758"/>
    <w:rsid w:val="612652D7"/>
    <w:rsid w:val="61266DAF"/>
    <w:rsid w:val="61270874"/>
    <w:rsid w:val="6128172B"/>
    <w:rsid w:val="61284AAD"/>
    <w:rsid w:val="61285FBC"/>
    <w:rsid w:val="61295E4B"/>
    <w:rsid w:val="612A0C0F"/>
    <w:rsid w:val="612D1D14"/>
    <w:rsid w:val="612D75BF"/>
    <w:rsid w:val="6131333B"/>
    <w:rsid w:val="613139ED"/>
    <w:rsid w:val="61317C4D"/>
    <w:rsid w:val="61323F23"/>
    <w:rsid w:val="61336A52"/>
    <w:rsid w:val="61357447"/>
    <w:rsid w:val="61357BDD"/>
    <w:rsid w:val="61373DE3"/>
    <w:rsid w:val="613A10BE"/>
    <w:rsid w:val="613B418F"/>
    <w:rsid w:val="613D788E"/>
    <w:rsid w:val="613D7A87"/>
    <w:rsid w:val="614434A3"/>
    <w:rsid w:val="61446062"/>
    <w:rsid w:val="61447BF5"/>
    <w:rsid w:val="61447C9F"/>
    <w:rsid w:val="6146003C"/>
    <w:rsid w:val="6146768C"/>
    <w:rsid w:val="61490E71"/>
    <w:rsid w:val="61493688"/>
    <w:rsid w:val="614A363A"/>
    <w:rsid w:val="614A7A5A"/>
    <w:rsid w:val="614B11AE"/>
    <w:rsid w:val="614B341C"/>
    <w:rsid w:val="614B7DE2"/>
    <w:rsid w:val="614C5323"/>
    <w:rsid w:val="614E012A"/>
    <w:rsid w:val="615164C2"/>
    <w:rsid w:val="61525B19"/>
    <w:rsid w:val="615324B7"/>
    <w:rsid w:val="61533BDD"/>
    <w:rsid w:val="61572E28"/>
    <w:rsid w:val="61577BB4"/>
    <w:rsid w:val="61586F3B"/>
    <w:rsid w:val="615A03DA"/>
    <w:rsid w:val="615A76D5"/>
    <w:rsid w:val="615B6EF1"/>
    <w:rsid w:val="615B7C40"/>
    <w:rsid w:val="615C261F"/>
    <w:rsid w:val="615D5386"/>
    <w:rsid w:val="615D7134"/>
    <w:rsid w:val="615F307A"/>
    <w:rsid w:val="615F7287"/>
    <w:rsid w:val="616002D8"/>
    <w:rsid w:val="616117DE"/>
    <w:rsid w:val="61612059"/>
    <w:rsid w:val="61614C7F"/>
    <w:rsid w:val="61662E7E"/>
    <w:rsid w:val="61672257"/>
    <w:rsid w:val="61691F7C"/>
    <w:rsid w:val="616B7B35"/>
    <w:rsid w:val="616D1282"/>
    <w:rsid w:val="616D5CB5"/>
    <w:rsid w:val="616D6C31"/>
    <w:rsid w:val="616F5B33"/>
    <w:rsid w:val="617007F7"/>
    <w:rsid w:val="61707D5E"/>
    <w:rsid w:val="6171264D"/>
    <w:rsid w:val="6171498D"/>
    <w:rsid w:val="617149E4"/>
    <w:rsid w:val="61734BA9"/>
    <w:rsid w:val="6175096B"/>
    <w:rsid w:val="6175594D"/>
    <w:rsid w:val="61762EE0"/>
    <w:rsid w:val="617678E7"/>
    <w:rsid w:val="617A146B"/>
    <w:rsid w:val="617C3A5E"/>
    <w:rsid w:val="617C5039"/>
    <w:rsid w:val="617E5A8E"/>
    <w:rsid w:val="617F23A6"/>
    <w:rsid w:val="6180679D"/>
    <w:rsid w:val="61870A0B"/>
    <w:rsid w:val="618717E3"/>
    <w:rsid w:val="61872ECB"/>
    <w:rsid w:val="618A738C"/>
    <w:rsid w:val="618D33E3"/>
    <w:rsid w:val="618D4FE9"/>
    <w:rsid w:val="618F6437"/>
    <w:rsid w:val="61914D9C"/>
    <w:rsid w:val="61957BF8"/>
    <w:rsid w:val="619764D8"/>
    <w:rsid w:val="6198334F"/>
    <w:rsid w:val="619A3EE4"/>
    <w:rsid w:val="619C313C"/>
    <w:rsid w:val="619D0D81"/>
    <w:rsid w:val="619E0170"/>
    <w:rsid w:val="619E6305"/>
    <w:rsid w:val="619F012C"/>
    <w:rsid w:val="619F1626"/>
    <w:rsid w:val="61A04534"/>
    <w:rsid w:val="61A36855"/>
    <w:rsid w:val="61A42FB4"/>
    <w:rsid w:val="61A46529"/>
    <w:rsid w:val="61A56B2B"/>
    <w:rsid w:val="61A66DBD"/>
    <w:rsid w:val="61AA78B0"/>
    <w:rsid w:val="61AC4882"/>
    <w:rsid w:val="61AD294E"/>
    <w:rsid w:val="61AD35B3"/>
    <w:rsid w:val="61AF6EBF"/>
    <w:rsid w:val="61B000ED"/>
    <w:rsid w:val="61B0167D"/>
    <w:rsid w:val="61B17A06"/>
    <w:rsid w:val="61B425D4"/>
    <w:rsid w:val="61B538D4"/>
    <w:rsid w:val="61B551C2"/>
    <w:rsid w:val="61B758B7"/>
    <w:rsid w:val="61B833E2"/>
    <w:rsid w:val="61BD7FAE"/>
    <w:rsid w:val="61BE4327"/>
    <w:rsid w:val="61C02A92"/>
    <w:rsid w:val="61C06BE7"/>
    <w:rsid w:val="61C11ED8"/>
    <w:rsid w:val="61C3168D"/>
    <w:rsid w:val="61C738CC"/>
    <w:rsid w:val="61C74D3A"/>
    <w:rsid w:val="61C7672C"/>
    <w:rsid w:val="61C775DF"/>
    <w:rsid w:val="61C77F2B"/>
    <w:rsid w:val="61C77F65"/>
    <w:rsid w:val="61C81EF8"/>
    <w:rsid w:val="61C82978"/>
    <w:rsid w:val="61CB5DAE"/>
    <w:rsid w:val="61CF3F42"/>
    <w:rsid w:val="61D0307A"/>
    <w:rsid w:val="61D05421"/>
    <w:rsid w:val="61D21833"/>
    <w:rsid w:val="61D54AD6"/>
    <w:rsid w:val="61D6386E"/>
    <w:rsid w:val="61D64167"/>
    <w:rsid w:val="61D816B8"/>
    <w:rsid w:val="61D878F4"/>
    <w:rsid w:val="61D879D7"/>
    <w:rsid w:val="61D925BD"/>
    <w:rsid w:val="61DA2B6B"/>
    <w:rsid w:val="61DA58B9"/>
    <w:rsid w:val="61DE15B3"/>
    <w:rsid w:val="61DF3FED"/>
    <w:rsid w:val="61DF52F5"/>
    <w:rsid w:val="61E433B1"/>
    <w:rsid w:val="61E46F91"/>
    <w:rsid w:val="61E54E12"/>
    <w:rsid w:val="61E73B15"/>
    <w:rsid w:val="61E91FBC"/>
    <w:rsid w:val="61EB6F78"/>
    <w:rsid w:val="61ED127C"/>
    <w:rsid w:val="61ED361B"/>
    <w:rsid w:val="61ED625A"/>
    <w:rsid w:val="61ED6709"/>
    <w:rsid w:val="61EE4EB3"/>
    <w:rsid w:val="61EF2482"/>
    <w:rsid w:val="61F0590E"/>
    <w:rsid w:val="61F0729C"/>
    <w:rsid w:val="61F137FF"/>
    <w:rsid w:val="61F17290"/>
    <w:rsid w:val="61F23D20"/>
    <w:rsid w:val="61F316C9"/>
    <w:rsid w:val="61F353EF"/>
    <w:rsid w:val="61F406F1"/>
    <w:rsid w:val="61F46E29"/>
    <w:rsid w:val="61F5529F"/>
    <w:rsid w:val="61F5579B"/>
    <w:rsid w:val="61F61752"/>
    <w:rsid w:val="61F71336"/>
    <w:rsid w:val="61F77516"/>
    <w:rsid w:val="61FB7A6A"/>
    <w:rsid w:val="61FC3E69"/>
    <w:rsid w:val="61FF01EB"/>
    <w:rsid w:val="61FF0F53"/>
    <w:rsid w:val="620144CE"/>
    <w:rsid w:val="620252C5"/>
    <w:rsid w:val="62025A7F"/>
    <w:rsid w:val="6204240C"/>
    <w:rsid w:val="62064EEC"/>
    <w:rsid w:val="6206574F"/>
    <w:rsid w:val="62084411"/>
    <w:rsid w:val="62094EA8"/>
    <w:rsid w:val="620A3756"/>
    <w:rsid w:val="620B185B"/>
    <w:rsid w:val="620F042E"/>
    <w:rsid w:val="620F382A"/>
    <w:rsid w:val="62110E4D"/>
    <w:rsid w:val="62116A72"/>
    <w:rsid w:val="62130CE4"/>
    <w:rsid w:val="62136585"/>
    <w:rsid w:val="62144337"/>
    <w:rsid w:val="621465E7"/>
    <w:rsid w:val="62146DF1"/>
    <w:rsid w:val="6215075E"/>
    <w:rsid w:val="6215098F"/>
    <w:rsid w:val="621854FB"/>
    <w:rsid w:val="621B6A92"/>
    <w:rsid w:val="621C54F4"/>
    <w:rsid w:val="621D05DD"/>
    <w:rsid w:val="621D4459"/>
    <w:rsid w:val="621E6E77"/>
    <w:rsid w:val="62207BF0"/>
    <w:rsid w:val="62220854"/>
    <w:rsid w:val="62230F23"/>
    <w:rsid w:val="622358BB"/>
    <w:rsid w:val="62280AD2"/>
    <w:rsid w:val="62286805"/>
    <w:rsid w:val="622941F5"/>
    <w:rsid w:val="622C3D31"/>
    <w:rsid w:val="622D3E88"/>
    <w:rsid w:val="622F4FDF"/>
    <w:rsid w:val="62301C33"/>
    <w:rsid w:val="62307304"/>
    <w:rsid w:val="623104F2"/>
    <w:rsid w:val="62320319"/>
    <w:rsid w:val="62334D93"/>
    <w:rsid w:val="623435BE"/>
    <w:rsid w:val="62353D7D"/>
    <w:rsid w:val="6236731A"/>
    <w:rsid w:val="62374991"/>
    <w:rsid w:val="62374C89"/>
    <w:rsid w:val="62377C68"/>
    <w:rsid w:val="623C3EC5"/>
    <w:rsid w:val="623F064A"/>
    <w:rsid w:val="623F4BB2"/>
    <w:rsid w:val="624002F3"/>
    <w:rsid w:val="62402644"/>
    <w:rsid w:val="624106FE"/>
    <w:rsid w:val="624228FD"/>
    <w:rsid w:val="62424110"/>
    <w:rsid w:val="62430B12"/>
    <w:rsid w:val="62472915"/>
    <w:rsid w:val="624A2F5B"/>
    <w:rsid w:val="624B15E1"/>
    <w:rsid w:val="624C1DD7"/>
    <w:rsid w:val="624C6A79"/>
    <w:rsid w:val="624E06CB"/>
    <w:rsid w:val="624E2765"/>
    <w:rsid w:val="624E3817"/>
    <w:rsid w:val="624E6C74"/>
    <w:rsid w:val="62515B87"/>
    <w:rsid w:val="625440C2"/>
    <w:rsid w:val="62562E69"/>
    <w:rsid w:val="625642AF"/>
    <w:rsid w:val="62570939"/>
    <w:rsid w:val="62571C22"/>
    <w:rsid w:val="625919BA"/>
    <w:rsid w:val="62591ECC"/>
    <w:rsid w:val="625A00E0"/>
    <w:rsid w:val="625B7B17"/>
    <w:rsid w:val="625C5618"/>
    <w:rsid w:val="625E39D4"/>
    <w:rsid w:val="625E4065"/>
    <w:rsid w:val="625E55BA"/>
    <w:rsid w:val="625F49C1"/>
    <w:rsid w:val="625F79DD"/>
    <w:rsid w:val="62615FFE"/>
    <w:rsid w:val="62616D7C"/>
    <w:rsid w:val="62617075"/>
    <w:rsid w:val="626300D0"/>
    <w:rsid w:val="62657AAA"/>
    <w:rsid w:val="6267261E"/>
    <w:rsid w:val="62682E27"/>
    <w:rsid w:val="626A09ED"/>
    <w:rsid w:val="626A36DB"/>
    <w:rsid w:val="626E3682"/>
    <w:rsid w:val="62707E28"/>
    <w:rsid w:val="62724E61"/>
    <w:rsid w:val="62731EFD"/>
    <w:rsid w:val="62737FAD"/>
    <w:rsid w:val="62740BD9"/>
    <w:rsid w:val="62754546"/>
    <w:rsid w:val="6275729E"/>
    <w:rsid w:val="627625A5"/>
    <w:rsid w:val="62785323"/>
    <w:rsid w:val="62791A3C"/>
    <w:rsid w:val="62792AF3"/>
    <w:rsid w:val="627B0B6E"/>
    <w:rsid w:val="627D57D2"/>
    <w:rsid w:val="627E5744"/>
    <w:rsid w:val="62806AF4"/>
    <w:rsid w:val="628250A4"/>
    <w:rsid w:val="62835C1F"/>
    <w:rsid w:val="62835C95"/>
    <w:rsid w:val="62841F4F"/>
    <w:rsid w:val="62847F19"/>
    <w:rsid w:val="628A1248"/>
    <w:rsid w:val="628E28E5"/>
    <w:rsid w:val="628F2DB3"/>
    <w:rsid w:val="628F4BB0"/>
    <w:rsid w:val="62911991"/>
    <w:rsid w:val="62913539"/>
    <w:rsid w:val="62922D69"/>
    <w:rsid w:val="62957CD0"/>
    <w:rsid w:val="62963A6B"/>
    <w:rsid w:val="62967221"/>
    <w:rsid w:val="62970A67"/>
    <w:rsid w:val="62981807"/>
    <w:rsid w:val="629923ED"/>
    <w:rsid w:val="629A6F17"/>
    <w:rsid w:val="629A7EFD"/>
    <w:rsid w:val="629B30B0"/>
    <w:rsid w:val="629B7503"/>
    <w:rsid w:val="629C3492"/>
    <w:rsid w:val="629D5887"/>
    <w:rsid w:val="629E2733"/>
    <w:rsid w:val="629E4268"/>
    <w:rsid w:val="62A15E24"/>
    <w:rsid w:val="62A41058"/>
    <w:rsid w:val="62A414BE"/>
    <w:rsid w:val="62A6638D"/>
    <w:rsid w:val="62A773EF"/>
    <w:rsid w:val="62A90EB7"/>
    <w:rsid w:val="62AB2595"/>
    <w:rsid w:val="62AB5B0D"/>
    <w:rsid w:val="62AB5BB3"/>
    <w:rsid w:val="62AB5E02"/>
    <w:rsid w:val="62AD115F"/>
    <w:rsid w:val="62AF7E63"/>
    <w:rsid w:val="62B33B05"/>
    <w:rsid w:val="62B3799F"/>
    <w:rsid w:val="62B40FD5"/>
    <w:rsid w:val="62B53314"/>
    <w:rsid w:val="62B56BD3"/>
    <w:rsid w:val="62B84568"/>
    <w:rsid w:val="62B94A5C"/>
    <w:rsid w:val="62BB4B46"/>
    <w:rsid w:val="62BC7776"/>
    <w:rsid w:val="62BC7E8A"/>
    <w:rsid w:val="62C026C0"/>
    <w:rsid w:val="62C05BCC"/>
    <w:rsid w:val="62C16803"/>
    <w:rsid w:val="62C2223B"/>
    <w:rsid w:val="62C333E2"/>
    <w:rsid w:val="62C423F5"/>
    <w:rsid w:val="62C4283B"/>
    <w:rsid w:val="62C54F90"/>
    <w:rsid w:val="62CA712B"/>
    <w:rsid w:val="62CC3177"/>
    <w:rsid w:val="62CC342A"/>
    <w:rsid w:val="62CD4019"/>
    <w:rsid w:val="62CF6509"/>
    <w:rsid w:val="62D03DC5"/>
    <w:rsid w:val="62D16941"/>
    <w:rsid w:val="62D46481"/>
    <w:rsid w:val="62D57C40"/>
    <w:rsid w:val="62D640FC"/>
    <w:rsid w:val="62D721E6"/>
    <w:rsid w:val="62DB38C3"/>
    <w:rsid w:val="62DB3E42"/>
    <w:rsid w:val="62DC0344"/>
    <w:rsid w:val="62DC43FE"/>
    <w:rsid w:val="62DD6A50"/>
    <w:rsid w:val="62DE3CDE"/>
    <w:rsid w:val="62DE4C05"/>
    <w:rsid w:val="62DE75CB"/>
    <w:rsid w:val="62E234C2"/>
    <w:rsid w:val="62E33735"/>
    <w:rsid w:val="62E5168D"/>
    <w:rsid w:val="62E55104"/>
    <w:rsid w:val="62E658C3"/>
    <w:rsid w:val="62E72477"/>
    <w:rsid w:val="62E86638"/>
    <w:rsid w:val="62EB65DC"/>
    <w:rsid w:val="62ED7721"/>
    <w:rsid w:val="62EE124E"/>
    <w:rsid w:val="62EE7F0A"/>
    <w:rsid w:val="62EF6BB5"/>
    <w:rsid w:val="62F0280B"/>
    <w:rsid w:val="62F126BA"/>
    <w:rsid w:val="62F22E38"/>
    <w:rsid w:val="62F40B35"/>
    <w:rsid w:val="62F422F9"/>
    <w:rsid w:val="62F67840"/>
    <w:rsid w:val="62F70AA3"/>
    <w:rsid w:val="62F83EF0"/>
    <w:rsid w:val="62FC352F"/>
    <w:rsid w:val="62FD64E2"/>
    <w:rsid w:val="63014747"/>
    <w:rsid w:val="630519CF"/>
    <w:rsid w:val="63056FDC"/>
    <w:rsid w:val="63090A4D"/>
    <w:rsid w:val="630A0F3F"/>
    <w:rsid w:val="630B0BEB"/>
    <w:rsid w:val="630E6937"/>
    <w:rsid w:val="630F3734"/>
    <w:rsid w:val="63143934"/>
    <w:rsid w:val="63147606"/>
    <w:rsid w:val="63163A3E"/>
    <w:rsid w:val="63185A08"/>
    <w:rsid w:val="631C57E4"/>
    <w:rsid w:val="631D301E"/>
    <w:rsid w:val="631D36E9"/>
    <w:rsid w:val="631D727C"/>
    <w:rsid w:val="631E6C45"/>
    <w:rsid w:val="63204D8F"/>
    <w:rsid w:val="63212B0F"/>
    <w:rsid w:val="63216475"/>
    <w:rsid w:val="632403C9"/>
    <w:rsid w:val="63253C81"/>
    <w:rsid w:val="632630CF"/>
    <w:rsid w:val="632717A7"/>
    <w:rsid w:val="63273805"/>
    <w:rsid w:val="632746E9"/>
    <w:rsid w:val="63276D77"/>
    <w:rsid w:val="6328787B"/>
    <w:rsid w:val="6329551F"/>
    <w:rsid w:val="63296782"/>
    <w:rsid w:val="632A0838"/>
    <w:rsid w:val="632A1297"/>
    <w:rsid w:val="632F2D6A"/>
    <w:rsid w:val="632F77CD"/>
    <w:rsid w:val="63335F2E"/>
    <w:rsid w:val="63353BFC"/>
    <w:rsid w:val="63361EB9"/>
    <w:rsid w:val="63372BFA"/>
    <w:rsid w:val="633747A3"/>
    <w:rsid w:val="63374A8A"/>
    <w:rsid w:val="63376139"/>
    <w:rsid w:val="63376BFD"/>
    <w:rsid w:val="6337713B"/>
    <w:rsid w:val="63386988"/>
    <w:rsid w:val="63387D79"/>
    <w:rsid w:val="633B2469"/>
    <w:rsid w:val="633C1E71"/>
    <w:rsid w:val="633C67B9"/>
    <w:rsid w:val="63427CDE"/>
    <w:rsid w:val="63432193"/>
    <w:rsid w:val="63451EFF"/>
    <w:rsid w:val="6347009B"/>
    <w:rsid w:val="634A36E8"/>
    <w:rsid w:val="634B193A"/>
    <w:rsid w:val="634B7DE4"/>
    <w:rsid w:val="634E4F86"/>
    <w:rsid w:val="63514625"/>
    <w:rsid w:val="63536A40"/>
    <w:rsid w:val="63567347"/>
    <w:rsid w:val="63572D23"/>
    <w:rsid w:val="635822A8"/>
    <w:rsid w:val="63585AC4"/>
    <w:rsid w:val="635A392B"/>
    <w:rsid w:val="635A4666"/>
    <w:rsid w:val="635D250E"/>
    <w:rsid w:val="635E38F3"/>
    <w:rsid w:val="6361115D"/>
    <w:rsid w:val="63612F0B"/>
    <w:rsid w:val="636337EA"/>
    <w:rsid w:val="636522D0"/>
    <w:rsid w:val="63665FDA"/>
    <w:rsid w:val="63674FF9"/>
    <w:rsid w:val="63675885"/>
    <w:rsid w:val="636833AD"/>
    <w:rsid w:val="63696264"/>
    <w:rsid w:val="636B5536"/>
    <w:rsid w:val="636F073A"/>
    <w:rsid w:val="636F3057"/>
    <w:rsid w:val="6370101F"/>
    <w:rsid w:val="637107AF"/>
    <w:rsid w:val="637309B1"/>
    <w:rsid w:val="63773715"/>
    <w:rsid w:val="63785C34"/>
    <w:rsid w:val="637869B7"/>
    <w:rsid w:val="637A08F1"/>
    <w:rsid w:val="637A5150"/>
    <w:rsid w:val="637B29B6"/>
    <w:rsid w:val="637D3C79"/>
    <w:rsid w:val="637E47C0"/>
    <w:rsid w:val="637E7D92"/>
    <w:rsid w:val="637F1BF1"/>
    <w:rsid w:val="63801FF1"/>
    <w:rsid w:val="63802FCE"/>
    <w:rsid w:val="638051A4"/>
    <w:rsid w:val="63817F69"/>
    <w:rsid w:val="63822E81"/>
    <w:rsid w:val="63830002"/>
    <w:rsid w:val="63834459"/>
    <w:rsid w:val="638766EA"/>
    <w:rsid w:val="63880D27"/>
    <w:rsid w:val="63883FFF"/>
    <w:rsid w:val="6388493C"/>
    <w:rsid w:val="638958AB"/>
    <w:rsid w:val="638C0B44"/>
    <w:rsid w:val="638C33BC"/>
    <w:rsid w:val="638D20D1"/>
    <w:rsid w:val="638E0B14"/>
    <w:rsid w:val="638E67FA"/>
    <w:rsid w:val="63911317"/>
    <w:rsid w:val="639257BA"/>
    <w:rsid w:val="63934096"/>
    <w:rsid w:val="639861C4"/>
    <w:rsid w:val="63987BE1"/>
    <w:rsid w:val="639B18A0"/>
    <w:rsid w:val="639D174A"/>
    <w:rsid w:val="639D6869"/>
    <w:rsid w:val="639E4755"/>
    <w:rsid w:val="639F2C1A"/>
    <w:rsid w:val="639F7261"/>
    <w:rsid w:val="63A124D4"/>
    <w:rsid w:val="63A16619"/>
    <w:rsid w:val="63A23524"/>
    <w:rsid w:val="63A31776"/>
    <w:rsid w:val="63A44B67"/>
    <w:rsid w:val="63A60738"/>
    <w:rsid w:val="63A836B4"/>
    <w:rsid w:val="63A86202"/>
    <w:rsid w:val="63A9707B"/>
    <w:rsid w:val="63AA2E7E"/>
    <w:rsid w:val="63AA3140"/>
    <w:rsid w:val="63AB263B"/>
    <w:rsid w:val="63AB74F9"/>
    <w:rsid w:val="63AC35C1"/>
    <w:rsid w:val="63AD39B3"/>
    <w:rsid w:val="63AD7E6B"/>
    <w:rsid w:val="63B15515"/>
    <w:rsid w:val="63B30F2E"/>
    <w:rsid w:val="63B34559"/>
    <w:rsid w:val="63B4556B"/>
    <w:rsid w:val="63B75221"/>
    <w:rsid w:val="63B76548"/>
    <w:rsid w:val="63BB4F84"/>
    <w:rsid w:val="63BE411A"/>
    <w:rsid w:val="63BE483C"/>
    <w:rsid w:val="63BE7084"/>
    <w:rsid w:val="63BF22B1"/>
    <w:rsid w:val="63C17583"/>
    <w:rsid w:val="63C416EC"/>
    <w:rsid w:val="63C65464"/>
    <w:rsid w:val="63C90AB0"/>
    <w:rsid w:val="63C9374B"/>
    <w:rsid w:val="63C95434"/>
    <w:rsid w:val="63CA7325"/>
    <w:rsid w:val="63CB4828"/>
    <w:rsid w:val="63CD5182"/>
    <w:rsid w:val="63CE26AB"/>
    <w:rsid w:val="63CE4713"/>
    <w:rsid w:val="63D12AA7"/>
    <w:rsid w:val="63D13579"/>
    <w:rsid w:val="63D2172F"/>
    <w:rsid w:val="63D321B5"/>
    <w:rsid w:val="63D44400"/>
    <w:rsid w:val="63D55121"/>
    <w:rsid w:val="63D55929"/>
    <w:rsid w:val="63D76A05"/>
    <w:rsid w:val="63D81D69"/>
    <w:rsid w:val="63DE0680"/>
    <w:rsid w:val="63DF333F"/>
    <w:rsid w:val="63E17FDF"/>
    <w:rsid w:val="63E20875"/>
    <w:rsid w:val="63E453B6"/>
    <w:rsid w:val="63E55D34"/>
    <w:rsid w:val="63E56BBC"/>
    <w:rsid w:val="63E64C57"/>
    <w:rsid w:val="63E66AAB"/>
    <w:rsid w:val="63E963B9"/>
    <w:rsid w:val="63EA386F"/>
    <w:rsid w:val="63EB3090"/>
    <w:rsid w:val="63EC3C2E"/>
    <w:rsid w:val="63EE3162"/>
    <w:rsid w:val="63F42292"/>
    <w:rsid w:val="63F456F2"/>
    <w:rsid w:val="63F45AFA"/>
    <w:rsid w:val="63F608BF"/>
    <w:rsid w:val="63F634EE"/>
    <w:rsid w:val="63F6463A"/>
    <w:rsid w:val="63F66938"/>
    <w:rsid w:val="63F67957"/>
    <w:rsid w:val="63F771C4"/>
    <w:rsid w:val="63F80C3B"/>
    <w:rsid w:val="63FB4E7D"/>
    <w:rsid w:val="63FB599C"/>
    <w:rsid w:val="63FD6F73"/>
    <w:rsid w:val="63FF0F11"/>
    <w:rsid w:val="64011313"/>
    <w:rsid w:val="640307F5"/>
    <w:rsid w:val="640329BC"/>
    <w:rsid w:val="64033E73"/>
    <w:rsid w:val="64034CCE"/>
    <w:rsid w:val="64046831"/>
    <w:rsid w:val="64057EFA"/>
    <w:rsid w:val="64063BAD"/>
    <w:rsid w:val="64071E3C"/>
    <w:rsid w:val="64083A3C"/>
    <w:rsid w:val="64090F30"/>
    <w:rsid w:val="64091BFB"/>
    <w:rsid w:val="640B5C2E"/>
    <w:rsid w:val="640E7186"/>
    <w:rsid w:val="640E71D4"/>
    <w:rsid w:val="64102323"/>
    <w:rsid w:val="6416019A"/>
    <w:rsid w:val="64177A6E"/>
    <w:rsid w:val="641813C9"/>
    <w:rsid w:val="641C32D6"/>
    <w:rsid w:val="641C6F31"/>
    <w:rsid w:val="641C7D66"/>
    <w:rsid w:val="641D1B77"/>
    <w:rsid w:val="641E22B6"/>
    <w:rsid w:val="64204951"/>
    <w:rsid w:val="64204EBA"/>
    <w:rsid w:val="64220A08"/>
    <w:rsid w:val="64233B3D"/>
    <w:rsid w:val="64264155"/>
    <w:rsid w:val="64290465"/>
    <w:rsid w:val="642973D5"/>
    <w:rsid w:val="642976D1"/>
    <w:rsid w:val="642A5AAD"/>
    <w:rsid w:val="642B22AA"/>
    <w:rsid w:val="64344C1E"/>
    <w:rsid w:val="64355F2D"/>
    <w:rsid w:val="643641E8"/>
    <w:rsid w:val="64380A07"/>
    <w:rsid w:val="64397495"/>
    <w:rsid w:val="643F4A5D"/>
    <w:rsid w:val="643F6775"/>
    <w:rsid w:val="64405631"/>
    <w:rsid w:val="64405B14"/>
    <w:rsid w:val="644134F7"/>
    <w:rsid w:val="64446389"/>
    <w:rsid w:val="64451331"/>
    <w:rsid w:val="6445477A"/>
    <w:rsid w:val="64480E0C"/>
    <w:rsid w:val="644A7E43"/>
    <w:rsid w:val="644B139F"/>
    <w:rsid w:val="644C3747"/>
    <w:rsid w:val="644F0744"/>
    <w:rsid w:val="645110D8"/>
    <w:rsid w:val="6457085E"/>
    <w:rsid w:val="645854C3"/>
    <w:rsid w:val="64592673"/>
    <w:rsid w:val="64594F97"/>
    <w:rsid w:val="6459677D"/>
    <w:rsid w:val="645A44CD"/>
    <w:rsid w:val="645B22D3"/>
    <w:rsid w:val="645C2AF5"/>
    <w:rsid w:val="645D32B3"/>
    <w:rsid w:val="645D4CF6"/>
    <w:rsid w:val="645F0DD6"/>
    <w:rsid w:val="645F317D"/>
    <w:rsid w:val="645F4DC4"/>
    <w:rsid w:val="646031C3"/>
    <w:rsid w:val="646157AF"/>
    <w:rsid w:val="64636AF7"/>
    <w:rsid w:val="64642F18"/>
    <w:rsid w:val="646507D9"/>
    <w:rsid w:val="6465323E"/>
    <w:rsid w:val="64653322"/>
    <w:rsid w:val="646558C7"/>
    <w:rsid w:val="64664795"/>
    <w:rsid w:val="64667529"/>
    <w:rsid w:val="64672532"/>
    <w:rsid w:val="646E6560"/>
    <w:rsid w:val="64716A69"/>
    <w:rsid w:val="64747F00"/>
    <w:rsid w:val="647737CF"/>
    <w:rsid w:val="647749B0"/>
    <w:rsid w:val="647A19AC"/>
    <w:rsid w:val="647B13BB"/>
    <w:rsid w:val="647C262B"/>
    <w:rsid w:val="647C6895"/>
    <w:rsid w:val="647D1D5E"/>
    <w:rsid w:val="647F15DC"/>
    <w:rsid w:val="647F62F0"/>
    <w:rsid w:val="64815DF2"/>
    <w:rsid w:val="64823894"/>
    <w:rsid w:val="64824EDC"/>
    <w:rsid w:val="64833945"/>
    <w:rsid w:val="64835103"/>
    <w:rsid w:val="64852C29"/>
    <w:rsid w:val="648550B6"/>
    <w:rsid w:val="648775FA"/>
    <w:rsid w:val="64890640"/>
    <w:rsid w:val="64891701"/>
    <w:rsid w:val="6489258E"/>
    <w:rsid w:val="648A0240"/>
    <w:rsid w:val="648D7C4D"/>
    <w:rsid w:val="648F348F"/>
    <w:rsid w:val="64943C29"/>
    <w:rsid w:val="64960A56"/>
    <w:rsid w:val="649667C5"/>
    <w:rsid w:val="64981580"/>
    <w:rsid w:val="649B069F"/>
    <w:rsid w:val="649B3993"/>
    <w:rsid w:val="649E1498"/>
    <w:rsid w:val="649F7CA9"/>
    <w:rsid w:val="64A12D7F"/>
    <w:rsid w:val="64A21B32"/>
    <w:rsid w:val="64A354F4"/>
    <w:rsid w:val="64A7703C"/>
    <w:rsid w:val="64A8380F"/>
    <w:rsid w:val="64A9188F"/>
    <w:rsid w:val="64AA2546"/>
    <w:rsid w:val="64AA48F4"/>
    <w:rsid w:val="64AB0C05"/>
    <w:rsid w:val="64AB4840"/>
    <w:rsid w:val="64AC3D9A"/>
    <w:rsid w:val="64AD2141"/>
    <w:rsid w:val="64AD776E"/>
    <w:rsid w:val="64AE3942"/>
    <w:rsid w:val="64B1428F"/>
    <w:rsid w:val="64B16A10"/>
    <w:rsid w:val="64B2077F"/>
    <w:rsid w:val="64B259E8"/>
    <w:rsid w:val="64B27492"/>
    <w:rsid w:val="64B330A9"/>
    <w:rsid w:val="64B44073"/>
    <w:rsid w:val="64B5470B"/>
    <w:rsid w:val="64B55529"/>
    <w:rsid w:val="64B61035"/>
    <w:rsid w:val="64B66C79"/>
    <w:rsid w:val="64BA39AC"/>
    <w:rsid w:val="64BC64B8"/>
    <w:rsid w:val="64BD1EB2"/>
    <w:rsid w:val="64BD42A4"/>
    <w:rsid w:val="64BF5405"/>
    <w:rsid w:val="64C00105"/>
    <w:rsid w:val="64C05B4E"/>
    <w:rsid w:val="64C10072"/>
    <w:rsid w:val="64C23E7D"/>
    <w:rsid w:val="64C27FCD"/>
    <w:rsid w:val="64C328E1"/>
    <w:rsid w:val="64C32B9E"/>
    <w:rsid w:val="64C41061"/>
    <w:rsid w:val="64C42483"/>
    <w:rsid w:val="64C5395D"/>
    <w:rsid w:val="64C71494"/>
    <w:rsid w:val="64C77972"/>
    <w:rsid w:val="64C85592"/>
    <w:rsid w:val="64CA2D32"/>
    <w:rsid w:val="64CB728E"/>
    <w:rsid w:val="64CC32C3"/>
    <w:rsid w:val="64CD64B0"/>
    <w:rsid w:val="64D05AAE"/>
    <w:rsid w:val="64D23995"/>
    <w:rsid w:val="64D35FBC"/>
    <w:rsid w:val="64D622F8"/>
    <w:rsid w:val="64D65AED"/>
    <w:rsid w:val="64D73132"/>
    <w:rsid w:val="64D771FD"/>
    <w:rsid w:val="64D85837"/>
    <w:rsid w:val="64D946B2"/>
    <w:rsid w:val="64DB461D"/>
    <w:rsid w:val="64DF1556"/>
    <w:rsid w:val="64DF36B0"/>
    <w:rsid w:val="64DF4A2F"/>
    <w:rsid w:val="64E11AA5"/>
    <w:rsid w:val="64E23F47"/>
    <w:rsid w:val="64E34A46"/>
    <w:rsid w:val="64E90091"/>
    <w:rsid w:val="64E913C6"/>
    <w:rsid w:val="64E97BB6"/>
    <w:rsid w:val="64EA2625"/>
    <w:rsid w:val="64EA5182"/>
    <w:rsid w:val="64EB5B2D"/>
    <w:rsid w:val="64EB7DA1"/>
    <w:rsid w:val="64EB7ED8"/>
    <w:rsid w:val="64EF62CE"/>
    <w:rsid w:val="64F023C1"/>
    <w:rsid w:val="64F140BB"/>
    <w:rsid w:val="64F2762F"/>
    <w:rsid w:val="64F32289"/>
    <w:rsid w:val="64F6347C"/>
    <w:rsid w:val="64F67915"/>
    <w:rsid w:val="64F67FA2"/>
    <w:rsid w:val="64F733FB"/>
    <w:rsid w:val="64F8164D"/>
    <w:rsid w:val="64F878A6"/>
    <w:rsid w:val="64F93F2A"/>
    <w:rsid w:val="64FB00B3"/>
    <w:rsid w:val="64FB738F"/>
    <w:rsid w:val="64FC588B"/>
    <w:rsid w:val="64FC7F64"/>
    <w:rsid w:val="64FD4EB5"/>
    <w:rsid w:val="64FF26C8"/>
    <w:rsid w:val="65005A8A"/>
    <w:rsid w:val="6502752E"/>
    <w:rsid w:val="650557E8"/>
    <w:rsid w:val="650707DB"/>
    <w:rsid w:val="65084613"/>
    <w:rsid w:val="650A5824"/>
    <w:rsid w:val="650B2799"/>
    <w:rsid w:val="650C2C62"/>
    <w:rsid w:val="650F76F3"/>
    <w:rsid w:val="6510407C"/>
    <w:rsid w:val="651075B8"/>
    <w:rsid w:val="65144EF3"/>
    <w:rsid w:val="65155754"/>
    <w:rsid w:val="65171731"/>
    <w:rsid w:val="651772E8"/>
    <w:rsid w:val="65196CF7"/>
    <w:rsid w:val="651972F9"/>
    <w:rsid w:val="651A5C04"/>
    <w:rsid w:val="651B788B"/>
    <w:rsid w:val="651C1D57"/>
    <w:rsid w:val="651C2E4B"/>
    <w:rsid w:val="65226FFC"/>
    <w:rsid w:val="652341F0"/>
    <w:rsid w:val="65234DFE"/>
    <w:rsid w:val="65266929"/>
    <w:rsid w:val="65275536"/>
    <w:rsid w:val="65285429"/>
    <w:rsid w:val="65287F01"/>
    <w:rsid w:val="652A164E"/>
    <w:rsid w:val="652C51CF"/>
    <w:rsid w:val="652F2E3F"/>
    <w:rsid w:val="652F43AC"/>
    <w:rsid w:val="652F5BBD"/>
    <w:rsid w:val="65316086"/>
    <w:rsid w:val="65323CE2"/>
    <w:rsid w:val="65337EAE"/>
    <w:rsid w:val="65365FEA"/>
    <w:rsid w:val="653825F6"/>
    <w:rsid w:val="6539384B"/>
    <w:rsid w:val="653A31C5"/>
    <w:rsid w:val="653B3C30"/>
    <w:rsid w:val="653D2318"/>
    <w:rsid w:val="653D5418"/>
    <w:rsid w:val="653F6B42"/>
    <w:rsid w:val="65445D89"/>
    <w:rsid w:val="65447194"/>
    <w:rsid w:val="654633D2"/>
    <w:rsid w:val="65486223"/>
    <w:rsid w:val="65493018"/>
    <w:rsid w:val="65495B4B"/>
    <w:rsid w:val="654A5B17"/>
    <w:rsid w:val="654B3C55"/>
    <w:rsid w:val="654C2F6F"/>
    <w:rsid w:val="654D4220"/>
    <w:rsid w:val="654F3A66"/>
    <w:rsid w:val="6550695E"/>
    <w:rsid w:val="65510D5D"/>
    <w:rsid w:val="65513A7A"/>
    <w:rsid w:val="655153EC"/>
    <w:rsid w:val="65516FAF"/>
    <w:rsid w:val="65524DD9"/>
    <w:rsid w:val="65534475"/>
    <w:rsid w:val="6555443C"/>
    <w:rsid w:val="655577B5"/>
    <w:rsid w:val="65562818"/>
    <w:rsid w:val="655767E2"/>
    <w:rsid w:val="655B0B17"/>
    <w:rsid w:val="655B2B9D"/>
    <w:rsid w:val="655C395A"/>
    <w:rsid w:val="655D74B3"/>
    <w:rsid w:val="655E5C90"/>
    <w:rsid w:val="655E764A"/>
    <w:rsid w:val="655F6FE0"/>
    <w:rsid w:val="655F791E"/>
    <w:rsid w:val="65610F0A"/>
    <w:rsid w:val="656137FE"/>
    <w:rsid w:val="65626DAD"/>
    <w:rsid w:val="6562772C"/>
    <w:rsid w:val="65635C31"/>
    <w:rsid w:val="65640A91"/>
    <w:rsid w:val="65672EB0"/>
    <w:rsid w:val="65676E08"/>
    <w:rsid w:val="65677849"/>
    <w:rsid w:val="656816F6"/>
    <w:rsid w:val="65692C1C"/>
    <w:rsid w:val="6569552A"/>
    <w:rsid w:val="65696527"/>
    <w:rsid w:val="65697568"/>
    <w:rsid w:val="65697D43"/>
    <w:rsid w:val="656A1DEA"/>
    <w:rsid w:val="656A320F"/>
    <w:rsid w:val="656A50F4"/>
    <w:rsid w:val="656B2194"/>
    <w:rsid w:val="656B3145"/>
    <w:rsid w:val="656C1270"/>
    <w:rsid w:val="656C3A73"/>
    <w:rsid w:val="656D467D"/>
    <w:rsid w:val="656E190F"/>
    <w:rsid w:val="656F430E"/>
    <w:rsid w:val="656F631D"/>
    <w:rsid w:val="65706895"/>
    <w:rsid w:val="65711930"/>
    <w:rsid w:val="6572350A"/>
    <w:rsid w:val="65730FB5"/>
    <w:rsid w:val="65731D5D"/>
    <w:rsid w:val="657D35D1"/>
    <w:rsid w:val="657E0790"/>
    <w:rsid w:val="657F0627"/>
    <w:rsid w:val="657F3B1C"/>
    <w:rsid w:val="65834DD1"/>
    <w:rsid w:val="65847385"/>
    <w:rsid w:val="65850F4B"/>
    <w:rsid w:val="658630FD"/>
    <w:rsid w:val="65864324"/>
    <w:rsid w:val="65864D68"/>
    <w:rsid w:val="658802C1"/>
    <w:rsid w:val="658A05B5"/>
    <w:rsid w:val="658B0713"/>
    <w:rsid w:val="658F6EAC"/>
    <w:rsid w:val="65906A53"/>
    <w:rsid w:val="659150A7"/>
    <w:rsid w:val="65952A0F"/>
    <w:rsid w:val="65952DAC"/>
    <w:rsid w:val="659618D0"/>
    <w:rsid w:val="65966C63"/>
    <w:rsid w:val="65973393"/>
    <w:rsid w:val="659868BE"/>
    <w:rsid w:val="659B0B9A"/>
    <w:rsid w:val="659B3216"/>
    <w:rsid w:val="659C6B62"/>
    <w:rsid w:val="659D13B3"/>
    <w:rsid w:val="659D21B2"/>
    <w:rsid w:val="659E44B1"/>
    <w:rsid w:val="659F1F3E"/>
    <w:rsid w:val="659F422A"/>
    <w:rsid w:val="65A05C29"/>
    <w:rsid w:val="65A25A5D"/>
    <w:rsid w:val="65A368BB"/>
    <w:rsid w:val="65A36D1C"/>
    <w:rsid w:val="65A5639C"/>
    <w:rsid w:val="65A62CA1"/>
    <w:rsid w:val="65A6460B"/>
    <w:rsid w:val="65A90CB1"/>
    <w:rsid w:val="65AA44C4"/>
    <w:rsid w:val="65AB6523"/>
    <w:rsid w:val="65AF6E7B"/>
    <w:rsid w:val="65AF7D19"/>
    <w:rsid w:val="65B01F28"/>
    <w:rsid w:val="65B06BA8"/>
    <w:rsid w:val="65B22934"/>
    <w:rsid w:val="65B306B7"/>
    <w:rsid w:val="65B35833"/>
    <w:rsid w:val="65B35CD7"/>
    <w:rsid w:val="65B37DCB"/>
    <w:rsid w:val="65B66DEA"/>
    <w:rsid w:val="65BB06CD"/>
    <w:rsid w:val="65BD4D71"/>
    <w:rsid w:val="65C03C60"/>
    <w:rsid w:val="65C14EA6"/>
    <w:rsid w:val="65C24DC8"/>
    <w:rsid w:val="65C41AE8"/>
    <w:rsid w:val="65C71020"/>
    <w:rsid w:val="65C72C24"/>
    <w:rsid w:val="65C74CF4"/>
    <w:rsid w:val="65C94AE8"/>
    <w:rsid w:val="65CC6811"/>
    <w:rsid w:val="65CC6EAC"/>
    <w:rsid w:val="65CD7560"/>
    <w:rsid w:val="65CE03BB"/>
    <w:rsid w:val="65CE62A7"/>
    <w:rsid w:val="65D07CD0"/>
    <w:rsid w:val="65D24815"/>
    <w:rsid w:val="65D306DA"/>
    <w:rsid w:val="65D31E3C"/>
    <w:rsid w:val="65D34878"/>
    <w:rsid w:val="65D73958"/>
    <w:rsid w:val="65D8147F"/>
    <w:rsid w:val="65DA10A5"/>
    <w:rsid w:val="65DA2268"/>
    <w:rsid w:val="65DB230E"/>
    <w:rsid w:val="65DB3123"/>
    <w:rsid w:val="65DC7419"/>
    <w:rsid w:val="65DD32BC"/>
    <w:rsid w:val="65DD4E0B"/>
    <w:rsid w:val="65DD7B95"/>
    <w:rsid w:val="65DE30D5"/>
    <w:rsid w:val="65DF5932"/>
    <w:rsid w:val="65E16585"/>
    <w:rsid w:val="65E70DA3"/>
    <w:rsid w:val="65E87914"/>
    <w:rsid w:val="65E94991"/>
    <w:rsid w:val="65EA43FC"/>
    <w:rsid w:val="65EB2F60"/>
    <w:rsid w:val="65EB56B0"/>
    <w:rsid w:val="65EC412D"/>
    <w:rsid w:val="65ED2B2A"/>
    <w:rsid w:val="65EF0758"/>
    <w:rsid w:val="65F07D0E"/>
    <w:rsid w:val="65F31E43"/>
    <w:rsid w:val="65F544D4"/>
    <w:rsid w:val="65F71905"/>
    <w:rsid w:val="65F9342F"/>
    <w:rsid w:val="65FA21D2"/>
    <w:rsid w:val="65FA424C"/>
    <w:rsid w:val="65FA69A9"/>
    <w:rsid w:val="65FD7CC9"/>
    <w:rsid w:val="6602714C"/>
    <w:rsid w:val="660552C2"/>
    <w:rsid w:val="660633A3"/>
    <w:rsid w:val="66070222"/>
    <w:rsid w:val="66077654"/>
    <w:rsid w:val="6608196B"/>
    <w:rsid w:val="660A0F25"/>
    <w:rsid w:val="660B11E6"/>
    <w:rsid w:val="660D77BE"/>
    <w:rsid w:val="66105E44"/>
    <w:rsid w:val="66122E01"/>
    <w:rsid w:val="66124991"/>
    <w:rsid w:val="6612727E"/>
    <w:rsid w:val="66165F87"/>
    <w:rsid w:val="66167DB1"/>
    <w:rsid w:val="66173E6E"/>
    <w:rsid w:val="66183F35"/>
    <w:rsid w:val="66192462"/>
    <w:rsid w:val="661B0DE7"/>
    <w:rsid w:val="661C580F"/>
    <w:rsid w:val="661C7EE8"/>
    <w:rsid w:val="661E3335"/>
    <w:rsid w:val="661F0E5C"/>
    <w:rsid w:val="66200A79"/>
    <w:rsid w:val="66202095"/>
    <w:rsid w:val="6620355C"/>
    <w:rsid w:val="662104DE"/>
    <w:rsid w:val="662148BB"/>
    <w:rsid w:val="66214FB4"/>
    <w:rsid w:val="66216278"/>
    <w:rsid w:val="66217EC7"/>
    <w:rsid w:val="66241B04"/>
    <w:rsid w:val="66264AED"/>
    <w:rsid w:val="662665A3"/>
    <w:rsid w:val="662715A6"/>
    <w:rsid w:val="662A4B99"/>
    <w:rsid w:val="662E05EA"/>
    <w:rsid w:val="66303069"/>
    <w:rsid w:val="6631260F"/>
    <w:rsid w:val="663211E1"/>
    <w:rsid w:val="66336327"/>
    <w:rsid w:val="66342DE1"/>
    <w:rsid w:val="66346B35"/>
    <w:rsid w:val="66355265"/>
    <w:rsid w:val="663563A8"/>
    <w:rsid w:val="663565FF"/>
    <w:rsid w:val="663604F1"/>
    <w:rsid w:val="66372649"/>
    <w:rsid w:val="66393656"/>
    <w:rsid w:val="663C6D35"/>
    <w:rsid w:val="663D1266"/>
    <w:rsid w:val="663E4AB3"/>
    <w:rsid w:val="663F7CD2"/>
    <w:rsid w:val="66404C37"/>
    <w:rsid w:val="6641710F"/>
    <w:rsid w:val="66420AB9"/>
    <w:rsid w:val="66433141"/>
    <w:rsid w:val="6645502F"/>
    <w:rsid w:val="6645639C"/>
    <w:rsid w:val="66493E83"/>
    <w:rsid w:val="6649567B"/>
    <w:rsid w:val="66496A49"/>
    <w:rsid w:val="664A6ABD"/>
    <w:rsid w:val="664B3FF9"/>
    <w:rsid w:val="664C1EBC"/>
    <w:rsid w:val="664C3B64"/>
    <w:rsid w:val="664C78FB"/>
    <w:rsid w:val="664D056D"/>
    <w:rsid w:val="664E3CB6"/>
    <w:rsid w:val="664E68C1"/>
    <w:rsid w:val="6650354E"/>
    <w:rsid w:val="66541D33"/>
    <w:rsid w:val="6654551E"/>
    <w:rsid w:val="6659611C"/>
    <w:rsid w:val="665A7AFF"/>
    <w:rsid w:val="665B2D71"/>
    <w:rsid w:val="665C1140"/>
    <w:rsid w:val="665C6546"/>
    <w:rsid w:val="665D2151"/>
    <w:rsid w:val="665D40D8"/>
    <w:rsid w:val="665D7D0B"/>
    <w:rsid w:val="665F5C75"/>
    <w:rsid w:val="66610CE6"/>
    <w:rsid w:val="66611D91"/>
    <w:rsid w:val="66616B86"/>
    <w:rsid w:val="6662777C"/>
    <w:rsid w:val="666437C5"/>
    <w:rsid w:val="666438D1"/>
    <w:rsid w:val="666743FD"/>
    <w:rsid w:val="66676EC8"/>
    <w:rsid w:val="66682537"/>
    <w:rsid w:val="666A26F6"/>
    <w:rsid w:val="666B14F0"/>
    <w:rsid w:val="666B31F4"/>
    <w:rsid w:val="666D170A"/>
    <w:rsid w:val="666F35AA"/>
    <w:rsid w:val="66721484"/>
    <w:rsid w:val="667263C9"/>
    <w:rsid w:val="66742F55"/>
    <w:rsid w:val="6679484C"/>
    <w:rsid w:val="66794B21"/>
    <w:rsid w:val="66796D48"/>
    <w:rsid w:val="667C1E0A"/>
    <w:rsid w:val="667C22B1"/>
    <w:rsid w:val="667D23FE"/>
    <w:rsid w:val="667D69D9"/>
    <w:rsid w:val="667E2F1D"/>
    <w:rsid w:val="66807C18"/>
    <w:rsid w:val="66811BDE"/>
    <w:rsid w:val="6683009F"/>
    <w:rsid w:val="668B5E9A"/>
    <w:rsid w:val="668B64F1"/>
    <w:rsid w:val="6691573D"/>
    <w:rsid w:val="669212E1"/>
    <w:rsid w:val="6693232E"/>
    <w:rsid w:val="66956138"/>
    <w:rsid w:val="669658F9"/>
    <w:rsid w:val="66976C44"/>
    <w:rsid w:val="66985919"/>
    <w:rsid w:val="669969B0"/>
    <w:rsid w:val="669C32A2"/>
    <w:rsid w:val="669C425A"/>
    <w:rsid w:val="669E1676"/>
    <w:rsid w:val="669E4C0F"/>
    <w:rsid w:val="66A06513"/>
    <w:rsid w:val="66A101E6"/>
    <w:rsid w:val="66A12E8D"/>
    <w:rsid w:val="66A1595A"/>
    <w:rsid w:val="66A15D14"/>
    <w:rsid w:val="66AB02AE"/>
    <w:rsid w:val="66AB21C5"/>
    <w:rsid w:val="66AE5C95"/>
    <w:rsid w:val="66B51C8C"/>
    <w:rsid w:val="66B64FD6"/>
    <w:rsid w:val="66B7125C"/>
    <w:rsid w:val="66B8273E"/>
    <w:rsid w:val="66BB6DD6"/>
    <w:rsid w:val="66BC2620"/>
    <w:rsid w:val="66BF0F11"/>
    <w:rsid w:val="66BF6CF7"/>
    <w:rsid w:val="66C07101"/>
    <w:rsid w:val="66C1550E"/>
    <w:rsid w:val="66C37A39"/>
    <w:rsid w:val="66C4380B"/>
    <w:rsid w:val="66C5246C"/>
    <w:rsid w:val="66C56152"/>
    <w:rsid w:val="66C84617"/>
    <w:rsid w:val="66CA0BF5"/>
    <w:rsid w:val="66CB1D3D"/>
    <w:rsid w:val="66CC1CC5"/>
    <w:rsid w:val="66CF7FA1"/>
    <w:rsid w:val="66D02156"/>
    <w:rsid w:val="66D171E4"/>
    <w:rsid w:val="66D329AE"/>
    <w:rsid w:val="66D34E93"/>
    <w:rsid w:val="66D41BA4"/>
    <w:rsid w:val="66D732DE"/>
    <w:rsid w:val="66D76470"/>
    <w:rsid w:val="66DB6E71"/>
    <w:rsid w:val="66DC5BF4"/>
    <w:rsid w:val="66DD3974"/>
    <w:rsid w:val="66DF198B"/>
    <w:rsid w:val="66E02727"/>
    <w:rsid w:val="66E056DB"/>
    <w:rsid w:val="66E0683F"/>
    <w:rsid w:val="66E225B5"/>
    <w:rsid w:val="66E4687E"/>
    <w:rsid w:val="66E553C7"/>
    <w:rsid w:val="66E72674"/>
    <w:rsid w:val="66E779F2"/>
    <w:rsid w:val="66EA0469"/>
    <w:rsid w:val="66EA672E"/>
    <w:rsid w:val="66EE7FF0"/>
    <w:rsid w:val="66EF4CD2"/>
    <w:rsid w:val="66F1720E"/>
    <w:rsid w:val="66F27EA6"/>
    <w:rsid w:val="66F442E5"/>
    <w:rsid w:val="66F55737"/>
    <w:rsid w:val="66F6096B"/>
    <w:rsid w:val="66F67E0E"/>
    <w:rsid w:val="66F71622"/>
    <w:rsid w:val="66F83C73"/>
    <w:rsid w:val="66F90445"/>
    <w:rsid w:val="66FA05F3"/>
    <w:rsid w:val="66FB1725"/>
    <w:rsid w:val="66FB2557"/>
    <w:rsid w:val="66FB4613"/>
    <w:rsid w:val="66FC5D5C"/>
    <w:rsid w:val="66FE5D87"/>
    <w:rsid w:val="66FE700A"/>
    <w:rsid w:val="66FF3DE2"/>
    <w:rsid w:val="67004683"/>
    <w:rsid w:val="67010B53"/>
    <w:rsid w:val="67031257"/>
    <w:rsid w:val="6706304F"/>
    <w:rsid w:val="67076BC1"/>
    <w:rsid w:val="670D26C4"/>
    <w:rsid w:val="670D2B94"/>
    <w:rsid w:val="670D5D22"/>
    <w:rsid w:val="67113426"/>
    <w:rsid w:val="67152DFF"/>
    <w:rsid w:val="6716126D"/>
    <w:rsid w:val="6718372A"/>
    <w:rsid w:val="67191CD7"/>
    <w:rsid w:val="67193AFD"/>
    <w:rsid w:val="671D35ED"/>
    <w:rsid w:val="671E1BF3"/>
    <w:rsid w:val="67213E2D"/>
    <w:rsid w:val="67221796"/>
    <w:rsid w:val="67256946"/>
    <w:rsid w:val="672655FA"/>
    <w:rsid w:val="67270842"/>
    <w:rsid w:val="67281F92"/>
    <w:rsid w:val="67283980"/>
    <w:rsid w:val="67285504"/>
    <w:rsid w:val="672859A4"/>
    <w:rsid w:val="6729231C"/>
    <w:rsid w:val="672953C9"/>
    <w:rsid w:val="672A3A99"/>
    <w:rsid w:val="672A5D0A"/>
    <w:rsid w:val="672B2A4D"/>
    <w:rsid w:val="672E2592"/>
    <w:rsid w:val="67305B90"/>
    <w:rsid w:val="67311233"/>
    <w:rsid w:val="67311CD9"/>
    <w:rsid w:val="673166A5"/>
    <w:rsid w:val="6737012A"/>
    <w:rsid w:val="673721C3"/>
    <w:rsid w:val="67381535"/>
    <w:rsid w:val="67396908"/>
    <w:rsid w:val="673B3617"/>
    <w:rsid w:val="673C1262"/>
    <w:rsid w:val="673D77F0"/>
    <w:rsid w:val="673E53C2"/>
    <w:rsid w:val="673F7035"/>
    <w:rsid w:val="67405B24"/>
    <w:rsid w:val="674135B9"/>
    <w:rsid w:val="67415BD1"/>
    <w:rsid w:val="6744501E"/>
    <w:rsid w:val="674466C3"/>
    <w:rsid w:val="674776EA"/>
    <w:rsid w:val="6748602A"/>
    <w:rsid w:val="674A775C"/>
    <w:rsid w:val="674D2D3E"/>
    <w:rsid w:val="674D5960"/>
    <w:rsid w:val="674E66DB"/>
    <w:rsid w:val="67503A8E"/>
    <w:rsid w:val="67514284"/>
    <w:rsid w:val="67526821"/>
    <w:rsid w:val="67544922"/>
    <w:rsid w:val="675643E0"/>
    <w:rsid w:val="67566C15"/>
    <w:rsid w:val="67596FAF"/>
    <w:rsid w:val="675C684C"/>
    <w:rsid w:val="6760172C"/>
    <w:rsid w:val="67656F79"/>
    <w:rsid w:val="676821C1"/>
    <w:rsid w:val="676821D6"/>
    <w:rsid w:val="67694914"/>
    <w:rsid w:val="67696BD3"/>
    <w:rsid w:val="676A25AA"/>
    <w:rsid w:val="676B1A6E"/>
    <w:rsid w:val="676C1E7F"/>
    <w:rsid w:val="676D1FE5"/>
    <w:rsid w:val="676D4EBA"/>
    <w:rsid w:val="676D551F"/>
    <w:rsid w:val="676D750C"/>
    <w:rsid w:val="6771365E"/>
    <w:rsid w:val="67742194"/>
    <w:rsid w:val="677428AC"/>
    <w:rsid w:val="67752C6B"/>
    <w:rsid w:val="67773C8E"/>
    <w:rsid w:val="67775BD8"/>
    <w:rsid w:val="67784CC7"/>
    <w:rsid w:val="67786A75"/>
    <w:rsid w:val="677A1EF0"/>
    <w:rsid w:val="677B130B"/>
    <w:rsid w:val="677B47B7"/>
    <w:rsid w:val="677B752B"/>
    <w:rsid w:val="677C7E2D"/>
    <w:rsid w:val="677D63AA"/>
    <w:rsid w:val="677E1BB2"/>
    <w:rsid w:val="677E4A78"/>
    <w:rsid w:val="677F316C"/>
    <w:rsid w:val="677F3269"/>
    <w:rsid w:val="67813155"/>
    <w:rsid w:val="67867062"/>
    <w:rsid w:val="678673E4"/>
    <w:rsid w:val="678742CD"/>
    <w:rsid w:val="67876D39"/>
    <w:rsid w:val="6789019B"/>
    <w:rsid w:val="678C0773"/>
    <w:rsid w:val="67900263"/>
    <w:rsid w:val="67901F35"/>
    <w:rsid w:val="6791267E"/>
    <w:rsid w:val="67936447"/>
    <w:rsid w:val="679412B7"/>
    <w:rsid w:val="67957627"/>
    <w:rsid w:val="67966EFB"/>
    <w:rsid w:val="679D4A85"/>
    <w:rsid w:val="679E56E3"/>
    <w:rsid w:val="679F4002"/>
    <w:rsid w:val="67A0462E"/>
    <w:rsid w:val="67A07D7A"/>
    <w:rsid w:val="67A13891"/>
    <w:rsid w:val="67A175C6"/>
    <w:rsid w:val="67A377D5"/>
    <w:rsid w:val="67A84257"/>
    <w:rsid w:val="67A97C05"/>
    <w:rsid w:val="67AB4656"/>
    <w:rsid w:val="67AB4C9C"/>
    <w:rsid w:val="67AD63D1"/>
    <w:rsid w:val="67AE2497"/>
    <w:rsid w:val="67B10764"/>
    <w:rsid w:val="67C17AEF"/>
    <w:rsid w:val="67C42C54"/>
    <w:rsid w:val="67C7789F"/>
    <w:rsid w:val="67C94887"/>
    <w:rsid w:val="67CD1B88"/>
    <w:rsid w:val="67CD5013"/>
    <w:rsid w:val="67CE0D8B"/>
    <w:rsid w:val="67CF04C5"/>
    <w:rsid w:val="67CF5AB1"/>
    <w:rsid w:val="67D31EFE"/>
    <w:rsid w:val="67D5211A"/>
    <w:rsid w:val="67D57A24"/>
    <w:rsid w:val="67D659FE"/>
    <w:rsid w:val="67D951BF"/>
    <w:rsid w:val="67D95569"/>
    <w:rsid w:val="67DA14DE"/>
    <w:rsid w:val="67DA7730"/>
    <w:rsid w:val="67DF7D78"/>
    <w:rsid w:val="67E04FB9"/>
    <w:rsid w:val="67E25679"/>
    <w:rsid w:val="67E36959"/>
    <w:rsid w:val="67E66D44"/>
    <w:rsid w:val="67E714DA"/>
    <w:rsid w:val="67E80E0F"/>
    <w:rsid w:val="67E94AE1"/>
    <w:rsid w:val="67EA49D5"/>
    <w:rsid w:val="67EB3294"/>
    <w:rsid w:val="67F15C74"/>
    <w:rsid w:val="67F4587A"/>
    <w:rsid w:val="67F458AA"/>
    <w:rsid w:val="67F47C97"/>
    <w:rsid w:val="67F500CB"/>
    <w:rsid w:val="67F55DDD"/>
    <w:rsid w:val="67F56318"/>
    <w:rsid w:val="67F85DF9"/>
    <w:rsid w:val="67FA7A50"/>
    <w:rsid w:val="67FB7CB5"/>
    <w:rsid w:val="67FD2842"/>
    <w:rsid w:val="67FE4F94"/>
    <w:rsid w:val="67FE74D5"/>
    <w:rsid w:val="67FF38D9"/>
    <w:rsid w:val="68002B01"/>
    <w:rsid w:val="68007D65"/>
    <w:rsid w:val="680735C8"/>
    <w:rsid w:val="68095686"/>
    <w:rsid w:val="680C28B3"/>
    <w:rsid w:val="680C3F40"/>
    <w:rsid w:val="680D083A"/>
    <w:rsid w:val="680F3C8C"/>
    <w:rsid w:val="68110608"/>
    <w:rsid w:val="68121998"/>
    <w:rsid w:val="68142C42"/>
    <w:rsid w:val="6816284A"/>
    <w:rsid w:val="68165F37"/>
    <w:rsid w:val="681C5653"/>
    <w:rsid w:val="681C6E7D"/>
    <w:rsid w:val="681E4A85"/>
    <w:rsid w:val="681E4ABF"/>
    <w:rsid w:val="682018F9"/>
    <w:rsid w:val="68207C7C"/>
    <w:rsid w:val="6825384F"/>
    <w:rsid w:val="682541FB"/>
    <w:rsid w:val="68266368"/>
    <w:rsid w:val="682727FB"/>
    <w:rsid w:val="6828189F"/>
    <w:rsid w:val="682A7B98"/>
    <w:rsid w:val="682B7F8C"/>
    <w:rsid w:val="682D096A"/>
    <w:rsid w:val="682F570F"/>
    <w:rsid w:val="68311EFB"/>
    <w:rsid w:val="68313365"/>
    <w:rsid w:val="68314498"/>
    <w:rsid w:val="68324037"/>
    <w:rsid w:val="68324E76"/>
    <w:rsid w:val="68324ED0"/>
    <w:rsid w:val="68336DF7"/>
    <w:rsid w:val="683412A2"/>
    <w:rsid w:val="68350B2D"/>
    <w:rsid w:val="683A1F7D"/>
    <w:rsid w:val="683B37C7"/>
    <w:rsid w:val="683C4F0E"/>
    <w:rsid w:val="68407BFB"/>
    <w:rsid w:val="684148CA"/>
    <w:rsid w:val="68415DA4"/>
    <w:rsid w:val="68417ADD"/>
    <w:rsid w:val="68433D8B"/>
    <w:rsid w:val="684408AC"/>
    <w:rsid w:val="68462D8E"/>
    <w:rsid w:val="68467C25"/>
    <w:rsid w:val="68476448"/>
    <w:rsid w:val="6847660D"/>
    <w:rsid w:val="68487284"/>
    <w:rsid w:val="6850152C"/>
    <w:rsid w:val="68513114"/>
    <w:rsid w:val="685217D8"/>
    <w:rsid w:val="68534AB2"/>
    <w:rsid w:val="68573C53"/>
    <w:rsid w:val="685743BD"/>
    <w:rsid w:val="685A223B"/>
    <w:rsid w:val="685C47A7"/>
    <w:rsid w:val="685E6567"/>
    <w:rsid w:val="68604CF8"/>
    <w:rsid w:val="68610AB9"/>
    <w:rsid w:val="68652F7E"/>
    <w:rsid w:val="68660496"/>
    <w:rsid w:val="68661E7E"/>
    <w:rsid w:val="68666B58"/>
    <w:rsid w:val="68694610"/>
    <w:rsid w:val="686B372F"/>
    <w:rsid w:val="686C1999"/>
    <w:rsid w:val="686C532A"/>
    <w:rsid w:val="686D2352"/>
    <w:rsid w:val="686D243C"/>
    <w:rsid w:val="68703947"/>
    <w:rsid w:val="68712E7E"/>
    <w:rsid w:val="6872593F"/>
    <w:rsid w:val="68747570"/>
    <w:rsid w:val="687802BF"/>
    <w:rsid w:val="68785BA4"/>
    <w:rsid w:val="687C216C"/>
    <w:rsid w:val="687D1C6D"/>
    <w:rsid w:val="687E630D"/>
    <w:rsid w:val="68805530"/>
    <w:rsid w:val="68805CE0"/>
    <w:rsid w:val="68816777"/>
    <w:rsid w:val="68824896"/>
    <w:rsid w:val="68831B76"/>
    <w:rsid w:val="688431F8"/>
    <w:rsid w:val="688500C2"/>
    <w:rsid w:val="68854DDC"/>
    <w:rsid w:val="688776A7"/>
    <w:rsid w:val="68882CE8"/>
    <w:rsid w:val="688830A4"/>
    <w:rsid w:val="68896A60"/>
    <w:rsid w:val="688A17C5"/>
    <w:rsid w:val="688A1912"/>
    <w:rsid w:val="688B60CC"/>
    <w:rsid w:val="688C76E5"/>
    <w:rsid w:val="688D02FE"/>
    <w:rsid w:val="68900F41"/>
    <w:rsid w:val="6892385B"/>
    <w:rsid w:val="689261F4"/>
    <w:rsid w:val="68934EF1"/>
    <w:rsid w:val="689406A7"/>
    <w:rsid w:val="689528CC"/>
    <w:rsid w:val="689561D0"/>
    <w:rsid w:val="68976FAF"/>
    <w:rsid w:val="68993F06"/>
    <w:rsid w:val="68A02051"/>
    <w:rsid w:val="68A20730"/>
    <w:rsid w:val="68A27BCC"/>
    <w:rsid w:val="68A5389A"/>
    <w:rsid w:val="68A92DD2"/>
    <w:rsid w:val="68AA03E6"/>
    <w:rsid w:val="68AB599E"/>
    <w:rsid w:val="68AC0072"/>
    <w:rsid w:val="68AD1274"/>
    <w:rsid w:val="68AF458E"/>
    <w:rsid w:val="68AF4D98"/>
    <w:rsid w:val="68B00B9B"/>
    <w:rsid w:val="68B215A9"/>
    <w:rsid w:val="68B44B54"/>
    <w:rsid w:val="68B57855"/>
    <w:rsid w:val="68B62ED1"/>
    <w:rsid w:val="68B843E0"/>
    <w:rsid w:val="68BC01EF"/>
    <w:rsid w:val="68BC0760"/>
    <w:rsid w:val="68BC69A9"/>
    <w:rsid w:val="68BC6E36"/>
    <w:rsid w:val="68BF2482"/>
    <w:rsid w:val="68BF2F34"/>
    <w:rsid w:val="68C10D91"/>
    <w:rsid w:val="68C11353"/>
    <w:rsid w:val="68C161FA"/>
    <w:rsid w:val="68C363E5"/>
    <w:rsid w:val="68C37E04"/>
    <w:rsid w:val="68C60E8F"/>
    <w:rsid w:val="68C61A34"/>
    <w:rsid w:val="68C63B8D"/>
    <w:rsid w:val="68C643B9"/>
    <w:rsid w:val="68CA68C8"/>
    <w:rsid w:val="68CA7309"/>
    <w:rsid w:val="68CB0427"/>
    <w:rsid w:val="68CB1734"/>
    <w:rsid w:val="68CB4F76"/>
    <w:rsid w:val="68CD2DF1"/>
    <w:rsid w:val="68CF194F"/>
    <w:rsid w:val="68CF4506"/>
    <w:rsid w:val="68D24A51"/>
    <w:rsid w:val="68D31F7F"/>
    <w:rsid w:val="68D41A96"/>
    <w:rsid w:val="68D446D0"/>
    <w:rsid w:val="68D56F13"/>
    <w:rsid w:val="68D719B7"/>
    <w:rsid w:val="68D75130"/>
    <w:rsid w:val="68D84683"/>
    <w:rsid w:val="68D85696"/>
    <w:rsid w:val="68D90619"/>
    <w:rsid w:val="68D91796"/>
    <w:rsid w:val="68E25D02"/>
    <w:rsid w:val="68E43F44"/>
    <w:rsid w:val="68E5013A"/>
    <w:rsid w:val="68E60169"/>
    <w:rsid w:val="68E92101"/>
    <w:rsid w:val="68E97CEB"/>
    <w:rsid w:val="68EA193E"/>
    <w:rsid w:val="68EA5585"/>
    <w:rsid w:val="68EA74C5"/>
    <w:rsid w:val="68EB2CA1"/>
    <w:rsid w:val="68EC4941"/>
    <w:rsid w:val="68EC5370"/>
    <w:rsid w:val="68EF39C7"/>
    <w:rsid w:val="68F15ADF"/>
    <w:rsid w:val="68F536F9"/>
    <w:rsid w:val="68F53F36"/>
    <w:rsid w:val="68F55172"/>
    <w:rsid w:val="68F6059A"/>
    <w:rsid w:val="68F93BE6"/>
    <w:rsid w:val="68F95250"/>
    <w:rsid w:val="68FA4CC8"/>
    <w:rsid w:val="68FE209F"/>
    <w:rsid w:val="690115CE"/>
    <w:rsid w:val="6901169D"/>
    <w:rsid w:val="690145C2"/>
    <w:rsid w:val="690251E8"/>
    <w:rsid w:val="690305C1"/>
    <w:rsid w:val="69041FBA"/>
    <w:rsid w:val="690436E5"/>
    <w:rsid w:val="690643FC"/>
    <w:rsid w:val="69064B17"/>
    <w:rsid w:val="69066582"/>
    <w:rsid w:val="690B6576"/>
    <w:rsid w:val="690C1F0A"/>
    <w:rsid w:val="690E08BA"/>
    <w:rsid w:val="691056BC"/>
    <w:rsid w:val="6910765A"/>
    <w:rsid w:val="69107772"/>
    <w:rsid w:val="69132AAF"/>
    <w:rsid w:val="691427CE"/>
    <w:rsid w:val="6918160A"/>
    <w:rsid w:val="69196036"/>
    <w:rsid w:val="691B1438"/>
    <w:rsid w:val="691B3B5C"/>
    <w:rsid w:val="691B79B5"/>
    <w:rsid w:val="691E7910"/>
    <w:rsid w:val="691F5A0D"/>
    <w:rsid w:val="691F6FFC"/>
    <w:rsid w:val="691F7516"/>
    <w:rsid w:val="69206D72"/>
    <w:rsid w:val="692307B7"/>
    <w:rsid w:val="69250E15"/>
    <w:rsid w:val="692751B0"/>
    <w:rsid w:val="69286353"/>
    <w:rsid w:val="692A20A2"/>
    <w:rsid w:val="69344C1E"/>
    <w:rsid w:val="69360996"/>
    <w:rsid w:val="69374668"/>
    <w:rsid w:val="693764BC"/>
    <w:rsid w:val="693B1E4C"/>
    <w:rsid w:val="693C3AD3"/>
    <w:rsid w:val="693D709C"/>
    <w:rsid w:val="693E5CE8"/>
    <w:rsid w:val="693E6608"/>
    <w:rsid w:val="693E75FC"/>
    <w:rsid w:val="694151D9"/>
    <w:rsid w:val="69416C03"/>
    <w:rsid w:val="6942001A"/>
    <w:rsid w:val="6942153C"/>
    <w:rsid w:val="69444B77"/>
    <w:rsid w:val="69470F07"/>
    <w:rsid w:val="694725DC"/>
    <w:rsid w:val="6947746F"/>
    <w:rsid w:val="694841AF"/>
    <w:rsid w:val="69486CE4"/>
    <w:rsid w:val="69487B9A"/>
    <w:rsid w:val="69490EB5"/>
    <w:rsid w:val="6949388B"/>
    <w:rsid w:val="694B0E63"/>
    <w:rsid w:val="694B2462"/>
    <w:rsid w:val="694B76BF"/>
    <w:rsid w:val="694D66C6"/>
    <w:rsid w:val="694E3E6C"/>
    <w:rsid w:val="694F2375"/>
    <w:rsid w:val="695232F6"/>
    <w:rsid w:val="695503E5"/>
    <w:rsid w:val="695A3171"/>
    <w:rsid w:val="695A374D"/>
    <w:rsid w:val="695A6B2F"/>
    <w:rsid w:val="695D50EC"/>
    <w:rsid w:val="695D7A0E"/>
    <w:rsid w:val="695F3D16"/>
    <w:rsid w:val="69607DD1"/>
    <w:rsid w:val="69620DCF"/>
    <w:rsid w:val="69627921"/>
    <w:rsid w:val="69697F56"/>
    <w:rsid w:val="696C085C"/>
    <w:rsid w:val="696C43B8"/>
    <w:rsid w:val="696F5C56"/>
    <w:rsid w:val="69720BF2"/>
    <w:rsid w:val="69733E71"/>
    <w:rsid w:val="69740E2F"/>
    <w:rsid w:val="6975068F"/>
    <w:rsid w:val="69752877"/>
    <w:rsid w:val="69776CEE"/>
    <w:rsid w:val="69783660"/>
    <w:rsid w:val="697842B1"/>
    <w:rsid w:val="697871C9"/>
    <w:rsid w:val="697A21D8"/>
    <w:rsid w:val="697A672E"/>
    <w:rsid w:val="697B17E0"/>
    <w:rsid w:val="697B6751"/>
    <w:rsid w:val="697C2D44"/>
    <w:rsid w:val="697D05CA"/>
    <w:rsid w:val="69846807"/>
    <w:rsid w:val="69864150"/>
    <w:rsid w:val="69872182"/>
    <w:rsid w:val="6989612A"/>
    <w:rsid w:val="69897D27"/>
    <w:rsid w:val="698A1556"/>
    <w:rsid w:val="698A3F44"/>
    <w:rsid w:val="698C626D"/>
    <w:rsid w:val="698D2C08"/>
    <w:rsid w:val="699251C4"/>
    <w:rsid w:val="69931944"/>
    <w:rsid w:val="69957F55"/>
    <w:rsid w:val="699642E1"/>
    <w:rsid w:val="69981FFF"/>
    <w:rsid w:val="6999348A"/>
    <w:rsid w:val="69995B0F"/>
    <w:rsid w:val="699C5F67"/>
    <w:rsid w:val="699D26DE"/>
    <w:rsid w:val="699E04FF"/>
    <w:rsid w:val="699E1464"/>
    <w:rsid w:val="699E4787"/>
    <w:rsid w:val="699E5546"/>
    <w:rsid w:val="699F07AD"/>
    <w:rsid w:val="699F573B"/>
    <w:rsid w:val="69A16AA6"/>
    <w:rsid w:val="69A200AE"/>
    <w:rsid w:val="69A410F0"/>
    <w:rsid w:val="69A474B3"/>
    <w:rsid w:val="69A510BD"/>
    <w:rsid w:val="69A536B3"/>
    <w:rsid w:val="69A5774A"/>
    <w:rsid w:val="69A578CA"/>
    <w:rsid w:val="69A80F29"/>
    <w:rsid w:val="69A842DD"/>
    <w:rsid w:val="69A91784"/>
    <w:rsid w:val="69A9560C"/>
    <w:rsid w:val="69AA5ED1"/>
    <w:rsid w:val="69AC298C"/>
    <w:rsid w:val="69AE216F"/>
    <w:rsid w:val="69AE49D0"/>
    <w:rsid w:val="69B354CD"/>
    <w:rsid w:val="69B3559E"/>
    <w:rsid w:val="69B45A52"/>
    <w:rsid w:val="69B55D5F"/>
    <w:rsid w:val="69B64425"/>
    <w:rsid w:val="69B71EC2"/>
    <w:rsid w:val="69B7243C"/>
    <w:rsid w:val="69B7722D"/>
    <w:rsid w:val="69B8253E"/>
    <w:rsid w:val="69B8584F"/>
    <w:rsid w:val="69BB0E9B"/>
    <w:rsid w:val="69BC1FE3"/>
    <w:rsid w:val="69BE2860"/>
    <w:rsid w:val="69BE409D"/>
    <w:rsid w:val="69BE6E75"/>
    <w:rsid w:val="69BF527E"/>
    <w:rsid w:val="69C02845"/>
    <w:rsid w:val="69C72723"/>
    <w:rsid w:val="69C75B99"/>
    <w:rsid w:val="69C76B82"/>
    <w:rsid w:val="69C852E1"/>
    <w:rsid w:val="69C92178"/>
    <w:rsid w:val="69CA7330"/>
    <w:rsid w:val="69CB0792"/>
    <w:rsid w:val="69CD1FCD"/>
    <w:rsid w:val="69CF0E9E"/>
    <w:rsid w:val="69D00719"/>
    <w:rsid w:val="69D02B99"/>
    <w:rsid w:val="69D17F11"/>
    <w:rsid w:val="69D21290"/>
    <w:rsid w:val="69D551AF"/>
    <w:rsid w:val="69D55E89"/>
    <w:rsid w:val="69D55FAD"/>
    <w:rsid w:val="69D75FC5"/>
    <w:rsid w:val="69D82BB0"/>
    <w:rsid w:val="69D85547"/>
    <w:rsid w:val="69DC68D6"/>
    <w:rsid w:val="69DF2DDC"/>
    <w:rsid w:val="69DF79E4"/>
    <w:rsid w:val="69E201BF"/>
    <w:rsid w:val="69E337A3"/>
    <w:rsid w:val="69E338F4"/>
    <w:rsid w:val="69E54ACE"/>
    <w:rsid w:val="69E57CB8"/>
    <w:rsid w:val="69E6093C"/>
    <w:rsid w:val="69E871F4"/>
    <w:rsid w:val="69E94B7A"/>
    <w:rsid w:val="69EA1255"/>
    <w:rsid w:val="69EA352F"/>
    <w:rsid w:val="69EA4807"/>
    <w:rsid w:val="69EA6783"/>
    <w:rsid w:val="69EB664E"/>
    <w:rsid w:val="69EE1271"/>
    <w:rsid w:val="69EE5377"/>
    <w:rsid w:val="69EE7CBA"/>
    <w:rsid w:val="69F10D61"/>
    <w:rsid w:val="69F47F81"/>
    <w:rsid w:val="69F712D5"/>
    <w:rsid w:val="69F972B7"/>
    <w:rsid w:val="69FA1580"/>
    <w:rsid w:val="69FB1DE0"/>
    <w:rsid w:val="69FB1FB2"/>
    <w:rsid w:val="69FC7FA7"/>
    <w:rsid w:val="69FD14B4"/>
    <w:rsid w:val="69FF055B"/>
    <w:rsid w:val="69FF4C4E"/>
    <w:rsid w:val="69FF5F83"/>
    <w:rsid w:val="6A004926"/>
    <w:rsid w:val="6A07683E"/>
    <w:rsid w:val="6A0953F7"/>
    <w:rsid w:val="6A0C2A7D"/>
    <w:rsid w:val="6A0D42D3"/>
    <w:rsid w:val="6A100CDD"/>
    <w:rsid w:val="6A116D0D"/>
    <w:rsid w:val="6A1478B3"/>
    <w:rsid w:val="6A1671B3"/>
    <w:rsid w:val="6A173B03"/>
    <w:rsid w:val="6A182C35"/>
    <w:rsid w:val="6A19507E"/>
    <w:rsid w:val="6A1C18B2"/>
    <w:rsid w:val="6A1D1389"/>
    <w:rsid w:val="6A1D498A"/>
    <w:rsid w:val="6A220E8F"/>
    <w:rsid w:val="6A22796E"/>
    <w:rsid w:val="6A235AD5"/>
    <w:rsid w:val="6A243F51"/>
    <w:rsid w:val="6A256060"/>
    <w:rsid w:val="6A265862"/>
    <w:rsid w:val="6A266C5C"/>
    <w:rsid w:val="6A276224"/>
    <w:rsid w:val="6A283DC0"/>
    <w:rsid w:val="6A287FCD"/>
    <w:rsid w:val="6A2945AB"/>
    <w:rsid w:val="6A297A23"/>
    <w:rsid w:val="6A2A502D"/>
    <w:rsid w:val="6A2B1A48"/>
    <w:rsid w:val="6A2B48A9"/>
    <w:rsid w:val="6A2C41DF"/>
    <w:rsid w:val="6A2C6842"/>
    <w:rsid w:val="6A2D0DE0"/>
    <w:rsid w:val="6A2E3D63"/>
    <w:rsid w:val="6A2F2F20"/>
    <w:rsid w:val="6A301889"/>
    <w:rsid w:val="6A3179FB"/>
    <w:rsid w:val="6A38569B"/>
    <w:rsid w:val="6A3C0D31"/>
    <w:rsid w:val="6A3E026C"/>
    <w:rsid w:val="6A3F7767"/>
    <w:rsid w:val="6A403D14"/>
    <w:rsid w:val="6A40414C"/>
    <w:rsid w:val="6A413A96"/>
    <w:rsid w:val="6A42336B"/>
    <w:rsid w:val="6A43076D"/>
    <w:rsid w:val="6A44338D"/>
    <w:rsid w:val="6A445C12"/>
    <w:rsid w:val="6A45250A"/>
    <w:rsid w:val="6A456578"/>
    <w:rsid w:val="6A494BA4"/>
    <w:rsid w:val="6A4B68DC"/>
    <w:rsid w:val="6A4C737D"/>
    <w:rsid w:val="6A4D4401"/>
    <w:rsid w:val="6A536B4F"/>
    <w:rsid w:val="6A536CD6"/>
    <w:rsid w:val="6A575068"/>
    <w:rsid w:val="6A5768EB"/>
    <w:rsid w:val="6A590DE0"/>
    <w:rsid w:val="6A596345"/>
    <w:rsid w:val="6A5B5DEA"/>
    <w:rsid w:val="6A5C0645"/>
    <w:rsid w:val="6A5C0B96"/>
    <w:rsid w:val="6A601B5D"/>
    <w:rsid w:val="6A6255EF"/>
    <w:rsid w:val="6A625AD3"/>
    <w:rsid w:val="6A642408"/>
    <w:rsid w:val="6A6529F2"/>
    <w:rsid w:val="6A6635BA"/>
    <w:rsid w:val="6A682C9C"/>
    <w:rsid w:val="6A6865B0"/>
    <w:rsid w:val="6A697570"/>
    <w:rsid w:val="6A6A351A"/>
    <w:rsid w:val="6A6B318C"/>
    <w:rsid w:val="6A6D53C5"/>
    <w:rsid w:val="6A6E5F0E"/>
    <w:rsid w:val="6A6F6242"/>
    <w:rsid w:val="6A70638D"/>
    <w:rsid w:val="6A7121B6"/>
    <w:rsid w:val="6A724046"/>
    <w:rsid w:val="6A727888"/>
    <w:rsid w:val="6A761C7F"/>
    <w:rsid w:val="6A795CC5"/>
    <w:rsid w:val="6A7B1DAF"/>
    <w:rsid w:val="6A7B2A48"/>
    <w:rsid w:val="6A7E7AAB"/>
    <w:rsid w:val="6A7F7113"/>
    <w:rsid w:val="6A8663EA"/>
    <w:rsid w:val="6A873B05"/>
    <w:rsid w:val="6A881AD2"/>
    <w:rsid w:val="6A8A421B"/>
    <w:rsid w:val="6A8B3132"/>
    <w:rsid w:val="6A8E6A4F"/>
    <w:rsid w:val="6A901927"/>
    <w:rsid w:val="6A904FF0"/>
    <w:rsid w:val="6A922510"/>
    <w:rsid w:val="6A9458DC"/>
    <w:rsid w:val="6A954A0D"/>
    <w:rsid w:val="6A9950DE"/>
    <w:rsid w:val="6A9A31A7"/>
    <w:rsid w:val="6A9A4F55"/>
    <w:rsid w:val="6A9B2132"/>
    <w:rsid w:val="6A9B3FC0"/>
    <w:rsid w:val="6A9B5362"/>
    <w:rsid w:val="6A9D1A88"/>
    <w:rsid w:val="6A9E157E"/>
    <w:rsid w:val="6A9F4616"/>
    <w:rsid w:val="6AA15D82"/>
    <w:rsid w:val="6AA329B7"/>
    <w:rsid w:val="6AA32DBD"/>
    <w:rsid w:val="6AA44CCA"/>
    <w:rsid w:val="6AA450BF"/>
    <w:rsid w:val="6AA50B60"/>
    <w:rsid w:val="6AA52525"/>
    <w:rsid w:val="6AA73A2A"/>
    <w:rsid w:val="6AA858C3"/>
    <w:rsid w:val="6AAB2CE4"/>
    <w:rsid w:val="6AAC44C9"/>
    <w:rsid w:val="6AAC48AC"/>
    <w:rsid w:val="6AAC57D2"/>
    <w:rsid w:val="6AAC58C2"/>
    <w:rsid w:val="6AAC65E3"/>
    <w:rsid w:val="6AAE799E"/>
    <w:rsid w:val="6AB04778"/>
    <w:rsid w:val="6AB157AA"/>
    <w:rsid w:val="6AB20BFB"/>
    <w:rsid w:val="6AB34E1F"/>
    <w:rsid w:val="6AB46F97"/>
    <w:rsid w:val="6AB53210"/>
    <w:rsid w:val="6AB560B7"/>
    <w:rsid w:val="6AB576DD"/>
    <w:rsid w:val="6AB6190B"/>
    <w:rsid w:val="6AB64EC6"/>
    <w:rsid w:val="6AB809E9"/>
    <w:rsid w:val="6ABA55F7"/>
    <w:rsid w:val="6ABA5608"/>
    <w:rsid w:val="6ABA5B96"/>
    <w:rsid w:val="6ABA600F"/>
    <w:rsid w:val="6ABC0622"/>
    <w:rsid w:val="6ABC311D"/>
    <w:rsid w:val="6ABD2848"/>
    <w:rsid w:val="6ABE0551"/>
    <w:rsid w:val="6ABF3A4E"/>
    <w:rsid w:val="6ABF6F33"/>
    <w:rsid w:val="6AC07641"/>
    <w:rsid w:val="6AC17BBF"/>
    <w:rsid w:val="6AC326FD"/>
    <w:rsid w:val="6AC33FCF"/>
    <w:rsid w:val="6AC44991"/>
    <w:rsid w:val="6AC50223"/>
    <w:rsid w:val="6AC8581E"/>
    <w:rsid w:val="6AC93911"/>
    <w:rsid w:val="6ACA5D77"/>
    <w:rsid w:val="6ACC053B"/>
    <w:rsid w:val="6ACF063F"/>
    <w:rsid w:val="6ACF3488"/>
    <w:rsid w:val="6AD168C6"/>
    <w:rsid w:val="6AD2584B"/>
    <w:rsid w:val="6AD34254"/>
    <w:rsid w:val="6AD42215"/>
    <w:rsid w:val="6AD541DF"/>
    <w:rsid w:val="6AD830DB"/>
    <w:rsid w:val="6AD916CA"/>
    <w:rsid w:val="6AD94160"/>
    <w:rsid w:val="6AD94927"/>
    <w:rsid w:val="6AD97CB5"/>
    <w:rsid w:val="6ADD2D2F"/>
    <w:rsid w:val="6ADD2F06"/>
    <w:rsid w:val="6ADD5653"/>
    <w:rsid w:val="6ADF2676"/>
    <w:rsid w:val="6AE06627"/>
    <w:rsid w:val="6AE974A2"/>
    <w:rsid w:val="6AEB3A02"/>
    <w:rsid w:val="6AEC1C48"/>
    <w:rsid w:val="6AED0593"/>
    <w:rsid w:val="6AED47B0"/>
    <w:rsid w:val="6AF15544"/>
    <w:rsid w:val="6AF255E7"/>
    <w:rsid w:val="6AF3058B"/>
    <w:rsid w:val="6AF30FE2"/>
    <w:rsid w:val="6AF37F3A"/>
    <w:rsid w:val="6AF47D63"/>
    <w:rsid w:val="6AF67BBE"/>
    <w:rsid w:val="6AFC3002"/>
    <w:rsid w:val="6AFC4600"/>
    <w:rsid w:val="6AFC54FD"/>
    <w:rsid w:val="6AFC5C0F"/>
    <w:rsid w:val="6AFD0E4A"/>
    <w:rsid w:val="6AFD49B2"/>
    <w:rsid w:val="6AFE336E"/>
    <w:rsid w:val="6AFE5EB6"/>
    <w:rsid w:val="6B025595"/>
    <w:rsid w:val="6B0536F6"/>
    <w:rsid w:val="6B054AC4"/>
    <w:rsid w:val="6B056872"/>
    <w:rsid w:val="6B07401A"/>
    <w:rsid w:val="6B07655F"/>
    <w:rsid w:val="6B085D37"/>
    <w:rsid w:val="6B0D340F"/>
    <w:rsid w:val="6B0E311A"/>
    <w:rsid w:val="6B0F5943"/>
    <w:rsid w:val="6B10075E"/>
    <w:rsid w:val="6B110DD4"/>
    <w:rsid w:val="6B11100B"/>
    <w:rsid w:val="6B122264"/>
    <w:rsid w:val="6B137A6E"/>
    <w:rsid w:val="6B140326"/>
    <w:rsid w:val="6B1678FC"/>
    <w:rsid w:val="6B183633"/>
    <w:rsid w:val="6B19056F"/>
    <w:rsid w:val="6B1A4D11"/>
    <w:rsid w:val="6B1B4A57"/>
    <w:rsid w:val="6B1F5A31"/>
    <w:rsid w:val="6B201430"/>
    <w:rsid w:val="6B223786"/>
    <w:rsid w:val="6B231EDB"/>
    <w:rsid w:val="6B243F80"/>
    <w:rsid w:val="6B250CC2"/>
    <w:rsid w:val="6B27541A"/>
    <w:rsid w:val="6B2D350B"/>
    <w:rsid w:val="6B2F3371"/>
    <w:rsid w:val="6B2F3BE2"/>
    <w:rsid w:val="6B2F7D93"/>
    <w:rsid w:val="6B306FA8"/>
    <w:rsid w:val="6B3222D7"/>
    <w:rsid w:val="6B340F05"/>
    <w:rsid w:val="6B34385A"/>
    <w:rsid w:val="6B34392B"/>
    <w:rsid w:val="6B3542A3"/>
    <w:rsid w:val="6B38654C"/>
    <w:rsid w:val="6B393C8F"/>
    <w:rsid w:val="6B3A073E"/>
    <w:rsid w:val="6B3C3CE3"/>
    <w:rsid w:val="6B3C7DBA"/>
    <w:rsid w:val="6B411765"/>
    <w:rsid w:val="6B416A1A"/>
    <w:rsid w:val="6B4176F3"/>
    <w:rsid w:val="6B417A27"/>
    <w:rsid w:val="6B426498"/>
    <w:rsid w:val="6B4360B4"/>
    <w:rsid w:val="6B456584"/>
    <w:rsid w:val="6B4854E0"/>
    <w:rsid w:val="6B4C5042"/>
    <w:rsid w:val="6B4D2364"/>
    <w:rsid w:val="6B4E391F"/>
    <w:rsid w:val="6B4E7D55"/>
    <w:rsid w:val="6B4F18C6"/>
    <w:rsid w:val="6B52326E"/>
    <w:rsid w:val="6B525574"/>
    <w:rsid w:val="6B574BF4"/>
    <w:rsid w:val="6B5912B6"/>
    <w:rsid w:val="6B5A7319"/>
    <w:rsid w:val="6B5C220A"/>
    <w:rsid w:val="6B5C61BC"/>
    <w:rsid w:val="6B5D5852"/>
    <w:rsid w:val="6B5F6BC3"/>
    <w:rsid w:val="6B641EA6"/>
    <w:rsid w:val="6B654A6A"/>
    <w:rsid w:val="6B674BEC"/>
    <w:rsid w:val="6B6824E3"/>
    <w:rsid w:val="6B690964"/>
    <w:rsid w:val="6B694CC6"/>
    <w:rsid w:val="6B6D10AD"/>
    <w:rsid w:val="6B6D6ED0"/>
    <w:rsid w:val="6B6E143D"/>
    <w:rsid w:val="6B6E2669"/>
    <w:rsid w:val="6B6E6114"/>
    <w:rsid w:val="6B6F02C5"/>
    <w:rsid w:val="6B722BF7"/>
    <w:rsid w:val="6B756816"/>
    <w:rsid w:val="6B782B42"/>
    <w:rsid w:val="6B7A1EF5"/>
    <w:rsid w:val="6B7B3734"/>
    <w:rsid w:val="6B7B4D86"/>
    <w:rsid w:val="6B7B627F"/>
    <w:rsid w:val="6B7C465A"/>
    <w:rsid w:val="6B7D54DF"/>
    <w:rsid w:val="6B7F4485"/>
    <w:rsid w:val="6B800FAC"/>
    <w:rsid w:val="6B80755E"/>
    <w:rsid w:val="6B8143A2"/>
    <w:rsid w:val="6B8208FC"/>
    <w:rsid w:val="6B82111F"/>
    <w:rsid w:val="6B853B8E"/>
    <w:rsid w:val="6B861164"/>
    <w:rsid w:val="6B863E14"/>
    <w:rsid w:val="6B885505"/>
    <w:rsid w:val="6B8A18D7"/>
    <w:rsid w:val="6B8A6C42"/>
    <w:rsid w:val="6B8B7888"/>
    <w:rsid w:val="6B8C0530"/>
    <w:rsid w:val="6B8F5E62"/>
    <w:rsid w:val="6B932744"/>
    <w:rsid w:val="6B943D79"/>
    <w:rsid w:val="6B991B92"/>
    <w:rsid w:val="6B9A1ACA"/>
    <w:rsid w:val="6B9A4D72"/>
    <w:rsid w:val="6B9B065A"/>
    <w:rsid w:val="6B9B67D1"/>
    <w:rsid w:val="6B9B7C5D"/>
    <w:rsid w:val="6B9C1A08"/>
    <w:rsid w:val="6B9E57D6"/>
    <w:rsid w:val="6B9F5763"/>
    <w:rsid w:val="6BA00B38"/>
    <w:rsid w:val="6BA0577C"/>
    <w:rsid w:val="6BA2764C"/>
    <w:rsid w:val="6BA3338A"/>
    <w:rsid w:val="6BA334FD"/>
    <w:rsid w:val="6BA52ED8"/>
    <w:rsid w:val="6BA73DCD"/>
    <w:rsid w:val="6BA769DE"/>
    <w:rsid w:val="6BA82BE0"/>
    <w:rsid w:val="6BAA7419"/>
    <w:rsid w:val="6BAC3F67"/>
    <w:rsid w:val="6BAE4B5D"/>
    <w:rsid w:val="6BAE621A"/>
    <w:rsid w:val="6BB02958"/>
    <w:rsid w:val="6BB1752D"/>
    <w:rsid w:val="6BB22C62"/>
    <w:rsid w:val="6BB4591A"/>
    <w:rsid w:val="6BB61190"/>
    <w:rsid w:val="6BB81B36"/>
    <w:rsid w:val="6BBF1117"/>
    <w:rsid w:val="6BC014B2"/>
    <w:rsid w:val="6BC06EB4"/>
    <w:rsid w:val="6BC23F3E"/>
    <w:rsid w:val="6BC62B46"/>
    <w:rsid w:val="6BC643F8"/>
    <w:rsid w:val="6BC900B2"/>
    <w:rsid w:val="6BC93D43"/>
    <w:rsid w:val="6BCA2D14"/>
    <w:rsid w:val="6BCC776E"/>
    <w:rsid w:val="6BCD02EE"/>
    <w:rsid w:val="6BCE127D"/>
    <w:rsid w:val="6BCF16EA"/>
    <w:rsid w:val="6BCF3D46"/>
    <w:rsid w:val="6BD23D06"/>
    <w:rsid w:val="6BD402EA"/>
    <w:rsid w:val="6BD45950"/>
    <w:rsid w:val="6BD46509"/>
    <w:rsid w:val="6BD734F2"/>
    <w:rsid w:val="6BD8679C"/>
    <w:rsid w:val="6BD97547"/>
    <w:rsid w:val="6BDA3A6E"/>
    <w:rsid w:val="6BDF2AF5"/>
    <w:rsid w:val="6BE04F08"/>
    <w:rsid w:val="6BE131F6"/>
    <w:rsid w:val="6BE16E2D"/>
    <w:rsid w:val="6BE73D89"/>
    <w:rsid w:val="6BE744F4"/>
    <w:rsid w:val="6BE80022"/>
    <w:rsid w:val="6BE96E14"/>
    <w:rsid w:val="6BEA6DE7"/>
    <w:rsid w:val="6BEB7092"/>
    <w:rsid w:val="6BEE37AA"/>
    <w:rsid w:val="6BF014F3"/>
    <w:rsid w:val="6BF41ED2"/>
    <w:rsid w:val="6BF456FF"/>
    <w:rsid w:val="6BF4661A"/>
    <w:rsid w:val="6BF53C37"/>
    <w:rsid w:val="6BF54053"/>
    <w:rsid w:val="6BF61708"/>
    <w:rsid w:val="6BF67EFA"/>
    <w:rsid w:val="6BF9261A"/>
    <w:rsid w:val="6BFC0EE0"/>
    <w:rsid w:val="6BFD56B6"/>
    <w:rsid w:val="6BFD7096"/>
    <w:rsid w:val="6BFE44C3"/>
    <w:rsid w:val="6BFE47F4"/>
    <w:rsid w:val="6BFE7BAA"/>
    <w:rsid w:val="6C011161"/>
    <w:rsid w:val="6C0330BF"/>
    <w:rsid w:val="6C046698"/>
    <w:rsid w:val="6C051116"/>
    <w:rsid w:val="6C071BA7"/>
    <w:rsid w:val="6C085474"/>
    <w:rsid w:val="6C0858B3"/>
    <w:rsid w:val="6C090BF8"/>
    <w:rsid w:val="6C093DD9"/>
    <w:rsid w:val="6C0B6878"/>
    <w:rsid w:val="6C0D05B8"/>
    <w:rsid w:val="6C0D45D1"/>
    <w:rsid w:val="6C0D532E"/>
    <w:rsid w:val="6C0E700F"/>
    <w:rsid w:val="6C0F442B"/>
    <w:rsid w:val="6C0F5BD1"/>
    <w:rsid w:val="6C1023AE"/>
    <w:rsid w:val="6C134FBF"/>
    <w:rsid w:val="6C140859"/>
    <w:rsid w:val="6C1702AD"/>
    <w:rsid w:val="6C1939B8"/>
    <w:rsid w:val="6C1A6F72"/>
    <w:rsid w:val="6C1B4E74"/>
    <w:rsid w:val="6C1C2A4A"/>
    <w:rsid w:val="6C1D471A"/>
    <w:rsid w:val="6C1E1969"/>
    <w:rsid w:val="6C1E5314"/>
    <w:rsid w:val="6C20148A"/>
    <w:rsid w:val="6C2127C1"/>
    <w:rsid w:val="6C216F88"/>
    <w:rsid w:val="6C225202"/>
    <w:rsid w:val="6C234723"/>
    <w:rsid w:val="6C2471CC"/>
    <w:rsid w:val="6C2500A5"/>
    <w:rsid w:val="6C2A1F73"/>
    <w:rsid w:val="6C2D4E30"/>
    <w:rsid w:val="6C2E112B"/>
    <w:rsid w:val="6C2E7676"/>
    <w:rsid w:val="6C306090"/>
    <w:rsid w:val="6C313721"/>
    <w:rsid w:val="6C327764"/>
    <w:rsid w:val="6C340FE3"/>
    <w:rsid w:val="6C360B10"/>
    <w:rsid w:val="6C395827"/>
    <w:rsid w:val="6C3B487A"/>
    <w:rsid w:val="6C3D31EE"/>
    <w:rsid w:val="6C3D3B8B"/>
    <w:rsid w:val="6C3E3B6F"/>
    <w:rsid w:val="6C413AC2"/>
    <w:rsid w:val="6C4644F1"/>
    <w:rsid w:val="6C4906B3"/>
    <w:rsid w:val="6C4A35F1"/>
    <w:rsid w:val="6C4B702E"/>
    <w:rsid w:val="6C520D5F"/>
    <w:rsid w:val="6C530F9C"/>
    <w:rsid w:val="6C56039A"/>
    <w:rsid w:val="6C562065"/>
    <w:rsid w:val="6C564E37"/>
    <w:rsid w:val="6C5677F5"/>
    <w:rsid w:val="6C593D89"/>
    <w:rsid w:val="6C5A6958"/>
    <w:rsid w:val="6C5A7CE3"/>
    <w:rsid w:val="6C603325"/>
    <w:rsid w:val="6C63429F"/>
    <w:rsid w:val="6C646E94"/>
    <w:rsid w:val="6C651ECC"/>
    <w:rsid w:val="6C657DE6"/>
    <w:rsid w:val="6C663F42"/>
    <w:rsid w:val="6C6B2E7A"/>
    <w:rsid w:val="6C6B3D93"/>
    <w:rsid w:val="6C6C4CB7"/>
    <w:rsid w:val="6C716125"/>
    <w:rsid w:val="6C717E92"/>
    <w:rsid w:val="6C733CAF"/>
    <w:rsid w:val="6C734779"/>
    <w:rsid w:val="6C741DCF"/>
    <w:rsid w:val="6C747D70"/>
    <w:rsid w:val="6C76578A"/>
    <w:rsid w:val="6C772F14"/>
    <w:rsid w:val="6C7760CF"/>
    <w:rsid w:val="6C7D39C9"/>
    <w:rsid w:val="6C7D68DC"/>
    <w:rsid w:val="6C7D7FF8"/>
    <w:rsid w:val="6C7E48EA"/>
    <w:rsid w:val="6C7F04C6"/>
    <w:rsid w:val="6C7F4DED"/>
    <w:rsid w:val="6C801A18"/>
    <w:rsid w:val="6C81017A"/>
    <w:rsid w:val="6C8102E1"/>
    <w:rsid w:val="6C81060A"/>
    <w:rsid w:val="6C810B0B"/>
    <w:rsid w:val="6C820627"/>
    <w:rsid w:val="6C8302B6"/>
    <w:rsid w:val="6C8436DB"/>
    <w:rsid w:val="6C847C6A"/>
    <w:rsid w:val="6C8511A2"/>
    <w:rsid w:val="6C855CEE"/>
    <w:rsid w:val="6C8574C7"/>
    <w:rsid w:val="6C880B49"/>
    <w:rsid w:val="6C882D1F"/>
    <w:rsid w:val="6C883069"/>
    <w:rsid w:val="6C8F43EC"/>
    <w:rsid w:val="6C905796"/>
    <w:rsid w:val="6C976175"/>
    <w:rsid w:val="6C984506"/>
    <w:rsid w:val="6C9853AD"/>
    <w:rsid w:val="6C994AA0"/>
    <w:rsid w:val="6C997CDF"/>
    <w:rsid w:val="6C9A0A9C"/>
    <w:rsid w:val="6C9A40C8"/>
    <w:rsid w:val="6C9B19F7"/>
    <w:rsid w:val="6C9B7588"/>
    <w:rsid w:val="6C9E7A06"/>
    <w:rsid w:val="6C9F281F"/>
    <w:rsid w:val="6C9F2CF6"/>
    <w:rsid w:val="6CA22069"/>
    <w:rsid w:val="6CA518C0"/>
    <w:rsid w:val="6CA938B5"/>
    <w:rsid w:val="6CA976D1"/>
    <w:rsid w:val="6CAC665E"/>
    <w:rsid w:val="6CB10E45"/>
    <w:rsid w:val="6CB135C1"/>
    <w:rsid w:val="6CB15F33"/>
    <w:rsid w:val="6CB34B14"/>
    <w:rsid w:val="6CB34B3B"/>
    <w:rsid w:val="6CB400FA"/>
    <w:rsid w:val="6CB41293"/>
    <w:rsid w:val="6CB47CF9"/>
    <w:rsid w:val="6CB52C87"/>
    <w:rsid w:val="6CB542C8"/>
    <w:rsid w:val="6CB87914"/>
    <w:rsid w:val="6CB905ED"/>
    <w:rsid w:val="6CBA4604"/>
    <w:rsid w:val="6CBA4AF1"/>
    <w:rsid w:val="6CBB57A4"/>
    <w:rsid w:val="6CBC5201"/>
    <w:rsid w:val="6CBE00D1"/>
    <w:rsid w:val="6CBF3033"/>
    <w:rsid w:val="6CC061B0"/>
    <w:rsid w:val="6CC24944"/>
    <w:rsid w:val="6CC264AB"/>
    <w:rsid w:val="6CC37B5D"/>
    <w:rsid w:val="6CC5488D"/>
    <w:rsid w:val="6CC6714D"/>
    <w:rsid w:val="6CC71888"/>
    <w:rsid w:val="6CC81EA4"/>
    <w:rsid w:val="6CC938CF"/>
    <w:rsid w:val="6CCA1F28"/>
    <w:rsid w:val="6CCE7137"/>
    <w:rsid w:val="6CCF3F90"/>
    <w:rsid w:val="6CCF5389"/>
    <w:rsid w:val="6CD001B5"/>
    <w:rsid w:val="6CD02EB0"/>
    <w:rsid w:val="6CD02EE5"/>
    <w:rsid w:val="6CD06CF5"/>
    <w:rsid w:val="6CD2619E"/>
    <w:rsid w:val="6CD33EE3"/>
    <w:rsid w:val="6CD500A8"/>
    <w:rsid w:val="6CD55C1E"/>
    <w:rsid w:val="6CD567BD"/>
    <w:rsid w:val="6CD809DA"/>
    <w:rsid w:val="6CDA2B67"/>
    <w:rsid w:val="6CDA3232"/>
    <w:rsid w:val="6CDA6632"/>
    <w:rsid w:val="6CDB1A5B"/>
    <w:rsid w:val="6CDB2F29"/>
    <w:rsid w:val="6CDB70F0"/>
    <w:rsid w:val="6CDC3E0C"/>
    <w:rsid w:val="6CDE5242"/>
    <w:rsid w:val="6CDF30F3"/>
    <w:rsid w:val="6CDF5C61"/>
    <w:rsid w:val="6CDF7BCE"/>
    <w:rsid w:val="6CE20464"/>
    <w:rsid w:val="6CE321D1"/>
    <w:rsid w:val="6CE94688"/>
    <w:rsid w:val="6CEA21C3"/>
    <w:rsid w:val="6CEA6FC1"/>
    <w:rsid w:val="6CEB7CE9"/>
    <w:rsid w:val="6CEC29E0"/>
    <w:rsid w:val="6CED00A9"/>
    <w:rsid w:val="6CF070AE"/>
    <w:rsid w:val="6CF12545"/>
    <w:rsid w:val="6CF15220"/>
    <w:rsid w:val="6CF21421"/>
    <w:rsid w:val="6CF55009"/>
    <w:rsid w:val="6CF738B6"/>
    <w:rsid w:val="6CF849DB"/>
    <w:rsid w:val="6CFA2062"/>
    <w:rsid w:val="6CFB3271"/>
    <w:rsid w:val="6CFC713B"/>
    <w:rsid w:val="6CFD1EDD"/>
    <w:rsid w:val="6CFD3965"/>
    <w:rsid w:val="6CFD7A53"/>
    <w:rsid w:val="6CFE17C5"/>
    <w:rsid w:val="6CFF65C5"/>
    <w:rsid w:val="6D0022E6"/>
    <w:rsid w:val="6D003FE1"/>
    <w:rsid w:val="6D00684F"/>
    <w:rsid w:val="6D0130B7"/>
    <w:rsid w:val="6D01417B"/>
    <w:rsid w:val="6D02333A"/>
    <w:rsid w:val="6D073F15"/>
    <w:rsid w:val="6D07426B"/>
    <w:rsid w:val="6D08123A"/>
    <w:rsid w:val="6D0858D0"/>
    <w:rsid w:val="6D087E6A"/>
    <w:rsid w:val="6D0B399E"/>
    <w:rsid w:val="6D0B4C24"/>
    <w:rsid w:val="6D0C2EAC"/>
    <w:rsid w:val="6D0C49C3"/>
    <w:rsid w:val="6D0E184D"/>
    <w:rsid w:val="6D0F0136"/>
    <w:rsid w:val="6D1014FE"/>
    <w:rsid w:val="6D117124"/>
    <w:rsid w:val="6D120885"/>
    <w:rsid w:val="6D122893"/>
    <w:rsid w:val="6D13036F"/>
    <w:rsid w:val="6D131DFD"/>
    <w:rsid w:val="6D18236A"/>
    <w:rsid w:val="6D194FB0"/>
    <w:rsid w:val="6D19765D"/>
    <w:rsid w:val="6D1C17CE"/>
    <w:rsid w:val="6D1D512E"/>
    <w:rsid w:val="6D1E2945"/>
    <w:rsid w:val="6D1E57DB"/>
    <w:rsid w:val="6D21195D"/>
    <w:rsid w:val="6D21356D"/>
    <w:rsid w:val="6D231231"/>
    <w:rsid w:val="6D232FBE"/>
    <w:rsid w:val="6D23318D"/>
    <w:rsid w:val="6D2347C3"/>
    <w:rsid w:val="6D2471C9"/>
    <w:rsid w:val="6D2474DF"/>
    <w:rsid w:val="6D247BD2"/>
    <w:rsid w:val="6D2556DA"/>
    <w:rsid w:val="6D276335"/>
    <w:rsid w:val="6D284A9A"/>
    <w:rsid w:val="6D2A0812"/>
    <w:rsid w:val="6D2A25C0"/>
    <w:rsid w:val="6D2B5892"/>
    <w:rsid w:val="6D2C27F3"/>
    <w:rsid w:val="6D315F18"/>
    <w:rsid w:val="6D3520DB"/>
    <w:rsid w:val="6D354CEA"/>
    <w:rsid w:val="6D374555"/>
    <w:rsid w:val="6D382A23"/>
    <w:rsid w:val="6D3A0E0A"/>
    <w:rsid w:val="6D3B4F62"/>
    <w:rsid w:val="6D3D0158"/>
    <w:rsid w:val="6D3D76B7"/>
    <w:rsid w:val="6D3E1ECC"/>
    <w:rsid w:val="6D400B8E"/>
    <w:rsid w:val="6D412A2C"/>
    <w:rsid w:val="6D422BAF"/>
    <w:rsid w:val="6D4318D3"/>
    <w:rsid w:val="6D4718EA"/>
    <w:rsid w:val="6D472DEB"/>
    <w:rsid w:val="6D4765CC"/>
    <w:rsid w:val="6D4A04BC"/>
    <w:rsid w:val="6D4A31D0"/>
    <w:rsid w:val="6D4C3B52"/>
    <w:rsid w:val="6D4D0D43"/>
    <w:rsid w:val="6D4F0BDC"/>
    <w:rsid w:val="6D5136B3"/>
    <w:rsid w:val="6D513A9B"/>
    <w:rsid w:val="6D530CEC"/>
    <w:rsid w:val="6D53268A"/>
    <w:rsid w:val="6D5533B5"/>
    <w:rsid w:val="6D5756E7"/>
    <w:rsid w:val="6D5B7723"/>
    <w:rsid w:val="6D5D5560"/>
    <w:rsid w:val="6D6069F9"/>
    <w:rsid w:val="6D632F47"/>
    <w:rsid w:val="6D681D11"/>
    <w:rsid w:val="6D69475D"/>
    <w:rsid w:val="6D6B2E74"/>
    <w:rsid w:val="6D6C12F7"/>
    <w:rsid w:val="6D6C5EB4"/>
    <w:rsid w:val="6D6D2F0B"/>
    <w:rsid w:val="6D6D35C8"/>
    <w:rsid w:val="6D6E7C26"/>
    <w:rsid w:val="6D722499"/>
    <w:rsid w:val="6D7227CF"/>
    <w:rsid w:val="6D754687"/>
    <w:rsid w:val="6D77598F"/>
    <w:rsid w:val="6D7813AB"/>
    <w:rsid w:val="6D7952F5"/>
    <w:rsid w:val="6D7A2F5F"/>
    <w:rsid w:val="6D7B106D"/>
    <w:rsid w:val="6D7D3884"/>
    <w:rsid w:val="6D7D5099"/>
    <w:rsid w:val="6D7E124D"/>
    <w:rsid w:val="6D81202E"/>
    <w:rsid w:val="6D8134B0"/>
    <w:rsid w:val="6D844226"/>
    <w:rsid w:val="6D853500"/>
    <w:rsid w:val="6D875C64"/>
    <w:rsid w:val="6D877A12"/>
    <w:rsid w:val="6D88378A"/>
    <w:rsid w:val="6D891EDD"/>
    <w:rsid w:val="6D8A1F42"/>
    <w:rsid w:val="6D8B633C"/>
    <w:rsid w:val="6D8C1B66"/>
    <w:rsid w:val="6D8F0276"/>
    <w:rsid w:val="6D8F2D6B"/>
    <w:rsid w:val="6D8F7A45"/>
    <w:rsid w:val="6D942B04"/>
    <w:rsid w:val="6D9537BA"/>
    <w:rsid w:val="6D9827C9"/>
    <w:rsid w:val="6D987042"/>
    <w:rsid w:val="6D994296"/>
    <w:rsid w:val="6D9A5668"/>
    <w:rsid w:val="6D9B19AB"/>
    <w:rsid w:val="6D9D7236"/>
    <w:rsid w:val="6DA12AB5"/>
    <w:rsid w:val="6DA478F5"/>
    <w:rsid w:val="6DA50478"/>
    <w:rsid w:val="6DA8381C"/>
    <w:rsid w:val="6DA85761"/>
    <w:rsid w:val="6DA93081"/>
    <w:rsid w:val="6DAA1597"/>
    <w:rsid w:val="6DAA3701"/>
    <w:rsid w:val="6DAB3360"/>
    <w:rsid w:val="6DAB7AD7"/>
    <w:rsid w:val="6DAC090B"/>
    <w:rsid w:val="6DAE1039"/>
    <w:rsid w:val="6DAF1FCF"/>
    <w:rsid w:val="6DB067D5"/>
    <w:rsid w:val="6DB528B9"/>
    <w:rsid w:val="6DB5318C"/>
    <w:rsid w:val="6DB60514"/>
    <w:rsid w:val="6DB7454D"/>
    <w:rsid w:val="6DB83738"/>
    <w:rsid w:val="6DBE5255"/>
    <w:rsid w:val="6DBF6A88"/>
    <w:rsid w:val="6DC2101D"/>
    <w:rsid w:val="6DC507BD"/>
    <w:rsid w:val="6DC523A4"/>
    <w:rsid w:val="6DC54D6C"/>
    <w:rsid w:val="6DCC0A98"/>
    <w:rsid w:val="6DCC3B07"/>
    <w:rsid w:val="6DCE09DD"/>
    <w:rsid w:val="6DCE14CD"/>
    <w:rsid w:val="6DCE2099"/>
    <w:rsid w:val="6DCF1906"/>
    <w:rsid w:val="6DD232DB"/>
    <w:rsid w:val="6DD32C57"/>
    <w:rsid w:val="6DD513A3"/>
    <w:rsid w:val="6DD551CF"/>
    <w:rsid w:val="6DD61D66"/>
    <w:rsid w:val="6DD620A1"/>
    <w:rsid w:val="6DD736D1"/>
    <w:rsid w:val="6DD760E5"/>
    <w:rsid w:val="6DDB2E90"/>
    <w:rsid w:val="6DDB30CF"/>
    <w:rsid w:val="6DE11E26"/>
    <w:rsid w:val="6DE22F56"/>
    <w:rsid w:val="6DE66191"/>
    <w:rsid w:val="6DE67B6A"/>
    <w:rsid w:val="6DE72678"/>
    <w:rsid w:val="6DE955DC"/>
    <w:rsid w:val="6DEB5245"/>
    <w:rsid w:val="6DEC2CF6"/>
    <w:rsid w:val="6DED3DC7"/>
    <w:rsid w:val="6DEE09E5"/>
    <w:rsid w:val="6DEF3CA6"/>
    <w:rsid w:val="6DEF6762"/>
    <w:rsid w:val="6DF2235C"/>
    <w:rsid w:val="6DF26F85"/>
    <w:rsid w:val="6DF40076"/>
    <w:rsid w:val="6DF51396"/>
    <w:rsid w:val="6DF56338"/>
    <w:rsid w:val="6DFA214B"/>
    <w:rsid w:val="6DFB07F0"/>
    <w:rsid w:val="6DFD4A59"/>
    <w:rsid w:val="6DFF7E97"/>
    <w:rsid w:val="6E004945"/>
    <w:rsid w:val="6E010B3C"/>
    <w:rsid w:val="6E025456"/>
    <w:rsid w:val="6E0302A0"/>
    <w:rsid w:val="6E03156F"/>
    <w:rsid w:val="6E0510B9"/>
    <w:rsid w:val="6E05497D"/>
    <w:rsid w:val="6E056B3F"/>
    <w:rsid w:val="6E056B89"/>
    <w:rsid w:val="6E0608CE"/>
    <w:rsid w:val="6E076037"/>
    <w:rsid w:val="6E0A1BF8"/>
    <w:rsid w:val="6E0A66EA"/>
    <w:rsid w:val="6E0C5EEB"/>
    <w:rsid w:val="6E0E37E7"/>
    <w:rsid w:val="6E0E5933"/>
    <w:rsid w:val="6E0F7A08"/>
    <w:rsid w:val="6E1150C1"/>
    <w:rsid w:val="6E1319C7"/>
    <w:rsid w:val="6E132474"/>
    <w:rsid w:val="6E142D35"/>
    <w:rsid w:val="6E165650"/>
    <w:rsid w:val="6E165F32"/>
    <w:rsid w:val="6E182D60"/>
    <w:rsid w:val="6E1913F7"/>
    <w:rsid w:val="6E1B624A"/>
    <w:rsid w:val="6E1D0376"/>
    <w:rsid w:val="6E2246C8"/>
    <w:rsid w:val="6E2269F6"/>
    <w:rsid w:val="6E230AE4"/>
    <w:rsid w:val="6E2524EF"/>
    <w:rsid w:val="6E25722B"/>
    <w:rsid w:val="6E273436"/>
    <w:rsid w:val="6E2751E8"/>
    <w:rsid w:val="6E277530"/>
    <w:rsid w:val="6E291961"/>
    <w:rsid w:val="6E2A36C5"/>
    <w:rsid w:val="6E2A557E"/>
    <w:rsid w:val="6E2D1AE7"/>
    <w:rsid w:val="6E2D2413"/>
    <w:rsid w:val="6E2E0082"/>
    <w:rsid w:val="6E2F0BDE"/>
    <w:rsid w:val="6E305994"/>
    <w:rsid w:val="6E306DC5"/>
    <w:rsid w:val="6E311CF2"/>
    <w:rsid w:val="6E317556"/>
    <w:rsid w:val="6E320D21"/>
    <w:rsid w:val="6E323283"/>
    <w:rsid w:val="6E340303"/>
    <w:rsid w:val="6E3724B3"/>
    <w:rsid w:val="6E38012F"/>
    <w:rsid w:val="6E397E1B"/>
    <w:rsid w:val="6E3A5F81"/>
    <w:rsid w:val="6E3D464A"/>
    <w:rsid w:val="6E3D624F"/>
    <w:rsid w:val="6E3D6323"/>
    <w:rsid w:val="6E3E7D8D"/>
    <w:rsid w:val="6E3F004C"/>
    <w:rsid w:val="6E405E13"/>
    <w:rsid w:val="6E436860"/>
    <w:rsid w:val="6E45636B"/>
    <w:rsid w:val="6E472A13"/>
    <w:rsid w:val="6E4771A1"/>
    <w:rsid w:val="6E4B6C92"/>
    <w:rsid w:val="6E4E3106"/>
    <w:rsid w:val="6E4F776C"/>
    <w:rsid w:val="6E502869"/>
    <w:rsid w:val="6E511661"/>
    <w:rsid w:val="6E511DCE"/>
    <w:rsid w:val="6E527E2A"/>
    <w:rsid w:val="6E53115E"/>
    <w:rsid w:val="6E53522E"/>
    <w:rsid w:val="6E5519FA"/>
    <w:rsid w:val="6E553CDE"/>
    <w:rsid w:val="6E566A0B"/>
    <w:rsid w:val="6E583EA7"/>
    <w:rsid w:val="6E586D26"/>
    <w:rsid w:val="6E5A512E"/>
    <w:rsid w:val="6E5A5E2F"/>
    <w:rsid w:val="6E5D131B"/>
    <w:rsid w:val="6E5E1439"/>
    <w:rsid w:val="6E5E543B"/>
    <w:rsid w:val="6E5E5E6C"/>
    <w:rsid w:val="6E5E7513"/>
    <w:rsid w:val="6E630DD2"/>
    <w:rsid w:val="6E631F0C"/>
    <w:rsid w:val="6E6333A1"/>
    <w:rsid w:val="6E63441B"/>
    <w:rsid w:val="6E6733A0"/>
    <w:rsid w:val="6E6907ED"/>
    <w:rsid w:val="6E697FC2"/>
    <w:rsid w:val="6E6A3C6A"/>
    <w:rsid w:val="6E6B2291"/>
    <w:rsid w:val="6E6C6B7B"/>
    <w:rsid w:val="6E6C7208"/>
    <w:rsid w:val="6E6F29AC"/>
    <w:rsid w:val="6E721C27"/>
    <w:rsid w:val="6E744E20"/>
    <w:rsid w:val="6E745102"/>
    <w:rsid w:val="6E752574"/>
    <w:rsid w:val="6E75692C"/>
    <w:rsid w:val="6E7807E2"/>
    <w:rsid w:val="6E7B0FAB"/>
    <w:rsid w:val="6E7B4992"/>
    <w:rsid w:val="6E7D5A1B"/>
    <w:rsid w:val="6E7D77F3"/>
    <w:rsid w:val="6E7E5D0B"/>
    <w:rsid w:val="6E7F7598"/>
    <w:rsid w:val="6E805B45"/>
    <w:rsid w:val="6E82283A"/>
    <w:rsid w:val="6E8242BB"/>
    <w:rsid w:val="6E82467D"/>
    <w:rsid w:val="6E833C38"/>
    <w:rsid w:val="6E8B24BB"/>
    <w:rsid w:val="6E8B48F3"/>
    <w:rsid w:val="6E902B47"/>
    <w:rsid w:val="6E915FC6"/>
    <w:rsid w:val="6E91762C"/>
    <w:rsid w:val="6E934D19"/>
    <w:rsid w:val="6E951808"/>
    <w:rsid w:val="6E9553E3"/>
    <w:rsid w:val="6E9553FF"/>
    <w:rsid w:val="6E966EB6"/>
    <w:rsid w:val="6E97293C"/>
    <w:rsid w:val="6E975B63"/>
    <w:rsid w:val="6E987D3F"/>
    <w:rsid w:val="6E9C1E0C"/>
    <w:rsid w:val="6E9D38BC"/>
    <w:rsid w:val="6E9D6F13"/>
    <w:rsid w:val="6EA0164F"/>
    <w:rsid w:val="6EA228EE"/>
    <w:rsid w:val="6EA5014C"/>
    <w:rsid w:val="6EA533C0"/>
    <w:rsid w:val="6EA60BEF"/>
    <w:rsid w:val="6EAA247C"/>
    <w:rsid w:val="6EAB3BD4"/>
    <w:rsid w:val="6EAC36D2"/>
    <w:rsid w:val="6EAC3BAF"/>
    <w:rsid w:val="6EAD0FDB"/>
    <w:rsid w:val="6EAD6BF8"/>
    <w:rsid w:val="6EAE0059"/>
    <w:rsid w:val="6EAE017C"/>
    <w:rsid w:val="6EB10112"/>
    <w:rsid w:val="6EB224BD"/>
    <w:rsid w:val="6EB3151C"/>
    <w:rsid w:val="6EB365E5"/>
    <w:rsid w:val="6EB92C49"/>
    <w:rsid w:val="6EBA61F4"/>
    <w:rsid w:val="6EBD2504"/>
    <w:rsid w:val="6EBF1B48"/>
    <w:rsid w:val="6EC1476E"/>
    <w:rsid w:val="6EC22E5E"/>
    <w:rsid w:val="6EC23435"/>
    <w:rsid w:val="6EC466C2"/>
    <w:rsid w:val="6EC46BA6"/>
    <w:rsid w:val="6EC67BB6"/>
    <w:rsid w:val="6EC74861"/>
    <w:rsid w:val="6ECA348F"/>
    <w:rsid w:val="6ECA5D95"/>
    <w:rsid w:val="6ECB1807"/>
    <w:rsid w:val="6ECD53E2"/>
    <w:rsid w:val="6ECF70CD"/>
    <w:rsid w:val="6ED170A8"/>
    <w:rsid w:val="6ED22F0F"/>
    <w:rsid w:val="6ED25690"/>
    <w:rsid w:val="6ED26257"/>
    <w:rsid w:val="6ED26B2E"/>
    <w:rsid w:val="6ED34C56"/>
    <w:rsid w:val="6ED34F3F"/>
    <w:rsid w:val="6ED71566"/>
    <w:rsid w:val="6ED83AC2"/>
    <w:rsid w:val="6EDB5064"/>
    <w:rsid w:val="6EDC02EA"/>
    <w:rsid w:val="6EDC1875"/>
    <w:rsid w:val="6EDD75A1"/>
    <w:rsid w:val="6EDE4CA7"/>
    <w:rsid w:val="6EE031AD"/>
    <w:rsid w:val="6EE2112E"/>
    <w:rsid w:val="6EE35100"/>
    <w:rsid w:val="6EE37630"/>
    <w:rsid w:val="6EE514D8"/>
    <w:rsid w:val="6EE555E3"/>
    <w:rsid w:val="6EE674D9"/>
    <w:rsid w:val="6EE7387C"/>
    <w:rsid w:val="6EE76CDA"/>
    <w:rsid w:val="6EE90259"/>
    <w:rsid w:val="6EE974FC"/>
    <w:rsid w:val="6EEC0B65"/>
    <w:rsid w:val="6EED1BC6"/>
    <w:rsid w:val="6EED31A9"/>
    <w:rsid w:val="6EEE52F0"/>
    <w:rsid w:val="6EF27E40"/>
    <w:rsid w:val="6EF44A68"/>
    <w:rsid w:val="6EF72E0A"/>
    <w:rsid w:val="6EF74AB7"/>
    <w:rsid w:val="6EF81DD7"/>
    <w:rsid w:val="6EF966EE"/>
    <w:rsid w:val="6EFB514C"/>
    <w:rsid w:val="6EFC41EC"/>
    <w:rsid w:val="6EFC4430"/>
    <w:rsid w:val="6EFD1AA3"/>
    <w:rsid w:val="6EFD5A0E"/>
    <w:rsid w:val="6EFE206C"/>
    <w:rsid w:val="6EFF2A32"/>
    <w:rsid w:val="6F021D3F"/>
    <w:rsid w:val="6F022D0E"/>
    <w:rsid w:val="6F022D8B"/>
    <w:rsid w:val="6F023A4D"/>
    <w:rsid w:val="6F033C25"/>
    <w:rsid w:val="6F0357BE"/>
    <w:rsid w:val="6F056630"/>
    <w:rsid w:val="6F073C8C"/>
    <w:rsid w:val="6F0775E9"/>
    <w:rsid w:val="6F09086D"/>
    <w:rsid w:val="6F093BB4"/>
    <w:rsid w:val="6F0A3404"/>
    <w:rsid w:val="6F0A381D"/>
    <w:rsid w:val="6F0C16F3"/>
    <w:rsid w:val="6F0C1C24"/>
    <w:rsid w:val="6F0E0A71"/>
    <w:rsid w:val="6F116C8A"/>
    <w:rsid w:val="6F117E69"/>
    <w:rsid w:val="6F1352D6"/>
    <w:rsid w:val="6F1452B3"/>
    <w:rsid w:val="6F15566D"/>
    <w:rsid w:val="6F173018"/>
    <w:rsid w:val="6F174DAA"/>
    <w:rsid w:val="6F1A4EBC"/>
    <w:rsid w:val="6F1B3E26"/>
    <w:rsid w:val="6F1B41AE"/>
    <w:rsid w:val="6F1B6A43"/>
    <w:rsid w:val="6F1B71B2"/>
    <w:rsid w:val="6F1D69C6"/>
    <w:rsid w:val="6F1E2E3C"/>
    <w:rsid w:val="6F1E6AAA"/>
    <w:rsid w:val="6F1E6C66"/>
    <w:rsid w:val="6F1E75BC"/>
    <w:rsid w:val="6F204979"/>
    <w:rsid w:val="6F2101DF"/>
    <w:rsid w:val="6F223A7F"/>
    <w:rsid w:val="6F22516C"/>
    <w:rsid w:val="6F241291"/>
    <w:rsid w:val="6F2908C4"/>
    <w:rsid w:val="6F296B98"/>
    <w:rsid w:val="6F2B6BE8"/>
    <w:rsid w:val="6F2E4C62"/>
    <w:rsid w:val="6F2F0361"/>
    <w:rsid w:val="6F2F4EB8"/>
    <w:rsid w:val="6F30378B"/>
    <w:rsid w:val="6F3239AE"/>
    <w:rsid w:val="6F335D4E"/>
    <w:rsid w:val="6F34175B"/>
    <w:rsid w:val="6F347726"/>
    <w:rsid w:val="6F352BD6"/>
    <w:rsid w:val="6F385CDC"/>
    <w:rsid w:val="6F392F8E"/>
    <w:rsid w:val="6F3C43E5"/>
    <w:rsid w:val="6F3C482C"/>
    <w:rsid w:val="6F3C6EA4"/>
    <w:rsid w:val="6F3D7D19"/>
    <w:rsid w:val="6F3E0FA3"/>
    <w:rsid w:val="6F3E7070"/>
    <w:rsid w:val="6F3F7712"/>
    <w:rsid w:val="6F40431D"/>
    <w:rsid w:val="6F406874"/>
    <w:rsid w:val="6F42250B"/>
    <w:rsid w:val="6F423F95"/>
    <w:rsid w:val="6F424FF4"/>
    <w:rsid w:val="6F4417C6"/>
    <w:rsid w:val="6F454A73"/>
    <w:rsid w:val="6F466DB0"/>
    <w:rsid w:val="6F4751F3"/>
    <w:rsid w:val="6F486725"/>
    <w:rsid w:val="6F4A45E8"/>
    <w:rsid w:val="6F4A7E19"/>
    <w:rsid w:val="6F4B1EF2"/>
    <w:rsid w:val="6F4E67F9"/>
    <w:rsid w:val="6F516604"/>
    <w:rsid w:val="6F5454BD"/>
    <w:rsid w:val="6F554BD3"/>
    <w:rsid w:val="6F58297D"/>
    <w:rsid w:val="6F5871E5"/>
    <w:rsid w:val="6F5B35D4"/>
    <w:rsid w:val="6F5D56AC"/>
    <w:rsid w:val="6F5F55B8"/>
    <w:rsid w:val="6F604FDA"/>
    <w:rsid w:val="6F6124E5"/>
    <w:rsid w:val="6F633133"/>
    <w:rsid w:val="6F655B31"/>
    <w:rsid w:val="6F663F8C"/>
    <w:rsid w:val="6F667AFB"/>
    <w:rsid w:val="6F6A0833"/>
    <w:rsid w:val="6F6A0B6A"/>
    <w:rsid w:val="6F6A1399"/>
    <w:rsid w:val="6F6C1F70"/>
    <w:rsid w:val="6F6C53DE"/>
    <w:rsid w:val="6F6E7DE3"/>
    <w:rsid w:val="6F6F0FBF"/>
    <w:rsid w:val="6F70281F"/>
    <w:rsid w:val="6F705D80"/>
    <w:rsid w:val="6F712728"/>
    <w:rsid w:val="6F716F91"/>
    <w:rsid w:val="6F725BBB"/>
    <w:rsid w:val="6F745D74"/>
    <w:rsid w:val="6F7523E0"/>
    <w:rsid w:val="6F75619F"/>
    <w:rsid w:val="6F7671C2"/>
    <w:rsid w:val="6F7738E1"/>
    <w:rsid w:val="6F79782E"/>
    <w:rsid w:val="6F7A7103"/>
    <w:rsid w:val="6F7A71C5"/>
    <w:rsid w:val="6F7B6E0E"/>
    <w:rsid w:val="6F7C2E7B"/>
    <w:rsid w:val="6F7C6436"/>
    <w:rsid w:val="6F7C6F5D"/>
    <w:rsid w:val="6F7D7AB5"/>
    <w:rsid w:val="6F7E3257"/>
    <w:rsid w:val="6F7F0743"/>
    <w:rsid w:val="6F7F19E9"/>
    <w:rsid w:val="6F80591B"/>
    <w:rsid w:val="6F814935"/>
    <w:rsid w:val="6F865AA7"/>
    <w:rsid w:val="6F871AD4"/>
    <w:rsid w:val="6F885CC3"/>
    <w:rsid w:val="6F8928F6"/>
    <w:rsid w:val="6F8961BE"/>
    <w:rsid w:val="6F8B2DA0"/>
    <w:rsid w:val="6F8D12F4"/>
    <w:rsid w:val="6F8D7A7D"/>
    <w:rsid w:val="6F901919"/>
    <w:rsid w:val="6F903E47"/>
    <w:rsid w:val="6F906FBC"/>
    <w:rsid w:val="6F9318BF"/>
    <w:rsid w:val="6F932FE0"/>
    <w:rsid w:val="6F9354A8"/>
    <w:rsid w:val="6F95026E"/>
    <w:rsid w:val="6F96782D"/>
    <w:rsid w:val="6F970FCE"/>
    <w:rsid w:val="6F991C7F"/>
    <w:rsid w:val="6F9C3915"/>
    <w:rsid w:val="6F9C5F67"/>
    <w:rsid w:val="6F9C6C4E"/>
    <w:rsid w:val="6F9D0E9A"/>
    <w:rsid w:val="6FA11A42"/>
    <w:rsid w:val="6FA31D42"/>
    <w:rsid w:val="6FA33E0C"/>
    <w:rsid w:val="6FA47852"/>
    <w:rsid w:val="6FA652D6"/>
    <w:rsid w:val="6FA72C16"/>
    <w:rsid w:val="6FA81EC2"/>
    <w:rsid w:val="6FAB1571"/>
    <w:rsid w:val="6FAB21CF"/>
    <w:rsid w:val="6FAB288E"/>
    <w:rsid w:val="6FAB2F26"/>
    <w:rsid w:val="6FAD4352"/>
    <w:rsid w:val="6FAE0415"/>
    <w:rsid w:val="6FB02E09"/>
    <w:rsid w:val="6FB03D43"/>
    <w:rsid w:val="6FB17851"/>
    <w:rsid w:val="6FB22D40"/>
    <w:rsid w:val="6FB51118"/>
    <w:rsid w:val="6FB800CF"/>
    <w:rsid w:val="6FB80B74"/>
    <w:rsid w:val="6FBA447B"/>
    <w:rsid w:val="6FBC5139"/>
    <w:rsid w:val="6FBE16E5"/>
    <w:rsid w:val="6FC020F4"/>
    <w:rsid w:val="6FC02876"/>
    <w:rsid w:val="6FC04454"/>
    <w:rsid w:val="6FC06214"/>
    <w:rsid w:val="6FC43DF4"/>
    <w:rsid w:val="6FC534FB"/>
    <w:rsid w:val="6FC81CDA"/>
    <w:rsid w:val="6FCB38EF"/>
    <w:rsid w:val="6FD07D18"/>
    <w:rsid w:val="6FD12ADA"/>
    <w:rsid w:val="6FD2128E"/>
    <w:rsid w:val="6FD55BB5"/>
    <w:rsid w:val="6FD607DD"/>
    <w:rsid w:val="6FD701E4"/>
    <w:rsid w:val="6FD86B76"/>
    <w:rsid w:val="6FD91536"/>
    <w:rsid w:val="6FDA26A1"/>
    <w:rsid w:val="6FDB386D"/>
    <w:rsid w:val="6FDB4E2B"/>
    <w:rsid w:val="6FDD2D6F"/>
    <w:rsid w:val="6FE202F0"/>
    <w:rsid w:val="6FE256F3"/>
    <w:rsid w:val="6FE3114C"/>
    <w:rsid w:val="6FE32961"/>
    <w:rsid w:val="6FE3343D"/>
    <w:rsid w:val="6FE43ECF"/>
    <w:rsid w:val="6FE458B4"/>
    <w:rsid w:val="6FE47C27"/>
    <w:rsid w:val="6FE53349"/>
    <w:rsid w:val="6FE54EC4"/>
    <w:rsid w:val="6FE60DAE"/>
    <w:rsid w:val="6FE949B4"/>
    <w:rsid w:val="6FED4342"/>
    <w:rsid w:val="6FEE7A1A"/>
    <w:rsid w:val="6FEF52BB"/>
    <w:rsid w:val="6FEF5CF1"/>
    <w:rsid w:val="6FF65A76"/>
    <w:rsid w:val="6FF76A32"/>
    <w:rsid w:val="6FF84383"/>
    <w:rsid w:val="6FF9271D"/>
    <w:rsid w:val="6FFB0D51"/>
    <w:rsid w:val="6FFB155D"/>
    <w:rsid w:val="6FFC6D50"/>
    <w:rsid w:val="6FFD045F"/>
    <w:rsid w:val="6FFF2BCE"/>
    <w:rsid w:val="6FFF64DB"/>
    <w:rsid w:val="7000417E"/>
    <w:rsid w:val="70041503"/>
    <w:rsid w:val="70093CC3"/>
    <w:rsid w:val="70096256"/>
    <w:rsid w:val="700C7D4E"/>
    <w:rsid w:val="700D106B"/>
    <w:rsid w:val="700E4D08"/>
    <w:rsid w:val="70106DE6"/>
    <w:rsid w:val="70113E54"/>
    <w:rsid w:val="70115CB9"/>
    <w:rsid w:val="70117A67"/>
    <w:rsid w:val="70120FBF"/>
    <w:rsid w:val="7012558D"/>
    <w:rsid w:val="7014585E"/>
    <w:rsid w:val="70170C13"/>
    <w:rsid w:val="7018471A"/>
    <w:rsid w:val="70187047"/>
    <w:rsid w:val="701A68B1"/>
    <w:rsid w:val="701A6922"/>
    <w:rsid w:val="701C5B00"/>
    <w:rsid w:val="701C786F"/>
    <w:rsid w:val="701D741C"/>
    <w:rsid w:val="701F0870"/>
    <w:rsid w:val="701F2C55"/>
    <w:rsid w:val="70215528"/>
    <w:rsid w:val="70216D30"/>
    <w:rsid w:val="70231030"/>
    <w:rsid w:val="70234BCD"/>
    <w:rsid w:val="70241CE7"/>
    <w:rsid w:val="70251252"/>
    <w:rsid w:val="70252B01"/>
    <w:rsid w:val="70271F55"/>
    <w:rsid w:val="702752A8"/>
    <w:rsid w:val="7028236D"/>
    <w:rsid w:val="70291255"/>
    <w:rsid w:val="702A5348"/>
    <w:rsid w:val="702B6AB3"/>
    <w:rsid w:val="702B762D"/>
    <w:rsid w:val="702C09FF"/>
    <w:rsid w:val="702C2021"/>
    <w:rsid w:val="702C664F"/>
    <w:rsid w:val="702C69F7"/>
    <w:rsid w:val="702D4C13"/>
    <w:rsid w:val="702E49BF"/>
    <w:rsid w:val="702E68F3"/>
    <w:rsid w:val="70317D24"/>
    <w:rsid w:val="70325607"/>
    <w:rsid w:val="70334C54"/>
    <w:rsid w:val="70335C2F"/>
    <w:rsid w:val="70357CEF"/>
    <w:rsid w:val="703A3736"/>
    <w:rsid w:val="703C70C7"/>
    <w:rsid w:val="703D085C"/>
    <w:rsid w:val="703F19B6"/>
    <w:rsid w:val="703F70AA"/>
    <w:rsid w:val="70401E8C"/>
    <w:rsid w:val="70410443"/>
    <w:rsid w:val="70430372"/>
    <w:rsid w:val="704341A0"/>
    <w:rsid w:val="70446F1B"/>
    <w:rsid w:val="704655B0"/>
    <w:rsid w:val="70467EE4"/>
    <w:rsid w:val="704838E1"/>
    <w:rsid w:val="70496F07"/>
    <w:rsid w:val="70497201"/>
    <w:rsid w:val="704E4E1D"/>
    <w:rsid w:val="704E6182"/>
    <w:rsid w:val="704E686A"/>
    <w:rsid w:val="704E7933"/>
    <w:rsid w:val="70526708"/>
    <w:rsid w:val="70550D0E"/>
    <w:rsid w:val="70551C7C"/>
    <w:rsid w:val="705545FD"/>
    <w:rsid w:val="705732FC"/>
    <w:rsid w:val="705B07EB"/>
    <w:rsid w:val="705D74A0"/>
    <w:rsid w:val="705E4883"/>
    <w:rsid w:val="7060454A"/>
    <w:rsid w:val="706221BD"/>
    <w:rsid w:val="70626515"/>
    <w:rsid w:val="70634B25"/>
    <w:rsid w:val="706979CF"/>
    <w:rsid w:val="706C1141"/>
    <w:rsid w:val="706C3ABE"/>
    <w:rsid w:val="706F35D9"/>
    <w:rsid w:val="707149AA"/>
    <w:rsid w:val="70721977"/>
    <w:rsid w:val="707242BB"/>
    <w:rsid w:val="70730522"/>
    <w:rsid w:val="70732767"/>
    <w:rsid w:val="70735112"/>
    <w:rsid w:val="70790109"/>
    <w:rsid w:val="70797B3D"/>
    <w:rsid w:val="707B7BCC"/>
    <w:rsid w:val="707D0F5E"/>
    <w:rsid w:val="707F13AA"/>
    <w:rsid w:val="707F6BAD"/>
    <w:rsid w:val="707F7C80"/>
    <w:rsid w:val="7082164C"/>
    <w:rsid w:val="708226BF"/>
    <w:rsid w:val="708229D1"/>
    <w:rsid w:val="70841C17"/>
    <w:rsid w:val="70853402"/>
    <w:rsid w:val="70883B9D"/>
    <w:rsid w:val="7089584F"/>
    <w:rsid w:val="708A0F59"/>
    <w:rsid w:val="708C533F"/>
    <w:rsid w:val="708C602B"/>
    <w:rsid w:val="708E5DDB"/>
    <w:rsid w:val="708F6BE7"/>
    <w:rsid w:val="70901F17"/>
    <w:rsid w:val="70943813"/>
    <w:rsid w:val="70952156"/>
    <w:rsid w:val="70962931"/>
    <w:rsid w:val="70971893"/>
    <w:rsid w:val="70980188"/>
    <w:rsid w:val="7098069F"/>
    <w:rsid w:val="709976F3"/>
    <w:rsid w:val="709B44EF"/>
    <w:rsid w:val="709C7D03"/>
    <w:rsid w:val="709D19DC"/>
    <w:rsid w:val="709D6C50"/>
    <w:rsid w:val="709E54A1"/>
    <w:rsid w:val="70A07186"/>
    <w:rsid w:val="70A07A81"/>
    <w:rsid w:val="70A120AB"/>
    <w:rsid w:val="70A17DA9"/>
    <w:rsid w:val="70A27315"/>
    <w:rsid w:val="70A327FF"/>
    <w:rsid w:val="70A3781D"/>
    <w:rsid w:val="70A37927"/>
    <w:rsid w:val="70A722D5"/>
    <w:rsid w:val="70A94165"/>
    <w:rsid w:val="70AA6BFE"/>
    <w:rsid w:val="70AC5B69"/>
    <w:rsid w:val="70AD3C34"/>
    <w:rsid w:val="70B00AAA"/>
    <w:rsid w:val="70B14DA6"/>
    <w:rsid w:val="70B17B90"/>
    <w:rsid w:val="70B4784B"/>
    <w:rsid w:val="70B52AE8"/>
    <w:rsid w:val="70B705B0"/>
    <w:rsid w:val="70B86252"/>
    <w:rsid w:val="70BB426A"/>
    <w:rsid w:val="70BC2284"/>
    <w:rsid w:val="70BE4564"/>
    <w:rsid w:val="70BF75A4"/>
    <w:rsid w:val="70C1323B"/>
    <w:rsid w:val="70C329ED"/>
    <w:rsid w:val="70C40F7D"/>
    <w:rsid w:val="70C54FE0"/>
    <w:rsid w:val="70C63A84"/>
    <w:rsid w:val="70C924F1"/>
    <w:rsid w:val="70CA0861"/>
    <w:rsid w:val="70CA613E"/>
    <w:rsid w:val="70CD2F0C"/>
    <w:rsid w:val="70D021EC"/>
    <w:rsid w:val="70D02E21"/>
    <w:rsid w:val="70D0347E"/>
    <w:rsid w:val="70D67EF9"/>
    <w:rsid w:val="70D76696"/>
    <w:rsid w:val="70D770AA"/>
    <w:rsid w:val="70DE52CC"/>
    <w:rsid w:val="70DF6923"/>
    <w:rsid w:val="70E0474F"/>
    <w:rsid w:val="70E73E5B"/>
    <w:rsid w:val="70E9022C"/>
    <w:rsid w:val="70E90FB1"/>
    <w:rsid w:val="70E959E8"/>
    <w:rsid w:val="70EA3271"/>
    <w:rsid w:val="70ED0190"/>
    <w:rsid w:val="70ED2282"/>
    <w:rsid w:val="70F167FA"/>
    <w:rsid w:val="70F17623"/>
    <w:rsid w:val="70F24096"/>
    <w:rsid w:val="70F25AEA"/>
    <w:rsid w:val="70F367B0"/>
    <w:rsid w:val="70F40902"/>
    <w:rsid w:val="70F439C2"/>
    <w:rsid w:val="70F46BBC"/>
    <w:rsid w:val="70F5346D"/>
    <w:rsid w:val="70F76C5D"/>
    <w:rsid w:val="70F87630"/>
    <w:rsid w:val="70F901F4"/>
    <w:rsid w:val="70FA04FB"/>
    <w:rsid w:val="70FC050A"/>
    <w:rsid w:val="70FC6E31"/>
    <w:rsid w:val="70FE23F0"/>
    <w:rsid w:val="70FE623D"/>
    <w:rsid w:val="70FF7FD4"/>
    <w:rsid w:val="710336D3"/>
    <w:rsid w:val="7106195B"/>
    <w:rsid w:val="71067259"/>
    <w:rsid w:val="710B43D7"/>
    <w:rsid w:val="710E3399"/>
    <w:rsid w:val="710F5D33"/>
    <w:rsid w:val="71101E81"/>
    <w:rsid w:val="711162D1"/>
    <w:rsid w:val="71116A22"/>
    <w:rsid w:val="711252AF"/>
    <w:rsid w:val="71135C4F"/>
    <w:rsid w:val="711472F2"/>
    <w:rsid w:val="71155251"/>
    <w:rsid w:val="71155335"/>
    <w:rsid w:val="711927A2"/>
    <w:rsid w:val="711A3BEF"/>
    <w:rsid w:val="711C6097"/>
    <w:rsid w:val="711D5AFA"/>
    <w:rsid w:val="711D7825"/>
    <w:rsid w:val="71213920"/>
    <w:rsid w:val="712832CE"/>
    <w:rsid w:val="712900A1"/>
    <w:rsid w:val="71296B94"/>
    <w:rsid w:val="712B1968"/>
    <w:rsid w:val="712C22F9"/>
    <w:rsid w:val="712C7728"/>
    <w:rsid w:val="712D267F"/>
    <w:rsid w:val="712E1289"/>
    <w:rsid w:val="712E3F56"/>
    <w:rsid w:val="712F4558"/>
    <w:rsid w:val="712F4D0B"/>
    <w:rsid w:val="712F5A37"/>
    <w:rsid w:val="713131B1"/>
    <w:rsid w:val="7131600B"/>
    <w:rsid w:val="71320D29"/>
    <w:rsid w:val="713370A6"/>
    <w:rsid w:val="713637ED"/>
    <w:rsid w:val="713A6082"/>
    <w:rsid w:val="713B7169"/>
    <w:rsid w:val="713B7652"/>
    <w:rsid w:val="713C6575"/>
    <w:rsid w:val="713C6D66"/>
    <w:rsid w:val="713D6CDE"/>
    <w:rsid w:val="713E59EC"/>
    <w:rsid w:val="713F023C"/>
    <w:rsid w:val="71431A3F"/>
    <w:rsid w:val="71431BF4"/>
    <w:rsid w:val="7143432A"/>
    <w:rsid w:val="714355A7"/>
    <w:rsid w:val="71444F19"/>
    <w:rsid w:val="71445BB4"/>
    <w:rsid w:val="71463E13"/>
    <w:rsid w:val="714741BE"/>
    <w:rsid w:val="714769A5"/>
    <w:rsid w:val="71497E68"/>
    <w:rsid w:val="714A1482"/>
    <w:rsid w:val="714A4D35"/>
    <w:rsid w:val="714B2030"/>
    <w:rsid w:val="714B7233"/>
    <w:rsid w:val="714D6337"/>
    <w:rsid w:val="71501102"/>
    <w:rsid w:val="71522EF6"/>
    <w:rsid w:val="71531B69"/>
    <w:rsid w:val="715416A2"/>
    <w:rsid w:val="71551909"/>
    <w:rsid w:val="71551AC4"/>
    <w:rsid w:val="71564C7D"/>
    <w:rsid w:val="7157594D"/>
    <w:rsid w:val="715776FB"/>
    <w:rsid w:val="715E4236"/>
    <w:rsid w:val="71614A1E"/>
    <w:rsid w:val="71621444"/>
    <w:rsid w:val="7163358B"/>
    <w:rsid w:val="71634398"/>
    <w:rsid w:val="716414D3"/>
    <w:rsid w:val="71671F8C"/>
    <w:rsid w:val="71685DAD"/>
    <w:rsid w:val="716B0EB5"/>
    <w:rsid w:val="716F6B00"/>
    <w:rsid w:val="71722787"/>
    <w:rsid w:val="71722B54"/>
    <w:rsid w:val="71730FA5"/>
    <w:rsid w:val="71761560"/>
    <w:rsid w:val="7179439E"/>
    <w:rsid w:val="717972E8"/>
    <w:rsid w:val="717A08BB"/>
    <w:rsid w:val="717A4B75"/>
    <w:rsid w:val="717B23A7"/>
    <w:rsid w:val="717B7C29"/>
    <w:rsid w:val="717D12C1"/>
    <w:rsid w:val="71812574"/>
    <w:rsid w:val="71830D84"/>
    <w:rsid w:val="71846DC2"/>
    <w:rsid w:val="718538F7"/>
    <w:rsid w:val="71876166"/>
    <w:rsid w:val="71890AD8"/>
    <w:rsid w:val="718A557B"/>
    <w:rsid w:val="718E2FF1"/>
    <w:rsid w:val="718F01C0"/>
    <w:rsid w:val="718F3CF2"/>
    <w:rsid w:val="719021C9"/>
    <w:rsid w:val="71902C0D"/>
    <w:rsid w:val="71911DF7"/>
    <w:rsid w:val="71915BA2"/>
    <w:rsid w:val="7193066D"/>
    <w:rsid w:val="71932903"/>
    <w:rsid w:val="71937939"/>
    <w:rsid w:val="719731FB"/>
    <w:rsid w:val="7199309B"/>
    <w:rsid w:val="719A4CA2"/>
    <w:rsid w:val="719D293A"/>
    <w:rsid w:val="71A16BC9"/>
    <w:rsid w:val="71A33B87"/>
    <w:rsid w:val="71A37ADC"/>
    <w:rsid w:val="71A75B9F"/>
    <w:rsid w:val="71A866EF"/>
    <w:rsid w:val="71AA7003"/>
    <w:rsid w:val="71AC3EEB"/>
    <w:rsid w:val="71AF5789"/>
    <w:rsid w:val="71B048EC"/>
    <w:rsid w:val="71B13FB6"/>
    <w:rsid w:val="71B23E68"/>
    <w:rsid w:val="71B50F48"/>
    <w:rsid w:val="71B5155E"/>
    <w:rsid w:val="71B5354E"/>
    <w:rsid w:val="71B73BE8"/>
    <w:rsid w:val="71BA74D3"/>
    <w:rsid w:val="71BF0D70"/>
    <w:rsid w:val="71C14104"/>
    <w:rsid w:val="71C257DE"/>
    <w:rsid w:val="71C26463"/>
    <w:rsid w:val="71C32FA0"/>
    <w:rsid w:val="71C379FC"/>
    <w:rsid w:val="71CA4371"/>
    <w:rsid w:val="71CA4C99"/>
    <w:rsid w:val="71CB3954"/>
    <w:rsid w:val="71CC00E9"/>
    <w:rsid w:val="71CD319E"/>
    <w:rsid w:val="71CE6B9D"/>
    <w:rsid w:val="71D044D3"/>
    <w:rsid w:val="71D1092D"/>
    <w:rsid w:val="71D27215"/>
    <w:rsid w:val="71D421FA"/>
    <w:rsid w:val="71D433C2"/>
    <w:rsid w:val="71D55CDF"/>
    <w:rsid w:val="71D60F68"/>
    <w:rsid w:val="71D7319F"/>
    <w:rsid w:val="71D83E86"/>
    <w:rsid w:val="71D9462B"/>
    <w:rsid w:val="71DA1A49"/>
    <w:rsid w:val="71DA1DD3"/>
    <w:rsid w:val="71DB66E0"/>
    <w:rsid w:val="71DC5E53"/>
    <w:rsid w:val="71DE0417"/>
    <w:rsid w:val="71DE0782"/>
    <w:rsid w:val="71E116BB"/>
    <w:rsid w:val="71E12374"/>
    <w:rsid w:val="71E37304"/>
    <w:rsid w:val="71E42B68"/>
    <w:rsid w:val="71E45AD8"/>
    <w:rsid w:val="71E66FCA"/>
    <w:rsid w:val="71E829B7"/>
    <w:rsid w:val="71E960E9"/>
    <w:rsid w:val="71EC219A"/>
    <w:rsid w:val="71EC32CB"/>
    <w:rsid w:val="71EC5F38"/>
    <w:rsid w:val="71ED3ACD"/>
    <w:rsid w:val="71ED43B1"/>
    <w:rsid w:val="71F10DD1"/>
    <w:rsid w:val="71F2627C"/>
    <w:rsid w:val="71F33938"/>
    <w:rsid w:val="71F344E7"/>
    <w:rsid w:val="71F37004"/>
    <w:rsid w:val="71F656B7"/>
    <w:rsid w:val="71F72C8D"/>
    <w:rsid w:val="71F76090"/>
    <w:rsid w:val="71F80EDE"/>
    <w:rsid w:val="71F81B46"/>
    <w:rsid w:val="71F93DE8"/>
    <w:rsid w:val="71F96312"/>
    <w:rsid w:val="71FA44D1"/>
    <w:rsid w:val="71FD0F44"/>
    <w:rsid w:val="71FF39C3"/>
    <w:rsid w:val="71FF4BCC"/>
    <w:rsid w:val="720158B9"/>
    <w:rsid w:val="72047CDC"/>
    <w:rsid w:val="72060EB3"/>
    <w:rsid w:val="72070B3D"/>
    <w:rsid w:val="72077373"/>
    <w:rsid w:val="72080BA4"/>
    <w:rsid w:val="720A0815"/>
    <w:rsid w:val="720B7FD5"/>
    <w:rsid w:val="720E4075"/>
    <w:rsid w:val="720F1C19"/>
    <w:rsid w:val="72100A22"/>
    <w:rsid w:val="72116429"/>
    <w:rsid w:val="72177E30"/>
    <w:rsid w:val="721924CD"/>
    <w:rsid w:val="721A14B4"/>
    <w:rsid w:val="721A2B37"/>
    <w:rsid w:val="721B6D9D"/>
    <w:rsid w:val="721E03D9"/>
    <w:rsid w:val="721E45BC"/>
    <w:rsid w:val="721F36E4"/>
    <w:rsid w:val="721F4672"/>
    <w:rsid w:val="72200435"/>
    <w:rsid w:val="72203C77"/>
    <w:rsid w:val="72212FEF"/>
    <w:rsid w:val="722263F8"/>
    <w:rsid w:val="72240F9A"/>
    <w:rsid w:val="722579D6"/>
    <w:rsid w:val="72264B5B"/>
    <w:rsid w:val="72276867"/>
    <w:rsid w:val="72280D40"/>
    <w:rsid w:val="722827EF"/>
    <w:rsid w:val="722961F9"/>
    <w:rsid w:val="722D120D"/>
    <w:rsid w:val="722D3F99"/>
    <w:rsid w:val="722F4918"/>
    <w:rsid w:val="722F64BE"/>
    <w:rsid w:val="72337048"/>
    <w:rsid w:val="7235272A"/>
    <w:rsid w:val="723808C3"/>
    <w:rsid w:val="72381273"/>
    <w:rsid w:val="7238614A"/>
    <w:rsid w:val="72392D59"/>
    <w:rsid w:val="7239637A"/>
    <w:rsid w:val="7239759C"/>
    <w:rsid w:val="723A39CB"/>
    <w:rsid w:val="723B7A2C"/>
    <w:rsid w:val="723D0B4D"/>
    <w:rsid w:val="724115C9"/>
    <w:rsid w:val="72426206"/>
    <w:rsid w:val="72430434"/>
    <w:rsid w:val="7245213A"/>
    <w:rsid w:val="7245474A"/>
    <w:rsid w:val="72461E85"/>
    <w:rsid w:val="7249173A"/>
    <w:rsid w:val="724E341D"/>
    <w:rsid w:val="724F5116"/>
    <w:rsid w:val="725105EF"/>
    <w:rsid w:val="72510812"/>
    <w:rsid w:val="725117F1"/>
    <w:rsid w:val="725155AB"/>
    <w:rsid w:val="725178E6"/>
    <w:rsid w:val="725318F0"/>
    <w:rsid w:val="72541D4E"/>
    <w:rsid w:val="72551E37"/>
    <w:rsid w:val="72565D23"/>
    <w:rsid w:val="725913F1"/>
    <w:rsid w:val="725A1DF7"/>
    <w:rsid w:val="725B2474"/>
    <w:rsid w:val="725C187E"/>
    <w:rsid w:val="725E2CCF"/>
    <w:rsid w:val="725F5636"/>
    <w:rsid w:val="725F5851"/>
    <w:rsid w:val="726228AE"/>
    <w:rsid w:val="72655E48"/>
    <w:rsid w:val="72673B8C"/>
    <w:rsid w:val="726A402F"/>
    <w:rsid w:val="726B192E"/>
    <w:rsid w:val="726B4382"/>
    <w:rsid w:val="726C12CB"/>
    <w:rsid w:val="726E0439"/>
    <w:rsid w:val="7270107D"/>
    <w:rsid w:val="7272057A"/>
    <w:rsid w:val="727231E5"/>
    <w:rsid w:val="72732DFF"/>
    <w:rsid w:val="727367B7"/>
    <w:rsid w:val="72744F8C"/>
    <w:rsid w:val="72774FD0"/>
    <w:rsid w:val="7278201F"/>
    <w:rsid w:val="727829D0"/>
    <w:rsid w:val="727918F3"/>
    <w:rsid w:val="727A0257"/>
    <w:rsid w:val="727A4D1F"/>
    <w:rsid w:val="727C5A78"/>
    <w:rsid w:val="727D59C7"/>
    <w:rsid w:val="728131F7"/>
    <w:rsid w:val="72867322"/>
    <w:rsid w:val="72870289"/>
    <w:rsid w:val="72886954"/>
    <w:rsid w:val="7288720D"/>
    <w:rsid w:val="728929EA"/>
    <w:rsid w:val="72895D82"/>
    <w:rsid w:val="728979A0"/>
    <w:rsid w:val="728B3649"/>
    <w:rsid w:val="728E19DB"/>
    <w:rsid w:val="728F2ACC"/>
    <w:rsid w:val="7290096E"/>
    <w:rsid w:val="72914E8F"/>
    <w:rsid w:val="72955527"/>
    <w:rsid w:val="729624A5"/>
    <w:rsid w:val="72973624"/>
    <w:rsid w:val="72975350"/>
    <w:rsid w:val="72976482"/>
    <w:rsid w:val="729774E1"/>
    <w:rsid w:val="72995351"/>
    <w:rsid w:val="72995694"/>
    <w:rsid w:val="729A1F96"/>
    <w:rsid w:val="729C5A75"/>
    <w:rsid w:val="729D5E21"/>
    <w:rsid w:val="729E5688"/>
    <w:rsid w:val="72A01B39"/>
    <w:rsid w:val="72A40629"/>
    <w:rsid w:val="72A4596C"/>
    <w:rsid w:val="72A52A59"/>
    <w:rsid w:val="72A57128"/>
    <w:rsid w:val="72A76E61"/>
    <w:rsid w:val="72A93C73"/>
    <w:rsid w:val="72AB5F51"/>
    <w:rsid w:val="72AC644A"/>
    <w:rsid w:val="72B025C0"/>
    <w:rsid w:val="72B166CF"/>
    <w:rsid w:val="72B21695"/>
    <w:rsid w:val="72B377E3"/>
    <w:rsid w:val="72B63941"/>
    <w:rsid w:val="72B6607D"/>
    <w:rsid w:val="72B96618"/>
    <w:rsid w:val="72B9761A"/>
    <w:rsid w:val="72BA6194"/>
    <w:rsid w:val="72BA698C"/>
    <w:rsid w:val="72BA7D84"/>
    <w:rsid w:val="72BD41FD"/>
    <w:rsid w:val="72C03B34"/>
    <w:rsid w:val="72C046E9"/>
    <w:rsid w:val="72C21A1E"/>
    <w:rsid w:val="72C3410F"/>
    <w:rsid w:val="72C619A7"/>
    <w:rsid w:val="72C62D8B"/>
    <w:rsid w:val="72C84D65"/>
    <w:rsid w:val="72C87F62"/>
    <w:rsid w:val="72C90BEC"/>
    <w:rsid w:val="72CA153A"/>
    <w:rsid w:val="72CB076D"/>
    <w:rsid w:val="72CB7276"/>
    <w:rsid w:val="72CC6ED9"/>
    <w:rsid w:val="72CE3E8F"/>
    <w:rsid w:val="72CF4648"/>
    <w:rsid w:val="72D10D38"/>
    <w:rsid w:val="72D40D9F"/>
    <w:rsid w:val="72D43F1C"/>
    <w:rsid w:val="72D8486C"/>
    <w:rsid w:val="72D84E27"/>
    <w:rsid w:val="72DA54EF"/>
    <w:rsid w:val="72DB23DB"/>
    <w:rsid w:val="72DE0E6E"/>
    <w:rsid w:val="72DF4D1A"/>
    <w:rsid w:val="72E11525"/>
    <w:rsid w:val="72E118A5"/>
    <w:rsid w:val="72E15E16"/>
    <w:rsid w:val="72E245AC"/>
    <w:rsid w:val="72E256EB"/>
    <w:rsid w:val="72E4307C"/>
    <w:rsid w:val="72E454F8"/>
    <w:rsid w:val="72E64DB5"/>
    <w:rsid w:val="72E76DE5"/>
    <w:rsid w:val="72EA2DB2"/>
    <w:rsid w:val="72EA3830"/>
    <w:rsid w:val="72EB114B"/>
    <w:rsid w:val="72EB6DAF"/>
    <w:rsid w:val="72EC6144"/>
    <w:rsid w:val="72EC6569"/>
    <w:rsid w:val="72EF0BFA"/>
    <w:rsid w:val="72EF5750"/>
    <w:rsid w:val="72F07B01"/>
    <w:rsid w:val="72F07C85"/>
    <w:rsid w:val="72F12786"/>
    <w:rsid w:val="72F24561"/>
    <w:rsid w:val="72F4387F"/>
    <w:rsid w:val="72F47D48"/>
    <w:rsid w:val="72F53E2B"/>
    <w:rsid w:val="72F54E23"/>
    <w:rsid w:val="72F64DAE"/>
    <w:rsid w:val="72FA37C8"/>
    <w:rsid w:val="72FA6279"/>
    <w:rsid w:val="72FB533C"/>
    <w:rsid w:val="72FC64ED"/>
    <w:rsid w:val="72FD0B11"/>
    <w:rsid w:val="72FD52FD"/>
    <w:rsid w:val="72FF5E52"/>
    <w:rsid w:val="72FF613E"/>
    <w:rsid w:val="730076A1"/>
    <w:rsid w:val="73010267"/>
    <w:rsid w:val="73054B10"/>
    <w:rsid w:val="73073BDD"/>
    <w:rsid w:val="730747AC"/>
    <w:rsid w:val="730928A8"/>
    <w:rsid w:val="730A23A4"/>
    <w:rsid w:val="730B6BB0"/>
    <w:rsid w:val="730C2D69"/>
    <w:rsid w:val="730E5427"/>
    <w:rsid w:val="73125FD0"/>
    <w:rsid w:val="7313619F"/>
    <w:rsid w:val="73143B48"/>
    <w:rsid w:val="731474B6"/>
    <w:rsid w:val="73155AC0"/>
    <w:rsid w:val="73171495"/>
    <w:rsid w:val="731723DB"/>
    <w:rsid w:val="73173BCC"/>
    <w:rsid w:val="73173D5D"/>
    <w:rsid w:val="73175C2B"/>
    <w:rsid w:val="73184C9C"/>
    <w:rsid w:val="73186167"/>
    <w:rsid w:val="731902B0"/>
    <w:rsid w:val="73192D48"/>
    <w:rsid w:val="731D26C3"/>
    <w:rsid w:val="731D413A"/>
    <w:rsid w:val="731F3CB6"/>
    <w:rsid w:val="73206522"/>
    <w:rsid w:val="73234439"/>
    <w:rsid w:val="7323703D"/>
    <w:rsid w:val="732401EB"/>
    <w:rsid w:val="73256740"/>
    <w:rsid w:val="73271FB1"/>
    <w:rsid w:val="73280052"/>
    <w:rsid w:val="7328493A"/>
    <w:rsid w:val="73285C21"/>
    <w:rsid w:val="73295DE3"/>
    <w:rsid w:val="732B0777"/>
    <w:rsid w:val="732B3CF3"/>
    <w:rsid w:val="732B7A94"/>
    <w:rsid w:val="732C2FAA"/>
    <w:rsid w:val="733028FA"/>
    <w:rsid w:val="733033A5"/>
    <w:rsid w:val="7330495C"/>
    <w:rsid w:val="73304B69"/>
    <w:rsid w:val="73307239"/>
    <w:rsid w:val="73314178"/>
    <w:rsid w:val="733210E9"/>
    <w:rsid w:val="733215DA"/>
    <w:rsid w:val="73330E59"/>
    <w:rsid w:val="73341B89"/>
    <w:rsid w:val="733503EA"/>
    <w:rsid w:val="73371CF3"/>
    <w:rsid w:val="733777E5"/>
    <w:rsid w:val="73381502"/>
    <w:rsid w:val="73387732"/>
    <w:rsid w:val="7339611F"/>
    <w:rsid w:val="733A72D5"/>
    <w:rsid w:val="733B599F"/>
    <w:rsid w:val="733C52DC"/>
    <w:rsid w:val="733D0BB5"/>
    <w:rsid w:val="733E3661"/>
    <w:rsid w:val="733E72D8"/>
    <w:rsid w:val="73411767"/>
    <w:rsid w:val="73415F19"/>
    <w:rsid w:val="73417FFC"/>
    <w:rsid w:val="734310CD"/>
    <w:rsid w:val="7343639D"/>
    <w:rsid w:val="73447991"/>
    <w:rsid w:val="73467A28"/>
    <w:rsid w:val="73482C4F"/>
    <w:rsid w:val="734C7527"/>
    <w:rsid w:val="7350387C"/>
    <w:rsid w:val="7352573A"/>
    <w:rsid w:val="73532CF6"/>
    <w:rsid w:val="73571B66"/>
    <w:rsid w:val="73571C35"/>
    <w:rsid w:val="73572574"/>
    <w:rsid w:val="7359544A"/>
    <w:rsid w:val="73595473"/>
    <w:rsid w:val="73595F44"/>
    <w:rsid w:val="735B0E4A"/>
    <w:rsid w:val="735E21EF"/>
    <w:rsid w:val="735E2E61"/>
    <w:rsid w:val="735F41C0"/>
    <w:rsid w:val="736121B3"/>
    <w:rsid w:val="73617C6E"/>
    <w:rsid w:val="73623F72"/>
    <w:rsid w:val="73625D4D"/>
    <w:rsid w:val="73633A96"/>
    <w:rsid w:val="73657F8E"/>
    <w:rsid w:val="736C1753"/>
    <w:rsid w:val="736D3206"/>
    <w:rsid w:val="736D46B7"/>
    <w:rsid w:val="736E4DCA"/>
    <w:rsid w:val="736F36F0"/>
    <w:rsid w:val="73702CF6"/>
    <w:rsid w:val="737464ED"/>
    <w:rsid w:val="73753A76"/>
    <w:rsid w:val="7376359C"/>
    <w:rsid w:val="73774085"/>
    <w:rsid w:val="7377601E"/>
    <w:rsid w:val="73776C57"/>
    <w:rsid w:val="73781BAB"/>
    <w:rsid w:val="73781C80"/>
    <w:rsid w:val="73794114"/>
    <w:rsid w:val="737A6E79"/>
    <w:rsid w:val="737B1768"/>
    <w:rsid w:val="737C27BB"/>
    <w:rsid w:val="737E0A93"/>
    <w:rsid w:val="737E2D49"/>
    <w:rsid w:val="737E62EA"/>
    <w:rsid w:val="737F0016"/>
    <w:rsid w:val="737F00BD"/>
    <w:rsid w:val="738000CE"/>
    <w:rsid w:val="73811BCC"/>
    <w:rsid w:val="7382375A"/>
    <w:rsid w:val="73824E39"/>
    <w:rsid w:val="73832A2A"/>
    <w:rsid w:val="7383644E"/>
    <w:rsid w:val="73854531"/>
    <w:rsid w:val="73867F4F"/>
    <w:rsid w:val="738714BD"/>
    <w:rsid w:val="738717B2"/>
    <w:rsid w:val="738A277B"/>
    <w:rsid w:val="738B18DE"/>
    <w:rsid w:val="738E44A0"/>
    <w:rsid w:val="738E7C78"/>
    <w:rsid w:val="738F46B4"/>
    <w:rsid w:val="738F73A5"/>
    <w:rsid w:val="73911EAB"/>
    <w:rsid w:val="73915C3E"/>
    <w:rsid w:val="73916786"/>
    <w:rsid w:val="73926BEA"/>
    <w:rsid w:val="73951FDA"/>
    <w:rsid w:val="73960855"/>
    <w:rsid w:val="739805C9"/>
    <w:rsid w:val="73981CFF"/>
    <w:rsid w:val="739A26F2"/>
    <w:rsid w:val="739A4736"/>
    <w:rsid w:val="739B34C8"/>
    <w:rsid w:val="739C32DE"/>
    <w:rsid w:val="739E1728"/>
    <w:rsid w:val="739F7A31"/>
    <w:rsid w:val="73A02439"/>
    <w:rsid w:val="73A05C98"/>
    <w:rsid w:val="73A34900"/>
    <w:rsid w:val="73A34E7A"/>
    <w:rsid w:val="73A50D7E"/>
    <w:rsid w:val="73A542CB"/>
    <w:rsid w:val="73A66CA8"/>
    <w:rsid w:val="73A803B4"/>
    <w:rsid w:val="73A96FD1"/>
    <w:rsid w:val="73AB0144"/>
    <w:rsid w:val="73AB0341"/>
    <w:rsid w:val="73AB4594"/>
    <w:rsid w:val="73AD0F38"/>
    <w:rsid w:val="73AF0E71"/>
    <w:rsid w:val="73AF3EDF"/>
    <w:rsid w:val="73B03EE8"/>
    <w:rsid w:val="73B10EE9"/>
    <w:rsid w:val="73B441DE"/>
    <w:rsid w:val="73B70E7C"/>
    <w:rsid w:val="73B772AE"/>
    <w:rsid w:val="73BA5503"/>
    <w:rsid w:val="73BB1C76"/>
    <w:rsid w:val="73BB49CC"/>
    <w:rsid w:val="73BC542C"/>
    <w:rsid w:val="73BE3A62"/>
    <w:rsid w:val="73BE6AF6"/>
    <w:rsid w:val="73BE7C17"/>
    <w:rsid w:val="73BF2175"/>
    <w:rsid w:val="73C13276"/>
    <w:rsid w:val="73C436BC"/>
    <w:rsid w:val="73C511E4"/>
    <w:rsid w:val="73C93546"/>
    <w:rsid w:val="73CB0FBB"/>
    <w:rsid w:val="73CB6E4C"/>
    <w:rsid w:val="73CC7758"/>
    <w:rsid w:val="73CE4D9F"/>
    <w:rsid w:val="73CF5C6F"/>
    <w:rsid w:val="73D13A18"/>
    <w:rsid w:val="73D20C46"/>
    <w:rsid w:val="73D25743"/>
    <w:rsid w:val="73D344C4"/>
    <w:rsid w:val="73D43285"/>
    <w:rsid w:val="73D81F07"/>
    <w:rsid w:val="73D877B6"/>
    <w:rsid w:val="73DA47F3"/>
    <w:rsid w:val="73DB4062"/>
    <w:rsid w:val="73DB654B"/>
    <w:rsid w:val="73DC0D56"/>
    <w:rsid w:val="73E16BA6"/>
    <w:rsid w:val="73E208E9"/>
    <w:rsid w:val="73E27B77"/>
    <w:rsid w:val="73E27BE9"/>
    <w:rsid w:val="73E32D82"/>
    <w:rsid w:val="73E40DF4"/>
    <w:rsid w:val="73E50044"/>
    <w:rsid w:val="73E5381E"/>
    <w:rsid w:val="73E5505E"/>
    <w:rsid w:val="73E86D31"/>
    <w:rsid w:val="73E93183"/>
    <w:rsid w:val="73EA00A2"/>
    <w:rsid w:val="73EA449F"/>
    <w:rsid w:val="73EC78A5"/>
    <w:rsid w:val="73EE0B0F"/>
    <w:rsid w:val="73EE5AA3"/>
    <w:rsid w:val="73EE76F6"/>
    <w:rsid w:val="73EF3F28"/>
    <w:rsid w:val="73EF4563"/>
    <w:rsid w:val="73EF51D2"/>
    <w:rsid w:val="73F12089"/>
    <w:rsid w:val="73F2195D"/>
    <w:rsid w:val="73F2265F"/>
    <w:rsid w:val="73F24EA7"/>
    <w:rsid w:val="73F406E1"/>
    <w:rsid w:val="73F526D2"/>
    <w:rsid w:val="73F531FC"/>
    <w:rsid w:val="73F5364A"/>
    <w:rsid w:val="73F720C5"/>
    <w:rsid w:val="73F9563A"/>
    <w:rsid w:val="73FC0A2E"/>
    <w:rsid w:val="73FE4A4A"/>
    <w:rsid w:val="73FE7808"/>
    <w:rsid w:val="7400051E"/>
    <w:rsid w:val="740149F9"/>
    <w:rsid w:val="74047947"/>
    <w:rsid w:val="74053C15"/>
    <w:rsid w:val="74056225"/>
    <w:rsid w:val="74060014"/>
    <w:rsid w:val="7406023B"/>
    <w:rsid w:val="740B2A1F"/>
    <w:rsid w:val="740D37B3"/>
    <w:rsid w:val="740E2499"/>
    <w:rsid w:val="74100450"/>
    <w:rsid w:val="74101EAC"/>
    <w:rsid w:val="741209CA"/>
    <w:rsid w:val="74136502"/>
    <w:rsid w:val="741600B2"/>
    <w:rsid w:val="74167C52"/>
    <w:rsid w:val="7417696C"/>
    <w:rsid w:val="74184B0B"/>
    <w:rsid w:val="74185868"/>
    <w:rsid w:val="74186DBA"/>
    <w:rsid w:val="741A560A"/>
    <w:rsid w:val="741A627F"/>
    <w:rsid w:val="741B180C"/>
    <w:rsid w:val="741B2313"/>
    <w:rsid w:val="741F068B"/>
    <w:rsid w:val="74201DF7"/>
    <w:rsid w:val="74203B7E"/>
    <w:rsid w:val="7422105B"/>
    <w:rsid w:val="7425388F"/>
    <w:rsid w:val="7426187A"/>
    <w:rsid w:val="74280110"/>
    <w:rsid w:val="742A77E0"/>
    <w:rsid w:val="742F1D27"/>
    <w:rsid w:val="743106D8"/>
    <w:rsid w:val="74316942"/>
    <w:rsid w:val="74331A11"/>
    <w:rsid w:val="74354375"/>
    <w:rsid w:val="7436347F"/>
    <w:rsid w:val="74382AAD"/>
    <w:rsid w:val="743A1C8D"/>
    <w:rsid w:val="743B202F"/>
    <w:rsid w:val="743C0A62"/>
    <w:rsid w:val="743F4532"/>
    <w:rsid w:val="7440129F"/>
    <w:rsid w:val="74405A74"/>
    <w:rsid w:val="74413F6F"/>
    <w:rsid w:val="744177A2"/>
    <w:rsid w:val="74440F40"/>
    <w:rsid w:val="74467C43"/>
    <w:rsid w:val="74476928"/>
    <w:rsid w:val="74476F53"/>
    <w:rsid w:val="744B56A6"/>
    <w:rsid w:val="744C19F6"/>
    <w:rsid w:val="744C72C0"/>
    <w:rsid w:val="744D4098"/>
    <w:rsid w:val="744D5C75"/>
    <w:rsid w:val="744F3D23"/>
    <w:rsid w:val="74510A42"/>
    <w:rsid w:val="74575C64"/>
    <w:rsid w:val="745F5036"/>
    <w:rsid w:val="74604B16"/>
    <w:rsid w:val="74643A5B"/>
    <w:rsid w:val="746A5899"/>
    <w:rsid w:val="746C27A6"/>
    <w:rsid w:val="746D5676"/>
    <w:rsid w:val="746E36DA"/>
    <w:rsid w:val="746F5BDE"/>
    <w:rsid w:val="747165BC"/>
    <w:rsid w:val="747738D9"/>
    <w:rsid w:val="747872D2"/>
    <w:rsid w:val="747A3B4A"/>
    <w:rsid w:val="747C21A6"/>
    <w:rsid w:val="747F5CF7"/>
    <w:rsid w:val="74806708"/>
    <w:rsid w:val="748117ED"/>
    <w:rsid w:val="74820F33"/>
    <w:rsid w:val="74831C9D"/>
    <w:rsid w:val="74856C75"/>
    <w:rsid w:val="748635B1"/>
    <w:rsid w:val="74891763"/>
    <w:rsid w:val="748958E6"/>
    <w:rsid w:val="748A228C"/>
    <w:rsid w:val="748C0004"/>
    <w:rsid w:val="748C1DB2"/>
    <w:rsid w:val="748C33E2"/>
    <w:rsid w:val="748C6FC2"/>
    <w:rsid w:val="748C78B7"/>
    <w:rsid w:val="748E2836"/>
    <w:rsid w:val="748F3650"/>
    <w:rsid w:val="7491346A"/>
    <w:rsid w:val="74915B93"/>
    <w:rsid w:val="749404AA"/>
    <w:rsid w:val="7495533C"/>
    <w:rsid w:val="749D1B3A"/>
    <w:rsid w:val="74A069DC"/>
    <w:rsid w:val="74A1002D"/>
    <w:rsid w:val="74A277C2"/>
    <w:rsid w:val="74A30465"/>
    <w:rsid w:val="74A40C7B"/>
    <w:rsid w:val="74A454C3"/>
    <w:rsid w:val="74A51A8E"/>
    <w:rsid w:val="74A619A9"/>
    <w:rsid w:val="74A656E2"/>
    <w:rsid w:val="74A76BEC"/>
    <w:rsid w:val="74AB7552"/>
    <w:rsid w:val="74AD21F0"/>
    <w:rsid w:val="74AD6818"/>
    <w:rsid w:val="74AF3A97"/>
    <w:rsid w:val="74AF784E"/>
    <w:rsid w:val="74B0661F"/>
    <w:rsid w:val="74B12817"/>
    <w:rsid w:val="74B144D5"/>
    <w:rsid w:val="74B51309"/>
    <w:rsid w:val="74B64EDE"/>
    <w:rsid w:val="74B67B3B"/>
    <w:rsid w:val="74B704E9"/>
    <w:rsid w:val="74B9303A"/>
    <w:rsid w:val="74BA12A8"/>
    <w:rsid w:val="74BB1F1D"/>
    <w:rsid w:val="74BD1F6B"/>
    <w:rsid w:val="74BD640F"/>
    <w:rsid w:val="74BE49DA"/>
    <w:rsid w:val="74C00187"/>
    <w:rsid w:val="74C36E18"/>
    <w:rsid w:val="74C51228"/>
    <w:rsid w:val="74C66D1B"/>
    <w:rsid w:val="74C80EE7"/>
    <w:rsid w:val="74CA039D"/>
    <w:rsid w:val="74CD4F32"/>
    <w:rsid w:val="74CE024A"/>
    <w:rsid w:val="74CE06B6"/>
    <w:rsid w:val="74CE5F27"/>
    <w:rsid w:val="74D34899"/>
    <w:rsid w:val="74D45F6D"/>
    <w:rsid w:val="74D51191"/>
    <w:rsid w:val="74D5362F"/>
    <w:rsid w:val="74D6302D"/>
    <w:rsid w:val="74D66E38"/>
    <w:rsid w:val="74D81C1D"/>
    <w:rsid w:val="74D85510"/>
    <w:rsid w:val="74D9650D"/>
    <w:rsid w:val="74DA01F0"/>
    <w:rsid w:val="74DA2F1D"/>
    <w:rsid w:val="74DA76D2"/>
    <w:rsid w:val="74DB006E"/>
    <w:rsid w:val="74DF6386"/>
    <w:rsid w:val="74E03C1D"/>
    <w:rsid w:val="74E5580B"/>
    <w:rsid w:val="74E6482E"/>
    <w:rsid w:val="74E665A6"/>
    <w:rsid w:val="74E67B6A"/>
    <w:rsid w:val="74E94073"/>
    <w:rsid w:val="74EB1048"/>
    <w:rsid w:val="74EB34AC"/>
    <w:rsid w:val="74EB3B55"/>
    <w:rsid w:val="74EB5A54"/>
    <w:rsid w:val="74ED6495"/>
    <w:rsid w:val="74EE2CC2"/>
    <w:rsid w:val="74EE7D29"/>
    <w:rsid w:val="74EF4D8C"/>
    <w:rsid w:val="74F004E0"/>
    <w:rsid w:val="74F17E67"/>
    <w:rsid w:val="74F4724A"/>
    <w:rsid w:val="74F64829"/>
    <w:rsid w:val="74F72023"/>
    <w:rsid w:val="74F87447"/>
    <w:rsid w:val="74FB286D"/>
    <w:rsid w:val="75016C0B"/>
    <w:rsid w:val="7508436A"/>
    <w:rsid w:val="75095C3F"/>
    <w:rsid w:val="750C50D2"/>
    <w:rsid w:val="750C545F"/>
    <w:rsid w:val="750D49BD"/>
    <w:rsid w:val="750E3B07"/>
    <w:rsid w:val="75105BFD"/>
    <w:rsid w:val="751174B2"/>
    <w:rsid w:val="751338CB"/>
    <w:rsid w:val="75156CBC"/>
    <w:rsid w:val="75167684"/>
    <w:rsid w:val="75172572"/>
    <w:rsid w:val="75172863"/>
    <w:rsid w:val="7518213E"/>
    <w:rsid w:val="751A1E41"/>
    <w:rsid w:val="751A462B"/>
    <w:rsid w:val="751C3813"/>
    <w:rsid w:val="751F2134"/>
    <w:rsid w:val="752024D6"/>
    <w:rsid w:val="7522112E"/>
    <w:rsid w:val="7524018E"/>
    <w:rsid w:val="75243FB5"/>
    <w:rsid w:val="752552BD"/>
    <w:rsid w:val="752553E4"/>
    <w:rsid w:val="75263FB5"/>
    <w:rsid w:val="75280C2E"/>
    <w:rsid w:val="75297601"/>
    <w:rsid w:val="752B068C"/>
    <w:rsid w:val="752C20C8"/>
    <w:rsid w:val="75311775"/>
    <w:rsid w:val="7533392B"/>
    <w:rsid w:val="75351EC6"/>
    <w:rsid w:val="75363A2E"/>
    <w:rsid w:val="75367BFF"/>
    <w:rsid w:val="753700ED"/>
    <w:rsid w:val="75384AEE"/>
    <w:rsid w:val="753B5C2F"/>
    <w:rsid w:val="753C0510"/>
    <w:rsid w:val="753C37D8"/>
    <w:rsid w:val="753D041E"/>
    <w:rsid w:val="753D297C"/>
    <w:rsid w:val="753F6E72"/>
    <w:rsid w:val="75410DEE"/>
    <w:rsid w:val="75412835"/>
    <w:rsid w:val="7544443B"/>
    <w:rsid w:val="7547220E"/>
    <w:rsid w:val="7547323D"/>
    <w:rsid w:val="75497CA3"/>
    <w:rsid w:val="754B5C7D"/>
    <w:rsid w:val="754C32EF"/>
    <w:rsid w:val="754C50C8"/>
    <w:rsid w:val="754C74E6"/>
    <w:rsid w:val="754D3F7D"/>
    <w:rsid w:val="754E0E15"/>
    <w:rsid w:val="754E350B"/>
    <w:rsid w:val="75502DDF"/>
    <w:rsid w:val="755041A2"/>
    <w:rsid w:val="755328D0"/>
    <w:rsid w:val="7553467E"/>
    <w:rsid w:val="75556682"/>
    <w:rsid w:val="75566D02"/>
    <w:rsid w:val="755B0843"/>
    <w:rsid w:val="755C3532"/>
    <w:rsid w:val="755D1755"/>
    <w:rsid w:val="755F3731"/>
    <w:rsid w:val="75614045"/>
    <w:rsid w:val="7561536D"/>
    <w:rsid w:val="75622B13"/>
    <w:rsid w:val="75636A79"/>
    <w:rsid w:val="75644ADD"/>
    <w:rsid w:val="75650ACA"/>
    <w:rsid w:val="75660476"/>
    <w:rsid w:val="75662603"/>
    <w:rsid w:val="75680129"/>
    <w:rsid w:val="756F085C"/>
    <w:rsid w:val="756F60C5"/>
    <w:rsid w:val="75725844"/>
    <w:rsid w:val="7577036C"/>
    <w:rsid w:val="75775366"/>
    <w:rsid w:val="757803E7"/>
    <w:rsid w:val="7578148F"/>
    <w:rsid w:val="75785319"/>
    <w:rsid w:val="757B31B0"/>
    <w:rsid w:val="757B423C"/>
    <w:rsid w:val="757B7C16"/>
    <w:rsid w:val="75842E99"/>
    <w:rsid w:val="7584770C"/>
    <w:rsid w:val="75865AC0"/>
    <w:rsid w:val="75871FA0"/>
    <w:rsid w:val="75881ED0"/>
    <w:rsid w:val="75886994"/>
    <w:rsid w:val="758C32C1"/>
    <w:rsid w:val="758C7550"/>
    <w:rsid w:val="758D1214"/>
    <w:rsid w:val="758F44AB"/>
    <w:rsid w:val="758F558B"/>
    <w:rsid w:val="758F7F92"/>
    <w:rsid w:val="75904F2F"/>
    <w:rsid w:val="75907DA1"/>
    <w:rsid w:val="7592195F"/>
    <w:rsid w:val="75930F1E"/>
    <w:rsid w:val="75951864"/>
    <w:rsid w:val="759704B3"/>
    <w:rsid w:val="759756A6"/>
    <w:rsid w:val="75992388"/>
    <w:rsid w:val="75994786"/>
    <w:rsid w:val="759A2D14"/>
    <w:rsid w:val="759B0C75"/>
    <w:rsid w:val="759B4699"/>
    <w:rsid w:val="759E640B"/>
    <w:rsid w:val="759E7FEF"/>
    <w:rsid w:val="759F1F51"/>
    <w:rsid w:val="759F2EB2"/>
    <w:rsid w:val="75A00298"/>
    <w:rsid w:val="75A0088D"/>
    <w:rsid w:val="75A11D07"/>
    <w:rsid w:val="75A80B42"/>
    <w:rsid w:val="75A86B55"/>
    <w:rsid w:val="75A86E9E"/>
    <w:rsid w:val="75AB410E"/>
    <w:rsid w:val="75AB53D9"/>
    <w:rsid w:val="75B11C1C"/>
    <w:rsid w:val="75B238B5"/>
    <w:rsid w:val="75B26471"/>
    <w:rsid w:val="75B42D5B"/>
    <w:rsid w:val="75B532DF"/>
    <w:rsid w:val="75B55338"/>
    <w:rsid w:val="75B604CD"/>
    <w:rsid w:val="75B87CD6"/>
    <w:rsid w:val="75B91526"/>
    <w:rsid w:val="75BC30C5"/>
    <w:rsid w:val="75BC70E6"/>
    <w:rsid w:val="75BD792E"/>
    <w:rsid w:val="75C11375"/>
    <w:rsid w:val="75C22575"/>
    <w:rsid w:val="75C325C8"/>
    <w:rsid w:val="75C42A52"/>
    <w:rsid w:val="75C5557C"/>
    <w:rsid w:val="75C57F15"/>
    <w:rsid w:val="75C63733"/>
    <w:rsid w:val="75C80D8D"/>
    <w:rsid w:val="75C95EF4"/>
    <w:rsid w:val="75CB1A0A"/>
    <w:rsid w:val="75CB1EC9"/>
    <w:rsid w:val="75CB4B5C"/>
    <w:rsid w:val="75CB6939"/>
    <w:rsid w:val="75CC0798"/>
    <w:rsid w:val="75CC2E8E"/>
    <w:rsid w:val="75CD61DE"/>
    <w:rsid w:val="75CE41AA"/>
    <w:rsid w:val="75D14A39"/>
    <w:rsid w:val="75D25EEA"/>
    <w:rsid w:val="75D43A11"/>
    <w:rsid w:val="75D4756D"/>
    <w:rsid w:val="75D51D74"/>
    <w:rsid w:val="75D6157A"/>
    <w:rsid w:val="75D960DE"/>
    <w:rsid w:val="75DD619C"/>
    <w:rsid w:val="75DD70EE"/>
    <w:rsid w:val="75DF30E1"/>
    <w:rsid w:val="75E50FCD"/>
    <w:rsid w:val="75E7340C"/>
    <w:rsid w:val="75E74393"/>
    <w:rsid w:val="75E7646A"/>
    <w:rsid w:val="75E83E72"/>
    <w:rsid w:val="75E90518"/>
    <w:rsid w:val="75EA59C8"/>
    <w:rsid w:val="75ED1B7C"/>
    <w:rsid w:val="75ED5806"/>
    <w:rsid w:val="75F00550"/>
    <w:rsid w:val="75F23FC3"/>
    <w:rsid w:val="75F274A3"/>
    <w:rsid w:val="75F33EB5"/>
    <w:rsid w:val="75F573FC"/>
    <w:rsid w:val="75F57CC5"/>
    <w:rsid w:val="75F714AD"/>
    <w:rsid w:val="75F91251"/>
    <w:rsid w:val="75F95225"/>
    <w:rsid w:val="75FC2F67"/>
    <w:rsid w:val="7602052E"/>
    <w:rsid w:val="76026389"/>
    <w:rsid w:val="76027D36"/>
    <w:rsid w:val="760305BE"/>
    <w:rsid w:val="76030DA4"/>
    <w:rsid w:val="760315C3"/>
    <w:rsid w:val="7604052D"/>
    <w:rsid w:val="7604106E"/>
    <w:rsid w:val="76041644"/>
    <w:rsid w:val="760442A1"/>
    <w:rsid w:val="76066838"/>
    <w:rsid w:val="76075F8A"/>
    <w:rsid w:val="76086FCA"/>
    <w:rsid w:val="760A0905"/>
    <w:rsid w:val="760D0CD1"/>
    <w:rsid w:val="760E2D11"/>
    <w:rsid w:val="760F4EFB"/>
    <w:rsid w:val="761052BD"/>
    <w:rsid w:val="761052E2"/>
    <w:rsid w:val="76135BC0"/>
    <w:rsid w:val="761422CC"/>
    <w:rsid w:val="76147D8F"/>
    <w:rsid w:val="761678F6"/>
    <w:rsid w:val="76171B4F"/>
    <w:rsid w:val="7618341C"/>
    <w:rsid w:val="76195893"/>
    <w:rsid w:val="761D6AB0"/>
    <w:rsid w:val="761E3EAA"/>
    <w:rsid w:val="76200A04"/>
    <w:rsid w:val="7622053C"/>
    <w:rsid w:val="7627414A"/>
    <w:rsid w:val="76292DD6"/>
    <w:rsid w:val="762B7730"/>
    <w:rsid w:val="762B7C5C"/>
    <w:rsid w:val="762C5F85"/>
    <w:rsid w:val="762D3499"/>
    <w:rsid w:val="76300651"/>
    <w:rsid w:val="763335B4"/>
    <w:rsid w:val="76362158"/>
    <w:rsid w:val="76371486"/>
    <w:rsid w:val="76373F9F"/>
    <w:rsid w:val="76377E73"/>
    <w:rsid w:val="7639203F"/>
    <w:rsid w:val="763950E9"/>
    <w:rsid w:val="76395B14"/>
    <w:rsid w:val="763C5112"/>
    <w:rsid w:val="763E3AFC"/>
    <w:rsid w:val="76415263"/>
    <w:rsid w:val="764179AC"/>
    <w:rsid w:val="76483ED4"/>
    <w:rsid w:val="764A0CFF"/>
    <w:rsid w:val="764A480B"/>
    <w:rsid w:val="764B0E5F"/>
    <w:rsid w:val="764B425D"/>
    <w:rsid w:val="764C5AC0"/>
    <w:rsid w:val="764C6244"/>
    <w:rsid w:val="764D0846"/>
    <w:rsid w:val="764D41DD"/>
    <w:rsid w:val="764E2DB8"/>
    <w:rsid w:val="764E47A7"/>
    <w:rsid w:val="764F2508"/>
    <w:rsid w:val="764F53FA"/>
    <w:rsid w:val="764F593B"/>
    <w:rsid w:val="76503FD5"/>
    <w:rsid w:val="765107CD"/>
    <w:rsid w:val="76511AC8"/>
    <w:rsid w:val="76515314"/>
    <w:rsid w:val="76532B94"/>
    <w:rsid w:val="76580ECA"/>
    <w:rsid w:val="76581FBE"/>
    <w:rsid w:val="76593F16"/>
    <w:rsid w:val="765959AF"/>
    <w:rsid w:val="76597829"/>
    <w:rsid w:val="765B7613"/>
    <w:rsid w:val="765C41AC"/>
    <w:rsid w:val="76602EAA"/>
    <w:rsid w:val="76661141"/>
    <w:rsid w:val="766871ED"/>
    <w:rsid w:val="766A04F5"/>
    <w:rsid w:val="766A6123"/>
    <w:rsid w:val="766B57F4"/>
    <w:rsid w:val="766E32BC"/>
    <w:rsid w:val="76716C87"/>
    <w:rsid w:val="76721858"/>
    <w:rsid w:val="76735D63"/>
    <w:rsid w:val="76744B3D"/>
    <w:rsid w:val="76747C52"/>
    <w:rsid w:val="76754847"/>
    <w:rsid w:val="76764AC8"/>
    <w:rsid w:val="76766D66"/>
    <w:rsid w:val="76772AF9"/>
    <w:rsid w:val="76785017"/>
    <w:rsid w:val="767B366B"/>
    <w:rsid w:val="767E5FFC"/>
    <w:rsid w:val="76813A0F"/>
    <w:rsid w:val="768765E3"/>
    <w:rsid w:val="768947FB"/>
    <w:rsid w:val="7689764B"/>
    <w:rsid w:val="768D7A91"/>
    <w:rsid w:val="769169A8"/>
    <w:rsid w:val="769204ED"/>
    <w:rsid w:val="769211D6"/>
    <w:rsid w:val="76923C00"/>
    <w:rsid w:val="76983573"/>
    <w:rsid w:val="769A4C55"/>
    <w:rsid w:val="769C2189"/>
    <w:rsid w:val="769C690B"/>
    <w:rsid w:val="769D4AAD"/>
    <w:rsid w:val="769D65E5"/>
    <w:rsid w:val="76A10228"/>
    <w:rsid w:val="76A27430"/>
    <w:rsid w:val="76A4069E"/>
    <w:rsid w:val="76A4080F"/>
    <w:rsid w:val="76A43708"/>
    <w:rsid w:val="76A57D24"/>
    <w:rsid w:val="76A65EAB"/>
    <w:rsid w:val="76A827A7"/>
    <w:rsid w:val="76A85D65"/>
    <w:rsid w:val="76A96C4B"/>
    <w:rsid w:val="76A97F54"/>
    <w:rsid w:val="76AA0D99"/>
    <w:rsid w:val="76AA550D"/>
    <w:rsid w:val="76AC3F5D"/>
    <w:rsid w:val="76AC60A0"/>
    <w:rsid w:val="76AD5D0F"/>
    <w:rsid w:val="76AD6BCE"/>
    <w:rsid w:val="76AF02DA"/>
    <w:rsid w:val="76B321CC"/>
    <w:rsid w:val="76B37ACA"/>
    <w:rsid w:val="76B86EE9"/>
    <w:rsid w:val="76BA4DD3"/>
    <w:rsid w:val="76BC3390"/>
    <w:rsid w:val="76BD4F9E"/>
    <w:rsid w:val="76BE29EF"/>
    <w:rsid w:val="76C2585C"/>
    <w:rsid w:val="76C45102"/>
    <w:rsid w:val="76C46349"/>
    <w:rsid w:val="76C55F56"/>
    <w:rsid w:val="76C75DE8"/>
    <w:rsid w:val="76C80E5D"/>
    <w:rsid w:val="76C81DC6"/>
    <w:rsid w:val="76CD04E1"/>
    <w:rsid w:val="76CD500D"/>
    <w:rsid w:val="76D02EE5"/>
    <w:rsid w:val="76D26B52"/>
    <w:rsid w:val="76D540D6"/>
    <w:rsid w:val="76D679A4"/>
    <w:rsid w:val="76DC767E"/>
    <w:rsid w:val="76DE49AA"/>
    <w:rsid w:val="76E0164E"/>
    <w:rsid w:val="76E56368"/>
    <w:rsid w:val="76E804FA"/>
    <w:rsid w:val="76E8767F"/>
    <w:rsid w:val="76ED3D10"/>
    <w:rsid w:val="76EE0B02"/>
    <w:rsid w:val="76EE11FB"/>
    <w:rsid w:val="76EE6D42"/>
    <w:rsid w:val="76F23FC7"/>
    <w:rsid w:val="76F412A9"/>
    <w:rsid w:val="76F44D97"/>
    <w:rsid w:val="76F44F2E"/>
    <w:rsid w:val="76F5186E"/>
    <w:rsid w:val="76F61A44"/>
    <w:rsid w:val="76F7153E"/>
    <w:rsid w:val="76F7289A"/>
    <w:rsid w:val="76F82DEF"/>
    <w:rsid w:val="76F9520C"/>
    <w:rsid w:val="76FB09EC"/>
    <w:rsid w:val="76FD2AF3"/>
    <w:rsid w:val="76FF2BA8"/>
    <w:rsid w:val="77022C73"/>
    <w:rsid w:val="77032FED"/>
    <w:rsid w:val="7705169F"/>
    <w:rsid w:val="7706409E"/>
    <w:rsid w:val="77065E4C"/>
    <w:rsid w:val="770A5FA4"/>
    <w:rsid w:val="770B1D94"/>
    <w:rsid w:val="770C0A8E"/>
    <w:rsid w:val="770D416E"/>
    <w:rsid w:val="770E5291"/>
    <w:rsid w:val="770F1AE4"/>
    <w:rsid w:val="77113F11"/>
    <w:rsid w:val="771147F0"/>
    <w:rsid w:val="77127236"/>
    <w:rsid w:val="77162FE6"/>
    <w:rsid w:val="7716402D"/>
    <w:rsid w:val="771820F3"/>
    <w:rsid w:val="77185548"/>
    <w:rsid w:val="77194E98"/>
    <w:rsid w:val="771C5C4B"/>
    <w:rsid w:val="771D13E7"/>
    <w:rsid w:val="771E1D8B"/>
    <w:rsid w:val="771F1393"/>
    <w:rsid w:val="772067E2"/>
    <w:rsid w:val="77211EE8"/>
    <w:rsid w:val="77212C85"/>
    <w:rsid w:val="772207AC"/>
    <w:rsid w:val="77277E1B"/>
    <w:rsid w:val="772906AC"/>
    <w:rsid w:val="772B7660"/>
    <w:rsid w:val="772E0191"/>
    <w:rsid w:val="772F0D2F"/>
    <w:rsid w:val="77363FC4"/>
    <w:rsid w:val="7737487A"/>
    <w:rsid w:val="77382510"/>
    <w:rsid w:val="773A0A2A"/>
    <w:rsid w:val="773A1A0E"/>
    <w:rsid w:val="773A6661"/>
    <w:rsid w:val="773B26A5"/>
    <w:rsid w:val="773B56CC"/>
    <w:rsid w:val="773C186D"/>
    <w:rsid w:val="773D6802"/>
    <w:rsid w:val="773F125C"/>
    <w:rsid w:val="773F4C77"/>
    <w:rsid w:val="77410E89"/>
    <w:rsid w:val="7742600D"/>
    <w:rsid w:val="774317DE"/>
    <w:rsid w:val="77431C01"/>
    <w:rsid w:val="7743682A"/>
    <w:rsid w:val="774401D5"/>
    <w:rsid w:val="774517AF"/>
    <w:rsid w:val="774552A5"/>
    <w:rsid w:val="774629E1"/>
    <w:rsid w:val="77475C75"/>
    <w:rsid w:val="774770D4"/>
    <w:rsid w:val="77484193"/>
    <w:rsid w:val="774846FB"/>
    <w:rsid w:val="774A213A"/>
    <w:rsid w:val="774D3A7A"/>
    <w:rsid w:val="774F0B38"/>
    <w:rsid w:val="774F0E8D"/>
    <w:rsid w:val="77501958"/>
    <w:rsid w:val="77514D1F"/>
    <w:rsid w:val="77515E57"/>
    <w:rsid w:val="77533873"/>
    <w:rsid w:val="77535053"/>
    <w:rsid w:val="7753524E"/>
    <w:rsid w:val="7756747E"/>
    <w:rsid w:val="7758768D"/>
    <w:rsid w:val="77597B67"/>
    <w:rsid w:val="775A0FA1"/>
    <w:rsid w:val="775B50DF"/>
    <w:rsid w:val="775C07E8"/>
    <w:rsid w:val="775C78A5"/>
    <w:rsid w:val="775F4ECE"/>
    <w:rsid w:val="77617526"/>
    <w:rsid w:val="77622B75"/>
    <w:rsid w:val="7763059C"/>
    <w:rsid w:val="77633B05"/>
    <w:rsid w:val="77634506"/>
    <w:rsid w:val="77642BE3"/>
    <w:rsid w:val="77653AC7"/>
    <w:rsid w:val="77660A14"/>
    <w:rsid w:val="77660F57"/>
    <w:rsid w:val="776764AF"/>
    <w:rsid w:val="77677091"/>
    <w:rsid w:val="776D621E"/>
    <w:rsid w:val="777015B2"/>
    <w:rsid w:val="7776181F"/>
    <w:rsid w:val="77772213"/>
    <w:rsid w:val="77772C3E"/>
    <w:rsid w:val="777A5B56"/>
    <w:rsid w:val="777D2F2A"/>
    <w:rsid w:val="777E1F66"/>
    <w:rsid w:val="777E24DD"/>
    <w:rsid w:val="777F23C4"/>
    <w:rsid w:val="778048F7"/>
    <w:rsid w:val="778154D2"/>
    <w:rsid w:val="77823BCA"/>
    <w:rsid w:val="778463A4"/>
    <w:rsid w:val="778463E9"/>
    <w:rsid w:val="77877563"/>
    <w:rsid w:val="77891C63"/>
    <w:rsid w:val="7789236F"/>
    <w:rsid w:val="778B1797"/>
    <w:rsid w:val="778B6E18"/>
    <w:rsid w:val="778B7AA0"/>
    <w:rsid w:val="778C22FA"/>
    <w:rsid w:val="778F1029"/>
    <w:rsid w:val="778F528D"/>
    <w:rsid w:val="77903967"/>
    <w:rsid w:val="779046DB"/>
    <w:rsid w:val="77905D1A"/>
    <w:rsid w:val="77945C3B"/>
    <w:rsid w:val="77946614"/>
    <w:rsid w:val="779571D0"/>
    <w:rsid w:val="77962896"/>
    <w:rsid w:val="77965858"/>
    <w:rsid w:val="7799323D"/>
    <w:rsid w:val="779A2A38"/>
    <w:rsid w:val="779A614D"/>
    <w:rsid w:val="779B50FF"/>
    <w:rsid w:val="779C4A0C"/>
    <w:rsid w:val="77A403B7"/>
    <w:rsid w:val="77A411C1"/>
    <w:rsid w:val="77A515F8"/>
    <w:rsid w:val="77A5221A"/>
    <w:rsid w:val="77A56E14"/>
    <w:rsid w:val="77A60F36"/>
    <w:rsid w:val="77A614D3"/>
    <w:rsid w:val="77A64534"/>
    <w:rsid w:val="77A67875"/>
    <w:rsid w:val="77A70009"/>
    <w:rsid w:val="77A86506"/>
    <w:rsid w:val="77AB76CC"/>
    <w:rsid w:val="77AC6C43"/>
    <w:rsid w:val="77AC7A1A"/>
    <w:rsid w:val="77AE6807"/>
    <w:rsid w:val="77B02E8F"/>
    <w:rsid w:val="77B618C5"/>
    <w:rsid w:val="77B67DC2"/>
    <w:rsid w:val="77B700A4"/>
    <w:rsid w:val="77B93403"/>
    <w:rsid w:val="77BB1DBF"/>
    <w:rsid w:val="77BF458B"/>
    <w:rsid w:val="77C0634E"/>
    <w:rsid w:val="77C15D9F"/>
    <w:rsid w:val="77C36BAF"/>
    <w:rsid w:val="77C418DB"/>
    <w:rsid w:val="77C63621"/>
    <w:rsid w:val="77C81E5A"/>
    <w:rsid w:val="77C83101"/>
    <w:rsid w:val="77CA16D0"/>
    <w:rsid w:val="77CB4ADD"/>
    <w:rsid w:val="77CB733A"/>
    <w:rsid w:val="77CE088D"/>
    <w:rsid w:val="77D03E27"/>
    <w:rsid w:val="77D233C4"/>
    <w:rsid w:val="77D36498"/>
    <w:rsid w:val="77D405B6"/>
    <w:rsid w:val="77D444D1"/>
    <w:rsid w:val="77D66321"/>
    <w:rsid w:val="77D93C3D"/>
    <w:rsid w:val="77D966EF"/>
    <w:rsid w:val="77DA4657"/>
    <w:rsid w:val="77DD2B0E"/>
    <w:rsid w:val="77DD575C"/>
    <w:rsid w:val="77E026CD"/>
    <w:rsid w:val="77E05266"/>
    <w:rsid w:val="77E31BAE"/>
    <w:rsid w:val="77E676A5"/>
    <w:rsid w:val="77E71CEE"/>
    <w:rsid w:val="77E71F48"/>
    <w:rsid w:val="77E74EE3"/>
    <w:rsid w:val="77EA16F7"/>
    <w:rsid w:val="77EA18E8"/>
    <w:rsid w:val="77EC4333"/>
    <w:rsid w:val="77ED0DBA"/>
    <w:rsid w:val="77ED299C"/>
    <w:rsid w:val="77ED39F4"/>
    <w:rsid w:val="77EE1B68"/>
    <w:rsid w:val="77F003C8"/>
    <w:rsid w:val="77F14EE3"/>
    <w:rsid w:val="77F222B4"/>
    <w:rsid w:val="77F33E48"/>
    <w:rsid w:val="77F4345E"/>
    <w:rsid w:val="77F64EC5"/>
    <w:rsid w:val="77F70FE7"/>
    <w:rsid w:val="77FD31D7"/>
    <w:rsid w:val="77FF039A"/>
    <w:rsid w:val="77FF334F"/>
    <w:rsid w:val="78006BC5"/>
    <w:rsid w:val="78006D3F"/>
    <w:rsid w:val="78010547"/>
    <w:rsid w:val="7802242E"/>
    <w:rsid w:val="780305DD"/>
    <w:rsid w:val="78072925"/>
    <w:rsid w:val="78090CD5"/>
    <w:rsid w:val="780A633D"/>
    <w:rsid w:val="780D74B4"/>
    <w:rsid w:val="78102C9C"/>
    <w:rsid w:val="78107624"/>
    <w:rsid w:val="7811074D"/>
    <w:rsid w:val="781138FB"/>
    <w:rsid w:val="78120C34"/>
    <w:rsid w:val="78183C19"/>
    <w:rsid w:val="781976DF"/>
    <w:rsid w:val="781A5717"/>
    <w:rsid w:val="781B5539"/>
    <w:rsid w:val="781B5D3C"/>
    <w:rsid w:val="781C4DAA"/>
    <w:rsid w:val="781D4ECB"/>
    <w:rsid w:val="781E522E"/>
    <w:rsid w:val="781E71C5"/>
    <w:rsid w:val="781F119B"/>
    <w:rsid w:val="78200518"/>
    <w:rsid w:val="782253EB"/>
    <w:rsid w:val="78252301"/>
    <w:rsid w:val="78281497"/>
    <w:rsid w:val="78310B27"/>
    <w:rsid w:val="78312D4F"/>
    <w:rsid w:val="7831514A"/>
    <w:rsid w:val="78321BF0"/>
    <w:rsid w:val="7835260B"/>
    <w:rsid w:val="783766D0"/>
    <w:rsid w:val="783806F3"/>
    <w:rsid w:val="783855E7"/>
    <w:rsid w:val="783A3E92"/>
    <w:rsid w:val="783A4ECE"/>
    <w:rsid w:val="783D2BAB"/>
    <w:rsid w:val="783E0AA6"/>
    <w:rsid w:val="78420CD3"/>
    <w:rsid w:val="78420D26"/>
    <w:rsid w:val="78424C0F"/>
    <w:rsid w:val="78425F69"/>
    <w:rsid w:val="784441FF"/>
    <w:rsid w:val="78462C27"/>
    <w:rsid w:val="784747CF"/>
    <w:rsid w:val="784A7FBA"/>
    <w:rsid w:val="784B5631"/>
    <w:rsid w:val="784D1858"/>
    <w:rsid w:val="784D7151"/>
    <w:rsid w:val="784F0663"/>
    <w:rsid w:val="784F296E"/>
    <w:rsid w:val="784F362A"/>
    <w:rsid w:val="785053C7"/>
    <w:rsid w:val="78505AD2"/>
    <w:rsid w:val="78516177"/>
    <w:rsid w:val="78520B72"/>
    <w:rsid w:val="78547A32"/>
    <w:rsid w:val="78574485"/>
    <w:rsid w:val="78586C50"/>
    <w:rsid w:val="785971BC"/>
    <w:rsid w:val="785D3E82"/>
    <w:rsid w:val="7862489F"/>
    <w:rsid w:val="7862752D"/>
    <w:rsid w:val="7863149B"/>
    <w:rsid w:val="7866231A"/>
    <w:rsid w:val="78672B34"/>
    <w:rsid w:val="7868427E"/>
    <w:rsid w:val="786A124A"/>
    <w:rsid w:val="786B323E"/>
    <w:rsid w:val="786B67A3"/>
    <w:rsid w:val="786D0B4A"/>
    <w:rsid w:val="786F3034"/>
    <w:rsid w:val="787071F6"/>
    <w:rsid w:val="787134AF"/>
    <w:rsid w:val="78714FEE"/>
    <w:rsid w:val="787156E6"/>
    <w:rsid w:val="78721054"/>
    <w:rsid w:val="787212BF"/>
    <w:rsid w:val="78741AB6"/>
    <w:rsid w:val="78757DBE"/>
    <w:rsid w:val="78766B01"/>
    <w:rsid w:val="787968AF"/>
    <w:rsid w:val="787E032B"/>
    <w:rsid w:val="78803638"/>
    <w:rsid w:val="78805AB1"/>
    <w:rsid w:val="78811755"/>
    <w:rsid w:val="788228FC"/>
    <w:rsid w:val="788350B3"/>
    <w:rsid w:val="78847598"/>
    <w:rsid w:val="78857E41"/>
    <w:rsid w:val="788A2AAC"/>
    <w:rsid w:val="788B412F"/>
    <w:rsid w:val="788B5463"/>
    <w:rsid w:val="788D0D8C"/>
    <w:rsid w:val="788D60F9"/>
    <w:rsid w:val="788E22F0"/>
    <w:rsid w:val="788F1E71"/>
    <w:rsid w:val="788F1F2C"/>
    <w:rsid w:val="788F236C"/>
    <w:rsid w:val="788F3275"/>
    <w:rsid w:val="788F57C2"/>
    <w:rsid w:val="7893699F"/>
    <w:rsid w:val="789434EE"/>
    <w:rsid w:val="78971AAA"/>
    <w:rsid w:val="78976F60"/>
    <w:rsid w:val="789806AB"/>
    <w:rsid w:val="78994A9D"/>
    <w:rsid w:val="789B5896"/>
    <w:rsid w:val="789D044F"/>
    <w:rsid w:val="789E7966"/>
    <w:rsid w:val="789F1C73"/>
    <w:rsid w:val="78A1048B"/>
    <w:rsid w:val="78A11DF8"/>
    <w:rsid w:val="78A219DC"/>
    <w:rsid w:val="78A23292"/>
    <w:rsid w:val="78A27A79"/>
    <w:rsid w:val="78A314FC"/>
    <w:rsid w:val="78A4040E"/>
    <w:rsid w:val="78A42B80"/>
    <w:rsid w:val="78A521A6"/>
    <w:rsid w:val="78A75421"/>
    <w:rsid w:val="78A75FDC"/>
    <w:rsid w:val="78AA0D19"/>
    <w:rsid w:val="78AC1364"/>
    <w:rsid w:val="78AE09EE"/>
    <w:rsid w:val="78AE4C74"/>
    <w:rsid w:val="78AE7E54"/>
    <w:rsid w:val="78B10090"/>
    <w:rsid w:val="78B13B79"/>
    <w:rsid w:val="78B20A31"/>
    <w:rsid w:val="78B36DE6"/>
    <w:rsid w:val="78B37090"/>
    <w:rsid w:val="78B506E9"/>
    <w:rsid w:val="78B6564F"/>
    <w:rsid w:val="78B83FF9"/>
    <w:rsid w:val="78BA5DF8"/>
    <w:rsid w:val="78BA6BC1"/>
    <w:rsid w:val="78BB5D2B"/>
    <w:rsid w:val="78BD6444"/>
    <w:rsid w:val="78BE617C"/>
    <w:rsid w:val="78BF6AF9"/>
    <w:rsid w:val="78C12CF0"/>
    <w:rsid w:val="78C13F09"/>
    <w:rsid w:val="78C458EC"/>
    <w:rsid w:val="78C60DF3"/>
    <w:rsid w:val="78C618FB"/>
    <w:rsid w:val="78C73739"/>
    <w:rsid w:val="78CB2A55"/>
    <w:rsid w:val="78CB545C"/>
    <w:rsid w:val="78CC171B"/>
    <w:rsid w:val="78CC4E73"/>
    <w:rsid w:val="78CF4E7A"/>
    <w:rsid w:val="78D0296D"/>
    <w:rsid w:val="78D068A4"/>
    <w:rsid w:val="78D07B5B"/>
    <w:rsid w:val="78D12A18"/>
    <w:rsid w:val="78D6184E"/>
    <w:rsid w:val="78D82CCD"/>
    <w:rsid w:val="78D91E70"/>
    <w:rsid w:val="78DE29FC"/>
    <w:rsid w:val="78DE6954"/>
    <w:rsid w:val="78DF5E3D"/>
    <w:rsid w:val="78E110F6"/>
    <w:rsid w:val="78E1748A"/>
    <w:rsid w:val="78E46536"/>
    <w:rsid w:val="78E8667F"/>
    <w:rsid w:val="78E977D3"/>
    <w:rsid w:val="78EA33B5"/>
    <w:rsid w:val="78ED3C99"/>
    <w:rsid w:val="78ED7112"/>
    <w:rsid w:val="78EE1CB0"/>
    <w:rsid w:val="78EE66B4"/>
    <w:rsid w:val="78EF5A5A"/>
    <w:rsid w:val="78F02A99"/>
    <w:rsid w:val="78F10B4E"/>
    <w:rsid w:val="78F14D36"/>
    <w:rsid w:val="78F33409"/>
    <w:rsid w:val="78F817C4"/>
    <w:rsid w:val="78F82AC6"/>
    <w:rsid w:val="78F94820"/>
    <w:rsid w:val="78F9553C"/>
    <w:rsid w:val="78FB431C"/>
    <w:rsid w:val="78FB7506"/>
    <w:rsid w:val="78FC58D8"/>
    <w:rsid w:val="78FC5F85"/>
    <w:rsid w:val="78FD0917"/>
    <w:rsid w:val="79001962"/>
    <w:rsid w:val="79016203"/>
    <w:rsid w:val="79025C82"/>
    <w:rsid w:val="79056287"/>
    <w:rsid w:val="790563C7"/>
    <w:rsid w:val="79065128"/>
    <w:rsid w:val="79077969"/>
    <w:rsid w:val="79084BE7"/>
    <w:rsid w:val="790A5EAF"/>
    <w:rsid w:val="790D2E05"/>
    <w:rsid w:val="790D7BDB"/>
    <w:rsid w:val="790F1A1A"/>
    <w:rsid w:val="790F7C59"/>
    <w:rsid w:val="79104F6A"/>
    <w:rsid w:val="79112886"/>
    <w:rsid w:val="79116E74"/>
    <w:rsid w:val="79126B71"/>
    <w:rsid w:val="79126D72"/>
    <w:rsid w:val="791523D4"/>
    <w:rsid w:val="79153CDF"/>
    <w:rsid w:val="79155BE7"/>
    <w:rsid w:val="79166AA4"/>
    <w:rsid w:val="791702F2"/>
    <w:rsid w:val="7917364A"/>
    <w:rsid w:val="79183D25"/>
    <w:rsid w:val="791A3CF0"/>
    <w:rsid w:val="791A69AE"/>
    <w:rsid w:val="791D12AF"/>
    <w:rsid w:val="791E60F2"/>
    <w:rsid w:val="791E6178"/>
    <w:rsid w:val="791F0796"/>
    <w:rsid w:val="791F0E8D"/>
    <w:rsid w:val="791F4EA4"/>
    <w:rsid w:val="79224A53"/>
    <w:rsid w:val="7923254F"/>
    <w:rsid w:val="792344F9"/>
    <w:rsid w:val="792415EC"/>
    <w:rsid w:val="79243C82"/>
    <w:rsid w:val="7927648D"/>
    <w:rsid w:val="792841C7"/>
    <w:rsid w:val="79294DC4"/>
    <w:rsid w:val="792955CC"/>
    <w:rsid w:val="792A3948"/>
    <w:rsid w:val="792D2361"/>
    <w:rsid w:val="79322FD6"/>
    <w:rsid w:val="79330C25"/>
    <w:rsid w:val="79350A7E"/>
    <w:rsid w:val="79395828"/>
    <w:rsid w:val="793A002E"/>
    <w:rsid w:val="793A42B3"/>
    <w:rsid w:val="793B0E77"/>
    <w:rsid w:val="793B2CC1"/>
    <w:rsid w:val="793B7903"/>
    <w:rsid w:val="793F3FAD"/>
    <w:rsid w:val="793F6071"/>
    <w:rsid w:val="794065F5"/>
    <w:rsid w:val="79416288"/>
    <w:rsid w:val="794602E4"/>
    <w:rsid w:val="794803AB"/>
    <w:rsid w:val="794810B8"/>
    <w:rsid w:val="794F06E3"/>
    <w:rsid w:val="79531F99"/>
    <w:rsid w:val="79532E9E"/>
    <w:rsid w:val="7954360D"/>
    <w:rsid w:val="79545989"/>
    <w:rsid w:val="795F1843"/>
    <w:rsid w:val="7961380D"/>
    <w:rsid w:val="796230E1"/>
    <w:rsid w:val="79636111"/>
    <w:rsid w:val="796427F2"/>
    <w:rsid w:val="79650AA5"/>
    <w:rsid w:val="79667075"/>
    <w:rsid w:val="7967694A"/>
    <w:rsid w:val="79690371"/>
    <w:rsid w:val="796933E0"/>
    <w:rsid w:val="79694470"/>
    <w:rsid w:val="796A7C25"/>
    <w:rsid w:val="796D4723"/>
    <w:rsid w:val="796F13ED"/>
    <w:rsid w:val="79714A51"/>
    <w:rsid w:val="79750FA0"/>
    <w:rsid w:val="7975660E"/>
    <w:rsid w:val="79756936"/>
    <w:rsid w:val="79771B18"/>
    <w:rsid w:val="797805C3"/>
    <w:rsid w:val="797953E8"/>
    <w:rsid w:val="797F0137"/>
    <w:rsid w:val="797F57D6"/>
    <w:rsid w:val="79815C5D"/>
    <w:rsid w:val="79821377"/>
    <w:rsid w:val="79841C0E"/>
    <w:rsid w:val="79855385"/>
    <w:rsid w:val="798660E0"/>
    <w:rsid w:val="79876514"/>
    <w:rsid w:val="798A5149"/>
    <w:rsid w:val="798E3D8B"/>
    <w:rsid w:val="798E460B"/>
    <w:rsid w:val="798F55ED"/>
    <w:rsid w:val="798F72AF"/>
    <w:rsid w:val="79940D4E"/>
    <w:rsid w:val="7994407E"/>
    <w:rsid w:val="7996121F"/>
    <w:rsid w:val="79962EBD"/>
    <w:rsid w:val="7996468E"/>
    <w:rsid w:val="79970A23"/>
    <w:rsid w:val="79977CEB"/>
    <w:rsid w:val="799843BD"/>
    <w:rsid w:val="79984D55"/>
    <w:rsid w:val="79992BCF"/>
    <w:rsid w:val="799D05BD"/>
    <w:rsid w:val="799D1EB8"/>
    <w:rsid w:val="799D2497"/>
    <w:rsid w:val="799F3431"/>
    <w:rsid w:val="79A0444F"/>
    <w:rsid w:val="79A1043E"/>
    <w:rsid w:val="79A27982"/>
    <w:rsid w:val="79A34096"/>
    <w:rsid w:val="79A35196"/>
    <w:rsid w:val="79A43FA9"/>
    <w:rsid w:val="79A8143C"/>
    <w:rsid w:val="79A8356A"/>
    <w:rsid w:val="79A83DFB"/>
    <w:rsid w:val="79A8508B"/>
    <w:rsid w:val="79AA3A5C"/>
    <w:rsid w:val="79AA7008"/>
    <w:rsid w:val="79AB2F2F"/>
    <w:rsid w:val="79AB3B8B"/>
    <w:rsid w:val="79AF4D92"/>
    <w:rsid w:val="79B52758"/>
    <w:rsid w:val="79B52A57"/>
    <w:rsid w:val="79B6278B"/>
    <w:rsid w:val="79B853F7"/>
    <w:rsid w:val="79B9021D"/>
    <w:rsid w:val="79BD47BC"/>
    <w:rsid w:val="79BD4930"/>
    <w:rsid w:val="79BD6E0F"/>
    <w:rsid w:val="79BE0D48"/>
    <w:rsid w:val="79C03BB0"/>
    <w:rsid w:val="79C1110F"/>
    <w:rsid w:val="79C11CEA"/>
    <w:rsid w:val="79C4092F"/>
    <w:rsid w:val="79C6542A"/>
    <w:rsid w:val="79C67B14"/>
    <w:rsid w:val="79CA2E18"/>
    <w:rsid w:val="79CC4220"/>
    <w:rsid w:val="79D02741"/>
    <w:rsid w:val="79D02FAA"/>
    <w:rsid w:val="79D06E6C"/>
    <w:rsid w:val="79D26511"/>
    <w:rsid w:val="79D61049"/>
    <w:rsid w:val="79D71821"/>
    <w:rsid w:val="79D7762B"/>
    <w:rsid w:val="79D96F90"/>
    <w:rsid w:val="79DA113E"/>
    <w:rsid w:val="79DD4AB1"/>
    <w:rsid w:val="79DE04C7"/>
    <w:rsid w:val="79DF0BD6"/>
    <w:rsid w:val="79DF70C3"/>
    <w:rsid w:val="79E26A94"/>
    <w:rsid w:val="79E3638D"/>
    <w:rsid w:val="79E453F0"/>
    <w:rsid w:val="79E663D9"/>
    <w:rsid w:val="79E67885"/>
    <w:rsid w:val="79E81839"/>
    <w:rsid w:val="79EB224B"/>
    <w:rsid w:val="79EC2DD9"/>
    <w:rsid w:val="79F04A0E"/>
    <w:rsid w:val="79F20909"/>
    <w:rsid w:val="79F301DD"/>
    <w:rsid w:val="79F44B96"/>
    <w:rsid w:val="79F67E12"/>
    <w:rsid w:val="79F821E0"/>
    <w:rsid w:val="79F86008"/>
    <w:rsid w:val="79F863F7"/>
    <w:rsid w:val="79F87D1D"/>
    <w:rsid w:val="79F9614E"/>
    <w:rsid w:val="79FB1726"/>
    <w:rsid w:val="79FE36EB"/>
    <w:rsid w:val="79FE72AE"/>
    <w:rsid w:val="79FF11AE"/>
    <w:rsid w:val="79FF5B24"/>
    <w:rsid w:val="7A012625"/>
    <w:rsid w:val="7A017CBF"/>
    <w:rsid w:val="7A027042"/>
    <w:rsid w:val="7A034BDB"/>
    <w:rsid w:val="7A047BD7"/>
    <w:rsid w:val="7A051230"/>
    <w:rsid w:val="7A053E51"/>
    <w:rsid w:val="7A05562A"/>
    <w:rsid w:val="7A0759A7"/>
    <w:rsid w:val="7A0B7F68"/>
    <w:rsid w:val="7A0E6710"/>
    <w:rsid w:val="7A107F05"/>
    <w:rsid w:val="7A141937"/>
    <w:rsid w:val="7A150154"/>
    <w:rsid w:val="7A170370"/>
    <w:rsid w:val="7A180D50"/>
    <w:rsid w:val="7A187C44"/>
    <w:rsid w:val="7A1926F8"/>
    <w:rsid w:val="7A1F0FD2"/>
    <w:rsid w:val="7A1F5B01"/>
    <w:rsid w:val="7A1F610D"/>
    <w:rsid w:val="7A221FFB"/>
    <w:rsid w:val="7A232B81"/>
    <w:rsid w:val="7A241491"/>
    <w:rsid w:val="7A255886"/>
    <w:rsid w:val="7A285271"/>
    <w:rsid w:val="7A2937CC"/>
    <w:rsid w:val="7A2C7417"/>
    <w:rsid w:val="7A3028B6"/>
    <w:rsid w:val="7A30523D"/>
    <w:rsid w:val="7A3161CF"/>
    <w:rsid w:val="7A316CCA"/>
    <w:rsid w:val="7A3249E0"/>
    <w:rsid w:val="7A32726F"/>
    <w:rsid w:val="7A346C5A"/>
    <w:rsid w:val="7A351BF4"/>
    <w:rsid w:val="7A37683A"/>
    <w:rsid w:val="7A3942BF"/>
    <w:rsid w:val="7A3A51EF"/>
    <w:rsid w:val="7A3B5B1E"/>
    <w:rsid w:val="7A3E1A11"/>
    <w:rsid w:val="7A3E297F"/>
    <w:rsid w:val="7A3E36D0"/>
    <w:rsid w:val="7A401675"/>
    <w:rsid w:val="7A4103C5"/>
    <w:rsid w:val="7A413198"/>
    <w:rsid w:val="7A4205B1"/>
    <w:rsid w:val="7A421904"/>
    <w:rsid w:val="7A4668DF"/>
    <w:rsid w:val="7A490C32"/>
    <w:rsid w:val="7A4B50F0"/>
    <w:rsid w:val="7A4C7A3F"/>
    <w:rsid w:val="7A5009BA"/>
    <w:rsid w:val="7A505398"/>
    <w:rsid w:val="7A505630"/>
    <w:rsid w:val="7A5158A7"/>
    <w:rsid w:val="7A51767C"/>
    <w:rsid w:val="7A5377A3"/>
    <w:rsid w:val="7A551BD0"/>
    <w:rsid w:val="7A5549F4"/>
    <w:rsid w:val="7A5634C7"/>
    <w:rsid w:val="7A566038"/>
    <w:rsid w:val="7A594A9A"/>
    <w:rsid w:val="7A5A3113"/>
    <w:rsid w:val="7A5B0F92"/>
    <w:rsid w:val="7A5D00D3"/>
    <w:rsid w:val="7A5D3BDC"/>
    <w:rsid w:val="7A5E7D4D"/>
    <w:rsid w:val="7A640F8B"/>
    <w:rsid w:val="7A6563BD"/>
    <w:rsid w:val="7A664E32"/>
    <w:rsid w:val="7A690B72"/>
    <w:rsid w:val="7A6B4218"/>
    <w:rsid w:val="7A6C73FA"/>
    <w:rsid w:val="7A6F1429"/>
    <w:rsid w:val="7A6F36C2"/>
    <w:rsid w:val="7A705493"/>
    <w:rsid w:val="7A7059B7"/>
    <w:rsid w:val="7A712795"/>
    <w:rsid w:val="7A7310B7"/>
    <w:rsid w:val="7A736164"/>
    <w:rsid w:val="7A744793"/>
    <w:rsid w:val="7A7525D7"/>
    <w:rsid w:val="7A7656A4"/>
    <w:rsid w:val="7A773114"/>
    <w:rsid w:val="7A7739C7"/>
    <w:rsid w:val="7A790AC7"/>
    <w:rsid w:val="7A7A0642"/>
    <w:rsid w:val="7A7A20E2"/>
    <w:rsid w:val="7A7C6658"/>
    <w:rsid w:val="7A7F4CC2"/>
    <w:rsid w:val="7A7F7C39"/>
    <w:rsid w:val="7A801F85"/>
    <w:rsid w:val="7A8038DB"/>
    <w:rsid w:val="7A8216E1"/>
    <w:rsid w:val="7A8342F9"/>
    <w:rsid w:val="7A866268"/>
    <w:rsid w:val="7A880937"/>
    <w:rsid w:val="7A88367C"/>
    <w:rsid w:val="7A8A00FA"/>
    <w:rsid w:val="7A8A6D94"/>
    <w:rsid w:val="7A8C40A1"/>
    <w:rsid w:val="7A8D6068"/>
    <w:rsid w:val="7A8E2BBE"/>
    <w:rsid w:val="7A8F4065"/>
    <w:rsid w:val="7A905FF9"/>
    <w:rsid w:val="7A921E8F"/>
    <w:rsid w:val="7A925C48"/>
    <w:rsid w:val="7A926835"/>
    <w:rsid w:val="7A96321C"/>
    <w:rsid w:val="7A970DFC"/>
    <w:rsid w:val="7A97325F"/>
    <w:rsid w:val="7A992B33"/>
    <w:rsid w:val="7A9C0E77"/>
    <w:rsid w:val="7A9C571C"/>
    <w:rsid w:val="7A9F669C"/>
    <w:rsid w:val="7AA168B7"/>
    <w:rsid w:val="7AA52329"/>
    <w:rsid w:val="7AA82E56"/>
    <w:rsid w:val="7AA8575C"/>
    <w:rsid w:val="7AA90F10"/>
    <w:rsid w:val="7AAB45F1"/>
    <w:rsid w:val="7AAC0949"/>
    <w:rsid w:val="7AAC6709"/>
    <w:rsid w:val="7AAD2E93"/>
    <w:rsid w:val="7AAF0090"/>
    <w:rsid w:val="7AAF380F"/>
    <w:rsid w:val="7AAF67FA"/>
    <w:rsid w:val="7AB20098"/>
    <w:rsid w:val="7AB66277"/>
    <w:rsid w:val="7AB745FB"/>
    <w:rsid w:val="7AB97EA5"/>
    <w:rsid w:val="7ABD778C"/>
    <w:rsid w:val="7ABE07AF"/>
    <w:rsid w:val="7ABE0FE7"/>
    <w:rsid w:val="7AC044E9"/>
    <w:rsid w:val="7AC10BEB"/>
    <w:rsid w:val="7AC21561"/>
    <w:rsid w:val="7AC322A6"/>
    <w:rsid w:val="7AC422D4"/>
    <w:rsid w:val="7AC656B4"/>
    <w:rsid w:val="7AC671FC"/>
    <w:rsid w:val="7AC756CA"/>
    <w:rsid w:val="7AC81E37"/>
    <w:rsid w:val="7ACA3634"/>
    <w:rsid w:val="7ACA3D07"/>
    <w:rsid w:val="7ACB36D3"/>
    <w:rsid w:val="7ACB5EBB"/>
    <w:rsid w:val="7ACD0A2E"/>
    <w:rsid w:val="7ACE0213"/>
    <w:rsid w:val="7ACE6DF1"/>
    <w:rsid w:val="7AD03D67"/>
    <w:rsid w:val="7AD1654C"/>
    <w:rsid w:val="7AD22788"/>
    <w:rsid w:val="7AD274DE"/>
    <w:rsid w:val="7AD42A8E"/>
    <w:rsid w:val="7AD53B39"/>
    <w:rsid w:val="7AD61253"/>
    <w:rsid w:val="7ADC7273"/>
    <w:rsid w:val="7ADD255B"/>
    <w:rsid w:val="7ADE5113"/>
    <w:rsid w:val="7AE00762"/>
    <w:rsid w:val="7AE04C06"/>
    <w:rsid w:val="7AE069B4"/>
    <w:rsid w:val="7AE127CE"/>
    <w:rsid w:val="7AE2272C"/>
    <w:rsid w:val="7AE300EB"/>
    <w:rsid w:val="7AE35816"/>
    <w:rsid w:val="7AE37568"/>
    <w:rsid w:val="7AE42CD7"/>
    <w:rsid w:val="7AE44936"/>
    <w:rsid w:val="7AE76DB2"/>
    <w:rsid w:val="7AE92624"/>
    <w:rsid w:val="7AEA15E0"/>
    <w:rsid w:val="7AEA61C1"/>
    <w:rsid w:val="7AEC512A"/>
    <w:rsid w:val="7AEC5358"/>
    <w:rsid w:val="7AEF2416"/>
    <w:rsid w:val="7AEF4884"/>
    <w:rsid w:val="7AF30B6C"/>
    <w:rsid w:val="7AF524FD"/>
    <w:rsid w:val="7AF56A37"/>
    <w:rsid w:val="7AF701BA"/>
    <w:rsid w:val="7AF8023C"/>
    <w:rsid w:val="7AF86ECA"/>
    <w:rsid w:val="7AFA1344"/>
    <w:rsid w:val="7AFB1A3F"/>
    <w:rsid w:val="7AFC477A"/>
    <w:rsid w:val="7AFE2E26"/>
    <w:rsid w:val="7B0025AE"/>
    <w:rsid w:val="7B002A12"/>
    <w:rsid w:val="7B0179D3"/>
    <w:rsid w:val="7B024305"/>
    <w:rsid w:val="7B0321EC"/>
    <w:rsid w:val="7B033277"/>
    <w:rsid w:val="7B0633AC"/>
    <w:rsid w:val="7B072192"/>
    <w:rsid w:val="7B075628"/>
    <w:rsid w:val="7B091C6D"/>
    <w:rsid w:val="7B0D02DA"/>
    <w:rsid w:val="7B0D53BF"/>
    <w:rsid w:val="7B101DAE"/>
    <w:rsid w:val="7B1112A8"/>
    <w:rsid w:val="7B1242D4"/>
    <w:rsid w:val="7B1255F1"/>
    <w:rsid w:val="7B1323FD"/>
    <w:rsid w:val="7B13300C"/>
    <w:rsid w:val="7B15123B"/>
    <w:rsid w:val="7B161345"/>
    <w:rsid w:val="7B17712D"/>
    <w:rsid w:val="7B1842FC"/>
    <w:rsid w:val="7B1851F4"/>
    <w:rsid w:val="7B185BF5"/>
    <w:rsid w:val="7B18614D"/>
    <w:rsid w:val="7B19077B"/>
    <w:rsid w:val="7B1974A3"/>
    <w:rsid w:val="7B1A27DF"/>
    <w:rsid w:val="7B1B3906"/>
    <w:rsid w:val="7B203254"/>
    <w:rsid w:val="7B204B25"/>
    <w:rsid w:val="7B241614"/>
    <w:rsid w:val="7B284020"/>
    <w:rsid w:val="7B291574"/>
    <w:rsid w:val="7B293BCF"/>
    <w:rsid w:val="7B2C0D33"/>
    <w:rsid w:val="7B2C7CCF"/>
    <w:rsid w:val="7B2D5EAD"/>
    <w:rsid w:val="7B2E30FD"/>
    <w:rsid w:val="7B2E3BC3"/>
    <w:rsid w:val="7B2F0085"/>
    <w:rsid w:val="7B2F53CE"/>
    <w:rsid w:val="7B304387"/>
    <w:rsid w:val="7B306AF3"/>
    <w:rsid w:val="7B310FBD"/>
    <w:rsid w:val="7B321380"/>
    <w:rsid w:val="7B324450"/>
    <w:rsid w:val="7B340D31"/>
    <w:rsid w:val="7B3436D6"/>
    <w:rsid w:val="7B353BEF"/>
    <w:rsid w:val="7B370016"/>
    <w:rsid w:val="7B3A7410"/>
    <w:rsid w:val="7B3F5E4D"/>
    <w:rsid w:val="7B4414F8"/>
    <w:rsid w:val="7B482C22"/>
    <w:rsid w:val="7B496531"/>
    <w:rsid w:val="7B49676D"/>
    <w:rsid w:val="7B496EDB"/>
    <w:rsid w:val="7B4A02D1"/>
    <w:rsid w:val="7B4C643E"/>
    <w:rsid w:val="7B512E8E"/>
    <w:rsid w:val="7B51564C"/>
    <w:rsid w:val="7B534407"/>
    <w:rsid w:val="7B550264"/>
    <w:rsid w:val="7B555980"/>
    <w:rsid w:val="7B56054D"/>
    <w:rsid w:val="7B561CA1"/>
    <w:rsid w:val="7B5A3133"/>
    <w:rsid w:val="7B5A48FF"/>
    <w:rsid w:val="7B5C4C49"/>
    <w:rsid w:val="7B5D43DA"/>
    <w:rsid w:val="7B5F5DA2"/>
    <w:rsid w:val="7B605592"/>
    <w:rsid w:val="7B613A84"/>
    <w:rsid w:val="7B6151AD"/>
    <w:rsid w:val="7B62355A"/>
    <w:rsid w:val="7B627E7E"/>
    <w:rsid w:val="7B640EC0"/>
    <w:rsid w:val="7B6427E4"/>
    <w:rsid w:val="7B655B06"/>
    <w:rsid w:val="7B663C85"/>
    <w:rsid w:val="7B685A41"/>
    <w:rsid w:val="7B690757"/>
    <w:rsid w:val="7B6B51FA"/>
    <w:rsid w:val="7B6D4748"/>
    <w:rsid w:val="7B6E6528"/>
    <w:rsid w:val="7B710B8F"/>
    <w:rsid w:val="7B717696"/>
    <w:rsid w:val="7B734E04"/>
    <w:rsid w:val="7B737455"/>
    <w:rsid w:val="7B754F5D"/>
    <w:rsid w:val="7B790CC5"/>
    <w:rsid w:val="7B7A0E0A"/>
    <w:rsid w:val="7B7C3EBB"/>
    <w:rsid w:val="7B7C5C59"/>
    <w:rsid w:val="7B7D2A38"/>
    <w:rsid w:val="7B81435C"/>
    <w:rsid w:val="7B82142D"/>
    <w:rsid w:val="7B8302DC"/>
    <w:rsid w:val="7B844D95"/>
    <w:rsid w:val="7B872905"/>
    <w:rsid w:val="7B87516F"/>
    <w:rsid w:val="7B8A4527"/>
    <w:rsid w:val="7B8A7AB5"/>
    <w:rsid w:val="7B8D21E3"/>
    <w:rsid w:val="7B8D6C92"/>
    <w:rsid w:val="7B901A57"/>
    <w:rsid w:val="7B917CAE"/>
    <w:rsid w:val="7B94453A"/>
    <w:rsid w:val="7B9566D5"/>
    <w:rsid w:val="7B960FBE"/>
    <w:rsid w:val="7B97761E"/>
    <w:rsid w:val="7B997D56"/>
    <w:rsid w:val="7B9A1E4C"/>
    <w:rsid w:val="7B9B50C8"/>
    <w:rsid w:val="7B9D7E48"/>
    <w:rsid w:val="7B9F5A77"/>
    <w:rsid w:val="7BA2199E"/>
    <w:rsid w:val="7BA35D11"/>
    <w:rsid w:val="7BA64C22"/>
    <w:rsid w:val="7BA6690D"/>
    <w:rsid w:val="7BA8139E"/>
    <w:rsid w:val="7BA952A1"/>
    <w:rsid w:val="7BA96C81"/>
    <w:rsid w:val="7BAC1326"/>
    <w:rsid w:val="7BAC764D"/>
    <w:rsid w:val="7BB24856"/>
    <w:rsid w:val="7BB30F3A"/>
    <w:rsid w:val="7BB46A6D"/>
    <w:rsid w:val="7BB55EC7"/>
    <w:rsid w:val="7BBA6DBB"/>
    <w:rsid w:val="7BBB3865"/>
    <w:rsid w:val="7BBC2FD2"/>
    <w:rsid w:val="7BBC3EC2"/>
    <w:rsid w:val="7BBD0AA3"/>
    <w:rsid w:val="7BBD72DA"/>
    <w:rsid w:val="7BBF0CBF"/>
    <w:rsid w:val="7BC066C6"/>
    <w:rsid w:val="7BC17CEF"/>
    <w:rsid w:val="7BC21706"/>
    <w:rsid w:val="7BC35641"/>
    <w:rsid w:val="7BC44416"/>
    <w:rsid w:val="7BC45ACC"/>
    <w:rsid w:val="7BC527FD"/>
    <w:rsid w:val="7BC720F8"/>
    <w:rsid w:val="7BC96520"/>
    <w:rsid w:val="7BCA3450"/>
    <w:rsid w:val="7BCC4892"/>
    <w:rsid w:val="7BCC6F38"/>
    <w:rsid w:val="7BCD329D"/>
    <w:rsid w:val="7BD22DFA"/>
    <w:rsid w:val="7BD429E9"/>
    <w:rsid w:val="7BD55DED"/>
    <w:rsid w:val="7BD76009"/>
    <w:rsid w:val="7BDA2DE3"/>
    <w:rsid w:val="7BDD144D"/>
    <w:rsid w:val="7BDE5223"/>
    <w:rsid w:val="7BDE60B8"/>
    <w:rsid w:val="7BDF6DB3"/>
    <w:rsid w:val="7BE129E3"/>
    <w:rsid w:val="7BE16E73"/>
    <w:rsid w:val="7BE306EF"/>
    <w:rsid w:val="7BE353B0"/>
    <w:rsid w:val="7BE431BA"/>
    <w:rsid w:val="7BE4710E"/>
    <w:rsid w:val="7BE547D0"/>
    <w:rsid w:val="7BE570C1"/>
    <w:rsid w:val="7BE66922"/>
    <w:rsid w:val="7BEA3FE8"/>
    <w:rsid w:val="7BEB27EE"/>
    <w:rsid w:val="7BEB633E"/>
    <w:rsid w:val="7BEE62DE"/>
    <w:rsid w:val="7BEF34C3"/>
    <w:rsid w:val="7BF12F4B"/>
    <w:rsid w:val="7BF31E76"/>
    <w:rsid w:val="7BF45335"/>
    <w:rsid w:val="7BF5648F"/>
    <w:rsid w:val="7BF74FFF"/>
    <w:rsid w:val="7BF823E8"/>
    <w:rsid w:val="7BF87D2D"/>
    <w:rsid w:val="7BFA4420"/>
    <w:rsid w:val="7BFA49B5"/>
    <w:rsid w:val="7BFC2A96"/>
    <w:rsid w:val="7BFE53B6"/>
    <w:rsid w:val="7BFF036B"/>
    <w:rsid w:val="7BFF2361"/>
    <w:rsid w:val="7C007917"/>
    <w:rsid w:val="7C0104E5"/>
    <w:rsid w:val="7C036DFE"/>
    <w:rsid w:val="7C042B76"/>
    <w:rsid w:val="7C045C3B"/>
    <w:rsid w:val="7C0641F8"/>
    <w:rsid w:val="7C0722FF"/>
    <w:rsid w:val="7C073142"/>
    <w:rsid w:val="7C092D14"/>
    <w:rsid w:val="7C093CE8"/>
    <w:rsid w:val="7C0A0517"/>
    <w:rsid w:val="7C0B5CB2"/>
    <w:rsid w:val="7C0C33AD"/>
    <w:rsid w:val="7C0C4B5B"/>
    <w:rsid w:val="7C0C5586"/>
    <w:rsid w:val="7C0C5EC1"/>
    <w:rsid w:val="7C0C6448"/>
    <w:rsid w:val="7C0F6083"/>
    <w:rsid w:val="7C0F7433"/>
    <w:rsid w:val="7C110AA9"/>
    <w:rsid w:val="7C1319A7"/>
    <w:rsid w:val="7C140ADF"/>
    <w:rsid w:val="7C142300"/>
    <w:rsid w:val="7C156B31"/>
    <w:rsid w:val="7C162AC9"/>
    <w:rsid w:val="7C1648C2"/>
    <w:rsid w:val="7C1903CF"/>
    <w:rsid w:val="7C193A0C"/>
    <w:rsid w:val="7C1A493C"/>
    <w:rsid w:val="7C1B4341"/>
    <w:rsid w:val="7C1C76BD"/>
    <w:rsid w:val="7C1E6B4E"/>
    <w:rsid w:val="7C1F2231"/>
    <w:rsid w:val="7C205D7B"/>
    <w:rsid w:val="7C210559"/>
    <w:rsid w:val="7C237D79"/>
    <w:rsid w:val="7C262D32"/>
    <w:rsid w:val="7C2635E2"/>
    <w:rsid w:val="7C28043E"/>
    <w:rsid w:val="7C2C40C7"/>
    <w:rsid w:val="7C2C6788"/>
    <w:rsid w:val="7C305C49"/>
    <w:rsid w:val="7C312886"/>
    <w:rsid w:val="7C342592"/>
    <w:rsid w:val="7C367049"/>
    <w:rsid w:val="7C382FA1"/>
    <w:rsid w:val="7C390CCC"/>
    <w:rsid w:val="7C3945CD"/>
    <w:rsid w:val="7C3A6597"/>
    <w:rsid w:val="7C3C40BE"/>
    <w:rsid w:val="7C3D6815"/>
    <w:rsid w:val="7C3D7A47"/>
    <w:rsid w:val="7C4008D0"/>
    <w:rsid w:val="7C40546E"/>
    <w:rsid w:val="7C406491"/>
    <w:rsid w:val="7C41551F"/>
    <w:rsid w:val="7C421E23"/>
    <w:rsid w:val="7C424487"/>
    <w:rsid w:val="7C4268A0"/>
    <w:rsid w:val="7C437FB5"/>
    <w:rsid w:val="7C4518AA"/>
    <w:rsid w:val="7C452157"/>
    <w:rsid w:val="7C4579D3"/>
    <w:rsid w:val="7C462559"/>
    <w:rsid w:val="7C462ADF"/>
    <w:rsid w:val="7C473C0E"/>
    <w:rsid w:val="7C47518A"/>
    <w:rsid w:val="7C4836A2"/>
    <w:rsid w:val="7C497970"/>
    <w:rsid w:val="7C4C0509"/>
    <w:rsid w:val="7C4C45A4"/>
    <w:rsid w:val="7C4C47C2"/>
    <w:rsid w:val="7C4D7FE1"/>
    <w:rsid w:val="7C4F333A"/>
    <w:rsid w:val="7C4F425F"/>
    <w:rsid w:val="7C52516E"/>
    <w:rsid w:val="7C525FE3"/>
    <w:rsid w:val="7C55517F"/>
    <w:rsid w:val="7C574C45"/>
    <w:rsid w:val="7C576F7D"/>
    <w:rsid w:val="7C5904F9"/>
    <w:rsid w:val="7C5B3EF0"/>
    <w:rsid w:val="7C5C4760"/>
    <w:rsid w:val="7C5D71B7"/>
    <w:rsid w:val="7C5E221C"/>
    <w:rsid w:val="7C606690"/>
    <w:rsid w:val="7C6128F8"/>
    <w:rsid w:val="7C615416"/>
    <w:rsid w:val="7C6158D2"/>
    <w:rsid w:val="7C621A94"/>
    <w:rsid w:val="7C63138F"/>
    <w:rsid w:val="7C631993"/>
    <w:rsid w:val="7C6366CF"/>
    <w:rsid w:val="7C65172B"/>
    <w:rsid w:val="7C653A10"/>
    <w:rsid w:val="7C673028"/>
    <w:rsid w:val="7C694787"/>
    <w:rsid w:val="7C6A0EB5"/>
    <w:rsid w:val="7C6C0CAE"/>
    <w:rsid w:val="7C6C21D0"/>
    <w:rsid w:val="7C6E0BAC"/>
    <w:rsid w:val="7C71496F"/>
    <w:rsid w:val="7C726BBA"/>
    <w:rsid w:val="7C754C98"/>
    <w:rsid w:val="7C755914"/>
    <w:rsid w:val="7C765821"/>
    <w:rsid w:val="7C767BE7"/>
    <w:rsid w:val="7C7714A5"/>
    <w:rsid w:val="7C79184B"/>
    <w:rsid w:val="7C7A5C40"/>
    <w:rsid w:val="7C7C7621"/>
    <w:rsid w:val="7C7E46D6"/>
    <w:rsid w:val="7C7E611D"/>
    <w:rsid w:val="7C7F3FAA"/>
    <w:rsid w:val="7C800F59"/>
    <w:rsid w:val="7C823F1B"/>
    <w:rsid w:val="7C842ECE"/>
    <w:rsid w:val="7C8528FD"/>
    <w:rsid w:val="7C8538F2"/>
    <w:rsid w:val="7C86646D"/>
    <w:rsid w:val="7C876137"/>
    <w:rsid w:val="7C8926BE"/>
    <w:rsid w:val="7C896E6C"/>
    <w:rsid w:val="7C8A67D3"/>
    <w:rsid w:val="7C8B31CA"/>
    <w:rsid w:val="7C923CDE"/>
    <w:rsid w:val="7C934086"/>
    <w:rsid w:val="7C944A2A"/>
    <w:rsid w:val="7C956319"/>
    <w:rsid w:val="7C991510"/>
    <w:rsid w:val="7C996C04"/>
    <w:rsid w:val="7C9A0E3B"/>
    <w:rsid w:val="7C9B6B56"/>
    <w:rsid w:val="7C9C570F"/>
    <w:rsid w:val="7C9F7567"/>
    <w:rsid w:val="7CA01288"/>
    <w:rsid w:val="7CA52E86"/>
    <w:rsid w:val="7CA81BDA"/>
    <w:rsid w:val="7CA96C4F"/>
    <w:rsid w:val="7CAB75C1"/>
    <w:rsid w:val="7CAD2054"/>
    <w:rsid w:val="7CAF2D18"/>
    <w:rsid w:val="7CB24FF6"/>
    <w:rsid w:val="7CB361E1"/>
    <w:rsid w:val="7CB41911"/>
    <w:rsid w:val="7CB426A4"/>
    <w:rsid w:val="7CB915EA"/>
    <w:rsid w:val="7CB969EA"/>
    <w:rsid w:val="7CBB2C66"/>
    <w:rsid w:val="7CBB3234"/>
    <w:rsid w:val="7CBD0B7B"/>
    <w:rsid w:val="7CBE24A7"/>
    <w:rsid w:val="7CBE47A1"/>
    <w:rsid w:val="7CBE7512"/>
    <w:rsid w:val="7CBF4629"/>
    <w:rsid w:val="7CC14A6E"/>
    <w:rsid w:val="7CC26474"/>
    <w:rsid w:val="7CC26E19"/>
    <w:rsid w:val="7CC30DC8"/>
    <w:rsid w:val="7CC45B10"/>
    <w:rsid w:val="7CC54D39"/>
    <w:rsid w:val="7CC741FD"/>
    <w:rsid w:val="7CC83BA3"/>
    <w:rsid w:val="7CC85951"/>
    <w:rsid w:val="7CC876FF"/>
    <w:rsid w:val="7CC91A36"/>
    <w:rsid w:val="7CC9419D"/>
    <w:rsid w:val="7CC951D2"/>
    <w:rsid w:val="7CCA2941"/>
    <w:rsid w:val="7CCA3801"/>
    <w:rsid w:val="7CCA79E1"/>
    <w:rsid w:val="7CCF6CE0"/>
    <w:rsid w:val="7CD01BC9"/>
    <w:rsid w:val="7CD375BB"/>
    <w:rsid w:val="7CD53582"/>
    <w:rsid w:val="7CD54EE3"/>
    <w:rsid w:val="7CD55058"/>
    <w:rsid w:val="7CD773EC"/>
    <w:rsid w:val="7CD85D7E"/>
    <w:rsid w:val="7CD87B91"/>
    <w:rsid w:val="7CDC1D99"/>
    <w:rsid w:val="7CDE63B3"/>
    <w:rsid w:val="7CDF3FB4"/>
    <w:rsid w:val="7CE00EED"/>
    <w:rsid w:val="7CE113BB"/>
    <w:rsid w:val="7CE15A92"/>
    <w:rsid w:val="7CE16A13"/>
    <w:rsid w:val="7CE279A5"/>
    <w:rsid w:val="7CE3278B"/>
    <w:rsid w:val="7CE53FF5"/>
    <w:rsid w:val="7CE56003"/>
    <w:rsid w:val="7CE57688"/>
    <w:rsid w:val="7CE9012A"/>
    <w:rsid w:val="7CE90BB2"/>
    <w:rsid w:val="7CE9795C"/>
    <w:rsid w:val="7CEA2BA7"/>
    <w:rsid w:val="7CEA3B1A"/>
    <w:rsid w:val="7CEA58C8"/>
    <w:rsid w:val="7CEC27F4"/>
    <w:rsid w:val="7CEC3C78"/>
    <w:rsid w:val="7CEF3F9C"/>
    <w:rsid w:val="7CF20F9B"/>
    <w:rsid w:val="7CF22A8C"/>
    <w:rsid w:val="7CF36AE0"/>
    <w:rsid w:val="7CFB15F4"/>
    <w:rsid w:val="7CFB5D27"/>
    <w:rsid w:val="7CFC3353"/>
    <w:rsid w:val="7CFD5455"/>
    <w:rsid w:val="7CFE10A6"/>
    <w:rsid w:val="7CFE1373"/>
    <w:rsid w:val="7CFF52BE"/>
    <w:rsid w:val="7D0032E7"/>
    <w:rsid w:val="7D022B90"/>
    <w:rsid w:val="7D034BDB"/>
    <w:rsid w:val="7D0438B7"/>
    <w:rsid w:val="7D052B13"/>
    <w:rsid w:val="7D072BEC"/>
    <w:rsid w:val="7D0C0517"/>
    <w:rsid w:val="7D0C5A4B"/>
    <w:rsid w:val="7D0E111D"/>
    <w:rsid w:val="7D0E1F5A"/>
    <w:rsid w:val="7D0E527D"/>
    <w:rsid w:val="7D0F17D2"/>
    <w:rsid w:val="7D1110A6"/>
    <w:rsid w:val="7D141C59"/>
    <w:rsid w:val="7D147C19"/>
    <w:rsid w:val="7D150F0D"/>
    <w:rsid w:val="7D171001"/>
    <w:rsid w:val="7D172435"/>
    <w:rsid w:val="7D177777"/>
    <w:rsid w:val="7D1778BC"/>
    <w:rsid w:val="7D18097B"/>
    <w:rsid w:val="7D196155"/>
    <w:rsid w:val="7D1B44FF"/>
    <w:rsid w:val="7D1D3EEF"/>
    <w:rsid w:val="7D201E58"/>
    <w:rsid w:val="7D2203B6"/>
    <w:rsid w:val="7D220DF2"/>
    <w:rsid w:val="7D230DDA"/>
    <w:rsid w:val="7D240701"/>
    <w:rsid w:val="7D262918"/>
    <w:rsid w:val="7D262BFF"/>
    <w:rsid w:val="7D2932DC"/>
    <w:rsid w:val="7D2C3858"/>
    <w:rsid w:val="7D2D2977"/>
    <w:rsid w:val="7D2F039C"/>
    <w:rsid w:val="7D2F38F6"/>
    <w:rsid w:val="7D3125AA"/>
    <w:rsid w:val="7D3668E7"/>
    <w:rsid w:val="7D382AD7"/>
    <w:rsid w:val="7D3948DD"/>
    <w:rsid w:val="7D40176A"/>
    <w:rsid w:val="7D40619C"/>
    <w:rsid w:val="7D412603"/>
    <w:rsid w:val="7D415B6E"/>
    <w:rsid w:val="7D417D69"/>
    <w:rsid w:val="7D42678B"/>
    <w:rsid w:val="7D4345BA"/>
    <w:rsid w:val="7D435171"/>
    <w:rsid w:val="7D441F72"/>
    <w:rsid w:val="7D4445D9"/>
    <w:rsid w:val="7D4448D9"/>
    <w:rsid w:val="7D450A7E"/>
    <w:rsid w:val="7D4854BD"/>
    <w:rsid w:val="7D4B099F"/>
    <w:rsid w:val="7D4C36A6"/>
    <w:rsid w:val="7D4D1DD0"/>
    <w:rsid w:val="7D4E22FA"/>
    <w:rsid w:val="7D4F3D07"/>
    <w:rsid w:val="7D503693"/>
    <w:rsid w:val="7D520B95"/>
    <w:rsid w:val="7D5440EA"/>
    <w:rsid w:val="7D553689"/>
    <w:rsid w:val="7D566D23"/>
    <w:rsid w:val="7D567401"/>
    <w:rsid w:val="7D58558B"/>
    <w:rsid w:val="7D5A745D"/>
    <w:rsid w:val="7D5B62D4"/>
    <w:rsid w:val="7D5C4927"/>
    <w:rsid w:val="7D5D5264"/>
    <w:rsid w:val="7D5E0064"/>
    <w:rsid w:val="7D5F6FED"/>
    <w:rsid w:val="7D62077D"/>
    <w:rsid w:val="7D621902"/>
    <w:rsid w:val="7D6415CB"/>
    <w:rsid w:val="7D6433CC"/>
    <w:rsid w:val="7D647557"/>
    <w:rsid w:val="7D653D60"/>
    <w:rsid w:val="7D662994"/>
    <w:rsid w:val="7D68553C"/>
    <w:rsid w:val="7D686604"/>
    <w:rsid w:val="7D6D017E"/>
    <w:rsid w:val="7D6D2A54"/>
    <w:rsid w:val="7D6E474B"/>
    <w:rsid w:val="7D6E64F9"/>
    <w:rsid w:val="7D6E7260"/>
    <w:rsid w:val="7D6F10EC"/>
    <w:rsid w:val="7D6F550E"/>
    <w:rsid w:val="7D706703"/>
    <w:rsid w:val="7D71386A"/>
    <w:rsid w:val="7D7502B8"/>
    <w:rsid w:val="7D7513B3"/>
    <w:rsid w:val="7D756B96"/>
    <w:rsid w:val="7D7602A9"/>
    <w:rsid w:val="7D784302"/>
    <w:rsid w:val="7D7902C0"/>
    <w:rsid w:val="7D7A1B55"/>
    <w:rsid w:val="7D7D06F8"/>
    <w:rsid w:val="7D7E0C1C"/>
    <w:rsid w:val="7D7E2356"/>
    <w:rsid w:val="7D8253F9"/>
    <w:rsid w:val="7D82667A"/>
    <w:rsid w:val="7D830678"/>
    <w:rsid w:val="7D84336A"/>
    <w:rsid w:val="7D85073A"/>
    <w:rsid w:val="7D87085C"/>
    <w:rsid w:val="7D874D2A"/>
    <w:rsid w:val="7D88575A"/>
    <w:rsid w:val="7D8C71A0"/>
    <w:rsid w:val="7D8D5F1E"/>
    <w:rsid w:val="7D8E58CD"/>
    <w:rsid w:val="7D8F0AF5"/>
    <w:rsid w:val="7D91086A"/>
    <w:rsid w:val="7D9112EC"/>
    <w:rsid w:val="7D91558E"/>
    <w:rsid w:val="7D917A85"/>
    <w:rsid w:val="7D924144"/>
    <w:rsid w:val="7D92605D"/>
    <w:rsid w:val="7D935EC7"/>
    <w:rsid w:val="7D935F5F"/>
    <w:rsid w:val="7D987B9E"/>
    <w:rsid w:val="7D9D17E1"/>
    <w:rsid w:val="7D9D293A"/>
    <w:rsid w:val="7D9D6A0D"/>
    <w:rsid w:val="7D9D6E24"/>
    <w:rsid w:val="7D9F35B2"/>
    <w:rsid w:val="7DA0242A"/>
    <w:rsid w:val="7DA03EE0"/>
    <w:rsid w:val="7DA21751"/>
    <w:rsid w:val="7DA23A33"/>
    <w:rsid w:val="7DA27455"/>
    <w:rsid w:val="7DA27FCE"/>
    <w:rsid w:val="7DA374A5"/>
    <w:rsid w:val="7DA5381E"/>
    <w:rsid w:val="7DA57A41"/>
    <w:rsid w:val="7DA67952"/>
    <w:rsid w:val="7DA74D20"/>
    <w:rsid w:val="7DA8331F"/>
    <w:rsid w:val="7DA841D2"/>
    <w:rsid w:val="7DA918CF"/>
    <w:rsid w:val="7DAC35AE"/>
    <w:rsid w:val="7DAC5273"/>
    <w:rsid w:val="7DAD45EA"/>
    <w:rsid w:val="7DAE2D99"/>
    <w:rsid w:val="7DAF6020"/>
    <w:rsid w:val="7DB075F4"/>
    <w:rsid w:val="7DB10289"/>
    <w:rsid w:val="7DB26A6A"/>
    <w:rsid w:val="7DB302A7"/>
    <w:rsid w:val="7DB433DC"/>
    <w:rsid w:val="7DB4437A"/>
    <w:rsid w:val="7DB57F5F"/>
    <w:rsid w:val="7DB77FD8"/>
    <w:rsid w:val="7DB82F51"/>
    <w:rsid w:val="7DB83D14"/>
    <w:rsid w:val="7DB85C1A"/>
    <w:rsid w:val="7DB966B6"/>
    <w:rsid w:val="7DB97396"/>
    <w:rsid w:val="7DBA5C1F"/>
    <w:rsid w:val="7DBD0A52"/>
    <w:rsid w:val="7DBF4DDB"/>
    <w:rsid w:val="7DC00D7E"/>
    <w:rsid w:val="7DC10589"/>
    <w:rsid w:val="7DC42B8C"/>
    <w:rsid w:val="7DC647F4"/>
    <w:rsid w:val="7DC752DF"/>
    <w:rsid w:val="7DC84D08"/>
    <w:rsid w:val="7DC91981"/>
    <w:rsid w:val="7DCB1C25"/>
    <w:rsid w:val="7DCC035C"/>
    <w:rsid w:val="7DCF218E"/>
    <w:rsid w:val="7DD01372"/>
    <w:rsid w:val="7DD32800"/>
    <w:rsid w:val="7DD5058B"/>
    <w:rsid w:val="7DD76B90"/>
    <w:rsid w:val="7DD9584B"/>
    <w:rsid w:val="7DDA5039"/>
    <w:rsid w:val="7DDD2C7E"/>
    <w:rsid w:val="7DDF1B05"/>
    <w:rsid w:val="7DE22EE7"/>
    <w:rsid w:val="7DE2474A"/>
    <w:rsid w:val="7DE26685"/>
    <w:rsid w:val="7DE518D1"/>
    <w:rsid w:val="7DE70964"/>
    <w:rsid w:val="7DE80866"/>
    <w:rsid w:val="7DE94DF5"/>
    <w:rsid w:val="7DE95862"/>
    <w:rsid w:val="7DEA41FE"/>
    <w:rsid w:val="7DF05160"/>
    <w:rsid w:val="7DF32027"/>
    <w:rsid w:val="7DF369FE"/>
    <w:rsid w:val="7DF63206"/>
    <w:rsid w:val="7DF6453D"/>
    <w:rsid w:val="7DF82894"/>
    <w:rsid w:val="7DF863A2"/>
    <w:rsid w:val="7DF93506"/>
    <w:rsid w:val="7DFC55A8"/>
    <w:rsid w:val="7DFD5FEB"/>
    <w:rsid w:val="7DFE3EE1"/>
    <w:rsid w:val="7DFE5C5C"/>
    <w:rsid w:val="7DFF52B8"/>
    <w:rsid w:val="7DFF5D35"/>
    <w:rsid w:val="7E0418E8"/>
    <w:rsid w:val="7E041F97"/>
    <w:rsid w:val="7E056F42"/>
    <w:rsid w:val="7E08153F"/>
    <w:rsid w:val="7E0835E3"/>
    <w:rsid w:val="7E0A5DEF"/>
    <w:rsid w:val="7E0B1F99"/>
    <w:rsid w:val="7E0C20B3"/>
    <w:rsid w:val="7E0C6156"/>
    <w:rsid w:val="7E0D3F64"/>
    <w:rsid w:val="7E0D6E6C"/>
    <w:rsid w:val="7E1077B1"/>
    <w:rsid w:val="7E12261A"/>
    <w:rsid w:val="7E12471F"/>
    <w:rsid w:val="7E130E4E"/>
    <w:rsid w:val="7E132C35"/>
    <w:rsid w:val="7E14328F"/>
    <w:rsid w:val="7E147233"/>
    <w:rsid w:val="7E154995"/>
    <w:rsid w:val="7E154BC6"/>
    <w:rsid w:val="7E155DBE"/>
    <w:rsid w:val="7E166607"/>
    <w:rsid w:val="7E184647"/>
    <w:rsid w:val="7E1950F0"/>
    <w:rsid w:val="7E1A6B3F"/>
    <w:rsid w:val="7E1E26F4"/>
    <w:rsid w:val="7E217B0E"/>
    <w:rsid w:val="7E221385"/>
    <w:rsid w:val="7E2742B7"/>
    <w:rsid w:val="7E2748F9"/>
    <w:rsid w:val="7E28589B"/>
    <w:rsid w:val="7E292808"/>
    <w:rsid w:val="7E2B263C"/>
    <w:rsid w:val="7E2C06F9"/>
    <w:rsid w:val="7E2D05FD"/>
    <w:rsid w:val="7E2D36E2"/>
    <w:rsid w:val="7E2E5C88"/>
    <w:rsid w:val="7E2E6C1F"/>
    <w:rsid w:val="7E302BE0"/>
    <w:rsid w:val="7E304426"/>
    <w:rsid w:val="7E332897"/>
    <w:rsid w:val="7E346523"/>
    <w:rsid w:val="7E346C12"/>
    <w:rsid w:val="7E3471B0"/>
    <w:rsid w:val="7E360045"/>
    <w:rsid w:val="7E36397C"/>
    <w:rsid w:val="7E3A2832"/>
    <w:rsid w:val="7E3A30DA"/>
    <w:rsid w:val="7E3C5BC2"/>
    <w:rsid w:val="7E3C5D14"/>
    <w:rsid w:val="7E3D0AEF"/>
    <w:rsid w:val="7E3D3024"/>
    <w:rsid w:val="7E4123ED"/>
    <w:rsid w:val="7E421140"/>
    <w:rsid w:val="7E430A4C"/>
    <w:rsid w:val="7E494870"/>
    <w:rsid w:val="7E4A3D15"/>
    <w:rsid w:val="7E4A7544"/>
    <w:rsid w:val="7E4B353D"/>
    <w:rsid w:val="7E4B683A"/>
    <w:rsid w:val="7E4F49A7"/>
    <w:rsid w:val="7E5060B2"/>
    <w:rsid w:val="7E5123AA"/>
    <w:rsid w:val="7E53749D"/>
    <w:rsid w:val="7E545A89"/>
    <w:rsid w:val="7E5557C4"/>
    <w:rsid w:val="7E5643CD"/>
    <w:rsid w:val="7E571891"/>
    <w:rsid w:val="7E574376"/>
    <w:rsid w:val="7E574ECA"/>
    <w:rsid w:val="7E590F57"/>
    <w:rsid w:val="7E5969CC"/>
    <w:rsid w:val="7E5A36BF"/>
    <w:rsid w:val="7E5E1DA4"/>
    <w:rsid w:val="7E5E5B52"/>
    <w:rsid w:val="7E5E7184"/>
    <w:rsid w:val="7E5F374F"/>
    <w:rsid w:val="7E5F6E80"/>
    <w:rsid w:val="7E601EB3"/>
    <w:rsid w:val="7E613B54"/>
    <w:rsid w:val="7E617E25"/>
    <w:rsid w:val="7E617F55"/>
    <w:rsid w:val="7E645E6F"/>
    <w:rsid w:val="7E6478FC"/>
    <w:rsid w:val="7E667874"/>
    <w:rsid w:val="7E667F61"/>
    <w:rsid w:val="7E670909"/>
    <w:rsid w:val="7E6727AA"/>
    <w:rsid w:val="7E6A3164"/>
    <w:rsid w:val="7E6D48D5"/>
    <w:rsid w:val="7E6D4EC2"/>
    <w:rsid w:val="7E6E3DAA"/>
    <w:rsid w:val="7E6E7A92"/>
    <w:rsid w:val="7E6F0D32"/>
    <w:rsid w:val="7E7044F2"/>
    <w:rsid w:val="7E71540A"/>
    <w:rsid w:val="7E747A3B"/>
    <w:rsid w:val="7E751B09"/>
    <w:rsid w:val="7E753ED3"/>
    <w:rsid w:val="7E775881"/>
    <w:rsid w:val="7E784650"/>
    <w:rsid w:val="7E787808"/>
    <w:rsid w:val="7E7879B0"/>
    <w:rsid w:val="7E792E04"/>
    <w:rsid w:val="7E7A0ECD"/>
    <w:rsid w:val="7E7B20AE"/>
    <w:rsid w:val="7E7B64B3"/>
    <w:rsid w:val="7E7C4C45"/>
    <w:rsid w:val="7E7E10FB"/>
    <w:rsid w:val="7E7E5CB3"/>
    <w:rsid w:val="7E7F57FC"/>
    <w:rsid w:val="7E800F67"/>
    <w:rsid w:val="7E8835EA"/>
    <w:rsid w:val="7E8B6C36"/>
    <w:rsid w:val="7E8D2D6B"/>
    <w:rsid w:val="7E912410"/>
    <w:rsid w:val="7E926217"/>
    <w:rsid w:val="7E943B25"/>
    <w:rsid w:val="7E9521A3"/>
    <w:rsid w:val="7E9640E7"/>
    <w:rsid w:val="7E9975A5"/>
    <w:rsid w:val="7E9D18AC"/>
    <w:rsid w:val="7E9D41CE"/>
    <w:rsid w:val="7EA30424"/>
    <w:rsid w:val="7EA36676"/>
    <w:rsid w:val="7EA773F9"/>
    <w:rsid w:val="7EA810CD"/>
    <w:rsid w:val="7EA96758"/>
    <w:rsid w:val="7EAC4CDF"/>
    <w:rsid w:val="7EAD069C"/>
    <w:rsid w:val="7EAD3051"/>
    <w:rsid w:val="7EAF6A38"/>
    <w:rsid w:val="7EB138C0"/>
    <w:rsid w:val="7EB201C8"/>
    <w:rsid w:val="7EB4618D"/>
    <w:rsid w:val="7EB53B6C"/>
    <w:rsid w:val="7EB73C3F"/>
    <w:rsid w:val="7EB75E67"/>
    <w:rsid w:val="7EB77A2B"/>
    <w:rsid w:val="7EB937A4"/>
    <w:rsid w:val="7EC21330"/>
    <w:rsid w:val="7EC34622"/>
    <w:rsid w:val="7EC412B3"/>
    <w:rsid w:val="7EC4420D"/>
    <w:rsid w:val="7EC458F1"/>
    <w:rsid w:val="7EC81C39"/>
    <w:rsid w:val="7EC84D5B"/>
    <w:rsid w:val="7ECA5E91"/>
    <w:rsid w:val="7ECB34D3"/>
    <w:rsid w:val="7ECD12F5"/>
    <w:rsid w:val="7ECD1EDB"/>
    <w:rsid w:val="7ECD502B"/>
    <w:rsid w:val="7ECE401E"/>
    <w:rsid w:val="7ECF3312"/>
    <w:rsid w:val="7ED056F7"/>
    <w:rsid w:val="7ED14F91"/>
    <w:rsid w:val="7ED30C6D"/>
    <w:rsid w:val="7ED35E77"/>
    <w:rsid w:val="7ED44A81"/>
    <w:rsid w:val="7ED6258F"/>
    <w:rsid w:val="7ED62E68"/>
    <w:rsid w:val="7ED84B58"/>
    <w:rsid w:val="7EDC1772"/>
    <w:rsid w:val="7EDD293A"/>
    <w:rsid w:val="7EDF2CD5"/>
    <w:rsid w:val="7EE06629"/>
    <w:rsid w:val="7EE066D0"/>
    <w:rsid w:val="7EE10860"/>
    <w:rsid w:val="7EE47D8C"/>
    <w:rsid w:val="7EE572C3"/>
    <w:rsid w:val="7EE7348A"/>
    <w:rsid w:val="7EE77CA5"/>
    <w:rsid w:val="7EE84089"/>
    <w:rsid w:val="7EE870A3"/>
    <w:rsid w:val="7EE93FC8"/>
    <w:rsid w:val="7EEA08E1"/>
    <w:rsid w:val="7EEB3B79"/>
    <w:rsid w:val="7EEB3BF2"/>
    <w:rsid w:val="7EEC488D"/>
    <w:rsid w:val="7EEE660C"/>
    <w:rsid w:val="7EEE7DBC"/>
    <w:rsid w:val="7EF0118F"/>
    <w:rsid w:val="7EF20AA2"/>
    <w:rsid w:val="7EF21326"/>
    <w:rsid w:val="7EF6437B"/>
    <w:rsid w:val="7EF65225"/>
    <w:rsid w:val="7EF72E78"/>
    <w:rsid w:val="7EF80591"/>
    <w:rsid w:val="7EFA6EFA"/>
    <w:rsid w:val="7EFB10CB"/>
    <w:rsid w:val="7EFD0E9E"/>
    <w:rsid w:val="7EFD702B"/>
    <w:rsid w:val="7F0027D1"/>
    <w:rsid w:val="7F003967"/>
    <w:rsid w:val="7F015C77"/>
    <w:rsid w:val="7F023568"/>
    <w:rsid w:val="7F032C71"/>
    <w:rsid w:val="7F033AFA"/>
    <w:rsid w:val="7F034330"/>
    <w:rsid w:val="7F044CCF"/>
    <w:rsid w:val="7F057B8B"/>
    <w:rsid w:val="7F060733"/>
    <w:rsid w:val="7F081AEA"/>
    <w:rsid w:val="7F0864D9"/>
    <w:rsid w:val="7F0941CC"/>
    <w:rsid w:val="7F096202"/>
    <w:rsid w:val="7F0A290F"/>
    <w:rsid w:val="7F0A49A1"/>
    <w:rsid w:val="7F0E421B"/>
    <w:rsid w:val="7F0E54A5"/>
    <w:rsid w:val="7F132D8B"/>
    <w:rsid w:val="7F144A9D"/>
    <w:rsid w:val="7F15249B"/>
    <w:rsid w:val="7F160A7B"/>
    <w:rsid w:val="7F1629A4"/>
    <w:rsid w:val="7F1A4CA9"/>
    <w:rsid w:val="7F1A7F5F"/>
    <w:rsid w:val="7F1D594D"/>
    <w:rsid w:val="7F207EBE"/>
    <w:rsid w:val="7F21188E"/>
    <w:rsid w:val="7F230820"/>
    <w:rsid w:val="7F232471"/>
    <w:rsid w:val="7F23612B"/>
    <w:rsid w:val="7F251DC4"/>
    <w:rsid w:val="7F253E0B"/>
    <w:rsid w:val="7F255D54"/>
    <w:rsid w:val="7F267505"/>
    <w:rsid w:val="7F275383"/>
    <w:rsid w:val="7F277992"/>
    <w:rsid w:val="7F2870E3"/>
    <w:rsid w:val="7F29784B"/>
    <w:rsid w:val="7F2B68E0"/>
    <w:rsid w:val="7F3302F3"/>
    <w:rsid w:val="7F332985"/>
    <w:rsid w:val="7F332C1F"/>
    <w:rsid w:val="7F342B32"/>
    <w:rsid w:val="7F342BA5"/>
    <w:rsid w:val="7F344307"/>
    <w:rsid w:val="7F376683"/>
    <w:rsid w:val="7F3B240A"/>
    <w:rsid w:val="7F3C4E49"/>
    <w:rsid w:val="7F3D5769"/>
    <w:rsid w:val="7F3F3983"/>
    <w:rsid w:val="7F402C89"/>
    <w:rsid w:val="7F4339B5"/>
    <w:rsid w:val="7F45236D"/>
    <w:rsid w:val="7F4A4D43"/>
    <w:rsid w:val="7F4B0EEC"/>
    <w:rsid w:val="7F4C021D"/>
    <w:rsid w:val="7F4E1FD0"/>
    <w:rsid w:val="7F500F54"/>
    <w:rsid w:val="7F503682"/>
    <w:rsid w:val="7F510890"/>
    <w:rsid w:val="7F5553C1"/>
    <w:rsid w:val="7F564D3E"/>
    <w:rsid w:val="7F570C65"/>
    <w:rsid w:val="7F57555B"/>
    <w:rsid w:val="7F5802DC"/>
    <w:rsid w:val="7F58120E"/>
    <w:rsid w:val="7F585782"/>
    <w:rsid w:val="7F58603C"/>
    <w:rsid w:val="7F596D35"/>
    <w:rsid w:val="7F5C769F"/>
    <w:rsid w:val="7F5D3991"/>
    <w:rsid w:val="7F5E259D"/>
    <w:rsid w:val="7F5F2087"/>
    <w:rsid w:val="7F610A7D"/>
    <w:rsid w:val="7F625BE9"/>
    <w:rsid w:val="7F625D7A"/>
    <w:rsid w:val="7F631A9D"/>
    <w:rsid w:val="7F6A6893"/>
    <w:rsid w:val="7F6B103C"/>
    <w:rsid w:val="7F6C2F0C"/>
    <w:rsid w:val="7F6D57B8"/>
    <w:rsid w:val="7F6E0D0B"/>
    <w:rsid w:val="7F71375B"/>
    <w:rsid w:val="7F734C17"/>
    <w:rsid w:val="7F791670"/>
    <w:rsid w:val="7F792D75"/>
    <w:rsid w:val="7F796368"/>
    <w:rsid w:val="7F7B1BCA"/>
    <w:rsid w:val="7F7B497A"/>
    <w:rsid w:val="7F7D6E1E"/>
    <w:rsid w:val="7F7F5BAD"/>
    <w:rsid w:val="7F802513"/>
    <w:rsid w:val="7F824352"/>
    <w:rsid w:val="7F83107B"/>
    <w:rsid w:val="7F835509"/>
    <w:rsid w:val="7F835D2E"/>
    <w:rsid w:val="7F844CCF"/>
    <w:rsid w:val="7F8964FD"/>
    <w:rsid w:val="7F8A3B4A"/>
    <w:rsid w:val="7F8B38AF"/>
    <w:rsid w:val="7F8C0ACF"/>
    <w:rsid w:val="7F8C17FA"/>
    <w:rsid w:val="7F8C2434"/>
    <w:rsid w:val="7F8C25D9"/>
    <w:rsid w:val="7F8D3509"/>
    <w:rsid w:val="7F8F2078"/>
    <w:rsid w:val="7F8F50F4"/>
    <w:rsid w:val="7F8F64DC"/>
    <w:rsid w:val="7F903A4D"/>
    <w:rsid w:val="7F910801"/>
    <w:rsid w:val="7F9226F7"/>
    <w:rsid w:val="7F9434FF"/>
    <w:rsid w:val="7F945543"/>
    <w:rsid w:val="7F956507"/>
    <w:rsid w:val="7F963AE5"/>
    <w:rsid w:val="7F96573E"/>
    <w:rsid w:val="7F9701D2"/>
    <w:rsid w:val="7F9846BF"/>
    <w:rsid w:val="7F985AAF"/>
    <w:rsid w:val="7F991CFF"/>
    <w:rsid w:val="7F9B10FB"/>
    <w:rsid w:val="7F9B734D"/>
    <w:rsid w:val="7F9C51A4"/>
    <w:rsid w:val="7F9C7AC6"/>
    <w:rsid w:val="7F9F23E4"/>
    <w:rsid w:val="7F9F543B"/>
    <w:rsid w:val="7F9F5555"/>
    <w:rsid w:val="7FA05781"/>
    <w:rsid w:val="7FA33145"/>
    <w:rsid w:val="7FA356AA"/>
    <w:rsid w:val="7FA36A71"/>
    <w:rsid w:val="7FA52C99"/>
    <w:rsid w:val="7FA72567"/>
    <w:rsid w:val="7FA73EAD"/>
    <w:rsid w:val="7FA83978"/>
    <w:rsid w:val="7FA914C7"/>
    <w:rsid w:val="7FAC5A7F"/>
    <w:rsid w:val="7FAD2331"/>
    <w:rsid w:val="7FAD55E0"/>
    <w:rsid w:val="7FAE30EA"/>
    <w:rsid w:val="7FAF108B"/>
    <w:rsid w:val="7FB51D84"/>
    <w:rsid w:val="7FB66273"/>
    <w:rsid w:val="7FBB7E8F"/>
    <w:rsid w:val="7FBF128D"/>
    <w:rsid w:val="7FC10F5E"/>
    <w:rsid w:val="7FC201C0"/>
    <w:rsid w:val="7FC35AC6"/>
    <w:rsid w:val="7FC35D6A"/>
    <w:rsid w:val="7FC468A4"/>
    <w:rsid w:val="7FC545C8"/>
    <w:rsid w:val="7FC56886"/>
    <w:rsid w:val="7FC80AD8"/>
    <w:rsid w:val="7FC95069"/>
    <w:rsid w:val="7FC95C68"/>
    <w:rsid w:val="7FCA0DE0"/>
    <w:rsid w:val="7FCA4AA2"/>
    <w:rsid w:val="7FCB5E20"/>
    <w:rsid w:val="7FCC3C22"/>
    <w:rsid w:val="7FD06299"/>
    <w:rsid w:val="7FD34238"/>
    <w:rsid w:val="7FD54D8A"/>
    <w:rsid w:val="7FD77ECB"/>
    <w:rsid w:val="7FD95146"/>
    <w:rsid w:val="7FD97DB0"/>
    <w:rsid w:val="7FDC5B56"/>
    <w:rsid w:val="7FDE2B1E"/>
    <w:rsid w:val="7FDF7AF3"/>
    <w:rsid w:val="7FE17F48"/>
    <w:rsid w:val="7FE313AE"/>
    <w:rsid w:val="7FE63B39"/>
    <w:rsid w:val="7FE87315"/>
    <w:rsid w:val="7FE938B4"/>
    <w:rsid w:val="7FEE6CB0"/>
    <w:rsid w:val="7FEE7FD5"/>
    <w:rsid w:val="7FEF1A3B"/>
    <w:rsid w:val="7FEF6F7E"/>
    <w:rsid w:val="7FF07F45"/>
    <w:rsid w:val="7FF10B51"/>
    <w:rsid w:val="7FF2308D"/>
    <w:rsid w:val="7FF31039"/>
    <w:rsid w:val="7FF36AEF"/>
    <w:rsid w:val="7FF44668"/>
    <w:rsid w:val="7FF54CE2"/>
    <w:rsid w:val="7FF775FD"/>
    <w:rsid w:val="7FF806CF"/>
    <w:rsid w:val="7FF9268C"/>
    <w:rsid w:val="7FF92C82"/>
    <w:rsid w:val="7FF94C88"/>
    <w:rsid w:val="7FFA1964"/>
    <w:rsid w:val="7FFB603E"/>
    <w:rsid w:val="7FFC4290"/>
    <w:rsid w:val="7FFD1970"/>
    <w:rsid w:val="7FFD5CB2"/>
    <w:rsid w:val="7FFE299B"/>
    <w:rsid w:val="7FFF63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5">
    <w:name w:val="heading 1"/>
    <w:basedOn w:val="1"/>
    <w:next w:val="1"/>
    <w:autoRedefine/>
    <w:qFormat/>
    <w:uiPriority w:val="0"/>
    <w:pPr>
      <w:keepNext/>
      <w:jc w:val="left"/>
      <w:outlineLvl w:val="0"/>
    </w:pPr>
    <w:rPr>
      <w:rFonts w:ascii="宋体"/>
      <w:sz w:val="28"/>
      <w:szCs w:val="20"/>
    </w:rPr>
  </w:style>
  <w:style w:type="paragraph" w:styleId="6">
    <w:name w:val="heading 2"/>
    <w:basedOn w:val="1"/>
    <w:next w:val="1"/>
    <w:link w:val="72"/>
    <w:autoRedefine/>
    <w:qFormat/>
    <w:uiPriority w:val="0"/>
    <w:pPr>
      <w:widowControl/>
      <w:adjustRightInd w:val="0"/>
      <w:jc w:val="left"/>
      <w:textAlignment w:val="baseline"/>
      <w:outlineLvl w:val="1"/>
    </w:pPr>
    <w:rPr>
      <w:rFonts w:ascii="Arial" w:hAnsi="Arial"/>
      <w:b/>
      <w:kern w:val="0"/>
      <w:sz w:val="28"/>
      <w:szCs w:val="20"/>
    </w:rPr>
  </w:style>
  <w:style w:type="paragraph" w:styleId="7">
    <w:name w:val="heading 3"/>
    <w:basedOn w:val="1"/>
    <w:next w:val="1"/>
    <w:link w:val="50"/>
    <w:autoRedefine/>
    <w:qFormat/>
    <w:uiPriority w:val="0"/>
    <w:pPr>
      <w:keepNext/>
      <w:keepLines/>
      <w:spacing w:before="260" w:after="260" w:line="416" w:lineRule="auto"/>
      <w:outlineLvl w:val="2"/>
    </w:pPr>
    <w:rPr>
      <w:b/>
      <w:bCs/>
      <w:szCs w:val="32"/>
    </w:rPr>
  </w:style>
  <w:style w:type="paragraph" w:styleId="8">
    <w:name w:val="heading 4"/>
    <w:basedOn w:val="1"/>
    <w:next w:val="1"/>
    <w:autoRedefine/>
    <w:qFormat/>
    <w:uiPriority w:val="0"/>
    <w:pPr>
      <w:keepNext/>
      <w:spacing w:line="500" w:lineRule="exact"/>
      <w:jc w:val="center"/>
      <w:outlineLvl w:val="3"/>
    </w:pPr>
    <w:rPr>
      <w:rFonts w:ascii="Times New Roman" w:hAnsi="Times New Roman" w:eastAsia="宋体" w:cs="Times New Roman"/>
      <w:sz w:val="28"/>
    </w:rPr>
  </w:style>
  <w:style w:type="paragraph" w:styleId="9">
    <w:name w:val="heading 5"/>
    <w:basedOn w:val="1"/>
    <w:next w:val="1"/>
    <w:autoRedefine/>
    <w:qFormat/>
    <w:uiPriority w:val="1"/>
    <w:pPr>
      <w:ind w:left="137"/>
      <w:outlineLvl w:val="5"/>
    </w:pPr>
    <w:rPr>
      <w:rFonts w:ascii="宋体" w:hAnsi="宋体" w:eastAsia="宋体"/>
      <w:sz w:val="31"/>
      <w:szCs w:val="31"/>
    </w:rPr>
  </w:style>
  <w:style w:type="paragraph" w:styleId="10">
    <w:name w:val="heading 6"/>
    <w:basedOn w:val="1"/>
    <w:next w:val="1"/>
    <w:autoRedefine/>
    <w:qFormat/>
    <w:uiPriority w:val="0"/>
    <w:pPr>
      <w:keepNext/>
      <w:keepLines/>
      <w:numPr>
        <w:ilvl w:val="5"/>
        <w:numId w:val="0"/>
      </w:numPr>
      <w:adjustRightInd w:val="0"/>
      <w:snapToGrid w:val="0"/>
      <w:spacing w:line="240" w:lineRule="auto"/>
      <w:ind w:left="0" w:firstLine="0" w:firstLineChars="0"/>
      <w:jc w:val="center"/>
      <w:textAlignment w:val="baseline"/>
      <w:outlineLvl w:val="5"/>
    </w:pPr>
    <w:rPr>
      <w:snapToGrid w:val="0"/>
      <w:kern w:val="24"/>
      <w:sz w:val="21"/>
      <w:szCs w:val="20"/>
    </w:rPr>
  </w:style>
  <w:style w:type="character" w:default="1" w:styleId="28">
    <w:name w:val="Default Paragraph Font"/>
    <w:autoRedefine/>
    <w:semiHidden/>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0"/>
    <w:rPr>
      <w:rFonts w:ascii="Times New Roman" w:hAnsi="Times New Roman" w:eastAsia="宋体"/>
      <w:spacing w:val="6"/>
      <w:szCs w:val="28"/>
    </w:rPr>
  </w:style>
  <w:style w:type="paragraph" w:customStyle="1" w:styleId="3">
    <w:name w:val="xl27"/>
    <w:basedOn w:val="1"/>
    <w:next w:val="4"/>
    <w:autoRedefine/>
    <w:qFormat/>
    <w:uiPriority w:val="0"/>
    <w:pPr>
      <w:widowControl/>
      <w:pBdr>
        <w:bottom w:val="single" w:color="auto" w:sz="4" w:space="0"/>
        <w:right w:val="single" w:color="auto" w:sz="4" w:space="0"/>
      </w:pBdr>
      <w:adjustRightInd w:val="0"/>
      <w:snapToGrid w:val="0"/>
      <w:spacing w:before="100" w:beforeAutospacing="1" w:after="100" w:afterAutospacing="1" w:line="360" w:lineRule="auto"/>
      <w:ind w:firstLine="480" w:firstLineChars="200"/>
      <w:jc w:val="center"/>
    </w:pPr>
    <w:rPr>
      <w:rFonts w:eastAsia="Arial Unicode MS"/>
      <w:kern w:val="0"/>
      <w:szCs w:val="21"/>
    </w:rPr>
  </w:style>
  <w:style w:type="paragraph" w:styleId="4">
    <w:name w:val="Body Text Indent 2"/>
    <w:basedOn w:val="1"/>
    <w:next w:val="1"/>
    <w:autoRedefine/>
    <w:qFormat/>
    <w:uiPriority w:val="0"/>
    <w:pPr>
      <w:spacing w:after="120" w:line="480" w:lineRule="auto"/>
      <w:ind w:left="420" w:leftChars="200" w:firstLine="0" w:firstLineChars="0"/>
    </w:pPr>
    <w:rPr>
      <w:kern w:val="0"/>
      <w:sz w:val="20"/>
      <w:lang w:val="zh-CN"/>
    </w:rPr>
  </w:style>
  <w:style w:type="paragraph" w:styleId="11">
    <w:name w:val="Normal Indent"/>
    <w:basedOn w:val="1"/>
    <w:autoRedefine/>
    <w:qFormat/>
    <w:uiPriority w:val="0"/>
    <w:pPr>
      <w:spacing w:line="360" w:lineRule="auto"/>
      <w:ind w:firstLine="420" w:firstLineChars="200"/>
    </w:pPr>
    <w:rPr>
      <w:rFonts w:ascii="宋体" w:hAnsi="宋体"/>
      <w:kern w:val="0"/>
      <w:sz w:val="24"/>
      <w:szCs w:val="24"/>
    </w:rPr>
  </w:style>
  <w:style w:type="paragraph" w:styleId="12">
    <w:name w:val="annotation text"/>
    <w:basedOn w:val="1"/>
    <w:autoRedefine/>
    <w:qFormat/>
    <w:uiPriority w:val="0"/>
    <w:pPr>
      <w:jc w:val="left"/>
    </w:pPr>
  </w:style>
  <w:style w:type="paragraph" w:styleId="13">
    <w:name w:val="Body Text 3"/>
    <w:basedOn w:val="1"/>
    <w:autoRedefine/>
    <w:qFormat/>
    <w:uiPriority w:val="0"/>
    <w:pPr>
      <w:spacing w:line="600" w:lineRule="exact"/>
      <w:jc w:val="left"/>
    </w:pPr>
    <w:rPr>
      <w:b/>
      <w:bCs/>
      <w:sz w:val="28"/>
      <w:szCs w:val="20"/>
    </w:rPr>
  </w:style>
  <w:style w:type="paragraph" w:styleId="14">
    <w:name w:val="Body Text Indent"/>
    <w:basedOn w:val="1"/>
    <w:next w:val="15"/>
    <w:autoRedefine/>
    <w:qFormat/>
    <w:uiPriority w:val="0"/>
    <w:pPr>
      <w:spacing w:line="460" w:lineRule="exact"/>
      <w:ind w:firstLine="561"/>
      <w:jc w:val="left"/>
    </w:pPr>
    <w:rPr>
      <w:sz w:val="28"/>
    </w:rPr>
  </w:style>
  <w:style w:type="paragraph" w:customStyle="1" w:styleId="15">
    <w:name w:val="样式 正文文本缩进 + 行距: 1.5 倍行距"/>
    <w:basedOn w:val="14"/>
    <w:autoRedefine/>
    <w:qFormat/>
    <w:uiPriority w:val="0"/>
    <w:pPr>
      <w:spacing w:before="0" w:after="120"/>
      <w:ind w:left="90" w:leftChars="32" w:firstLine="560" w:firstLineChars="200"/>
    </w:pPr>
    <w:rPr>
      <w:rFonts w:ascii="Times New Roman" w:cs="宋体"/>
    </w:rPr>
  </w:style>
  <w:style w:type="paragraph" w:styleId="16">
    <w:name w:val="Plain Text"/>
    <w:basedOn w:val="1"/>
    <w:autoRedefine/>
    <w:qFormat/>
    <w:uiPriority w:val="0"/>
    <w:rPr>
      <w:rFonts w:hAnsi="Courier New" w:cs="Times New Roman"/>
      <w:szCs w:val="21"/>
    </w:rPr>
  </w:style>
  <w:style w:type="paragraph" w:styleId="17">
    <w:name w:val="footer"/>
    <w:basedOn w:val="1"/>
    <w:autoRedefine/>
    <w:qFormat/>
    <w:uiPriority w:val="0"/>
    <w:pPr>
      <w:tabs>
        <w:tab w:val="center" w:pos="4153"/>
        <w:tab w:val="right" w:pos="8306"/>
      </w:tabs>
      <w:snapToGrid w:val="0"/>
      <w:jc w:val="left"/>
    </w:pPr>
    <w:rPr>
      <w:sz w:val="18"/>
      <w:szCs w:val="20"/>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autoRedefine/>
    <w:qFormat/>
    <w:uiPriority w:val="0"/>
  </w:style>
  <w:style w:type="paragraph" w:styleId="20">
    <w:name w:val="Body Text Indent 3"/>
    <w:basedOn w:val="1"/>
    <w:autoRedefine/>
    <w:qFormat/>
    <w:uiPriority w:val="0"/>
    <w:pPr>
      <w:spacing w:after="120"/>
      <w:ind w:left="420" w:leftChars="200"/>
    </w:pPr>
    <w:rPr>
      <w:sz w:val="16"/>
      <w:szCs w:val="16"/>
    </w:rPr>
  </w:style>
  <w:style w:type="paragraph" w:styleId="21">
    <w:name w:val="toc 2"/>
    <w:basedOn w:val="1"/>
    <w:next w:val="1"/>
    <w:autoRedefine/>
    <w:qFormat/>
    <w:uiPriority w:val="39"/>
    <w:pPr>
      <w:ind w:left="420" w:leftChars="200"/>
    </w:pPr>
  </w:style>
  <w:style w:type="paragraph" w:styleId="22">
    <w:name w:val="Normal (Web)"/>
    <w:basedOn w:val="1"/>
    <w:autoRedefine/>
    <w:qFormat/>
    <w:uiPriority w:val="0"/>
    <w:pPr>
      <w:widowControl/>
      <w:spacing w:before="100" w:beforeAutospacing="1" w:after="100" w:afterAutospacing="1"/>
      <w:jc w:val="left"/>
    </w:pPr>
    <w:rPr>
      <w:rFonts w:ascii="宋体" w:hAnsi="宋体"/>
      <w:kern w:val="0"/>
    </w:rPr>
  </w:style>
  <w:style w:type="paragraph" w:styleId="23">
    <w:name w:val="Title"/>
    <w:basedOn w:val="1"/>
    <w:next w:val="1"/>
    <w:autoRedefine/>
    <w:qFormat/>
    <w:uiPriority w:val="0"/>
    <w:pPr>
      <w:spacing w:before="240" w:after="60"/>
      <w:jc w:val="center"/>
      <w:outlineLvl w:val="0"/>
    </w:pPr>
    <w:rPr>
      <w:rFonts w:ascii="Cambria" w:hAnsi="Cambria"/>
      <w:b/>
      <w:bCs/>
      <w:sz w:val="32"/>
      <w:szCs w:val="32"/>
    </w:rPr>
  </w:style>
  <w:style w:type="paragraph" w:styleId="24">
    <w:name w:val="Body Text First Indent"/>
    <w:basedOn w:val="2"/>
    <w:next w:val="1"/>
    <w:autoRedefine/>
    <w:qFormat/>
    <w:uiPriority w:val="0"/>
    <w:pPr>
      <w:spacing w:line="360" w:lineRule="auto"/>
      <w:ind w:firstLine="420"/>
    </w:pPr>
    <w:rPr>
      <w:rFonts w:ascii="Times New Roman"/>
      <w:spacing w:val="0"/>
      <w:kern w:val="10"/>
      <w:sz w:val="24"/>
      <w:szCs w:val="20"/>
    </w:rPr>
  </w:style>
  <w:style w:type="paragraph" w:styleId="25">
    <w:name w:val="Body Text First Indent 2"/>
    <w:basedOn w:val="14"/>
    <w:next w:val="1"/>
    <w:autoRedefine/>
    <w:qFormat/>
    <w:uiPriority w:val="0"/>
    <w:pPr>
      <w:spacing w:after="120"/>
      <w:ind w:firstLine="420" w:firstLineChars="200"/>
    </w:p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22"/>
    <w:rPr>
      <w:b/>
      <w:bCs/>
    </w:rPr>
  </w:style>
  <w:style w:type="character" w:styleId="30">
    <w:name w:val="page number"/>
    <w:basedOn w:val="28"/>
    <w:autoRedefine/>
    <w:qFormat/>
    <w:uiPriority w:val="0"/>
  </w:style>
  <w:style w:type="character" w:styleId="31">
    <w:name w:val="Hyperlink"/>
    <w:basedOn w:val="28"/>
    <w:autoRedefine/>
    <w:qFormat/>
    <w:uiPriority w:val="0"/>
    <w:rPr>
      <w:color w:val="0000FF"/>
      <w:u w:val="single"/>
    </w:rPr>
  </w:style>
  <w:style w:type="paragraph" w:customStyle="1" w:styleId="32">
    <w:name w:val="Default1"/>
    <w:autoRedefine/>
    <w:qFormat/>
    <w:uiPriority w:val="0"/>
    <w:pPr>
      <w:widowControl w:val="0"/>
      <w:autoSpaceDE w:val="0"/>
      <w:autoSpaceDN w:val="0"/>
      <w:adjustRightInd w:val="0"/>
      <w:spacing w:line="360" w:lineRule="auto"/>
    </w:pPr>
    <w:rPr>
      <w:rFonts w:ascii="Times New Roman" w:hAnsi="Times New Roman" w:eastAsia="宋体" w:cs="宋体"/>
      <w:color w:val="000000"/>
      <w:sz w:val="21"/>
      <w:szCs w:val="24"/>
      <w:lang w:val="en-US" w:eastAsia="zh-CN" w:bidi="ar-SA"/>
    </w:rPr>
  </w:style>
  <w:style w:type="paragraph" w:customStyle="1" w:styleId="33">
    <w:name w:val="Default"/>
    <w:basedOn w:val="34"/>
    <w:next w:val="25"/>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纯文本1"/>
    <w:basedOn w:val="1"/>
    <w:autoRedefine/>
    <w:qFormat/>
    <w:uiPriority w:val="0"/>
    <w:rPr>
      <w:rFonts w:ascii="宋体" w:hAnsi="Courier New"/>
    </w:rPr>
  </w:style>
  <w:style w:type="paragraph" w:customStyle="1" w:styleId="35">
    <w:name w:val="样式35"/>
    <w:basedOn w:val="1"/>
    <w:next w:val="36"/>
    <w:autoRedefine/>
    <w:qFormat/>
    <w:uiPriority w:val="0"/>
    <w:pPr>
      <w:spacing w:line="312" w:lineRule="auto"/>
      <w:ind w:firstLine="567"/>
    </w:pPr>
    <w:rPr>
      <w:rFonts w:ascii="宋体" w:hAnsi="Times New Roman" w:eastAsia="宋体" w:cs="Times New Roman"/>
    </w:rPr>
  </w:style>
  <w:style w:type="paragraph" w:customStyle="1" w:styleId="36">
    <w:name w:val="font6"/>
    <w:basedOn w:val="1"/>
    <w:next w:val="21"/>
    <w:autoRedefine/>
    <w:qFormat/>
    <w:uiPriority w:val="0"/>
    <w:pPr>
      <w:widowControl/>
      <w:spacing w:before="100" w:beforeAutospacing="1" w:after="100" w:afterAutospacing="1"/>
      <w:jc w:val="left"/>
    </w:pPr>
    <w:rPr>
      <w:rFonts w:ascii="宋体" w:hAnsi="宋体" w:eastAsia="宋体" w:cs="宋体"/>
      <w:kern w:val="0"/>
      <w:sz w:val="20"/>
    </w:rPr>
  </w:style>
  <w:style w:type="paragraph" w:customStyle="1" w:styleId="37">
    <w:name w:val="表格文字"/>
    <w:basedOn w:val="24"/>
    <w:next w:val="1"/>
    <w:autoRedefine/>
    <w:qFormat/>
    <w:uiPriority w:val="0"/>
    <w:pPr>
      <w:adjustRightInd w:val="0"/>
      <w:snapToGrid w:val="0"/>
      <w:spacing w:line="240" w:lineRule="auto"/>
      <w:ind w:firstLine="0"/>
      <w:jc w:val="center"/>
      <w:textAlignment w:val="center"/>
    </w:pPr>
    <w:rPr>
      <w:rFonts w:ascii="Times New Roman" w:hAnsi="Times New Roman"/>
      <w:kern w:val="2"/>
      <w:sz w:val="21"/>
      <w:szCs w:val="18"/>
    </w:rPr>
  </w:style>
  <w:style w:type="paragraph" w:customStyle="1" w:styleId="38">
    <w:name w:val="样式 标题 2H2He + 首行缩进:  0.5 字符"/>
    <w:basedOn w:val="6"/>
    <w:autoRedefine/>
    <w:qFormat/>
    <w:uiPriority w:val="0"/>
    <w:pPr>
      <w:keepNext w:val="0"/>
      <w:keepLines w:val="0"/>
      <w:tabs>
        <w:tab w:val="left" w:pos="648"/>
      </w:tabs>
      <w:overflowPunct w:val="0"/>
      <w:autoSpaceDE w:val="0"/>
      <w:autoSpaceDN w:val="0"/>
      <w:adjustRightInd w:val="0"/>
      <w:spacing w:before="40" w:after="40" w:line="400" w:lineRule="exact"/>
      <w:ind w:firstLine="221" w:firstLineChars="50"/>
      <w:textAlignment w:val="baseline"/>
    </w:pPr>
    <w:rPr>
      <w:rFonts w:ascii="宋体" w:hAnsi="宋体" w:eastAsia="宋体" w:cs="宋体"/>
      <w:color w:val="000000"/>
      <w:kern w:val="32"/>
      <w:szCs w:val="20"/>
    </w:rPr>
  </w:style>
  <w:style w:type="character" w:customStyle="1" w:styleId="39">
    <w:name w:val="font11"/>
    <w:autoRedefine/>
    <w:qFormat/>
    <w:uiPriority w:val="0"/>
    <w:rPr>
      <w:rFonts w:hint="default" w:ascii="Times New Roman" w:hAnsi="Times New Roman" w:cs="Times New Roman"/>
      <w:color w:val="000000"/>
      <w:sz w:val="21"/>
      <w:szCs w:val="21"/>
      <w:u w:val="none"/>
    </w:rPr>
  </w:style>
  <w:style w:type="paragraph" w:customStyle="1" w:styleId="40">
    <w:name w:val="p0"/>
    <w:basedOn w:val="1"/>
    <w:autoRedefine/>
    <w:qFormat/>
    <w:uiPriority w:val="0"/>
    <w:pPr>
      <w:widowControl/>
    </w:pPr>
    <w:rPr>
      <w:kern w:val="0"/>
      <w:sz w:val="21"/>
      <w:szCs w:val="21"/>
    </w:rPr>
  </w:style>
  <w:style w:type="paragraph" w:customStyle="1" w:styleId="41">
    <w:name w:val="环评正文"/>
    <w:basedOn w:val="1"/>
    <w:autoRedefine/>
    <w:qFormat/>
    <w:uiPriority w:val="0"/>
    <w:pPr>
      <w:spacing w:beforeLines="30"/>
      <w:ind w:firstLine="480" w:firstLineChars="200"/>
    </w:pPr>
    <w:rPr>
      <w:rFonts w:ascii="Tahoma" w:hAnsi="Tahoma" w:cs="Tahoma"/>
      <w:kern w:val="0"/>
      <w:sz w:val="24"/>
      <w:szCs w:val="20"/>
    </w:rPr>
  </w:style>
  <w:style w:type="paragraph" w:customStyle="1" w:styleId="42">
    <w:name w:val="S表正文"/>
    <w:basedOn w:val="23"/>
    <w:autoRedefine/>
    <w:qFormat/>
    <w:uiPriority w:val="0"/>
    <w:pPr>
      <w:keepNext w:val="0"/>
      <w:keepLines w:val="0"/>
      <w:spacing w:before="0" w:beforeLines="0" w:after="0" w:afterLines="0"/>
    </w:pPr>
    <w:rPr>
      <w:rFonts w:cs="Times New Roman"/>
    </w:rPr>
  </w:style>
  <w:style w:type="paragraph" w:customStyle="1" w:styleId="43">
    <w:name w:val="Table Paragraph"/>
    <w:basedOn w:val="1"/>
    <w:autoRedefine/>
    <w:qFormat/>
    <w:uiPriority w:val="1"/>
    <w:pPr>
      <w:jc w:val="center"/>
    </w:pPr>
    <w:rPr>
      <w:kern w:val="0"/>
      <w:sz w:val="22"/>
    </w:rPr>
  </w:style>
  <w:style w:type="paragraph" w:customStyle="1" w:styleId="44">
    <w:name w:val="样式 宋体 四号2"/>
    <w:basedOn w:val="1"/>
    <w:autoRedefine/>
    <w:qFormat/>
    <w:uiPriority w:val="0"/>
    <w:pPr>
      <w:spacing w:line="360" w:lineRule="auto"/>
      <w:ind w:firstLine="192" w:firstLineChars="192"/>
    </w:pPr>
    <w:rPr>
      <w:rFonts w:hint="eastAsia" w:ascii="宋体" w:cs="宋体"/>
      <w:sz w:val="24"/>
      <w:szCs w:val="20"/>
    </w:rPr>
  </w:style>
  <w:style w:type="paragraph" w:customStyle="1" w:styleId="45">
    <w:name w:val="样式 表格内文字 + (中文) 楷体_GB2312 五号 两端对齐 行距: 固定值 12 磅"/>
    <w:basedOn w:val="1"/>
    <w:autoRedefine/>
    <w:qFormat/>
    <w:uiPriority w:val="0"/>
    <w:pPr>
      <w:spacing w:line="240" w:lineRule="exact"/>
    </w:pPr>
    <w:rPr>
      <w:rFonts w:eastAsia="楷体_GB2312" w:cs="楷体_GB2312"/>
      <w:szCs w:val="21"/>
    </w:rPr>
  </w:style>
  <w:style w:type="paragraph" w:customStyle="1" w:styleId="46">
    <w:name w:val="表格内容"/>
    <w:basedOn w:val="37"/>
    <w:autoRedefine/>
    <w:qFormat/>
    <w:uiPriority w:val="0"/>
    <w:pPr>
      <w:spacing w:line="240" w:lineRule="auto"/>
    </w:pPr>
    <w:rPr>
      <w:rFonts w:ascii="Times New Roman" w:hAnsi="Times New Roman" w:eastAsia="宋体"/>
    </w:rPr>
  </w:style>
  <w:style w:type="paragraph" w:customStyle="1" w:styleId="47">
    <w:name w:val="表文字"/>
    <w:basedOn w:val="1"/>
    <w:autoRedefine/>
    <w:qFormat/>
    <w:uiPriority w:val="0"/>
    <w:pPr>
      <w:overflowPunct w:val="0"/>
      <w:autoSpaceDE w:val="0"/>
      <w:autoSpaceDN w:val="0"/>
      <w:adjustRightInd w:val="0"/>
      <w:spacing w:line="240" w:lineRule="atLeast"/>
      <w:jc w:val="center"/>
      <w:textAlignment w:val="baseline"/>
    </w:pPr>
    <w:rPr>
      <w:kern w:val="0"/>
      <w:szCs w:val="20"/>
    </w:rPr>
  </w:style>
  <w:style w:type="paragraph" w:styleId="48">
    <w:name w:val="List Paragraph"/>
    <w:basedOn w:val="1"/>
    <w:autoRedefine/>
    <w:qFormat/>
    <w:uiPriority w:val="99"/>
    <w:pPr>
      <w:ind w:firstLine="420" w:firstLineChars="200"/>
    </w:pPr>
    <w:rPr>
      <w:rFonts w:cs="Times New Roman"/>
      <w:sz w:val="32"/>
    </w:rPr>
  </w:style>
  <w:style w:type="character" w:customStyle="1" w:styleId="49">
    <w:name w:val="fontstyle01"/>
    <w:autoRedefine/>
    <w:qFormat/>
    <w:uiPriority w:val="0"/>
    <w:rPr>
      <w:rFonts w:hint="eastAsia" w:ascii="宋体" w:hAnsi="宋体" w:eastAsia="宋体"/>
      <w:color w:val="000000"/>
      <w:sz w:val="24"/>
      <w:szCs w:val="24"/>
    </w:rPr>
  </w:style>
  <w:style w:type="character" w:customStyle="1" w:styleId="50">
    <w:name w:val="标题 3 Char"/>
    <w:link w:val="7"/>
    <w:autoRedefine/>
    <w:qFormat/>
    <w:uiPriority w:val="0"/>
    <w:rPr>
      <w:b/>
      <w:bCs/>
      <w:szCs w:val="32"/>
    </w:rPr>
  </w:style>
  <w:style w:type="paragraph" w:customStyle="1" w:styleId="51">
    <w:name w:val="表格标题"/>
    <w:basedOn w:val="24"/>
    <w:next w:val="52"/>
    <w:autoRedefine/>
    <w:qFormat/>
    <w:uiPriority w:val="0"/>
    <w:pPr>
      <w:spacing w:line="240" w:lineRule="auto"/>
      <w:ind w:firstLine="0" w:firstLineChars="0"/>
      <w:jc w:val="center"/>
    </w:pPr>
    <w:rPr>
      <w:rFonts w:eastAsia="黑体"/>
    </w:rPr>
  </w:style>
  <w:style w:type="paragraph" w:customStyle="1" w:styleId="52">
    <w:name w:val="表格"/>
    <w:basedOn w:val="53"/>
    <w:next w:val="1"/>
    <w:autoRedefine/>
    <w:qFormat/>
    <w:uiPriority w:val="0"/>
    <w:pPr>
      <w:spacing w:before="92" w:beforeLines="20" w:after="162" w:afterLines="35"/>
      <w:jc w:val="center"/>
    </w:pPr>
    <w:rPr>
      <w:spacing w:val="-20"/>
      <w:sz w:val="24"/>
      <w:szCs w:val="20"/>
    </w:rPr>
  </w:style>
  <w:style w:type="paragraph" w:customStyle="1" w:styleId="53">
    <w:name w:val="表头"/>
    <w:basedOn w:val="2"/>
    <w:autoRedefine/>
    <w:qFormat/>
    <w:uiPriority w:val="0"/>
    <w:pPr>
      <w:spacing w:before="156" w:beforeLines="50" w:line="460" w:lineRule="atLeast"/>
      <w:ind w:firstLine="85"/>
      <w:jc w:val="center"/>
    </w:pPr>
    <w:rPr>
      <w:rFonts w:ascii="黑体" w:eastAsia="黑体"/>
      <w:bCs/>
      <w:kern w:val="10"/>
      <w:sz w:val="24"/>
      <w:szCs w:val="28"/>
    </w:rPr>
  </w:style>
  <w:style w:type="character" w:customStyle="1" w:styleId="54">
    <w:name w:val="样式 正文01 + Times New Roman Char"/>
    <w:basedOn w:val="55"/>
    <w:link w:val="57"/>
    <w:autoRedefine/>
    <w:qFormat/>
    <w:uiPriority w:val="0"/>
    <w:rPr>
      <w:szCs w:val="20"/>
    </w:rPr>
  </w:style>
  <w:style w:type="character" w:customStyle="1" w:styleId="55">
    <w:name w:val="正文01 Char"/>
    <w:link w:val="56"/>
    <w:autoRedefine/>
    <w:qFormat/>
    <w:uiPriority w:val="0"/>
    <w:rPr>
      <w:sz w:val="24"/>
      <w:szCs w:val="24"/>
    </w:rPr>
  </w:style>
  <w:style w:type="paragraph" w:customStyle="1" w:styleId="56">
    <w:name w:val="正文01"/>
    <w:basedOn w:val="11"/>
    <w:link w:val="55"/>
    <w:autoRedefine/>
    <w:qFormat/>
    <w:uiPriority w:val="0"/>
    <w:pPr>
      <w:spacing w:before="60" w:line="460" w:lineRule="exact"/>
      <w:ind w:firstLine="200" w:firstLineChars="200"/>
    </w:pPr>
    <w:rPr>
      <w:sz w:val="24"/>
      <w:szCs w:val="24"/>
    </w:rPr>
  </w:style>
  <w:style w:type="paragraph" w:customStyle="1" w:styleId="57">
    <w:name w:val="样式 正文01 + Times New Roman"/>
    <w:basedOn w:val="56"/>
    <w:link w:val="54"/>
    <w:autoRedefine/>
    <w:qFormat/>
    <w:uiPriority w:val="0"/>
    <w:pPr>
      <w:adjustRightInd w:val="0"/>
      <w:spacing w:before="0" w:line="520" w:lineRule="exact"/>
      <w:ind w:firstLine="514" w:firstLineChars="214"/>
      <w:textAlignment w:val="baseline"/>
    </w:pPr>
    <w:rPr>
      <w:szCs w:val="20"/>
    </w:rPr>
  </w:style>
  <w:style w:type="paragraph" w:customStyle="1" w:styleId="58">
    <w:name w:val="1文章"/>
    <w:basedOn w:val="1"/>
    <w:autoRedefine/>
    <w:qFormat/>
    <w:uiPriority w:val="0"/>
    <w:pPr>
      <w:snapToGrid w:val="0"/>
      <w:spacing w:line="360" w:lineRule="auto"/>
      <w:ind w:firstLine="573"/>
    </w:pPr>
    <w:rPr>
      <w:rFonts w:eastAsia="仿宋_GB2312"/>
      <w:sz w:val="28"/>
      <w:szCs w:val="20"/>
    </w:rPr>
  </w:style>
  <w:style w:type="paragraph" w:customStyle="1" w:styleId="59">
    <w:name w:val="az"/>
    <w:basedOn w:val="1"/>
    <w:autoRedefine/>
    <w:qFormat/>
    <w:uiPriority w:val="0"/>
    <w:pPr>
      <w:jc w:val="center"/>
    </w:pPr>
    <w:rPr>
      <w:color w:val="000000"/>
      <w:szCs w:val="21"/>
    </w:rPr>
  </w:style>
  <w:style w:type="paragraph" w:customStyle="1" w:styleId="60">
    <w:name w:val="样式 首行缩进:  1 厘米 行距: 固定值 25 磅"/>
    <w:basedOn w:val="1"/>
    <w:autoRedefine/>
    <w:qFormat/>
    <w:uiPriority w:val="0"/>
    <w:pPr>
      <w:adjustRightInd w:val="0"/>
      <w:ind w:firstLine="200" w:firstLineChars="200"/>
      <w:jc w:val="left"/>
      <w:textAlignment w:val="baseline"/>
    </w:pPr>
    <w:rPr>
      <w:rFonts w:ascii="宋体" w:hAnsi="Times New Roman" w:cs="宋体"/>
      <w:snapToGrid w:val="0"/>
      <w:kern w:val="24"/>
      <w:szCs w:val="24"/>
    </w:rPr>
  </w:style>
  <w:style w:type="paragraph" w:customStyle="1" w:styleId="61">
    <w:name w:val="样式9"/>
    <w:basedOn w:val="1"/>
    <w:autoRedefine/>
    <w:qFormat/>
    <w:uiPriority w:val="0"/>
    <w:pPr>
      <w:adjustRightInd w:val="0"/>
      <w:snapToGrid w:val="0"/>
      <w:spacing w:line="460" w:lineRule="exact"/>
      <w:ind w:firstLine="520" w:firstLineChars="200"/>
    </w:pPr>
    <w:rPr>
      <w:sz w:val="26"/>
      <w:szCs w:val="26"/>
    </w:rPr>
  </w:style>
  <w:style w:type="paragraph" w:customStyle="1" w:styleId="62">
    <w:name w:val="表内容"/>
    <w:basedOn w:val="1"/>
    <w:next w:val="1"/>
    <w:autoRedefine/>
    <w:qFormat/>
    <w:uiPriority w:val="1"/>
    <w:pPr>
      <w:spacing w:line="320" w:lineRule="exact"/>
      <w:jc w:val="center"/>
    </w:pPr>
    <w:rPr>
      <w:szCs w:val="20"/>
    </w:rPr>
  </w:style>
  <w:style w:type="paragraph" w:customStyle="1" w:styleId="63">
    <w:name w:val="黄酒表格标题"/>
    <w:autoRedefine/>
    <w:qFormat/>
    <w:uiPriority w:val="0"/>
    <w:pPr>
      <w:tabs>
        <w:tab w:val="left" w:pos="-2848"/>
      </w:tabs>
      <w:jc w:val="center"/>
    </w:pPr>
    <w:rPr>
      <w:rFonts w:ascii="Times New Roman" w:hAnsi="Times New Roman" w:eastAsia="宋体" w:cs="宋体"/>
      <w:b/>
      <w:sz w:val="21"/>
      <w:szCs w:val="21"/>
      <w:lang w:val="en-US" w:eastAsia="zh-CN" w:bidi="ar-SA"/>
    </w:rPr>
  </w:style>
  <w:style w:type="paragraph" w:customStyle="1" w:styleId="64">
    <w:name w:val="正文首行缩进2个字"/>
    <w:basedOn w:val="1"/>
    <w:autoRedefine/>
    <w:qFormat/>
    <w:uiPriority w:val="0"/>
    <w:pPr>
      <w:spacing w:line="480" w:lineRule="exact"/>
      <w:ind w:firstLine="600" w:firstLineChars="200"/>
    </w:pPr>
    <w:rPr>
      <w:rFonts w:ascii="Times New Roman" w:hAnsi="Times New Roman" w:eastAsia="宋体"/>
      <w:spacing w:val="3"/>
      <w:sz w:val="24"/>
    </w:rPr>
  </w:style>
  <w:style w:type="paragraph" w:customStyle="1" w:styleId="65">
    <w:name w:val="1 Char"/>
    <w:basedOn w:val="1"/>
    <w:autoRedefine/>
    <w:semiHidden/>
    <w:qFormat/>
    <w:uiPriority w:val="0"/>
    <w:pPr>
      <w:tabs>
        <w:tab w:val="left" w:pos="0"/>
        <w:tab w:val="left" w:pos="630"/>
      </w:tabs>
      <w:snapToGrid w:val="0"/>
      <w:spacing w:before="156" w:beforeLines="50" w:line="400" w:lineRule="exact"/>
      <w:ind w:firstLine="200" w:firstLineChars="200"/>
      <w:jc w:val="left"/>
    </w:pPr>
    <w:rPr>
      <w:rFonts w:ascii="宋体" w:hAnsi="宋体"/>
      <w:sz w:val="24"/>
    </w:rPr>
  </w:style>
  <w:style w:type="table" w:customStyle="1" w:styleId="66">
    <w:name w:val="Table Normal"/>
    <w:autoRedefine/>
    <w:unhideWhenUsed/>
    <w:qFormat/>
    <w:uiPriority w:val="0"/>
    <w:tblPr>
      <w:tblCellMar>
        <w:top w:w="0" w:type="dxa"/>
        <w:left w:w="0" w:type="dxa"/>
        <w:bottom w:w="0" w:type="dxa"/>
        <w:right w:w="0" w:type="dxa"/>
      </w:tblCellMar>
    </w:tblPr>
  </w:style>
  <w:style w:type="character" w:customStyle="1" w:styleId="67">
    <w:name w:val="font21"/>
    <w:autoRedefine/>
    <w:qFormat/>
    <w:uiPriority w:val="0"/>
    <w:rPr>
      <w:rFonts w:hint="default" w:ascii="Times New Roman" w:hAnsi="Times New Roman" w:cs="Times New Roman"/>
      <w:color w:val="000000"/>
      <w:sz w:val="24"/>
      <w:szCs w:val="24"/>
      <w:u w:val="none"/>
    </w:rPr>
  </w:style>
  <w:style w:type="paragraph" w:customStyle="1" w:styleId="68">
    <w:name w:val="图表居中"/>
    <w:basedOn w:val="1"/>
    <w:autoRedefine/>
    <w:qFormat/>
    <w:uiPriority w:val="0"/>
    <w:pPr>
      <w:spacing w:line="240" w:lineRule="auto"/>
      <w:ind w:firstLine="0" w:firstLineChars="0"/>
      <w:jc w:val="center"/>
    </w:pPr>
    <w:rPr>
      <w:sz w:val="21"/>
    </w:rPr>
  </w:style>
  <w:style w:type="paragraph" w:customStyle="1" w:styleId="69">
    <w:name w:val="正文我的样式"/>
    <w:basedOn w:val="1"/>
    <w:autoRedefine/>
    <w:qFormat/>
    <w:uiPriority w:val="0"/>
    <w:pPr>
      <w:widowControl w:val="0"/>
      <w:adjustRightInd w:val="0"/>
      <w:snapToGrid w:val="0"/>
      <w:spacing w:line="360" w:lineRule="auto"/>
      <w:ind w:firstLine="200" w:firstLineChars="200"/>
    </w:pPr>
    <w:rPr>
      <w:rFonts w:ascii="Times New Roman" w:hAnsi="Times New Roman" w:cs="Times New Roman"/>
      <w:kern w:val="2"/>
    </w:rPr>
  </w:style>
  <w:style w:type="character" w:customStyle="1" w:styleId="70">
    <w:name w:val="表格文字 Char Char"/>
    <w:autoRedefine/>
    <w:qFormat/>
    <w:uiPriority w:val="0"/>
    <w:rPr>
      <w:rFonts w:eastAsia="宋体"/>
      <w:kern w:val="2"/>
      <w:sz w:val="21"/>
      <w:szCs w:val="18"/>
      <w:lang w:val="en-US" w:eastAsia="zh-CN" w:bidi="ar-SA"/>
    </w:rPr>
  </w:style>
  <w:style w:type="paragraph" w:customStyle="1" w:styleId="71">
    <w:name w:val="!正文"/>
    <w:basedOn w:val="1"/>
    <w:autoRedefine/>
    <w:qFormat/>
    <w:uiPriority w:val="0"/>
    <w:pPr>
      <w:spacing w:line="360" w:lineRule="auto"/>
      <w:ind w:firstLine="200" w:firstLineChars="200"/>
    </w:pPr>
    <w:rPr>
      <w:sz w:val="24"/>
      <w:szCs w:val="22"/>
    </w:rPr>
  </w:style>
  <w:style w:type="character" w:customStyle="1" w:styleId="72">
    <w:name w:val="标题 2 Char"/>
    <w:link w:val="6"/>
    <w:autoRedefine/>
    <w:qFormat/>
    <w:uiPriority w:val="0"/>
    <w:rPr>
      <w:rFonts w:ascii="Arial" w:hAnsi="Arial"/>
      <w:b/>
      <w:kern w:val="0"/>
      <w:sz w:val="28"/>
      <w:szCs w:val="20"/>
    </w:rPr>
  </w:style>
  <w:style w:type="paragraph" w:customStyle="1" w:styleId="73">
    <w:name w:val="正文表格"/>
    <w:basedOn w:val="1"/>
    <w:next w:val="1"/>
    <w:autoRedefine/>
    <w:qFormat/>
    <w:uiPriority w:val="0"/>
    <w:pPr>
      <w:spacing w:line="240" w:lineRule="auto"/>
      <w:ind w:firstLine="0" w:firstLineChars="0"/>
      <w:jc w:val="center"/>
    </w:pPr>
    <w:rPr>
      <w:sz w:val="21"/>
      <w:szCs w:val="21"/>
    </w:rPr>
  </w:style>
  <w:style w:type="paragraph" w:customStyle="1" w:styleId="74">
    <w:name w:val="SG-表格文字"/>
    <w:autoRedefine/>
    <w:qFormat/>
    <w:uiPriority w:val="0"/>
    <w:pPr>
      <w:widowControl w:val="0"/>
      <w:tabs>
        <w:tab w:val="left" w:pos="543"/>
      </w:tabs>
      <w:adjustRightInd w:val="0"/>
      <w:snapToGrid w:val="0"/>
      <w:spacing w:line="240" w:lineRule="atLeast"/>
      <w:jc w:val="center"/>
    </w:pPr>
    <w:rPr>
      <w:rFonts w:ascii="Times New Roman" w:hAnsi="Times New Roman" w:eastAsia="宋体" w:cs="Times New Roman"/>
      <w:kern w:val="2"/>
      <w:sz w:val="21"/>
      <w:szCs w:val="21"/>
      <w:lang w:val="en-US" w:eastAsia="zh-CN" w:bidi="ar-SA"/>
    </w:rPr>
  </w:style>
  <w:style w:type="paragraph" w:customStyle="1" w:styleId="75">
    <w:name w:val="Body text|1"/>
    <w:basedOn w:val="1"/>
    <w:autoRedefine/>
    <w:qFormat/>
    <w:uiPriority w:val="0"/>
    <w:pPr>
      <w:widowControl w:val="0"/>
      <w:shd w:val="clear" w:color="auto" w:fill="auto"/>
      <w:spacing w:after="200"/>
      <w:ind w:firstLine="400"/>
    </w:pPr>
    <w:rPr>
      <w:rFonts w:ascii="宋体" w:hAnsi="宋体" w:eastAsia="宋体" w:cs="宋体"/>
      <w:sz w:val="20"/>
      <w:szCs w:val="20"/>
      <w:u w:val="none"/>
      <w:shd w:val="clear" w:color="auto" w:fill="auto"/>
      <w:lang w:val="zh-TW" w:eastAsia="zh-TW" w:bidi="zh-TW"/>
    </w:rPr>
  </w:style>
  <w:style w:type="paragraph" w:customStyle="1" w:styleId="76">
    <w:name w:val="04表头"/>
    <w:basedOn w:val="77"/>
    <w:next w:val="77"/>
    <w:autoRedefine/>
    <w:qFormat/>
    <w:uiPriority w:val="1"/>
    <w:pPr>
      <w:widowControl w:val="0"/>
      <w:ind w:firstLine="0" w:firstLineChars="0"/>
      <w:jc w:val="center"/>
    </w:pPr>
    <w:rPr>
      <w:b/>
      <w:bCs/>
    </w:rPr>
  </w:style>
  <w:style w:type="paragraph" w:customStyle="1" w:styleId="77">
    <w:name w:val="02表格正文小四"/>
    <w:autoRedefine/>
    <w:qFormat/>
    <w:uiPriority w:val="0"/>
    <w:pPr>
      <w:overflowPunct w:val="0"/>
      <w:spacing w:line="360" w:lineRule="auto"/>
      <w:ind w:firstLine="1124" w:firstLineChars="200"/>
      <w:jc w:val="both"/>
      <w:textAlignment w:val="baseline"/>
    </w:pPr>
    <w:rPr>
      <w:rFonts w:ascii="Times New Roman" w:hAnsi="Times New Roman" w:eastAsia="宋体" w:cs="Times New Roman"/>
      <w:sz w:val="24"/>
      <w:szCs w:val="24"/>
      <w:lang w:val="en-US" w:eastAsia="zh-CN" w:bidi="ar-SA"/>
    </w:rPr>
  </w:style>
  <w:style w:type="paragraph" w:customStyle="1" w:styleId="78">
    <w:name w:val="03表内表"/>
    <w:autoRedefine/>
    <w:qFormat/>
    <w:uiPriority w:val="0"/>
    <w:pPr>
      <w:adjustRightInd w:val="0"/>
      <w:snapToGrid w:val="0"/>
      <w:spacing w:line="276" w:lineRule="auto"/>
      <w:jc w:val="center"/>
    </w:pPr>
    <w:rPr>
      <w:rFonts w:ascii="Times New Roman" w:hAnsi="Times New Roman" w:eastAsia="宋体" w:cs="Times New Roman"/>
      <w:sz w:val="21"/>
      <w:szCs w:val="21"/>
      <w:lang w:val="en-US" w:eastAsia="zh-CN" w:bidi="ar-SA"/>
    </w:rPr>
  </w:style>
  <w:style w:type="paragraph" w:customStyle="1" w:styleId="79">
    <w:name w:val="Other|1"/>
    <w:basedOn w:val="1"/>
    <w:autoRedefine/>
    <w:qFormat/>
    <w:uiPriority w:val="0"/>
    <w:pPr>
      <w:widowControl w:val="0"/>
      <w:shd w:val="clear" w:color="auto" w:fill="auto"/>
      <w:spacing w:line="466" w:lineRule="auto"/>
      <w:jc w:val="center"/>
    </w:pPr>
    <w:rPr>
      <w:rFonts w:ascii="宋体" w:hAnsi="宋体" w:eastAsia="宋体" w:cs="宋体"/>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41220</Words>
  <Characters>45253</Characters>
  <Lines>0</Lines>
  <Paragraphs>0</Paragraphs>
  <TotalTime>145</TotalTime>
  <ScaleCrop>false</ScaleCrop>
  <LinksUpToDate>false</LinksUpToDate>
  <CharactersWithSpaces>45841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2020-12-31T06:22:00Z</dcterms:created>
  <dc:creator>传承</dc:creator>
  <cp:lastModifiedBy>鬆锶琝</cp:lastModifiedBy>
  <dcterms:modified xsi:type="dcterms:W3CDTF">2024-04-29T08:06:48Z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C64188A793C543069A0D7B52BBA53BDB</vt:lpwstr>
  </property>
</Properties>
</file>