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cs="Times New Roman"/>
          <w:b/>
          <w:bCs/>
          <w:sz w:val="28"/>
          <w:szCs w:val="28"/>
        </w:rPr>
        <w:id w:val="147470503"/>
        <w:docPartObj>
          <w:docPartGallery w:val="Table of Contents"/>
          <w:docPartUnique/>
        </w:docPartObj>
      </w:sdtPr>
      <w:sdtEndPr>
        <w:rPr>
          <w:rFonts w:ascii="Times New Roman" w:hAnsi="Times New Roman" w:cs="Times New Roman"/>
          <w:b w:val="0"/>
          <w:bCs/>
          <w:sz w:val="24"/>
          <w:szCs w:val="24"/>
        </w:rPr>
      </w:sdtEndPr>
      <w:sdtContent>
        <w:p>
          <w:pPr>
            <w:autoSpaceDE/>
            <w:autoSpaceDN/>
            <w:adjustRightInd w:val="0"/>
            <w:snapToGrid w:val="0"/>
            <w:spacing w:line="440" w:lineRule="exact"/>
            <w:jc w:val="center"/>
            <w:rPr>
              <w:rFonts w:hint="eastAsia"/>
              <w:b/>
              <w:snapToGrid w:val="0"/>
              <w:color w:val="auto"/>
              <w:spacing w:val="20"/>
              <w:kern w:val="10"/>
              <w:sz w:val="44"/>
              <w:szCs w:val="44"/>
            </w:rPr>
          </w:pPr>
        </w:p>
        <w:p>
          <w:pPr>
            <w:jc w:val="center"/>
            <w:rPr>
              <w:rFonts w:hint="eastAsia"/>
              <w:b/>
              <w:snapToGrid w:val="0"/>
              <w:color w:val="auto"/>
              <w:spacing w:val="20"/>
              <w:kern w:val="10"/>
              <w:sz w:val="44"/>
              <w:szCs w:val="44"/>
            </w:rPr>
          </w:pPr>
        </w:p>
        <w:p>
          <w:pPr>
            <w:jc w:val="center"/>
            <w:rPr>
              <w:rFonts w:hint="eastAsia"/>
              <w:b/>
              <w:snapToGrid w:val="0"/>
              <w:color w:val="auto"/>
              <w:spacing w:val="20"/>
              <w:kern w:val="10"/>
              <w:sz w:val="44"/>
              <w:szCs w:val="44"/>
            </w:rPr>
          </w:pPr>
        </w:p>
        <w:p>
          <w:pPr>
            <w:pStyle w:val="88"/>
            <w:ind w:left="480" w:firstLine="520"/>
            <w:rPr>
              <w:rFonts w:ascii="Times New Roman" w:hAnsi="Times New Roman"/>
            </w:rPr>
          </w:pPr>
        </w:p>
        <w:p>
          <w:pPr>
            <w:jc w:val="center"/>
            <w:rPr>
              <w:rFonts w:hint="eastAsia"/>
              <w:b/>
              <w:snapToGrid w:val="0"/>
              <w:color w:val="auto"/>
              <w:spacing w:val="20"/>
              <w:kern w:val="10"/>
              <w:sz w:val="44"/>
              <w:szCs w:val="44"/>
            </w:rPr>
          </w:pPr>
          <w:r>
            <w:rPr>
              <w:rFonts w:hint="eastAsia"/>
              <w:b/>
              <w:snapToGrid w:val="0"/>
              <w:color w:val="auto"/>
              <w:spacing w:val="20"/>
              <w:kern w:val="10"/>
              <w:sz w:val="44"/>
              <w:szCs w:val="44"/>
              <w:lang w:eastAsia="zh-CN"/>
            </w:rPr>
            <w:t>祁水祁东县治理工程（祁水三期）</w:t>
          </w:r>
        </w:p>
        <w:p>
          <w:pPr>
            <w:jc w:val="center"/>
            <w:rPr>
              <w:rFonts w:hint="eastAsia"/>
              <w:b/>
              <w:snapToGrid w:val="0"/>
              <w:color w:val="auto"/>
              <w:spacing w:val="20"/>
              <w:kern w:val="10"/>
              <w:sz w:val="36"/>
              <w:szCs w:val="36"/>
            </w:rPr>
          </w:pPr>
        </w:p>
        <w:p>
          <w:pPr>
            <w:jc w:val="center"/>
            <w:rPr>
              <w:b/>
              <w:color w:val="auto"/>
              <w:spacing w:val="52"/>
              <w:sz w:val="72"/>
              <w:szCs w:val="72"/>
            </w:rPr>
          </w:pPr>
          <w:r>
            <w:rPr>
              <w:b/>
              <w:color w:val="auto"/>
              <w:spacing w:val="52"/>
              <w:sz w:val="72"/>
              <w:szCs w:val="72"/>
            </w:rPr>
            <w:t>环境影响报告书</w:t>
          </w:r>
        </w:p>
        <w:p>
          <w:pPr>
            <w:pStyle w:val="2"/>
            <w:jc w:val="center"/>
            <w:rPr>
              <w:rFonts w:hint="eastAsia"/>
              <w:color w:val="auto"/>
              <w:sz w:val="36"/>
              <w:szCs w:val="36"/>
            </w:rPr>
          </w:pPr>
        </w:p>
        <w:p>
          <w:pPr>
            <w:spacing w:before="156"/>
            <w:ind w:firstLine="600"/>
            <w:rPr>
              <w:rFonts w:eastAsia="隶书"/>
              <w:color w:val="auto"/>
              <w:sz w:val="30"/>
            </w:rPr>
          </w:pPr>
        </w:p>
        <w:p>
          <w:pPr>
            <w:pStyle w:val="88"/>
            <w:ind w:left="480" w:firstLine="640"/>
            <w:rPr>
              <w:rFonts w:ascii="Times New Roman" w:hAnsi="Times New Roman" w:eastAsia="隶书"/>
              <w:color w:val="auto"/>
              <w:sz w:val="30"/>
            </w:rPr>
          </w:pPr>
          <w:bookmarkStart w:id="482" w:name="_GoBack"/>
          <w:bookmarkEnd w:id="482"/>
        </w:p>
        <w:p>
          <w:pPr>
            <w:rPr>
              <w:color w:val="auto"/>
            </w:rPr>
          </w:pPr>
        </w:p>
        <w:p>
          <w:pPr>
            <w:pStyle w:val="88"/>
            <w:ind w:left="0" w:leftChars="0" w:firstLine="0" w:firstLineChars="0"/>
            <w:rPr>
              <w:rFonts w:ascii="Times New Roman" w:hAnsi="Times New Roman" w:eastAsia="隶书"/>
              <w:color w:val="auto"/>
              <w:sz w:val="30"/>
            </w:rPr>
          </w:pPr>
        </w:p>
        <w:p>
          <w:pPr>
            <w:rPr>
              <w:rFonts w:ascii="Times New Roman" w:hAnsi="Times New Roman" w:eastAsia="隶书"/>
              <w:color w:val="auto"/>
              <w:sz w:val="30"/>
            </w:rPr>
          </w:pPr>
        </w:p>
        <w:p>
          <w:pPr>
            <w:pStyle w:val="88"/>
            <w:ind w:left="0" w:leftChars="0" w:firstLine="0" w:firstLineChars="0"/>
          </w:pPr>
        </w:p>
        <w:p>
          <w:pPr>
            <w:rPr>
              <w:rFonts w:eastAsia="隶书"/>
              <w:color w:val="auto"/>
              <w:sz w:val="30"/>
            </w:rPr>
          </w:pPr>
        </w:p>
        <w:p>
          <w:pPr>
            <w:rPr>
              <w:rFonts w:eastAsia="隶书"/>
              <w:color w:val="auto"/>
              <w:sz w:val="30"/>
            </w:rPr>
          </w:pPr>
        </w:p>
        <w:p>
          <w:pPr>
            <w:rPr>
              <w:color w:val="auto"/>
            </w:rPr>
          </w:pPr>
        </w:p>
        <w:p>
          <w:pPr>
            <w:rPr>
              <w:color w:val="auto"/>
            </w:rPr>
          </w:pPr>
        </w:p>
        <w:p>
          <w:pPr>
            <w:pStyle w:val="88"/>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ascii="Times New Roman" w:hAnsi="Times New Roman"/>
              <w:b/>
              <w:bCs/>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b/>
              <w:bCs/>
              <w:color w:val="auto"/>
              <w:sz w:val="32"/>
              <w:szCs w:val="32"/>
              <w:lang w:eastAsia="zh-CN"/>
            </w:rPr>
          </w:pPr>
          <w:bookmarkStart w:id="0" w:name="_Toc499746025"/>
          <w:bookmarkStart w:id="1" w:name="_Toc455957759"/>
          <w:bookmarkStart w:id="2" w:name="_Toc454520502"/>
          <w:bookmarkStart w:id="3" w:name="_Toc500235612"/>
          <w:bookmarkStart w:id="4" w:name="_Toc500140993"/>
          <w:bookmarkStart w:id="5" w:name="_Toc485222229"/>
          <w:bookmarkStart w:id="6" w:name="_Toc486489681"/>
          <w:bookmarkStart w:id="7" w:name="_Toc454025349"/>
          <w:bookmarkStart w:id="8" w:name="_Toc458403267"/>
          <w:bookmarkStart w:id="9" w:name="_Toc485222376"/>
          <w:bookmarkStart w:id="10" w:name="_Toc485222628"/>
          <w:bookmarkStart w:id="11" w:name="_Toc485931236"/>
          <w:r>
            <w:rPr>
              <w:b/>
              <w:bCs/>
              <w:color w:val="auto"/>
              <w:sz w:val="32"/>
              <w:szCs w:val="32"/>
            </w:rPr>
            <w:t>建设单位：</w:t>
          </w:r>
          <w:bookmarkEnd w:id="0"/>
          <w:bookmarkEnd w:id="1"/>
          <w:bookmarkEnd w:id="2"/>
          <w:bookmarkEnd w:id="3"/>
          <w:bookmarkEnd w:id="4"/>
          <w:bookmarkEnd w:id="5"/>
          <w:bookmarkEnd w:id="6"/>
          <w:bookmarkEnd w:id="7"/>
          <w:bookmarkEnd w:id="8"/>
          <w:bookmarkEnd w:id="9"/>
          <w:bookmarkEnd w:id="10"/>
          <w:bookmarkEnd w:id="11"/>
          <w:r>
            <w:rPr>
              <w:rFonts w:hint="eastAsia"/>
              <w:b/>
              <w:bCs/>
              <w:color w:val="auto"/>
              <w:sz w:val="32"/>
              <w:szCs w:val="32"/>
              <w:lang w:eastAsia="zh-CN"/>
            </w:rPr>
            <w:t>祁东县水利水电管理站</w:t>
          </w:r>
        </w:p>
        <w:p>
          <w:pPr>
            <w:pStyle w:val="88"/>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Times New Roman" w:hAnsi="Times New Roman" w:eastAsia="宋体"/>
              <w:b/>
              <w:bCs/>
              <w:color w:val="auto"/>
              <w:spacing w:val="0"/>
              <w:sz w:val="32"/>
              <w:szCs w:val="32"/>
              <w:lang w:eastAsia="zh-CN"/>
            </w:rPr>
          </w:pPr>
          <w:r>
            <w:rPr>
              <w:rFonts w:hint="eastAsia" w:ascii="Times New Roman" w:hAnsi="Times New Roman"/>
              <w:b/>
              <w:bCs/>
              <w:color w:val="auto"/>
              <w:spacing w:val="0"/>
              <w:sz w:val="32"/>
              <w:szCs w:val="32"/>
            </w:rPr>
            <w:t>编制单位：</w:t>
          </w:r>
          <w:r>
            <w:rPr>
              <w:rFonts w:hint="eastAsia"/>
              <w:b/>
              <w:bCs/>
              <w:color w:val="auto"/>
              <w:spacing w:val="0"/>
              <w:sz w:val="32"/>
              <w:szCs w:val="32"/>
              <w:lang w:eastAsia="zh-CN"/>
            </w:rPr>
            <w:t>湖南中璟太禹环保科技有限公司</w:t>
          </w:r>
        </w:p>
        <w:p>
          <w:pPr>
            <w:pStyle w:val="75"/>
            <w:keepNext w:val="0"/>
            <w:keepLines w:val="0"/>
            <w:pageBreakBefore w:val="0"/>
            <w:widowControl w:val="0"/>
            <w:tabs>
              <w:tab w:val="left" w:pos="735"/>
              <w:tab w:val="right" w:leader="dot" w:pos="8302"/>
            </w:tabs>
            <w:kinsoku/>
            <w:wordWrap/>
            <w:overflowPunct/>
            <w:topLinePunct w:val="0"/>
            <w:autoSpaceDE/>
            <w:autoSpaceDN/>
            <w:bidi w:val="0"/>
            <w:adjustRightInd/>
            <w:snapToGrid/>
            <w:spacing w:line="360" w:lineRule="auto"/>
            <w:ind w:left="0" w:leftChars="0" w:firstLine="0" w:firstLineChars="0"/>
            <w:jc w:val="center"/>
            <w:textAlignment w:val="auto"/>
            <w:rPr>
              <w:b/>
              <w:bCs/>
              <w:color w:val="auto"/>
              <w:sz w:val="32"/>
              <w:szCs w:val="32"/>
            </w:rPr>
          </w:pPr>
          <w:r>
            <w:rPr>
              <w:b/>
              <w:bCs/>
              <w:color w:val="auto"/>
              <w:sz w:val="32"/>
              <w:szCs w:val="32"/>
            </w:rPr>
            <w:t>编制时间：202</w:t>
          </w:r>
          <w:r>
            <w:rPr>
              <w:rFonts w:hint="eastAsia"/>
              <w:b/>
              <w:bCs/>
              <w:color w:val="auto"/>
              <w:sz w:val="32"/>
              <w:szCs w:val="32"/>
              <w:lang w:val="en-US" w:eastAsia="zh-CN"/>
            </w:rPr>
            <w:t>4</w:t>
          </w:r>
          <w:r>
            <w:rPr>
              <w:b/>
              <w:bCs/>
              <w:color w:val="auto"/>
              <w:sz w:val="32"/>
              <w:szCs w:val="32"/>
            </w:rPr>
            <w:t>年</w:t>
          </w:r>
          <w:r>
            <w:rPr>
              <w:rFonts w:hint="eastAsia"/>
              <w:b/>
              <w:bCs/>
              <w:color w:val="auto"/>
              <w:sz w:val="32"/>
              <w:szCs w:val="32"/>
              <w:lang w:val="en-US" w:eastAsia="zh-CN"/>
            </w:rPr>
            <w:t>6</w:t>
          </w:r>
          <w:r>
            <w:rPr>
              <w:b/>
              <w:bCs/>
              <w:color w:val="auto"/>
              <w:sz w:val="32"/>
              <w:szCs w:val="32"/>
            </w:rPr>
            <w:t>月</w:t>
          </w:r>
        </w:p>
        <w:p>
          <w:pPr>
            <w:pStyle w:val="75"/>
            <w:tabs>
              <w:tab w:val="left" w:pos="735"/>
              <w:tab w:val="right" w:leader="dot" w:pos="8302"/>
            </w:tabs>
            <w:ind w:left="0" w:leftChars="0"/>
            <w:jc w:val="center"/>
            <w:rPr>
              <w:b/>
              <w:bCs/>
              <w:color w:val="auto"/>
              <w:sz w:val="32"/>
              <w:szCs w:val="32"/>
            </w:rPr>
          </w:pPr>
        </w:p>
        <w:p>
          <w:pPr>
            <w:rPr>
              <w:color w:val="auto"/>
            </w:rPr>
          </w:pPr>
        </w:p>
        <w:p>
          <w:pPr>
            <w:pStyle w:val="22"/>
            <w:ind w:firstLine="0"/>
            <w:rPr>
              <w:rFonts w:hint="eastAsia"/>
              <w:color w:val="auto"/>
            </w:rPr>
            <w:sectPr>
              <w:headerReference r:id="rId7" w:type="first"/>
              <w:footerReference r:id="rId10" w:type="first"/>
              <w:headerReference r:id="rId5" w:type="default"/>
              <w:footerReference r:id="rId8" w:type="default"/>
              <w:headerReference r:id="rId6" w:type="even"/>
              <w:footerReference r:id="rId9" w:type="even"/>
              <w:pgSz w:w="11907" w:h="16840"/>
              <w:pgMar w:top="1814" w:right="1474" w:bottom="1588" w:left="1701" w:header="1247" w:footer="992" w:gutter="0"/>
              <w:pgBorders>
                <w:top w:val="none" w:sz="0" w:space="0"/>
                <w:left w:val="none" w:sz="0" w:space="0"/>
                <w:bottom w:val="none" w:sz="0" w:space="0"/>
                <w:right w:val="none" w:sz="0" w:space="0"/>
              </w:pgBorders>
              <w:pgNumType w:start="1"/>
              <w:cols w:space="720" w:num="1"/>
              <w:docGrid w:linePitch="312" w:charSpace="0"/>
            </w:sectPr>
          </w:pPr>
        </w:p>
        <w:p>
          <w:pPr>
            <w:autoSpaceDE/>
            <w:autoSpaceDN/>
            <w:adjustRightInd w:val="0"/>
            <w:snapToGrid w:val="0"/>
            <w:spacing w:line="240" w:lineRule="auto"/>
            <w:jc w:val="center"/>
            <w:rPr>
              <w:rFonts w:hint="eastAsia" w:ascii="Times New Roman" w:hAnsi="Times New Roman" w:eastAsia="宋体" w:cs="Times New Roman"/>
              <w:b/>
              <w:bCs/>
              <w:sz w:val="30"/>
              <w:szCs w:val="30"/>
              <w:lang w:eastAsia="zh-CN"/>
            </w:rPr>
            <w:sectPr>
              <w:pgSz w:w="11910" w:h="16840"/>
              <w:pgMar w:top="1378" w:right="1542" w:bottom="1378" w:left="1559" w:header="877" w:footer="1020" w:gutter="0"/>
              <w:pgBorders>
                <w:top w:val="none" w:sz="0" w:space="0"/>
                <w:left w:val="none" w:sz="0" w:space="0"/>
                <w:bottom w:val="none" w:sz="0" w:space="0"/>
                <w:right w:val="none" w:sz="0" w:space="0"/>
              </w:pgBorders>
              <w:pgNumType w:fmt="upperRoman" w:start="1"/>
              <w:cols w:space="720" w:num="1"/>
              <w:docGrid w:linePitch="299" w:charSpace="0"/>
            </w:sectPr>
          </w:pPr>
        </w:p>
        <w:p>
          <w:pPr>
            <w:autoSpaceDE/>
            <w:autoSpaceDN/>
            <w:adjustRightInd w:val="0"/>
            <w:snapToGrid w:val="0"/>
            <w:spacing w:line="440" w:lineRule="exact"/>
            <w:jc w:val="center"/>
            <w:rPr>
              <w:rFonts w:ascii="Times New Roman" w:hAnsi="Times New Roman" w:cs="Times New Roman"/>
              <w:b/>
              <w:bCs/>
              <w:sz w:val="30"/>
              <w:szCs w:val="30"/>
            </w:rPr>
          </w:pPr>
          <w:r>
            <w:rPr>
              <w:rFonts w:ascii="Times New Roman" w:hAnsi="Times New Roman" w:cs="Times New Roman"/>
              <w:b/>
              <w:bCs/>
              <w:sz w:val="30"/>
              <w:szCs w:val="30"/>
            </w:rPr>
            <w:t>目   录</w:t>
          </w:r>
        </w:p>
        <w:p>
          <w:pPr>
            <w:pStyle w:val="60"/>
            <w:tabs>
              <w:tab w:val="right" w:leader="dot" w:pos="8809"/>
            </w:tabs>
            <w:jc w:val="left"/>
            <w:rPr>
              <w:rFonts w:hint="default" w:ascii="Times New Roman" w:hAnsi="Times New Roman" w:eastAsia="宋体"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TOC \o "1-3" \h \u </w:instrText>
          </w:r>
          <w:r>
            <w:rPr>
              <w:rFonts w:ascii="Times New Roman" w:hAnsi="Times New Roman" w:cs="Times New Roman"/>
              <w:sz w:val="21"/>
              <w:szCs w:val="21"/>
            </w:rPr>
            <w:fldChar w:fldCharType="separate"/>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_Toc16809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1.概述</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_Toc16809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_Toc15861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napToGrid w:val="0"/>
              <w:sz w:val="21"/>
              <w:szCs w:val="21"/>
            </w:rPr>
            <w:t>.1项目背景</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_Toc15861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_Toc9819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1.2项目建设必要性</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_Toc9819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_Toc6009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1.3</w:t>
          </w:r>
          <w:r>
            <w:rPr>
              <w:rFonts w:hint="default" w:ascii="Times New Roman" w:hAnsi="Times New Roman" w:eastAsia="宋体" w:cs="Times New Roman"/>
              <w:sz w:val="21"/>
              <w:szCs w:val="21"/>
              <w:lang w:val="en-US"/>
            </w:rPr>
            <w:t>环境影响评价工作过程</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_Toc6009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_Toc16031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1.4关注的主要环境问题</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_Toc16031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_Toc11610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1.5分析判定相关情况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_Toc11610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_Toc31123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1.5.1与产业政策相符性</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_Toc31123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_Toc15576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1.5.2与相关法规政策的相符性</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_Toc15576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_Toc1035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1.5.3与相关规划的相符性</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_Toc1035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_Toc10330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1.5.4“三线一单”符合性</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_Toc10330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_Toc7994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1.5.5与“</w:t>
          </w:r>
          <w:r>
            <w:rPr>
              <w:rFonts w:hint="eastAsia" w:ascii="Times New Roman" w:hAnsi="Times New Roman" w:eastAsia="宋体" w:cs="Times New Roman"/>
              <w:sz w:val="21"/>
              <w:szCs w:val="21"/>
              <w:lang w:eastAsia="zh-CN"/>
            </w:rPr>
            <w:t>衡阳市</w:t>
          </w:r>
          <w:r>
            <w:rPr>
              <w:rFonts w:hint="default" w:ascii="Times New Roman" w:hAnsi="Times New Roman" w:eastAsia="宋体" w:cs="Times New Roman"/>
              <w:sz w:val="21"/>
              <w:szCs w:val="21"/>
            </w:rPr>
            <w:t>人民政府关于实施</w:t>
          </w:r>
          <w:r>
            <w:rPr>
              <w:rFonts w:hint="eastAsia" w:ascii="Times New Roman" w:hAnsi="Times New Roman" w:eastAsia="宋体" w:cs="Times New Roman"/>
              <w:sz w:val="21"/>
              <w:szCs w:val="21"/>
              <w:lang w:eastAsia="zh-CN"/>
            </w:rPr>
            <w:t>衡阳市</w:t>
          </w:r>
          <w:r>
            <w:rPr>
              <w:rFonts w:hint="default" w:ascii="Times New Roman" w:hAnsi="Times New Roman" w:eastAsia="宋体" w:cs="Times New Roman"/>
              <w:sz w:val="21"/>
              <w:szCs w:val="21"/>
            </w:rPr>
            <w:t>“三线一单”生态环境分区管控的意见（</w:t>
          </w:r>
          <w:r>
            <w:rPr>
              <w:rFonts w:hint="eastAsia" w:ascii="Times New Roman" w:hAnsi="Times New Roman" w:eastAsia="宋体" w:cs="Times New Roman"/>
              <w:sz w:val="21"/>
              <w:szCs w:val="21"/>
              <w:lang w:eastAsia="zh-CN"/>
            </w:rPr>
            <w:t>衡政发[2020]9号</w:t>
          </w:r>
          <w:r>
            <w:rPr>
              <w:rFonts w:hint="default" w:ascii="Times New Roman" w:hAnsi="Times New Roman" w:eastAsia="宋体" w:cs="Times New Roman"/>
              <w:sz w:val="21"/>
              <w:szCs w:val="21"/>
            </w:rPr>
            <w:t>）”相符性分析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_Toc7994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_Toc24226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1.5.6选址合理性分析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_Toc24226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_Toc1536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1.</w:t>
          </w:r>
          <w:r>
            <w:rPr>
              <w:rFonts w:hint="default" w:ascii="Times New Roman" w:hAnsi="Times New Roman" w:eastAsia="宋体" w:cs="Times New Roman"/>
              <w:snapToGrid w:val="0"/>
              <w:sz w:val="21"/>
              <w:szCs w:val="21"/>
              <w:lang w:val="en-US"/>
            </w:rPr>
            <w:t>6</w:t>
          </w:r>
          <w:r>
            <w:rPr>
              <w:rFonts w:hint="default" w:ascii="Times New Roman" w:hAnsi="Times New Roman" w:eastAsia="宋体" w:cs="Times New Roman"/>
              <w:snapToGrid w:val="0"/>
              <w:sz w:val="21"/>
              <w:szCs w:val="21"/>
            </w:rPr>
            <w:t>环境影响报告书主要结论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_Toc1536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60"/>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_Toc10773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2.总则</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_Toc10773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_Toc20092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2.1编制依据</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_Toc20092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_Toc20932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2.1.1国家法律、法规</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_Toc20932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_Toc20256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2.1.2部门规章、法规</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_Toc20256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_Toc30559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2.1.3部委规章及规范性文件</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_Toc30559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_Toc15324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2.1.4地方性法规和地方政府规章</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_Toc15324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_Toc7207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2.1.5技术导则、规范</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_Toc7207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_Toc436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2.1.6其他资料</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_Toc436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_Toc20143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2.2评价目的及原则</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_Toc20143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_Toc31754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2.2.1评价目的</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_Toc31754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_Toc20357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2.2.2评价原则</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_Toc20357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_Toc14620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2.3环境影响识别及评价因子筛选</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_Toc14620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_Toc11316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2.3.1环境影响识别</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_Toc11316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_Toc28547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2.3.2评价因子筛选</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_Toc28547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_Toc2880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2.4评价工作等级与评价范围</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_Toc2880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_Toc5312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2.4.1评价工作等级</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_Toc5312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_Toc30980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2.4.2评价范围</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_Toc30980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_Toc17690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2.4.3环境功能区划</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_Toc17690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_Toc17574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2.5评价标准</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_Toc17574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_Toc28490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2.5.1环境质量标准</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_Toc28490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_Toc13686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2.5.2污染物排放标准</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_Toc13686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_Toc2775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2.6环境保护目标</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_Toc2775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60"/>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_Toc25715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3.建设项目工程分析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_Toc25715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_Toc5651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3.1</w:t>
          </w:r>
          <w:r>
            <w:rPr>
              <w:rFonts w:hint="default" w:ascii="Times New Roman" w:hAnsi="Times New Roman" w:eastAsia="宋体" w:cs="Times New Roman"/>
              <w:sz w:val="21"/>
              <w:szCs w:val="21"/>
            </w:rPr>
            <w:t>项目区污染现状及污染源调查</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_Toc5651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_Toc11859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3.2建设项目概况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_Toc11859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_Toc7531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3.2.1项目基本情况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_Toc7531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_Toc5118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3.2.2项目主要建设内容</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_Toc5118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_Toc13664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3.3工程设计方案</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_Toc13664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_Toc4056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Cs/>
              <w:sz w:val="21"/>
              <w:szCs w:val="21"/>
              <w:lang w:val="en-US" w:eastAsia="zh-CN" w:bidi="zh-CN"/>
            </w:rPr>
            <w:t>3.3.1河滨湿地水质净化</w:t>
          </w:r>
          <w:r>
            <w:rPr>
              <w:rFonts w:hint="default" w:ascii="Times New Roman" w:hAnsi="Times New Roman" w:eastAsia="宋体" w:cs="Times New Roman"/>
              <w:bCs/>
              <w:sz w:val="21"/>
              <w:szCs w:val="21"/>
              <w:lang w:val="zh-CN" w:eastAsia="zh-CN" w:bidi="zh-CN"/>
            </w:rPr>
            <w:t>工程</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_Toc4056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_Toc11989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lang w:val="en-US" w:eastAsia="zh-CN"/>
            </w:rPr>
            <w:t>3.3.2</w:t>
          </w:r>
          <w:r>
            <w:rPr>
              <w:rFonts w:hint="default" w:ascii="Times New Roman" w:hAnsi="Times New Roman" w:eastAsia="宋体" w:cs="Times New Roman"/>
              <w:sz w:val="21"/>
              <w:szCs w:val="21"/>
            </w:rPr>
            <w:t>河滨缓冲带生态保护修复工程</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_Toc11989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_Toc21256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lang w:val="en-US" w:eastAsia="zh-CN"/>
            </w:rPr>
            <w:t>3.3.3河口湿地水质净化</w:t>
          </w:r>
          <w:r>
            <w:rPr>
              <w:rFonts w:hint="default" w:ascii="Times New Roman" w:hAnsi="Times New Roman" w:eastAsia="宋体" w:cs="Times New Roman"/>
              <w:sz w:val="21"/>
              <w:szCs w:val="21"/>
            </w:rPr>
            <w:t>工程</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_Toc21256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_Toc32326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lang w:val="en-US" w:eastAsia="zh-CN"/>
            </w:rPr>
            <w:t>3.3.4 工程量汇总表</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_Toc32326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_Toc2210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lang w:val="en-US" w:eastAsia="zh-CN"/>
            </w:rPr>
            <w:t>3</w:t>
          </w:r>
          <w:r>
            <w:rPr>
              <w:rFonts w:hint="default" w:ascii="Times New Roman" w:hAnsi="Times New Roman" w:eastAsia="宋体" w:cs="Times New Roman"/>
              <w:snapToGrid w:val="0"/>
              <w:sz w:val="21"/>
              <w:szCs w:val="21"/>
              <w:lang w:val="zh-CN" w:eastAsia="zh-CN"/>
            </w:rPr>
            <w:t>.4施工组织</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_Toc2210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_Toc2510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3.5主体工程施工</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_Toc2510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_Toc18652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3.</w:t>
          </w:r>
          <w:r>
            <w:rPr>
              <w:rFonts w:hint="default" w:ascii="Times New Roman" w:hAnsi="Times New Roman" w:eastAsia="宋体" w:cs="Times New Roman"/>
              <w:snapToGrid w:val="0"/>
              <w:sz w:val="21"/>
              <w:szCs w:val="21"/>
              <w:lang w:val="en-US" w:eastAsia="zh-CN"/>
            </w:rPr>
            <w:t>6</w:t>
          </w:r>
          <w:r>
            <w:rPr>
              <w:rFonts w:hint="default" w:ascii="Times New Roman" w:hAnsi="Times New Roman" w:eastAsia="宋体" w:cs="Times New Roman"/>
              <w:snapToGrid w:val="0"/>
              <w:sz w:val="21"/>
              <w:szCs w:val="21"/>
            </w:rPr>
            <w:t>施工</w:t>
          </w:r>
          <w:r>
            <w:rPr>
              <w:rFonts w:hint="default" w:ascii="Times New Roman" w:hAnsi="Times New Roman" w:eastAsia="宋体" w:cs="Times New Roman"/>
              <w:sz w:val="21"/>
              <w:szCs w:val="21"/>
            </w:rPr>
            <w:t>总进度</w:t>
          </w:r>
          <w:r>
            <w:rPr>
              <w:rFonts w:hint="default" w:ascii="Times New Roman" w:hAnsi="Times New Roman" w:eastAsia="宋体" w:cs="Times New Roman"/>
              <w:sz w:val="21"/>
              <w:szCs w:val="21"/>
              <w:lang w:eastAsia="zh-CN"/>
            </w:rPr>
            <w:t>及施工</w:t>
          </w:r>
          <w:r>
            <w:rPr>
              <w:rFonts w:hint="default" w:ascii="Times New Roman" w:hAnsi="Times New Roman" w:eastAsia="宋体" w:cs="Times New Roman"/>
              <w:snapToGrid w:val="0"/>
              <w:sz w:val="21"/>
              <w:szCs w:val="21"/>
            </w:rPr>
            <w:t>人数</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_Toc18652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_Toc29310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3.7工程影响因素分析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_Toc29310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_Toc10219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3.8施工期污染源分析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_Toc10219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_Toc2051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3.9营运期污染源分析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_Toc2051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93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60"/>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_Toc11895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4.环境现状调查与评价</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_Toc11895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94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_Toc3631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4.1自然环境现状</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_Toc3631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94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_Toc30827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lang w:val="en-US" w:eastAsia="zh-CN"/>
            </w:rPr>
            <w:t>4.2</w:t>
          </w:r>
          <w:r>
            <w:rPr>
              <w:rFonts w:hint="default" w:ascii="Times New Roman" w:hAnsi="Times New Roman" w:eastAsia="宋体" w:cs="Times New Roman"/>
              <w:snapToGrid w:val="0"/>
              <w:sz w:val="21"/>
              <w:szCs w:val="21"/>
            </w:rPr>
            <w:t>社会经济概况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_Toc30827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97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_Toc30518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4.</w:t>
          </w:r>
          <w:r>
            <w:rPr>
              <w:rFonts w:hint="default" w:ascii="Times New Roman" w:hAnsi="Times New Roman" w:eastAsia="宋体" w:cs="Times New Roman"/>
              <w:snapToGrid w:val="0"/>
              <w:sz w:val="21"/>
              <w:szCs w:val="21"/>
              <w:lang w:val="en-US" w:eastAsia="zh-CN"/>
            </w:rPr>
            <w:t>3</w:t>
          </w:r>
          <w:r>
            <w:rPr>
              <w:rFonts w:hint="eastAsia" w:ascii="Times New Roman" w:hAnsi="Times New Roman" w:cs="Times New Roman"/>
              <w:snapToGrid w:val="0"/>
              <w:sz w:val="21"/>
              <w:szCs w:val="21"/>
              <w:lang w:eastAsia="zh-CN"/>
            </w:rPr>
            <w:t>祁水</w:t>
          </w:r>
          <w:r>
            <w:rPr>
              <w:rFonts w:hint="default" w:ascii="Times New Roman" w:hAnsi="Times New Roman" w:eastAsia="宋体" w:cs="Times New Roman"/>
              <w:snapToGrid w:val="0"/>
              <w:sz w:val="21"/>
              <w:szCs w:val="21"/>
              <w:lang w:eastAsia="zh-CN"/>
            </w:rPr>
            <w:t>饮用水源保护区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_Toc30518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100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_Toc17363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饮用水源保护区基本情况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_Toc17363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100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_Toc8595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lang w:eastAsia="zh-CN"/>
            </w:rPr>
            <w:t>饮用水源保护区具体划分情况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_Toc8595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101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_Toc32313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4.</w:t>
          </w:r>
          <w:r>
            <w:rPr>
              <w:rFonts w:hint="default" w:ascii="Times New Roman" w:hAnsi="Times New Roman" w:eastAsia="宋体" w:cs="Times New Roman"/>
              <w:snapToGrid w:val="0"/>
              <w:sz w:val="21"/>
              <w:szCs w:val="21"/>
              <w:lang w:val="en-US" w:eastAsia="zh-CN"/>
            </w:rPr>
            <w:t>4</w:t>
          </w:r>
          <w:r>
            <w:rPr>
              <w:rFonts w:hint="default" w:ascii="Times New Roman" w:hAnsi="Times New Roman" w:eastAsia="宋体" w:cs="Times New Roman"/>
              <w:snapToGrid w:val="0"/>
              <w:sz w:val="21"/>
              <w:szCs w:val="21"/>
            </w:rPr>
            <w:t>环境质量现状监测与评价</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_Toc32313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106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_Toc27836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4.</w:t>
          </w:r>
          <w:r>
            <w:rPr>
              <w:rFonts w:hint="default" w:ascii="Times New Roman" w:hAnsi="Times New Roman" w:eastAsia="宋体" w:cs="Times New Roman"/>
              <w:snapToGrid w:val="0"/>
              <w:sz w:val="21"/>
              <w:szCs w:val="21"/>
              <w:lang w:val="en-US" w:eastAsia="zh-CN"/>
            </w:rPr>
            <w:t>5</w:t>
          </w:r>
          <w:r>
            <w:rPr>
              <w:rFonts w:hint="default" w:ascii="Times New Roman" w:hAnsi="Times New Roman" w:eastAsia="宋体" w:cs="Times New Roman"/>
              <w:snapToGrid w:val="0"/>
              <w:sz w:val="21"/>
              <w:szCs w:val="21"/>
            </w:rPr>
            <w:t>生态环境现状</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_Toc27836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119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60"/>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_Toc9545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5.环境影响预测与评价</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_Toc9545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129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_Toc16082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5.1施工期环境影响</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_Toc16082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129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_Toc10310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5.1.1大气环境影响分析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_Toc10310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129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_Toc27887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5.1.2地表水环境影响分析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_Toc27887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131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_Toc29275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5.1.3地下水环境影响分析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_Toc29275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133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_Toc9359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5.1.4声环境影响分析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_Toc9359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133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_Toc20597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5.1.5固体废物影响分析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_Toc20597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134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_Toc10091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5.1.6生态环境影响分析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_Toc10091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135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_Toc27651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5.1.7社会环境影响分析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_Toc27651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142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_Toc30080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5.2营运期环境影响</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_Toc30080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142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_Toc30763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5.3环境风险影响分析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_Toc30763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142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_Toc25588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.1环境风险评价目的</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_Toc25588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142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_Toc4526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.2 风险调查</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_Toc4526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143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_Toc4075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.3 评价等级</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_Toc4075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145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_Toc12002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lang w:val="en-US" w:eastAsia="zh-CN"/>
            </w:rPr>
            <w:t>5.3</w:t>
          </w:r>
          <w:r>
            <w:rPr>
              <w:rFonts w:hint="default" w:ascii="Times New Roman" w:hAnsi="Times New Roman" w:eastAsia="宋体" w:cs="Times New Roman"/>
              <w:sz w:val="21"/>
              <w:szCs w:val="21"/>
            </w:rPr>
            <w:t>.4 风险识别</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_Toc12002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146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_Toc13603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lang w:val="en-US" w:eastAsia="zh-CN"/>
            </w:rPr>
            <w:t>5.3</w:t>
          </w:r>
          <w:r>
            <w:rPr>
              <w:rFonts w:hint="default" w:ascii="Times New Roman" w:hAnsi="Times New Roman" w:eastAsia="宋体" w:cs="Times New Roman"/>
              <w:sz w:val="21"/>
              <w:szCs w:val="21"/>
            </w:rPr>
            <w:t>.5 风险评价</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_Toc13603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146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_Toc10338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lang w:val="en-US" w:eastAsia="zh-CN"/>
            </w:rPr>
            <w:t>5.3</w:t>
          </w:r>
          <w:r>
            <w:rPr>
              <w:rFonts w:hint="default" w:ascii="Times New Roman" w:hAnsi="Times New Roman" w:eastAsia="宋体" w:cs="Times New Roman"/>
              <w:sz w:val="21"/>
              <w:szCs w:val="21"/>
            </w:rPr>
            <w:t>.6 事故风险防范措施</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_Toc10338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149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_Toc28241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lang w:val="en-US" w:eastAsia="zh-CN"/>
            </w:rPr>
            <w:t>5.3</w:t>
          </w:r>
          <w:r>
            <w:rPr>
              <w:rFonts w:hint="default" w:ascii="Times New Roman" w:hAnsi="Times New Roman" w:eastAsia="宋体" w:cs="Times New Roman"/>
              <w:sz w:val="21"/>
              <w:szCs w:val="21"/>
            </w:rPr>
            <w:t>.7 环境风险评价结论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_Toc28241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154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60"/>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_Toc26731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6.环境保护措施及其可行性分析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_Toc26731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155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_Toc21916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6.1 施工期环境保护措施</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_Toc21916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155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_Toc32256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6.1.1大气污染防治措施</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_Toc32256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155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_Toc28064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6.1.2水污染防治措施</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_Toc28064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156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_Toc31304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6.1.3地下水污染防治措施</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_Toc31304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157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_Toc16357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6.1.4噪声污染防治措施</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_Toc16357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157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_Toc29126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6.1.5固体废物污染防治措施</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_Toc29126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158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_Toc17322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6.1.6生态环境保护措施</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_Toc17322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159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_Toc2134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6.1.7社会环境影响减缓措施</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_Toc2134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_Toc30840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6.2 营运期环境保护措施</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_Toc30840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60"/>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_Toc26135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7.环境影响经济损益分析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_Toc26135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_Toc14806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7.1环境保护投资估算</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_Toc14806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_Toc9391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7.2社会效益</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_Toc9391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_Toc15894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7.3.1</w:t>
          </w:r>
          <w:r>
            <w:rPr>
              <w:rFonts w:hint="default" w:ascii="Times New Roman" w:hAnsi="Times New Roman" w:eastAsia="宋体" w:cs="Times New Roman"/>
              <w:sz w:val="21"/>
              <w:szCs w:val="21"/>
              <w:lang w:eastAsia="zh-CN"/>
            </w:rPr>
            <w:t>环境</w:t>
          </w:r>
          <w:r>
            <w:rPr>
              <w:rFonts w:hint="default" w:ascii="Times New Roman" w:hAnsi="Times New Roman" w:eastAsia="宋体" w:cs="Times New Roman"/>
              <w:sz w:val="21"/>
              <w:szCs w:val="21"/>
            </w:rPr>
            <w:t>正效益</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_Toc15894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_Toc32639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7.3.2负效益</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_Toc32639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7.4环境损益分析结论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60"/>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_Toc9934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8.环境管理与监测计划</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_Toc9934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_Toc5215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8.1环境管理</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_Toc5215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_Toc21746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8.1.1管理目的</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_Toc21746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_Toc11289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8.1.2环境管理体系</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_Toc11289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_Toc32244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8.1.3环境管理职责</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_Toc32244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_Toc23712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8.1.4环境管理内容</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_Toc23712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_Toc30036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8.2环境监理</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_Toc30036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_Toc14529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8.2.1目的和任务</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_Toc14529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_Toc715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8.2.2范围及职责</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_Toc715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_Toc28908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8.2.3环境监理内容</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_Toc28908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_Toc26175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8.3环境监测</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_Toc26175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_Toc6615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8.3.1监测目的</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_Toc6615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_Toc3145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8.3.2监测原则</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_Toc3145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46"/>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_Toc30062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8.3.3监测计划</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_Toc30062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napToGrid w:val="0"/>
              <w:sz w:val="21"/>
              <w:szCs w:val="21"/>
            </w:rPr>
            <w:t>8.4竣工验收</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170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60"/>
            <w:tabs>
              <w:tab w:val="right" w:leader="dot" w:pos="8809"/>
            </w:tabs>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_Toc14334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9.结论与建议</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_Toc14334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172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75"/>
            <w:tabs>
              <w:tab w:val="right" w:leader="dot" w:pos="8809"/>
            </w:tabs>
            <w:rPr>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\l _Toc19416 </w:instrText>
          </w:r>
          <w:r>
            <w:rPr>
              <w:rFonts w:ascii="Times New Roman" w:hAnsi="Times New Roman" w:cs="Times New Roman"/>
              <w:sz w:val="21"/>
              <w:szCs w:val="21"/>
            </w:rPr>
            <w:fldChar w:fldCharType="separate"/>
          </w:r>
          <w:r>
            <w:rPr>
              <w:rFonts w:ascii="Times New Roman" w:hAnsi="Times New Roman" w:cs="Times New Roman"/>
              <w:snapToGrid w:val="0"/>
              <w:sz w:val="21"/>
              <w:szCs w:val="21"/>
            </w:rPr>
            <w:t>9.1结论</w:t>
          </w:r>
          <w:r>
            <w:rPr>
              <w:sz w:val="21"/>
              <w:szCs w:val="21"/>
            </w:rPr>
            <w:tab/>
          </w:r>
          <w:r>
            <w:rPr>
              <w:sz w:val="21"/>
              <w:szCs w:val="21"/>
            </w:rPr>
            <w:fldChar w:fldCharType="begin"/>
          </w:r>
          <w:r>
            <w:rPr>
              <w:sz w:val="21"/>
              <w:szCs w:val="21"/>
            </w:rPr>
            <w:instrText xml:space="preserve"> PAGEREF _Toc19416 \h </w:instrText>
          </w:r>
          <w:r>
            <w:rPr>
              <w:sz w:val="21"/>
              <w:szCs w:val="21"/>
            </w:rPr>
            <w:fldChar w:fldCharType="separate"/>
          </w:r>
          <w:r>
            <w:rPr>
              <w:sz w:val="21"/>
              <w:szCs w:val="21"/>
            </w:rPr>
            <w:t>172</w:t>
          </w:r>
          <w:r>
            <w:rPr>
              <w:sz w:val="21"/>
              <w:szCs w:val="21"/>
            </w:rPr>
            <w:fldChar w:fldCharType="end"/>
          </w:r>
          <w:r>
            <w:rPr>
              <w:rFonts w:ascii="Times New Roman" w:hAnsi="Times New Roman" w:cs="Times New Roman"/>
              <w:sz w:val="21"/>
              <w:szCs w:val="21"/>
            </w:rPr>
            <w:fldChar w:fldCharType="end"/>
          </w:r>
        </w:p>
        <w:p>
          <w:pPr>
            <w:pStyle w:val="46"/>
            <w:tabs>
              <w:tab w:val="right" w:leader="dot" w:pos="8809"/>
            </w:tabs>
            <w:rPr>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\l _Toc21501 </w:instrText>
          </w:r>
          <w:r>
            <w:rPr>
              <w:rFonts w:ascii="Times New Roman" w:hAnsi="Times New Roman" w:cs="Times New Roman"/>
              <w:sz w:val="21"/>
              <w:szCs w:val="21"/>
            </w:rPr>
            <w:fldChar w:fldCharType="separate"/>
          </w:r>
          <w:r>
            <w:rPr>
              <w:rFonts w:ascii="Times New Roman" w:hAnsi="Times New Roman" w:cs="Times New Roman"/>
              <w:sz w:val="21"/>
              <w:szCs w:val="21"/>
            </w:rPr>
            <w:t>9.1.1项目概况</w:t>
          </w:r>
          <w:r>
            <w:rPr>
              <w:sz w:val="21"/>
              <w:szCs w:val="21"/>
            </w:rPr>
            <w:tab/>
          </w:r>
          <w:r>
            <w:rPr>
              <w:sz w:val="21"/>
              <w:szCs w:val="21"/>
            </w:rPr>
            <w:fldChar w:fldCharType="begin"/>
          </w:r>
          <w:r>
            <w:rPr>
              <w:sz w:val="21"/>
              <w:szCs w:val="21"/>
            </w:rPr>
            <w:instrText xml:space="preserve"> PAGEREF _Toc21501 \h </w:instrText>
          </w:r>
          <w:r>
            <w:rPr>
              <w:sz w:val="21"/>
              <w:szCs w:val="21"/>
            </w:rPr>
            <w:fldChar w:fldCharType="separate"/>
          </w:r>
          <w:r>
            <w:rPr>
              <w:sz w:val="21"/>
              <w:szCs w:val="21"/>
            </w:rPr>
            <w:t>172</w:t>
          </w:r>
          <w:r>
            <w:rPr>
              <w:sz w:val="21"/>
              <w:szCs w:val="21"/>
            </w:rPr>
            <w:fldChar w:fldCharType="end"/>
          </w:r>
          <w:r>
            <w:rPr>
              <w:rFonts w:ascii="Times New Roman" w:hAnsi="Times New Roman" w:cs="Times New Roman"/>
              <w:sz w:val="21"/>
              <w:szCs w:val="21"/>
            </w:rPr>
            <w:fldChar w:fldCharType="end"/>
          </w:r>
        </w:p>
        <w:p>
          <w:pPr>
            <w:pStyle w:val="46"/>
            <w:tabs>
              <w:tab w:val="right" w:leader="dot" w:pos="8809"/>
            </w:tabs>
            <w:rPr>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\l _Toc19170 </w:instrText>
          </w:r>
          <w:r>
            <w:rPr>
              <w:rFonts w:ascii="Times New Roman" w:hAnsi="Times New Roman" w:cs="Times New Roman"/>
              <w:sz w:val="21"/>
              <w:szCs w:val="21"/>
            </w:rPr>
            <w:fldChar w:fldCharType="separate"/>
          </w:r>
          <w:r>
            <w:rPr>
              <w:rFonts w:ascii="Times New Roman" w:hAnsi="Times New Roman" w:cs="Times New Roman"/>
              <w:sz w:val="21"/>
              <w:szCs w:val="21"/>
            </w:rPr>
            <w:t>9.1.2区域环境质量现状</w:t>
          </w:r>
          <w:r>
            <w:rPr>
              <w:sz w:val="21"/>
              <w:szCs w:val="21"/>
            </w:rPr>
            <w:tab/>
          </w:r>
          <w:r>
            <w:rPr>
              <w:sz w:val="21"/>
              <w:szCs w:val="21"/>
            </w:rPr>
            <w:fldChar w:fldCharType="begin"/>
          </w:r>
          <w:r>
            <w:rPr>
              <w:sz w:val="21"/>
              <w:szCs w:val="21"/>
            </w:rPr>
            <w:instrText xml:space="preserve"> PAGEREF _Toc19170 \h </w:instrText>
          </w:r>
          <w:r>
            <w:rPr>
              <w:sz w:val="21"/>
              <w:szCs w:val="21"/>
            </w:rPr>
            <w:fldChar w:fldCharType="separate"/>
          </w:r>
          <w:r>
            <w:rPr>
              <w:sz w:val="21"/>
              <w:szCs w:val="21"/>
            </w:rPr>
            <w:t>172</w:t>
          </w:r>
          <w:r>
            <w:rPr>
              <w:sz w:val="21"/>
              <w:szCs w:val="21"/>
            </w:rPr>
            <w:fldChar w:fldCharType="end"/>
          </w:r>
          <w:r>
            <w:rPr>
              <w:rFonts w:ascii="Times New Roman" w:hAnsi="Times New Roman" w:cs="Times New Roman"/>
              <w:sz w:val="21"/>
              <w:szCs w:val="21"/>
            </w:rPr>
            <w:fldChar w:fldCharType="end"/>
          </w:r>
        </w:p>
        <w:p>
          <w:pPr>
            <w:pStyle w:val="46"/>
            <w:tabs>
              <w:tab w:val="right" w:leader="dot" w:pos="8809"/>
            </w:tabs>
            <w:rPr>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\l _Toc26853 </w:instrText>
          </w:r>
          <w:r>
            <w:rPr>
              <w:rFonts w:ascii="Times New Roman" w:hAnsi="Times New Roman" w:cs="Times New Roman"/>
              <w:sz w:val="21"/>
              <w:szCs w:val="21"/>
            </w:rPr>
            <w:fldChar w:fldCharType="separate"/>
          </w:r>
          <w:r>
            <w:rPr>
              <w:rFonts w:ascii="Times New Roman" w:hAnsi="Times New Roman" w:cs="Times New Roman"/>
              <w:sz w:val="21"/>
              <w:szCs w:val="21"/>
            </w:rPr>
            <w:t>9.1.3污染物总量控制</w:t>
          </w:r>
          <w:r>
            <w:rPr>
              <w:sz w:val="21"/>
              <w:szCs w:val="21"/>
            </w:rPr>
            <w:tab/>
          </w:r>
          <w:r>
            <w:rPr>
              <w:sz w:val="21"/>
              <w:szCs w:val="21"/>
            </w:rPr>
            <w:fldChar w:fldCharType="begin"/>
          </w:r>
          <w:r>
            <w:rPr>
              <w:sz w:val="21"/>
              <w:szCs w:val="21"/>
            </w:rPr>
            <w:instrText xml:space="preserve"> PAGEREF _Toc26853 \h </w:instrText>
          </w:r>
          <w:r>
            <w:rPr>
              <w:sz w:val="21"/>
              <w:szCs w:val="21"/>
            </w:rPr>
            <w:fldChar w:fldCharType="separate"/>
          </w:r>
          <w:r>
            <w:rPr>
              <w:sz w:val="21"/>
              <w:szCs w:val="21"/>
            </w:rPr>
            <w:t>173</w:t>
          </w:r>
          <w:r>
            <w:rPr>
              <w:sz w:val="21"/>
              <w:szCs w:val="21"/>
            </w:rPr>
            <w:fldChar w:fldCharType="end"/>
          </w:r>
          <w:r>
            <w:rPr>
              <w:rFonts w:ascii="Times New Roman" w:hAnsi="Times New Roman" w:cs="Times New Roman"/>
              <w:sz w:val="21"/>
              <w:szCs w:val="21"/>
            </w:rPr>
            <w:fldChar w:fldCharType="end"/>
          </w:r>
        </w:p>
        <w:p>
          <w:pPr>
            <w:pStyle w:val="46"/>
            <w:tabs>
              <w:tab w:val="right" w:leader="dot" w:pos="8809"/>
            </w:tabs>
            <w:rPr>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\l _Toc13492 </w:instrText>
          </w:r>
          <w:r>
            <w:rPr>
              <w:rFonts w:ascii="Times New Roman" w:hAnsi="Times New Roman" w:cs="Times New Roman"/>
              <w:sz w:val="21"/>
              <w:szCs w:val="21"/>
            </w:rPr>
            <w:fldChar w:fldCharType="separate"/>
          </w:r>
          <w:r>
            <w:rPr>
              <w:rFonts w:ascii="Times New Roman" w:hAnsi="Times New Roman" w:cs="Times New Roman"/>
              <w:sz w:val="21"/>
              <w:szCs w:val="21"/>
            </w:rPr>
            <w:t>9.1.4环境影响分析结论</w:t>
          </w:r>
          <w:r>
            <w:rPr>
              <w:sz w:val="21"/>
              <w:szCs w:val="21"/>
            </w:rPr>
            <w:tab/>
          </w:r>
          <w:r>
            <w:rPr>
              <w:sz w:val="21"/>
              <w:szCs w:val="21"/>
            </w:rPr>
            <w:fldChar w:fldCharType="begin"/>
          </w:r>
          <w:r>
            <w:rPr>
              <w:sz w:val="21"/>
              <w:szCs w:val="21"/>
            </w:rPr>
            <w:instrText xml:space="preserve"> PAGEREF _Toc13492 \h </w:instrText>
          </w:r>
          <w:r>
            <w:rPr>
              <w:sz w:val="21"/>
              <w:szCs w:val="21"/>
            </w:rPr>
            <w:fldChar w:fldCharType="separate"/>
          </w:r>
          <w:r>
            <w:rPr>
              <w:sz w:val="21"/>
              <w:szCs w:val="21"/>
            </w:rPr>
            <w:t>173</w:t>
          </w:r>
          <w:r>
            <w:rPr>
              <w:sz w:val="21"/>
              <w:szCs w:val="21"/>
            </w:rPr>
            <w:fldChar w:fldCharType="end"/>
          </w:r>
          <w:r>
            <w:rPr>
              <w:rFonts w:ascii="Times New Roman" w:hAnsi="Times New Roman" w:cs="Times New Roman"/>
              <w:sz w:val="21"/>
              <w:szCs w:val="21"/>
            </w:rPr>
            <w:fldChar w:fldCharType="end"/>
          </w:r>
        </w:p>
        <w:p>
          <w:pPr>
            <w:pStyle w:val="46"/>
            <w:tabs>
              <w:tab w:val="right" w:leader="dot" w:pos="8809"/>
            </w:tabs>
            <w:rPr>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\l _Toc5617 </w:instrText>
          </w:r>
          <w:r>
            <w:rPr>
              <w:rFonts w:ascii="Times New Roman" w:hAnsi="Times New Roman" w:cs="Times New Roman"/>
              <w:sz w:val="21"/>
              <w:szCs w:val="21"/>
            </w:rPr>
            <w:fldChar w:fldCharType="separate"/>
          </w:r>
          <w:r>
            <w:rPr>
              <w:rFonts w:ascii="Times New Roman" w:hAnsi="Times New Roman" w:cs="Times New Roman"/>
              <w:sz w:val="21"/>
              <w:szCs w:val="21"/>
            </w:rPr>
            <w:t>9.1.5公众参与</w:t>
          </w:r>
          <w:r>
            <w:rPr>
              <w:sz w:val="21"/>
              <w:szCs w:val="21"/>
            </w:rPr>
            <w:tab/>
          </w:r>
          <w:r>
            <w:rPr>
              <w:sz w:val="21"/>
              <w:szCs w:val="21"/>
            </w:rPr>
            <w:fldChar w:fldCharType="begin"/>
          </w:r>
          <w:r>
            <w:rPr>
              <w:sz w:val="21"/>
              <w:szCs w:val="21"/>
            </w:rPr>
            <w:instrText xml:space="preserve"> PAGEREF _Toc5617 \h </w:instrText>
          </w:r>
          <w:r>
            <w:rPr>
              <w:sz w:val="21"/>
              <w:szCs w:val="21"/>
            </w:rPr>
            <w:fldChar w:fldCharType="separate"/>
          </w:r>
          <w:r>
            <w:rPr>
              <w:sz w:val="21"/>
              <w:szCs w:val="21"/>
            </w:rPr>
            <w:t>175</w:t>
          </w:r>
          <w:r>
            <w:rPr>
              <w:sz w:val="21"/>
              <w:szCs w:val="21"/>
            </w:rPr>
            <w:fldChar w:fldCharType="end"/>
          </w:r>
          <w:r>
            <w:rPr>
              <w:rFonts w:ascii="Times New Roman" w:hAnsi="Times New Roman" w:cs="Times New Roman"/>
              <w:sz w:val="21"/>
              <w:szCs w:val="21"/>
            </w:rPr>
            <w:fldChar w:fldCharType="end"/>
          </w:r>
        </w:p>
        <w:p>
          <w:pPr>
            <w:pStyle w:val="46"/>
            <w:tabs>
              <w:tab w:val="right" w:leader="dot" w:pos="8809"/>
            </w:tabs>
            <w:rPr>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\l _Toc16816 </w:instrText>
          </w:r>
          <w:r>
            <w:rPr>
              <w:rFonts w:ascii="Times New Roman" w:hAnsi="Times New Roman" w:cs="Times New Roman"/>
              <w:sz w:val="21"/>
              <w:szCs w:val="21"/>
            </w:rPr>
            <w:fldChar w:fldCharType="separate"/>
          </w:r>
          <w:r>
            <w:rPr>
              <w:rFonts w:ascii="Times New Roman" w:hAnsi="Times New Roman" w:cs="Times New Roman"/>
              <w:sz w:val="21"/>
              <w:szCs w:val="21"/>
            </w:rPr>
            <w:t>9.1.6环境可行性分析</w:t>
          </w:r>
          <w:r>
            <w:rPr>
              <w:sz w:val="21"/>
              <w:szCs w:val="21"/>
            </w:rPr>
            <w:tab/>
          </w:r>
          <w:r>
            <w:rPr>
              <w:sz w:val="21"/>
              <w:szCs w:val="21"/>
            </w:rPr>
            <w:fldChar w:fldCharType="begin"/>
          </w:r>
          <w:r>
            <w:rPr>
              <w:sz w:val="21"/>
              <w:szCs w:val="21"/>
            </w:rPr>
            <w:instrText xml:space="preserve"> PAGEREF _Toc16816 \h </w:instrText>
          </w:r>
          <w:r>
            <w:rPr>
              <w:sz w:val="21"/>
              <w:szCs w:val="21"/>
            </w:rPr>
            <w:fldChar w:fldCharType="separate"/>
          </w:r>
          <w:r>
            <w:rPr>
              <w:sz w:val="21"/>
              <w:szCs w:val="21"/>
            </w:rPr>
            <w:t>175</w:t>
          </w:r>
          <w:r>
            <w:rPr>
              <w:sz w:val="21"/>
              <w:szCs w:val="21"/>
            </w:rPr>
            <w:fldChar w:fldCharType="end"/>
          </w:r>
          <w:r>
            <w:rPr>
              <w:rFonts w:ascii="Times New Roman" w:hAnsi="Times New Roman" w:cs="Times New Roman"/>
              <w:sz w:val="21"/>
              <w:szCs w:val="21"/>
            </w:rPr>
            <w:fldChar w:fldCharType="end"/>
          </w:r>
        </w:p>
        <w:p>
          <w:pPr>
            <w:pStyle w:val="46"/>
            <w:tabs>
              <w:tab w:val="right" w:leader="dot" w:pos="8809"/>
            </w:tabs>
            <w:rPr>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\l _Toc14273 </w:instrText>
          </w:r>
          <w:r>
            <w:rPr>
              <w:rFonts w:ascii="Times New Roman" w:hAnsi="Times New Roman" w:cs="Times New Roman"/>
              <w:sz w:val="21"/>
              <w:szCs w:val="21"/>
            </w:rPr>
            <w:fldChar w:fldCharType="separate"/>
          </w:r>
          <w:r>
            <w:rPr>
              <w:rFonts w:ascii="Times New Roman" w:hAnsi="Times New Roman" w:cs="Times New Roman"/>
              <w:sz w:val="21"/>
              <w:szCs w:val="21"/>
            </w:rPr>
            <w:t>9.1.</w:t>
          </w:r>
          <w:r>
            <w:rPr>
              <w:rFonts w:hint="eastAsia" w:ascii="Times New Roman" w:hAnsi="Times New Roman" w:cs="Times New Roman"/>
              <w:sz w:val="21"/>
              <w:szCs w:val="21"/>
              <w:lang w:val="en-US" w:eastAsia="zh-CN"/>
            </w:rPr>
            <w:t>7</w:t>
          </w:r>
          <w:r>
            <w:rPr>
              <w:rFonts w:ascii="Times New Roman" w:hAnsi="Times New Roman" w:cs="Times New Roman"/>
              <w:sz w:val="21"/>
              <w:szCs w:val="21"/>
            </w:rPr>
            <w:t>结论</w:t>
          </w:r>
          <w:r>
            <w:rPr>
              <w:sz w:val="21"/>
              <w:szCs w:val="21"/>
            </w:rPr>
            <w:tab/>
          </w:r>
          <w:r>
            <w:rPr>
              <w:sz w:val="21"/>
              <w:szCs w:val="21"/>
            </w:rPr>
            <w:fldChar w:fldCharType="begin"/>
          </w:r>
          <w:r>
            <w:rPr>
              <w:sz w:val="21"/>
              <w:szCs w:val="21"/>
            </w:rPr>
            <w:instrText xml:space="preserve"> PAGEREF _Toc14273 \h </w:instrText>
          </w:r>
          <w:r>
            <w:rPr>
              <w:sz w:val="21"/>
              <w:szCs w:val="21"/>
            </w:rPr>
            <w:fldChar w:fldCharType="separate"/>
          </w:r>
          <w:r>
            <w:rPr>
              <w:sz w:val="21"/>
              <w:szCs w:val="21"/>
            </w:rPr>
            <w:t>176</w:t>
          </w:r>
          <w:r>
            <w:rPr>
              <w:sz w:val="21"/>
              <w:szCs w:val="21"/>
            </w:rPr>
            <w:fldChar w:fldCharType="end"/>
          </w:r>
          <w:r>
            <w:rPr>
              <w:rFonts w:ascii="Times New Roman" w:hAnsi="Times New Roman" w:cs="Times New Roman"/>
              <w:sz w:val="21"/>
              <w:szCs w:val="21"/>
            </w:rPr>
            <w:fldChar w:fldCharType="end"/>
          </w:r>
        </w:p>
        <w:p>
          <w:pPr>
            <w:pStyle w:val="75"/>
            <w:tabs>
              <w:tab w:val="right" w:leader="dot" w:pos="8809"/>
            </w:tabs>
            <w:rPr>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\l _Toc29332 </w:instrText>
          </w:r>
          <w:r>
            <w:rPr>
              <w:rFonts w:ascii="Times New Roman" w:hAnsi="Times New Roman" w:cs="Times New Roman"/>
              <w:sz w:val="21"/>
              <w:szCs w:val="21"/>
            </w:rPr>
            <w:fldChar w:fldCharType="separate"/>
          </w:r>
          <w:r>
            <w:rPr>
              <w:rFonts w:ascii="Times New Roman" w:hAnsi="Times New Roman" w:cs="Times New Roman"/>
              <w:snapToGrid w:val="0"/>
              <w:sz w:val="21"/>
              <w:szCs w:val="21"/>
            </w:rPr>
            <w:t>9.2建议</w:t>
          </w:r>
          <w:r>
            <w:rPr>
              <w:sz w:val="21"/>
              <w:szCs w:val="21"/>
            </w:rPr>
            <w:tab/>
          </w:r>
          <w:r>
            <w:rPr>
              <w:sz w:val="21"/>
              <w:szCs w:val="21"/>
            </w:rPr>
            <w:fldChar w:fldCharType="begin"/>
          </w:r>
          <w:r>
            <w:rPr>
              <w:sz w:val="21"/>
              <w:szCs w:val="21"/>
            </w:rPr>
            <w:instrText xml:space="preserve"> PAGEREF _Toc29332 \h </w:instrText>
          </w:r>
          <w:r>
            <w:rPr>
              <w:sz w:val="21"/>
              <w:szCs w:val="21"/>
            </w:rPr>
            <w:fldChar w:fldCharType="separate"/>
          </w:r>
          <w:r>
            <w:rPr>
              <w:sz w:val="21"/>
              <w:szCs w:val="21"/>
            </w:rPr>
            <w:t>176</w:t>
          </w:r>
          <w:r>
            <w:rPr>
              <w:sz w:val="21"/>
              <w:szCs w:val="21"/>
            </w:rPr>
            <w:fldChar w:fldCharType="end"/>
          </w:r>
          <w:r>
            <w:rPr>
              <w:rFonts w:ascii="Times New Roman" w:hAnsi="Times New Roman" w:cs="Times New Roman"/>
              <w:sz w:val="21"/>
              <w:szCs w:val="21"/>
            </w:rPr>
            <w:fldChar w:fldCharType="end"/>
          </w:r>
        </w:p>
        <w:p>
          <w:pPr>
            <w:pStyle w:val="75"/>
            <w:tabs>
              <w:tab w:val="right" w:leader="dot" w:pos="8800"/>
            </w:tabs>
            <w:autoSpaceDE/>
            <w:autoSpaceDN/>
            <w:adjustRightInd w:val="0"/>
            <w:snapToGrid w:val="0"/>
            <w:spacing w:before="0" w:line="440" w:lineRule="exact"/>
            <w:ind w:left="0" w:firstLine="0"/>
            <w:rPr>
              <w:rFonts w:ascii="Times New Roman" w:hAnsi="Times New Roman" w:cs="Times New Roman"/>
              <w:kern w:val="2"/>
              <w:lang w:val="en-US" w:bidi="ar-SA"/>
            </w:rPr>
          </w:pPr>
          <w:r>
            <w:rPr>
              <w:rFonts w:ascii="Times New Roman" w:hAnsi="Times New Roman" w:cs="Times New Roman"/>
              <w:sz w:val="21"/>
              <w:szCs w:val="21"/>
            </w:rPr>
            <w:fldChar w:fldCharType="end"/>
          </w:r>
        </w:p>
      </w:sdtContent>
    </w:sdt>
    <w:p>
      <w:pPr>
        <w:autoSpaceDE/>
        <w:autoSpaceDN/>
        <w:adjustRightInd w:val="0"/>
        <w:snapToGrid w:val="0"/>
        <w:jc w:val="both"/>
        <w:rPr>
          <w:rFonts w:ascii="Times New Roman" w:hAnsi="Times New Roman" w:cs="Times New Roman"/>
          <w:b/>
          <w:sz w:val="24"/>
          <w:szCs w:val="24"/>
        </w:rPr>
      </w:pPr>
      <w:r>
        <w:rPr>
          <w:rFonts w:ascii="Times New Roman" w:hAnsi="Times New Roman" w:cs="Times New Roman"/>
          <w:b/>
          <w:sz w:val="24"/>
          <w:szCs w:val="24"/>
        </w:rPr>
        <w:br w:type="page"/>
      </w:r>
    </w:p>
    <w:p>
      <w:pPr>
        <w:autoSpaceDE/>
        <w:autoSpaceDN/>
        <w:adjustRightInd w:val="0"/>
        <w:snapToGrid w:val="0"/>
        <w:spacing w:line="360" w:lineRule="auto"/>
        <w:contextualSpacing/>
        <w:jc w:val="both"/>
        <w:rPr>
          <w:rFonts w:ascii="Times New Roman" w:hAnsi="Times New Roman" w:eastAsia="Times New Roman" w:cs="Times New Roman"/>
        </w:rPr>
      </w:pPr>
      <w:r>
        <w:rPr>
          <w:rFonts w:ascii="Times New Roman" w:hAnsi="Times New Roman" w:cs="Times New Roman"/>
          <w:b/>
          <w:sz w:val="24"/>
          <w:szCs w:val="24"/>
        </w:rPr>
        <w:t>附件</w:t>
      </w:r>
    </w:p>
    <w:p>
      <w:pPr>
        <w:autoSpaceDE/>
        <w:autoSpaceDN/>
        <w:adjustRightInd w:val="0"/>
        <w:snapToGrid w:val="0"/>
        <w:spacing w:line="360" w:lineRule="auto"/>
        <w:jc w:val="both"/>
        <w:rPr>
          <w:rFonts w:ascii="Times New Roman" w:hAnsi="Times New Roman" w:cs="Times New Roman"/>
          <w:sz w:val="24"/>
          <w:szCs w:val="24"/>
        </w:rPr>
      </w:pPr>
      <w:r>
        <w:rPr>
          <w:rFonts w:ascii="Times New Roman" w:hAnsi="Times New Roman" w:cs="Times New Roman"/>
          <w:sz w:val="24"/>
          <w:szCs w:val="24"/>
        </w:rPr>
        <w:t>附件1</w:t>
      </w:r>
      <w:r>
        <w:rPr>
          <w:rFonts w:hint="eastAsia" w:ascii="Times New Roman" w:hAnsi="Times New Roman" w:cs="Times New Roman"/>
          <w:sz w:val="24"/>
          <w:szCs w:val="24"/>
        </w:rPr>
        <w:t xml:space="preserve">  </w:t>
      </w:r>
      <w:r>
        <w:rPr>
          <w:rFonts w:ascii="Times New Roman" w:hAnsi="Times New Roman" w:cs="Times New Roman"/>
          <w:sz w:val="24"/>
          <w:szCs w:val="24"/>
        </w:rPr>
        <w:t>委托书</w:t>
      </w:r>
    </w:p>
    <w:p>
      <w:pPr>
        <w:autoSpaceDE/>
        <w:autoSpaceDN/>
        <w:adjustRightInd w:val="0"/>
        <w:snapToGrid w:val="0"/>
        <w:spacing w:line="360" w:lineRule="auto"/>
        <w:jc w:val="both"/>
        <w:rPr>
          <w:rFonts w:hint="eastAsia" w:ascii="Times New Roman" w:hAnsi="Times New Roman" w:cs="Times New Roman"/>
          <w:sz w:val="24"/>
          <w:szCs w:val="24"/>
        </w:rPr>
      </w:pPr>
      <w:r>
        <w:rPr>
          <w:rFonts w:hint="eastAsia" w:ascii="Times New Roman" w:hAnsi="Times New Roman" w:cs="Times New Roman"/>
          <w:sz w:val="24"/>
          <w:szCs w:val="24"/>
        </w:rPr>
        <w:t>附件2  项目中央专项资金文件</w:t>
      </w:r>
    </w:p>
    <w:p>
      <w:pPr>
        <w:autoSpaceDE/>
        <w:autoSpaceDN/>
        <w:adjustRightInd w:val="0"/>
        <w:snapToGrid w:val="0"/>
        <w:spacing w:line="360" w:lineRule="auto"/>
        <w:jc w:val="both"/>
        <w:rPr>
          <w:rFonts w:ascii="Times New Roman" w:hAnsi="Times New Roman" w:cs="Times New Roman"/>
          <w:sz w:val="24"/>
          <w:szCs w:val="24"/>
        </w:rPr>
      </w:pPr>
      <w:r>
        <w:rPr>
          <w:rFonts w:hint="eastAsia" w:ascii="Times New Roman" w:hAnsi="Times New Roman" w:cs="Times New Roman"/>
          <w:sz w:val="24"/>
          <w:szCs w:val="24"/>
        </w:rPr>
        <w:t>附件</w:t>
      </w:r>
      <w:r>
        <w:rPr>
          <w:rFonts w:hint="eastAsia" w:ascii="Times New Roman" w:hAnsi="Times New Roman" w:cs="Times New Roman"/>
          <w:sz w:val="24"/>
          <w:szCs w:val="24"/>
          <w:lang w:val="en-US" w:eastAsia="zh-CN"/>
        </w:rPr>
        <w:t>3</w:t>
      </w:r>
      <w:r>
        <w:rPr>
          <w:rFonts w:hint="eastAsia" w:ascii="Times New Roman" w:hAnsi="Times New Roman" w:cs="Times New Roman"/>
          <w:sz w:val="24"/>
          <w:szCs w:val="24"/>
        </w:rPr>
        <w:t xml:space="preserve">  </w:t>
      </w:r>
      <w:r>
        <w:rPr>
          <w:rFonts w:ascii="Times New Roman" w:hAnsi="Times New Roman" w:cs="Times New Roman"/>
          <w:sz w:val="24"/>
          <w:szCs w:val="24"/>
        </w:rPr>
        <w:t>可行性研究报告的批复</w:t>
      </w:r>
    </w:p>
    <w:p>
      <w:pPr>
        <w:autoSpaceDE/>
        <w:autoSpaceDN/>
        <w:adjustRightInd w:val="0"/>
        <w:snapToGrid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附件4  工程初步设计审查意见</w:t>
      </w:r>
    </w:p>
    <w:p>
      <w:pPr>
        <w:autoSpaceDE/>
        <w:autoSpaceDN/>
        <w:adjustRightInd w:val="0"/>
        <w:snapToGrid w:val="0"/>
        <w:spacing w:line="360" w:lineRule="auto"/>
        <w:jc w:val="both"/>
        <w:rPr>
          <w:rFonts w:hint="default" w:ascii="宋体" w:hAnsi="宋体" w:eastAsia="宋体" w:cs="宋体"/>
          <w:lang w:val="en-US" w:eastAsia="zh-CN"/>
        </w:rPr>
      </w:pPr>
      <w:r>
        <w:rPr>
          <w:rFonts w:hint="eastAsia" w:ascii="宋体" w:hAnsi="宋体" w:eastAsia="宋体" w:cs="宋体"/>
          <w:lang w:val="en-US" w:eastAsia="zh-CN"/>
        </w:rPr>
        <w:t>附图5  监测报告及质保单</w:t>
      </w:r>
    </w:p>
    <w:p>
      <w:pPr>
        <w:pStyle w:val="118"/>
        <w:rPr>
          <w:rFonts w:hint="eastAsia"/>
          <w:lang w:val="en-US" w:eastAsia="zh-CN"/>
        </w:rPr>
      </w:pPr>
    </w:p>
    <w:p>
      <w:pPr>
        <w:pStyle w:val="2"/>
      </w:pPr>
    </w:p>
    <w:p>
      <w:pPr>
        <w:autoSpaceDE/>
        <w:autoSpaceDN/>
        <w:adjustRightInd w:val="0"/>
        <w:snapToGrid w:val="0"/>
        <w:spacing w:line="360" w:lineRule="auto"/>
        <w:jc w:val="both"/>
        <w:rPr>
          <w:rFonts w:ascii="Times New Roman" w:hAnsi="Times New Roman" w:cs="Times New Roman"/>
          <w:sz w:val="24"/>
          <w:szCs w:val="24"/>
        </w:rPr>
      </w:pPr>
      <w:r>
        <w:rPr>
          <w:rFonts w:ascii="Times New Roman" w:hAnsi="Times New Roman" w:cs="Times New Roman"/>
          <w:b/>
          <w:sz w:val="24"/>
          <w:szCs w:val="24"/>
        </w:rPr>
        <w:t>附图</w:t>
      </w:r>
    </w:p>
    <w:p>
      <w:pPr>
        <w:autoSpaceDE/>
        <w:autoSpaceDN/>
        <w:adjustRightInd w:val="0"/>
        <w:snapToGrid w:val="0"/>
        <w:spacing w:line="360" w:lineRule="auto"/>
        <w:jc w:val="both"/>
        <w:rPr>
          <w:rFonts w:ascii="Times New Roman" w:hAnsi="Times New Roman" w:cs="Times New Roman"/>
          <w:sz w:val="24"/>
          <w:szCs w:val="24"/>
        </w:rPr>
      </w:pPr>
      <w:r>
        <w:rPr>
          <w:rFonts w:hint="eastAsia" w:ascii="Times New Roman" w:hAnsi="Times New Roman" w:cs="Times New Roman"/>
          <w:sz w:val="24"/>
          <w:szCs w:val="24"/>
        </w:rPr>
        <w:t>附图</w:t>
      </w:r>
      <w:r>
        <w:rPr>
          <w:rFonts w:ascii="Times New Roman" w:hAnsi="Times New Roman" w:cs="Times New Roman"/>
          <w:sz w:val="24"/>
          <w:szCs w:val="24"/>
        </w:rPr>
        <w:t>1  项目地理位置图</w:t>
      </w:r>
    </w:p>
    <w:p>
      <w:pPr>
        <w:autoSpaceDE/>
        <w:autoSpaceDN/>
        <w:adjustRightInd w:val="0"/>
        <w:snapToGrid w:val="0"/>
        <w:spacing w:line="360" w:lineRule="auto"/>
        <w:jc w:val="both"/>
        <w:rPr>
          <w:rFonts w:ascii="Times New Roman" w:hAnsi="Times New Roman" w:cs="Times New Roman"/>
          <w:color w:val="auto"/>
          <w:sz w:val="24"/>
          <w:szCs w:val="24"/>
        </w:rPr>
      </w:pPr>
      <w:r>
        <w:rPr>
          <w:rFonts w:hint="eastAsia" w:ascii="Times New Roman" w:hAnsi="Times New Roman" w:cs="Times New Roman"/>
          <w:color w:val="auto"/>
          <w:sz w:val="24"/>
          <w:szCs w:val="24"/>
        </w:rPr>
        <w:t>附图</w:t>
      </w:r>
      <w:r>
        <w:rPr>
          <w:rFonts w:ascii="Times New Roman" w:hAnsi="Times New Roman" w:cs="Times New Roman"/>
          <w:color w:val="auto"/>
          <w:sz w:val="24"/>
          <w:szCs w:val="24"/>
        </w:rPr>
        <w:t>2  工程总平面图</w:t>
      </w:r>
    </w:p>
    <w:p>
      <w:pPr>
        <w:autoSpaceDE/>
        <w:autoSpaceDN/>
        <w:adjustRightInd w:val="0"/>
        <w:snapToGrid w:val="0"/>
        <w:spacing w:line="360" w:lineRule="auto"/>
        <w:jc w:val="both"/>
        <w:rPr>
          <w:rFonts w:hint="eastAsia" w:ascii="Times New Roman" w:hAnsi="Times New Roman" w:cs="Times New Roman"/>
          <w:color w:val="auto"/>
          <w:sz w:val="24"/>
          <w:szCs w:val="24"/>
          <w:u w:val="single"/>
        </w:rPr>
      </w:pPr>
      <w:r>
        <w:rPr>
          <w:rFonts w:hint="eastAsia" w:ascii="Times New Roman" w:hAnsi="Times New Roman" w:cs="Times New Roman"/>
          <w:color w:val="auto"/>
          <w:sz w:val="24"/>
          <w:szCs w:val="24"/>
          <w:u w:val="single"/>
        </w:rPr>
        <w:t>附图</w:t>
      </w:r>
      <w:r>
        <w:rPr>
          <w:rFonts w:ascii="Times New Roman" w:hAnsi="Times New Roman" w:cs="Times New Roman"/>
          <w:color w:val="auto"/>
          <w:sz w:val="24"/>
          <w:szCs w:val="24"/>
          <w:u w:val="single"/>
        </w:rPr>
        <w:t xml:space="preserve">3  </w:t>
      </w:r>
      <w:r>
        <w:rPr>
          <w:rFonts w:hint="eastAsia" w:ascii="Times New Roman" w:hAnsi="Times New Roman" w:cs="Times New Roman"/>
          <w:color w:val="auto"/>
          <w:sz w:val="24"/>
          <w:szCs w:val="24"/>
          <w:u w:val="single"/>
        </w:rPr>
        <w:t>项目范围内饮用水源保护区分布总图</w:t>
      </w:r>
    </w:p>
    <w:p>
      <w:pPr>
        <w:autoSpaceDE/>
        <w:autoSpaceDN/>
        <w:adjustRightInd w:val="0"/>
        <w:snapToGrid w:val="0"/>
        <w:spacing w:line="360" w:lineRule="auto"/>
        <w:jc w:val="both"/>
        <w:rPr>
          <w:rFonts w:hint="eastAsia" w:ascii="Times New Roman" w:hAnsi="Times New Roman" w:cs="Times New Roman"/>
          <w:color w:val="auto"/>
          <w:sz w:val="24"/>
          <w:szCs w:val="24"/>
          <w:u w:val="single"/>
        </w:rPr>
      </w:pPr>
      <w:r>
        <w:rPr>
          <w:rFonts w:hint="eastAsia" w:ascii="Times New Roman" w:hAnsi="Times New Roman" w:cs="Times New Roman"/>
          <w:color w:val="auto"/>
          <w:sz w:val="24"/>
          <w:szCs w:val="24"/>
          <w:u w:val="single"/>
        </w:rPr>
        <w:t>附图</w:t>
      </w:r>
      <w:r>
        <w:rPr>
          <w:rFonts w:ascii="Times New Roman" w:hAnsi="Times New Roman" w:cs="Times New Roman"/>
          <w:color w:val="auto"/>
          <w:sz w:val="24"/>
          <w:szCs w:val="24"/>
          <w:u w:val="single"/>
        </w:rPr>
        <w:t>3</w:t>
      </w:r>
      <w:r>
        <w:rPr>
          <w:rFonts w:hint="eastAsia" w:ascii="Times New Roman" w:hAnsi="Times New Roman" w:cs="Times New Roman"/>
          <w:color w:val="auto"/>
          <w:sz w:val="24"/>
          <w:szCs w:val="24"/>
          <w:u w:val="single"/>
          <w:lang w:val="en-US" w:eastAsia="zh-CN"/>
        </w:rPr>
        <w:t>-1~</w:t>
      </w:r>
      <w:r>
        <w:rPr>
          <w:rFonts w:ascii="Times New Roman" w:hAnsi="Times New Roman" w:cs="Times New Roman"/>
          <w:color w:val="auto"/>
          <w:sz w:val="24"/>
          <w:szCs w:val="24"/>
          <w:u w:val="single"/>
        </w:rPr>
        <w:t>3</w:t>
      </w:r>
      <w:r>
        <w:rPr>
          <w:rFonts w:hint="eastAsia" w:ascii="Times New Roman" w:hAnsi="Times New Roman" w:cs="Times New Roman"/>
          <w:color w:val="auto"/>
          <w:sz w:val="24"/>
          <w:szCs w:val="24"/>
          <w:u w:val="single"/>
          <w:lang w:val="en-US" w:eastAsia="zh-CN"/>
        </w:rPr>
        <w:t>-8</w:t>
      </w:r>
      <w:r>
        <w:rPr>
          <w:rFonts w:ascii="Times New Roman" w:hAnsi="Times New Roman" w:cs="Times New Roman"/>
          <w:color w:val="auto"/>
          <w:sz w:val="24"/>
          <w:szCs w:val="24"/>
          <w:u w:val="single"/>
        </w:rPr>
        <w:t xml:space="preserve">  </w:t>
      </w:r>
      <w:r>
        <w:rPr>
          <w:rFonts w:hint="eastAsia" w:ascii="Times New Roman" w:hAnsi="Times New Roman" w:cs="Times New Roman"/>
          <w:color w:val="auto"/>
          <w:sz w:val="24"/>
          <w:szCs w:val="24"/>
          <w:u w:val="single"/>
        </w:rPr>
        <w:t>项目范围内饮用水源保护区划分图</w:t>
      </w:r>
    </w:p>
    <w:p>
      <w:pPr>
        <w:autoSpaceDE/>
        <w:autoSpaceDN/>
        <w:adjustRightInd w:val="0"/>
        <w:snapToGrid w:val="0"/>
        <w:spacing w:line="360" w:lineRule="auto"/>
        <w:jc w:val="both"/>
        <w:rPr>
          <w:rFonts w:hint="eastAsia" w:ascii="Times New Roman" w:hAnsi="Times New Roman" w:cs="Times New Roman"/>
          <w:color w:val="auto"/>
          <w:sz w:val="24"/>
          <w:szCs w:val="24"/>
          <w:u w:val="single"/>
        </w:rPr>
      </w:pPr>
      <w:r>
        <w:rPr>
          <w:rFonts w:hint="eastAsia" w:ascii="Times New Roman" w:hAnsi="Times New Roman" w:cs="Times New Roman"/>
          <w:color w:val="auto"/>
          <w:sz w:val="24"/>
          <w:szCs w:val="24"/>
          <w:u w:val="single"/>
        </w:rPr>
        <w:t>附图</w:t>
      </w:r>
      <w:r>
        <w:rPr>
          <w:rFonts w:hint="eastAsia" w:ascii="Times New Roman" w:hAnsi="Times New Roman" w:cs="Times New Roman"/>
          <w:color w:val="auto"/>
          <w:sz w:val="24"/>
          <w:szCs w:val="24"/>
          <w:u w:val="single"/>
          <w:lang w:val="en-US" w:eastAsia="zh-CN"/>
        </w:rPr>
        <w:t>4-1~4-7</w:t>
      </w:r>
      <w:r>
        <w:rPr>
          <w:rFonts w:ascii="Times New Roman" w:hAnsi="Times New Roman" w:cs="Times New Roman"/>
          <w:color w:val="auto"/>
          <w:sz w:val="24"/>
          <w:szCs w:val="24"/>
          <w:u w:val="single"/>
        </w:rPr>
        <w:t xml:space="preserve">  </w:t>
      </w:r>
      <w:r>
        <w:rPr>
          <w:rFonts w:hint="eastAsia" w:ascii="Times New Roman" w:hAnsi="Times New Roman" w:cs="Times New Roman"/>
          <w:color w:val="auto"/>
          <w:sz w:val="24"/>
          <w:szCs w:val="24"/>
          <w:u w:val="single"/>
        </w:rPr>
        <w:t>项目</w:t>
      </w:r>
      <w:r>
        <w:rPr>
          <w:rFonts w:hint="eastAsia" w:ascii="Times New Roman" w:hAnsi="Times New Roman" w:cs="Times New Roman"/>
          <w:color w:val="auto"/>
          <w:sz w:val="24"/>
          <w:szCs w:val="24"/>
          <w:u w:val="single"/>
          <w:lang w:eastAsia="zh-CN"/>
        </w:rPr>
        <w:t>工程位置与</w:t>
      </w:r>
      <w:r>
        <w:rPr>
          <w:rFonts w:hint="eastAsia" w:ascii="Times New Roman" w:hAnsi="Times New Roman" w:cs="Times New Roman"/>
          <w:color w:val="auto"/>
          <w:sz w:val="24"/>
          <w:szCs w:val="24"/>
          <w:u w:val="single"/>
        </w:rPr>
        <w:t>饮用水源保护区</w:t>
      </w:r>
      <w:r>
        <w:rPr>
          <w:rFonts w:hint="eastAsia" w:ascii="Times New Roman" w:hAnsi="Times New Roman" w:cs="Times New Roman"/>
          <w:color w:val="auto"/>
          <w:sz w:val="24"/>
          <w:szCs w:val="24"/>
          <w:u w:val="single"/>
          <w:lang w:eastAsia="zh-CN"/>
        </w:rPr>
        <w:t>位置关系</w:t>
      </w:r>
      <w:r>
        <w:rPr>
          <w:rFonts w:hint="eastAsia" w:ascii="Times New Roman" w:hAnsi="Times New Roman" w:cs="Times New Roman"/>
          <w:color w:val="auto"/>
          <w:sz w:val="24"/>
          <w:szCs w:val="24"/>
          <w:u w:val="single"/>
        </w:rPr>
        <w:t>图</w:t>
      </w:r>
    </w:p>
    <w:p>
      <w:pPr>
        <w:autoSpaceDE/>
        <w:autoSpaceDN/>
        <w:adjustRightInd w:val="0"/>
        <w:snapToGrid w:val="0"/>
        <w:spacing w:line="360" w:lineRule="auto"/>
        <w:jc w:val="both"/>
        <w:rPr>
          <w:rFonts w:ascii="Times New Roman" w:hAnsi="Times New Roman" w:cs="Times New Roman"/>
          <w:color w:val="auto"/>
          <w:sz w:val="24"/>
          <w:szCs w:val="24"/>
        </w:rPr>
      </w:pPr>
      <w:r>
        <w:rPr>
          <w:rFonts w:hint="eastAsia" w:ascii="Times New Roman" w:hAnsi="Times New Roman" w:cs="Times New Roman"/>
          <w:color w:val="auto"/>
          <w:sz w:val="24"/>
          <w:szCs w:val="24"/>
        </w:rPr>
        <w:t>附图</w:t>
      </w:r>
      <w:r>
        <w:rPr>
          <w:rFonts w:hint="eastAsia" w:ascii="Times New Roman" w:hAnsi="Times New Roman" w:cs="Times New Roman"/>
          <w:color w:val="auto"/>
          <w:sz w:val="24"/>
          <w:szCs w:val="24"/>
          <w:lang w:val="en-US" w:eastAsia="zh-CN"/>
        </w:rPr>
        <w:t>5</w:t>
      </w:r>
      <w:r>
        <w:rPr>
          <w:rFonts w:ascii="Times New Roman" w:hAnsi="Times New Roman" w:cs="Times New Roman"/>
          <w:color w:val="auto"/>
          <w:sz w:val="24"/>
          <w:szCs w:val="24"/>
        </w:rPr>
        <w:t xml:space="preserve">  环境敏感目标分布图</w:t>
      </w:r>
    </w:p>
    <w:p>
      <w:pPr>
        <w:autoSpaceDE/>
        <w:autoSpaceDN/>
        <w:adjustRightInd w:val="0"/>
        <w:snapToGrid w:val="0"/>
        <w:spacing w:line="360" w:lineRule="auto"/>
        <w:jc w:val="both"/>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附图6  项目区域水系图</w:t>
      </w:r>
    </w:p>
    <w:p>
      <w:pPr>
        <w:autoSpaceDE/>
        <w:autoSpaceDN/>
        <w:adjustRightInd w:val="0"/>
        <w:snapToGrid w:val="0"/>
        <w:spacing w:line="360" w:lineRule="auto"/>
        <w:jc w:val="both"/>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附图7-1</w:t>
      </w:r>
      <w:r>
        <w:rPr>
          <w:rFonts w:hint="eastAsia" w:ascii="Times New Roman" w:hAnsi="Times New Roman" w:cs="Times New Roman"/>
          <w:color w:val="auto"/>
          <w:sz w:val="24"/>
          <w:szCs w:val="24"/>
          <w:lang w:val="en-US" w:eastAsia="zh-CN"/>
        </w:rPr>
        <w:t>~7-3</w:t>
      </w:r>
      <w:r>
        <w:rPr>
          <w:rFonts w:hint="eastAsia" w:ascii="Times New Roman" w:hAnsi="Times New Roman" w:cs="Times New Roman"/>
          <w:color w:val="auto"/>
          <w:sz w:val="24"/>
          <w:szCs w:val="24"/>
        </w:rPr>
        <w:t xml:space="preserve">  声环境监测布点图</w:t>
      </w:r>
    </w:p>
    <w:p>
      <w:pPr>
        <w:autoSpaceDE/>
        <w:autoSpaceDN/>
        <w:adjustRightInd w:val="0"/>
        <w:snapToGrid w:val="0"/>
        <w:spacing w:line="360" w:lineRule="auto"/>
        <w:jc w:val="both"/>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附图8  项目大气环境监测布点图</w:t>
      </w:r>
    </w:p>
    <w:p>
      <w:pPr>
        <w:autoSpaceDE/>
        <w:autoSpaceDN/>
        <w:adjustRightInd w:val="0"/>
        <w:snapToGrid w:val="0"/>
        <w:spacing w:line="360" w:lineRule="auto"/>
        <w:jc w:val="both"/>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附图9  项目底泥监测布点图</w:t>
      </w:r>
    </w:p>
    <w:p>
      <w:pPr>
        <w:autoSpaceDE/>
        <w:autoSpaceDN/>
        <w:adjustRightInd w:val="0"/>
        <w:snapToGrid w:val="0"/>
        <w:spacing w:line="360" w:lineRule="auto"/>
        <w:jc w:val="both"/>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附图10  项目地下水监测布点图</w:t>
      </w:r>
    </w:p>
    <w:p>
      <w:pPr>
        <w:autoSpaceDE/>
        <w:autoSpaceDN/>
        <w:adjustRightInd w:val="0"/>
        <w:snapToGrid w:val="0"/>
        <w:spacing w:line="360" w:lineRule="auto"/>
        <w:jc w:val="both"/>
        <w:rPr>
          <w:rFonts w:hint="eastAsia" w:ascii="Times New Roman" w:hAnsi="Times New Roman" w:cs="Times New Roman"/>
          <w:color w:val="auto"/>
          <w:sz w:val="24"/>
          <w:szCs w:val="24"/>
          <w:u w:val="single"/>
        </w:rPr>
      </w:pPr>
      <w:r>
        <w:rPr>
          <w:rFonts w:hint="eastAsia" w:ascii="Times New Roman" w:hAnsi="Times New Roman" w:cs="Times New Roman"/>
          <w:color w:val="auto"/>
          <w:sz w:val="24"/>
          <w:szCs w:val="24"/>
          <w:u w:val="single"/>
        </w:rPr>
        <w:t>附图11  生态环境监测布点图</w:t>
      </w:r>
    </w:p>
    <w:p>
      <w:pPr>
        <w:autoSpaceDE/>
        <w:autoSpaceDN/>
        <w:adjustRightInd w:val="0"/>
        <w:snapToGrid w:val="0"/>
        <w:spacing w:line="360" w:lineRule="auto"/>
        <w:jc w:val="both"/>
        <w:rPr>
          <w:rFonts w:hint="eastAsia" w:ascii="Times New Roman" w:hAnsi="Times New Roman" w:cs="Times New Roman"/>
          <w:color w:val="auto"/>
          <w:sz w:val="24"/>
          <w:szCs w:val="24"/>
          <w:u w:val="single"/>
        </w:rPr>
      </w:pPr>
      <w:r>
        <w:rPr>
          <w:rFonts w:hint="eastAsia" w:ascii="Times New Roman" w:hAnsi="Times New Roman" w:cs="Times New Roman"/>
          <w:color w:val="auto"/>
          <w:sz w:val="24"/>
          <w:szCs w:val="24"/>
          <w:u w:val="single"/>
        </w:rPr>
        <w:t>附图12  典型措施设计图</w:t>
      </w:r>
    </w:p>
    <w:p>
      <w:pPr>
        <w:autoSpaceDE/>
        <w:autoSpaceDN/>
        <w:adjustRightInd w:val="0"/>
        <w:snapToGrid w:val="0"/>
        <w:spacing w:line="360" w:lineRule="auto"/>
        <w:jc w:val="both"/>
        <w:rPr>
          <w:rFonts w:hint="eastAsia" w:ascii="Times New Roman" w:hAnsi="Times New Roman" w:cs="Times New Roman"/>
          <w:color w:val="auto"/>
          <w:sz w:val="24"/>
          <w:szCs w:val="24"/>
          <w:u w:val="single"/>
        </w:rPr>
      </w:pPr>
      <w:r>
        <w:rPr>
          <w:rFonts w:hint="eastAsia" w:ascii="Times New Roman" w:hAnsi="Times New Roman" w:cs="Times New Roman"/>
          <w:color w:val="auto"/>
          <w:sz w:val="24"/>
          <w:szCs w:val="24"/>
          <w:u w:val="single"/>
        </w:rPr>
        <w:t>附图13  生态环境保护措施平面布置示意图</w:t>
      </w:r>
    </w:p>
    <w:p>
      <w:pPr>
        <w:autoSpaceDE/>
        <w:autoSpaceDN/>
        <w:adjustRightInd w:val="0"/>
        <w:snapToGrid w:val="0"/>
        <w:spacing w:line="360" w:lineRule="auto"/>
        <w:jc w:val="both"/>
        <w:rPr>
          <w:rFonts w:hint="eastAsia" w:ascii="Times New Roman" w:hAnsi="Times New Roman" w:cs="Times New Roman"/>
          <w:color w:val="FF0000"/>
          <w:sz w:val="24"/>
          <w:szCs w:val="24"/>
          <w:u w:val="single"/>
        </w:rPr>
      </w:pPr>
    </w:p>
    <w:p>
      <w:pPr>
        <w:pStyle w:val="2"/>
      </w:pPr>
    </w:p>
    <w:p>
      <w:pPr>
        <w:autoSpaceDE/>
        <w:autoSpaceDN/>
        <w:adjustRightInd w:val="0"/>
        <w:snapToGrid w:val="0"/>
        <w:spacing w:line="360" w:lineRule="auto"/>
        <w:jc w:val="both"/>
        <w:rPr>
          <w:rFonts w:ascii="Times New Roman" w:hAnsi="Times New Roman" w:cs="Times New Roman"/>
          <w:b/>
          <w:sz w:val="24"/>
          <w:szCs w:val="24"/>
        </w:rPr>
      </w:pPr>
      <w:bookmarkStart w:id="12" w:name="_Toc18708"/>
      <w:r>
        <w:rPr>
          <w:rFonts w:ascii="Times New Roman" w:hAnsi="Times New Roman" w:cs="Times New Roman"/>
          <w:b/>
          <w:sz w:val="24"/>
          <w:szCs w:val="24"/>
        </w:rPr>
        <w:t>附表</w:t>
      </w:r>
      <w:bookmarkEnd w:id="12"/>
    </w:p>
    <w:p>
      <w:pPr>
        <w:autoSpaceDE/>
        <w:autoSpaceDN/>
        <w:adjustRightInd w:val="0"/>
        <w:snapToGrid w:val="0"/>
        <w:spacing w:line="360" w:lineRule="auto"/>
        <w:jc w:val="both"/>
        <w:rPr>
          <w:rFonts w:ascii="Times New Roman" w:hAnsi="Times New Roman" w:cs="Times New Roman"/>
          <w:sz w:val="24"/>
          <w:szCs w:val="24"/>
        </w:rPr>
      </w:pPr>
      <w:r>
        <w:rPr>
          <w:rFonts w:ascii="Times New Roman" w:hAnsi="Times New Roman" w:cs="Times New Roman"/>
          <w:sz w:val="24"/>
          <w:szCs w:val="24"/>
        </w:rPr>
        <w:t>附表</w:t>
      </w:r>
      <w:r>
        <w:rPr>
          <w:rFonts w:hint="eastAsia" w:ascii="Times New Roman" w:hAnsi="Times New Roman" w:cs="Times New Roman"/>
          <w:sz w:val="24"/>
          <w:szCs w:val="24"/>
        </w:rPr>
        <w:t xml:space="preserve">1  </w:t>
      </w:r>
      <w:r>
        <w:rPr>
          <w:rFonts w:ascii="Times New Roman" w:hAnsi="Times New Roman" w:cs="Times New Roman"/>
          <w:sz w:val="24"/>
          <w:szCs w:val="24"/>
        </w:rPr>
        <w:t>建设项目大气环境影响评价自查表</w:t>
      </w:r>
    </w:p>
    <w:p>
      <w:pPr>
        <w:autoSpaceDE/>
        <w:autoSpaceDN/>
        <w:adjustRightInd w:val="0"/>
        <w:snapToGrid w:val="0"/>
        <w:spacing w:line="360" w:lineRule="auto"/>
        <w:jc w:val="both"/>
        <w:rPr>
          <w:rFonts w:ascii="Times New Roman" w:hAnsi="Times New Roman" w:cs="Times New Roman"/>
          <w:sz w:val="24"/>
          <w:szCs w:val="24"/>
        </w:rPr>
      </w:pPr>
      <w:r>
        <w:rPr>
          <w:rFonts w:ascii="Times New Roman" w:hAnsi="Times New Roman" w:cs="Times New Roman"/>
          <w:sz w:val="24"/>
          <w:szCs w:val="24"/>
        </w:rPr>
        <w:t>附表</w:t>
      </w:r>
      <w:r>
        <w:rPr>
          <w:rFonts w:hint="eastAsia" w:ascii="Times New Roman" w:hAnsi="Times New Roman" w:cs="Times New Roman"/>
          <w:sz w:val="24"/>
          <w:szCs w:val="24"/>
        </w:rPr>
        <w:t xml:space="preserve">2  </w:t>
      </w:r>
      <w:r>
        <w:rPr>
          <w:rFonts w:ascii="Times New Roman" w:hAnsi="Times New Roman" w:cs="Times New Roman"/>
          <w:sz w:val="24"/>
          <w:szCs w:val="24"/>
        </w:rPr>
        <w:t>地表水环境影响评价自查表</w:t>
      </w:r>
    </w:p>
    <w:p>
      <w:pPr>
        <w:autoSpaceDE/>
        <w:autoSpaceDN/>
        <w:adjustRightInd w:val="0"/>
        <w:snapToGrid w:val="0"/>
        <w:spacing w:line="360" w:lineRule="auto"/>
        <w:jc w:val="both"/>
        <w:rPr>
          <w:rFonts w:ascii="Times New Roman" w:hAnsi="Times New Roman" w:cs="Times New Roman"/>
          <w:sz w:val="24"/>
          <w:szCs w:val="24"/>
        </w:rPr>
      </w:pPr>
      <w:r>
        <w:rPr>
          <w:rFonts w:ascii="Times New Roman" w:hAnsi="Times New Roman" w:cs="Times New Roman"/>
          <w:sz w:val="24"/>
          <w:szCs w:val="24"/>
        </w:rPr>
        <w:t>附表</w:t>
      </w:r>
      <w:r>
        <w:rPr>
          <w:rFonts w:hint="eastAsia" w:ascii="Times New Roman" w:hAnsi="Times New Roman" w:cs="Times New Roman"/>
          <w:sz w:val="24"/>
          <w:szCs w:val="24"/>
        </w:rPr>
        <w:t xml:space="preserve">3  </w:t>
      </w:r>
      <w:r>
        <w:rPr>
          <w:rFonts w:ascii="Times New Roman" w:hAnsi="Times New Roman" w:cs="Times New Roman"/>
          <w:sz w:val="24"/>
          <w:szCs w:val="24"/>
        </w:rPr>
        <w:t>建设项目环境风险自查表</w:t>
      </w:r>
    </w:p>
    <w:p>
      <w:pPr>
        <w:autoSpaceDE/>
        <w:autoSpaceDN/>
        <w:adjustRightInd w:val="0"/>
        <w:snapToGrid w:val="0"/>
        <w:spacing w:line="360" w:lineRule="auto"/>
        <w:jc w:val="both"/>
        <w:rPr>
          <w:rFonts w:ascii="Times New Roman" w:hAnsi="Times New Roman" w:cs="Times New Roman"/>
          <w:sz w:val="24"/>
          <w:szCs w:val="24"/>
        </w:rPr>
      </w:pPr>
      <w:r>
        <w:rPr>
          <w:rFonts w:ascii="Times New Roman" w:hAnsi="Times New Roman" w:cs="Times New Roman"/>
          <w:sz w:val="24"/>
          <w:szCs w:val="24"/>
        </w:rPr>
        <w:t>附表</w:t>
      </w:r>
      <w:r>
        <w:rPr>
          <w:rFonts w:hint="eastAsia" w:ascii="Times New Roman" w:hAnsi="Times New Roman" w:cs="Times New Roman"/>
          <w:sz w:val="24"/>
          <w:szCs w:val="24"/>
        </w:rPr>
        <w:t xml:space="preserve">4  </w:t>
      </w:r>
      <w:r>
        <w:rPr>
          <w:rFonts w:ascii="Times New Roman" w:hAnsi="Times New Roman" w:cs="Times New Roman"/>
          <w:sz w:val="24"/>
          <w:szCs w:val="24"/>
        </w:rPr>
        <w:t>土壤环境影响评价自查表</w:t>
      </w:r>
    </w:p>
    <w:p>
      <w:pPr>
        <w:autoSpaceDE/>
        <w:autoSpaceDN/>
        <w:adjustRightInd w:val="0"/>
        <w:snapToGrid w:val="0"/>
        <w:spacing w:line="360" w:lineRule="auto"/>
        <w:jc w:val="both"/>
        <w:rPr>
          <w:rFonts w:ascii="Times New Roman" w:hAnsi="Times New Roman" w:cs="Times New Roman"/>
          <w:sz w:val="24"/>
          <w:szCs w:val="24"/>
        </w:rPr>
      </w:pPr>
      <w:r>
        <w:rPr>
          <w:rFonts w:hint="eastAsia" w:ascii="Times New Roman" w:hAnsi="Times New Roman" w:cs="Times New Roman"/>
          <w:sz w:val="24"/>
          <w:szCs w:val="24"/>
        </w:rPr>
        <w:t>附表5  声</w:t>
      </w:r>
      <w:r>
        <w:rPr>
          <w:rFonts w:ascii="Times New Roman" w:hAnsi="Times New Roman" w:cs="Times New Roman"/>
          <w:sz w:val="24"/>
          <w:szCs w:val="24"/>
        </w:rPr>
        <w:t>环境影响评价自查表</w:t>
      </w:r>
    </w:p>
    <w:p>
      <w:pPr>
        <w:autoSpaceDE/>
        <w:autoSpaceDN/>
        <w:adjustRightInd w:val="0"/>
        <w:snapToGrid w:val="0"/>
        <w:spacing w:line="360" w:lineRule="auto"/>
        <w:jc w:val="both"/>
        <w:rPr>
          <w:rFonts w:ascii="Times New Roman" w:hAnsi="Times New Roman" w:cs="Times New Roman"/>
          <w:color w:val="auto"/>
          <w:sz w:val="24"/>
          <w:szCs w:val="24"/>
          <w:u w:val="single"/>
        </w:rPr>
      </w:pPr>
      <w:r>
        <w:rPr>
          <w:rFonts w:hint="eastAsia" w:ascii="Times New Roman" w:hAnsi="Times New Roman" w:cs="Times New Roman"/>
          <w:color w:val="auto"/>
          <w:sz w:val="24"/>
          <w:szCs w:val="24"/>
          <w:u w:val="single"/>
        </w:rPr>
        <w:t>附表</w:t>
      </w:r>
      <w:r>
        <w:rPr>
          <w:rFonts w:ascii="Times New Roman" w:hAnsi="Times New Roman" w:cs="Times New Roman"/>
          <w:color w:val="auto"/>
          <w:sz w:val="24"/>
          <w:szCs w:val="24"/>
          <w:u w:val="single"/>
        </w:rPr>
        <w:t>6  生态影响评价自查表</w:t>
      </w:r>
    </w:p>
    <w:p>
      <w:pPr>
        <w:autoSpaceDE/>
        <w:autoSpaceDN/>
        <w:adjustRightInd w:val="0"/>
        <w:snapToGrid w:val="0"/>
        <w:spacing w:line="360" w:lineRule="auto"/>
        <w:jc w:val="both"/>
        <w:rPr>
          <w:rFonts w:ascii="Times New Roman" w:hAnsi="Times New Roman" w:cs="Times New Roman"/>
          <w:sz w:val="24"/>
          <w:szCs w:val="24"/>
        </w:rPr>
      </w:pPr>
      <w:r>
        <w:rPr>
          <w:rFonts w:ascii="Times New Roman" w:hAnsi="Times New Roman" w:cs="Times New Roman"/>
          <w:color w:val="auto"/>
          <w:sz w:val="24"/>
          <w:szCs w:val="24"/>
        </w:rPr>
        <w:t>附表</w:t>
      </w:r>
      <w:r>
        <w:rPr>
          <w:rFonts w:hint="eastAsia" w:ascii="Times New Roman" w:hAnsi="Times New Roman" w:cs="Times New Roman"/>
          <w:color w:val="auto"/>
          <w:sz w:val="24"/>
          <w:szCs w:val="24"/>
        </w:rPr>
        <w:t xml:space="preserve">7  </w:t>
      </w:r>
      <w:r>
        <w:rPr>
          <w:rFonts w:ascii="Times New Roman" w:hAnsi="Times New Roman" w:cs="Times New Roman"/>
          <w:color w:val="auto"/>
          <w:sz w:val="24"/>
          <w:szCs w:val="24"/>
        </w:rPr>
        <w:t>建设项目环评审批基础信息表</w:t>
      </w:r>
    </w:p>
    <w:p>
      <w:pPr>
        <w:autoSpaceDE/>
        <w:autoSpaceDN/>
        <w:adjustRightInd w:val="0"/>
        <w:snapToGrid w:val="0"/>
        <w:spacing w:line="360" w:lineRule="auto"/>
        <w:jc w:val="both"/>
        <w:rPr>
          <w:rFonts w:ascii="Times New Roman" w:hAnsi="Times New Roman" w:cs="Times New Roman"/>
          <w:b/>
          <w:sz w:val="24"/>
          <w:szCs w:val="24"/>
        </w:rPr>
        <w:sectPr>
          <w:pgSz w:w="11910" w:h="16840"/>
          <w:pgMar w:top="1378" w:right="1542" w:bottom="1378" w:left="1559" w:header="877" w:footer="1020" w:gutter="0"/>
          <w:pgBorders>
            <w:top w:val="none" w:sz="0" w:space="0"/>
            <w:left w:val="none" w:sz="0" w:space="0"/>
            <w:bottom w:val="none" w:sz="0" w:space="0"/>
            <w:right w:val="none" w:sz="0" w:space="0"/>
          </w:pgBorders>
          <w:pgNumType w:fmt="upperRoman" w:start="1"/>
          <w:cols w:space="720" w:num="1"/>
          <w:docGrid w:linePitch="299" w:charSpace="0"/>
        </w:sectPr>
      </w:pPr>
    </w:p>
    <w:p>
      <w:pPr>
        <w:pStyle w:val="4"/>
        <w:autoSpaceDE/>
        <w:autoSpaceDN/>
        <w:adjustRightInd w:val="0"/>
        <w:snapToGrid w:val="0"/>
        <w:spacing w:before="0" w:line="360" w:lineRule="auto"/>
        <w:ind w:right="0"/>
        <w:jc w:val="left"/>
        <w:rPr>
          <w:rFonts w:ascii="Times New Roman" w:hAnsi="Times New Roman" w:cs="Times New Roman"/>
          <w:snapToGrid w:val="0"/>
          <w:sz w:val="32"/>
        </w:rPr>
      </w:pPr>
      <w:bookmarkStart w:id="13" w:name="_Toc16809"/>
      <w:r>
        <w:rPr>
          <w:rFonts w:ascii="Times New Roman" w:hAnsi="Times New Roman" w:cs="Times New Roman"/>
          <w:snapToGrid w:val="0"/>
          <w:sz w:val="32"/>
        </w:rPr>
        <w:t>1.概述</w:t>
      </w:r>
      <w:bookmarkEnd w:id="13"/>
    </w:p>
    <w:p>
      <w:pPr>
        <w:autoSpaceDE/>
        <w:autoSpaceDN/>
        <w:adjustRightInd w:val="0"/>
        <w:snapToGrid w:val="0"/>
        <w:spacing w:line="360" w:lineRule="auto"/>
        <w:jc w:val="both"/>
        <w:outlineLvl w:val="1"/>
        <w:rPr>
          <w:rFonts w:ascii="Times New Roman" w:hAnsi="Times New Roman" w:cs="Times New Roman"/>
          <w:b/>
          <w:sz w:val="30"/>
          <w:szCs w:val="30"/>
        </w:rPr>
      </w:pPr>
      <w:bookmarkStart w:id="14" w:name="_Toc15861"/>
      <w:r>
        <w:rPr>
          <w:rFonts w:ascii="Times New Roman" w:hAnsi="Times New Roman" w:eastAsia="Times New Roman" w:cs="Times New Roman"/>
          <w:b/>
          <w:sz w:val="30"/>
          <w:szCs w:val="30"/>
        </w:rPr>
        <w:t>1</w:t>
      </w:r>
      <w:r>
        <w:rPr>
          <w:rFonts w:ascii="Times New Roman" w:hAnsi="Times New Roman" w:eastAsia="Times New Roman" w:cs="Times New Roman"/>
          <w:b/>
          <w:snapToGrid w:val="0"/>
          <w:sz w:val="30"/>
          <w:szCs w:val="30"/>
        </w:rPr>
        <w:t>.1</w:t>
      </w:r>
      <w:r>
        <w:rPr>
          <w:rFonts w:ascii="Times New Roman" w:hAnsi="Times New Roman" w:cs="Times New Roman"/>
          <w:b/>
          <w:snapToGrid w:val="0"/>
          <w:sz w:val="30"/>
          <w:szCs w:val="30"/>
        </w:rPr>
        <w:t>项目背景</w:t>
      </w:r>
      <w:bookmarkEnd w:id="14"/>
    </w:p>
    <w:p>
      <w:pPr>
        <w:shd w:val="clear" w:color="auto" w:fill="FFFFFF"/>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sz w:val="24"/>
          <w:szCs w:val="24"/>
        </w:rPr>
        <w:t>祁水是湘江一级支流，又名小东江，发源于祁东县四明山，</w:t>
      </w:r>
      <w:r>
        <w:rPr>
          <w:rFonts w:hint="default" w:ascii="Times New Roman" w:hAnsi="Times New Roman" w:cs="Times New Roman"/>
          <w:snapToGrid w:val="0"/>
          <w:sz w:val="24"/>
          <w:szCs w:val="24"/>
        </w:rPr>
        <w:t>流经邵阳县罗城乡、祁东县太和堂镇、蒋家桥镇、蒋家桥镇、砖塘镇，</w:t>
      </w:r>
      <w:r>
        <w:rPr>
          <w:rFonts w:hint="default" w:ascii="Times New Roman" w:hAnsi="Times New Roman" w:cs="Times New Roman"/>
          <w:sz w:val="24"/>
          <w:szCs w:val="24"/>
        </w:rPr>
        <w:t>于祁阳县城浯溪镇汇入湘江，流域面积1685km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，祁东县境内966km</w:t>
      </w:r>
      <w:r>
        <w:rPr>
          <w:rFonts w:hint="default" w:ascii="Times New Roman" w:hAnsi="Times New Roman" w:cs="Times New Roman"/>
          <w:sz w:val="24"/>
          <w:szCs w:val="24"/>
          <w:vertAlign w:val="superscript"/>
        </w:rPr>
        <w:t>2</w:t>
      </w:r>
      <w:r>
        <w:rPr>
          <w:rFonts w:hint="default" w:ascii="Times New Roman" w:hAnsi="Times New Roman" w:cs="Times New Roman"/>
          <w:color w:val="auto"/>
          <w:sz w:val="24"/>
          <w:szCs w:val="24"/>
        </w:rPr>
        <w:t>。</w:t>
      </w:r>
    </w:p>
    <w:p>
      <w:pPr>
        <w:shd w:val="clear" w:color="auto" w:fill="FFFFFF"/>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sz w:val="24"/>
          <w:szCs w:val="24"/>
        </w:rPr>
        <w:t>祁水流域范围涉及祁东县12个乡镇，据资料统计，2006年末流域总人口42.8万人，其中城镇人口5.2万人，农村人口37.6万人。流域内现有耕地面积27.5万亩，其中水田22.8万亩，旱土4.7万亩，农民人均耕地面积0.73亩，农村人均收入3871元。2006年，流域内国内生产总值19.64亿元，第三产业增加值4.59亿元，第二产业增加值4.09亿元，第一产业增加值10.96亿元，是祁东县重要的粮食生产基地</w:t>
      </w:r>
      <w:r>
        <w:rPr>
          <w:rFonts w:hint="default" w:ascii="Times New Roman" w:hAnsi="Times New Roman" w:cs="Times New Roman"/>
          <w:color w:val="auto"/>
          <w:sz w:val="24"/>
          <w:szCs w:val="24"/>
        </w:rPr>
        <w:t>。</w:t>
      </w:r>
    </w:p>
    <w:p>
      <w:pPr>
        <w:shd w:val="clear" w:color="auto" w:fill="FFFFFF"/>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本次治理范围的河道现状均为自然岸坡，局部岸坡冲毁垮塌严重，河道淤塞，影响行洪安全</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沿河两岸防洪设施少，防洪标准低，基本处于未设防状态，加之河道内的大部分水利工程建设年代久远，工程质量不好，管理、维护不到位、缺乏投资机制和渠道等问题，一旦发生暴雨洪水波及范围广、灾损严重。为了落实国家对重点地区中小河流治理的规划，响应国家防洪抗旱减灾体系建设的号召，保障国家财产和人民群众生命财产安全和改善生态环境的需要本工程的建设应尽快进行。本工程若能顺利完工，将能强化祁水流域水安全保障功能，提升区域发展竞争力</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能增强河道行洪能力，有效减少洪涝灾害损失</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能改善区域生态环境为农业、林业生产可持续发展提供更好条件。因此，本项目社会效益、生态效益于民于国均意义重大，项目建设势在必行。</w:t>
      </w:r>
    </w:p>
    <w:p>
      <w:pPr>
        <w:shd w:val="clear" w:color="auto" w:fill="FFFFFF"/>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在此背景下，</w:t>
      </w:r>
      <w:r>
        <w:rPr>
          <w:rFonts w:hint="default" w:ascii="Times New Roman" w:hAnsi="Times New Roman" w:cs="Times New Roman"/>
          <w:color w:val="auto"/>
          <w:sz w:val="24"/>
          <w:szCs w:val="24"/>
          <w:lang w:eastAsia="zh-CN"/>
        </w:rPr>
        <w:t>祁东县水利局</w:t>
      </w:r>
      <w:r>
        <w:rPr>
          <w:rFonts w:hint="default" w:ascii="Times New Roman" w:hAnsi="Times New Roman" w:cs="Times New Roman"/>
          <w:color w:val="auto"/>
          <w:sz w:val="24"/>
          <w:szCs w:val="24"/>
        </w:rPr>
        <w:t>启动</w:t>
      </w:r>
      <w:r>
        <w:rPr>
          <w:rFonts w:hint="default" w:ascii="Times New Roman" w:hAnsi="Times New Roman" w:cs="Times New Roman"/>
          <w:color w:val="auto"/>
          <w:sz w:val="24"/>
          <w:szCs w:val="24"/>
          <w:lang w:eastAsia="zh-CN"/>
        </w:rPr>
        <w:t>了</w:t>
      </w:r>
      <w:r>
        <w:rPr>
          <w:rFonts w:hint="default" w:ascii="Times New Roman" w:hAnsi="Times New Roman" w:cs="Times New Roman"/>
          <w:color w:val="auto"/>
          <w:sz w:val="24"/>
          <w:szCs w:val="24"/>
        </w:rPr>
        <w:t>祁水祁东县治理工程</w:t>
      </w:r>
      <w:r>
        <w:rPr>
          <w:rFonts w:hint="default" w:ascii="Times New Roman" w:hAnsi="Times New Roman" w:cs="Times New Roman"/>
          <w:color w:val="auto"/>
          <w:sz w:val="24"/>
          <w:szCs w:val="24"/>
          <w:lang w:eastAsia="zh-CN"/>
        </w:rPr>
        <w:t>（祁水三期）</w:t>
      </w:r>
      <w:r>
        <w:rPr>
          <w:rFonts w:hint="default" w:ascii="Times New Roman" w:hAnsi="Times New Roman" w:cs="Times New Roman"/>
          <w:color w:val="auto"/>
          <w:sz w:val="24"/>
          <w:szCs w:val="24"/>
        </w:rPr>
        <w:t>（现项目的建设管理工作已移交至祁东县水利水电管理站）。项目于202</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月6日取得</w:t>
      </w:r>
      <w:r>
        <w:rPr>
          <w:rFonts w:hint="default" w:ascii="Times New Roman" w:hAnsi="Times New Roman" w:cs="Times New Roman"/>
          <w:color w:val="auto"/>
          <w:sz w:val="24"/>
          <w:szCs w:val="24"/>
          <w:lang w:eastAsia="zh-CN"/>
        </w:rPr>
        <w:t>祁东县</w:t>
      </w:r>
      <w:r>
        <w:rPr>
          <w:rFonts w:hint="default" w:ascii="Times New Roman" w:hAnsi="Times New Roman" w:cs="Times New Roman"/>
          <w:color w:val="auto"/>
          <w:sz w:val="24"/>
          <w:szCs w:val="24"/>
        </w:rPr>
        <w:t>发展和改革局《关于</w:t>
      </w:r>
      <w:r>
        <w:rPr>
          <w:rFonts w:hint="default" w:ascii="Times New Roman" w:hAnsi="Times New Roman" w:cs="Times New Roman"/>
          <w:color w:val="auto"/>
          <w:sz w:val="24"/>
          <w:szCs w:val="24"/>
          <w:lang w:eastAsia="zh-CN"/>
        </w:rPr>
        <w:t>祁水祁东县治理工程（祁水三期）可行性研究报告</w:t>
      </w:r>
      <w:r>
        <w:rPr>
          <w:rFonts w:hint="default" w:ascii="Times New Roman" w:hAnsi="Times New Roman" w:cs="Times New Roman"/>
          <w:color w:val="auto"/>
          <w:sz w:val="24"/>
          <w:szCs w:val="24"/>
        </w:rPr>
        <w:t>的批复》（</w:t>
      </w:r>
      <w:r>
        <w:rPr>
          <w:rFonts w:hint="default" w:ascii="Times New Roman" w:hAnsi="Times New Roman" w:cs="Times New Roman"/>
          <w:color w:val="auto"/>
          <w:sz w:val="24"/>
          <w:szCs w:val="24"/>
          <w:lang w:eastAsia="zh-CN"/>
        </w:rPr>
        <w:t>祁</w:t>
      </w:r>
      <w:r>
        <w:rPr>
          <w:rFonts w:hint="default" w:ascii="Times New Roman" w:hAnsi="Times New Roman" w:cs="Times New Roman"/>
          <w:color w:val="auto"/>
          <w:sz w:val="24"/>
          <w:szCs w:val="24"/>
        </w:rPr>
        <w:t>发改审[202</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14</w:t>
      </w:r>
      <w:r>
        <w:rPr>
          <w:rFonts w:hint="default" w:ascii="Times New Roman" w:hAnsi="Times New Roman" w:cs="Times New Roman"/>
          <w:color w:val="auto"/>
          <w:sz w:val="24"/>
          <w:szCs w:val="24"/>
        </w:rPr>
        <w:t>号），项目代码为2</w:t>
      </w:r>
      <w:r>
        <w:rPr>
          <w:rFonts w:hint="default" w:ascii="Times New Roman" w:hAnsi="Times New Roman" w:cs="Times New Roman"/>
          <w:color w:val="auto"/>
          <w:sz w:val="24"/>
          <w:szCs w:val="24"/>
          <w:lang w:val="en-US" w:eastAsia="zh-CN"/>
        </w:rPr>
        <w:t>309</w:t>
      </w:r>
      <w:r>
        <w:rPr>
          <w:rFonts w:hint="default" w:ascii="Times New Roman" w:hAnsi="Times New Roman" w:cs="Times New Roman"/>
          <w:color w:val="auto"/>
          <w:sz w:val="24"/>
          <w:szCs w:val="24"/>
        </w:rPr>
        <w:t>-430</w:t>
      </w:r>
      <w:r>
        <w:rPr>
          <w:rFonts w:hint="default" w:ascii="Times New Roman" w:hAnsi="Times New Roman" w:cs="Times New Roman"/>
          <w:color w:val="auto"/>
          <w:sz w:val="24"/>
          <w:szCs w:val="24"/>
          <w:lang w:val="en-US" w:eastAsia="zh-CN"/>
        </w:rPr>
        <w:t>426</w:t>
      </w:r>
      <w:r>
        <w:rPr>
          <w:rFonts w:hint="default" w:ascii="Times New Roman" w:hAnsi="Times New Roman" w:cs="Times New Roman"/>
          <w:color w:val="auto"/>
          <w:sz w:val="24"/>
          <w:szCs w:val="24"/>
        </w:rPr>
        <w:t>-04-01-</w:t>
      </w:r>
      <w:r>
        <w:rPr>
          <w:rFonts w:hint="default" w:ascii="Times New Roman" w:hAnsi="Times New Roman" w:cs="Times New Roman"/>
          <w:color w:val="auto"/>
          <w:sz w:val="24"/>
          <w:szCs w:val="24"/>
          <w:lang w:val="en-US" w:eastAsia="zh-CN"/>
        </w:rPr>
        <w:t>887816</w:t>
      </w:r>
      <w:r>
        <w:rPr>
          <w:rFonts w:hint="default" w:ascii="Times New Roman" w:hAnsi="Times New Roman" w:cs="Times New Roman"/>
          <w:color w:val="auto"/>
          <w:sz w:val="24"/>
          <w:szCs w:val="24"/>
        </w:rPr>
        <w:t>；于202</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日取得</w:t>
      </w:r>
      <w:r>
        <w:rPr>
          <w:rFonts w:hint="default" w:ascii="Times New Roman" w:hAnsi="Times New Roman" w:cs="Times New Roman"/>
          <w:color w:val="auto"/>
          <w:sz w:val="24"/>
          <w:szCs w:val="24"/>
          <w:lang w:eastAsia="zh-CN"/>
        </w:rPr>
        <w:t>衡阳</w:t>
      </w:r>
      <w:r>
        <w:rPr>
          <w:rFonts w:hint="default" w:ascii="Times New Roman" w:hAnsi="Times New Roman" w:cs="Times New Roman"/>
          <w:color w:val="auto"/>
          <w:sz w:val="24"/>
          <w:szCs w:val="24"/>
        </w:rPr>
        <w:t>市水利局《关于</w:t>
      </w:r>
      <w:r>
        <w:rPr>
          <w:rFonts w:hint="default" w:ascii="Times New Roman" w:hAnsi="Times New Roman" w:cs="Times New Roman"/>
          <w:color w:val="auto"/>
          <w:sz w:val="24"/>
          <w:szCs w:val="24"/>
          <w:lang w:eastAsia="zh-CN"/>
        </w:rPr>
        <w:t>祁水祁东县治理工程初步设计</w:t>
      </w:r>
      <w:r>
        <w:rPr>
          <w:rFonts w:hint="default" w:ascii="Times New Roman" w:hAnsi="Times New Roman" w:cs="Times New Roman"/>
          <w:color w:val="auto"/>
          <w:sz w:val="24"/>
          <w:szCs w:val="24"/>
        </w:rPr>
        <w:t>的批复》（</w:t>
      </w:r>
      <w:r>
        <w:rPr>
          <w:rFonts w:hint="default" w:ascii="Times New Roman" w:hAnsi="Times New Roman" w:cs="Times New Roman"/>
          <w:color w:val="auto"/>
          <w:sz w:val="24"/>
          <w:szCs w:val="24"/>
          <w:lang w:eastAsia="zh-CN"/>
        </w:rPr>
        <w:t>衡</w:t>
      </w:r>
      <w:r>
        <w:rPr>
          <w:rFonts w:hint="default" w:ascii="Times New Roman" w:hAnsi="Times New Roman" w:cs="Times New Roman"/>
          <w:color w:val="auto"/>
          <w:sz w:val="24"/>
          <w:szCs w:val="24"/>
        </w:rPr>
        <w:t>水许[202</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13</w:t>
      </w:r>
      <w:r>
        <w:rPr>
          <w:rFonts w:hint="default" w:ascii="Times New Roman" w:hAnsi="Times New Roman" w:cs="Times New Roman"/>
          <w:color w:val="auto"/>
          <w:sz w:val="24"/>
          <w:szCs w:val="24"/>
        </w:rPr>
        <w:t>号）。</w:t>
      </w:r>
    </w:p>
    <w:p>
      <w:pPr>
        <w:shd w:val="clear" w:color="auto" w:fill="FFFFFF"/>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eastAsia="zh-CN"/>
        </w:rPr>
        <w:t>祁水祁东县治理工程（祁水三期）</w:t>
      </w:r>
      <w:r>
        <w:rPr>
          <w:rFonts w:hint="default" w:ascii="Times New Roman" w:hAnsi="Times New Roman" w:eastAsia="宋体" w:cs="Times New Roman"/>
          <w:color w:val="auto"/>
          <w:sz w:val="24"/>
          <w:szCs w:val="24"/>
          <w:lang w:val="en-US" w:eastAsia="zh-CN"/>
        </w:rPr>
        <w:t>总投资8704.98万元，工程治理范围为祁水干流祁东县境内32+537~11+400段和3+550~0+100段，全长24.587km，综合治理河长23.900km。工程设计洪水标准采用10年一遇，治理河段涉及祁东县四明山乡、太和堂镇、蒋家桥镇及城连圩乡4个镇，保护人口7.12万人，保护耕地9.31k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。主要工程内容包括：</w:t>
      </w:r>
    </w:p>
    <w:p>
      <w:pPr>
        <w:shd w:val="clear" w:color="auto" w:fill="FFFFFF"/>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1）护岸工程全长30.017km，其中太和堂段左岸12.546km，太和堂段右岸14.617km，祁水源段右岸2.483km；</w:t>
      </w:r>
    </w:p>
    <w:p>
      <w:pPr>
        <w:shd w:val="clear" w:color="auto" w:fill="FFFFFF"/>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2）河道清淤疏浚：综合清淤疏浚总长度14.619km；</w:t>
      </w:r>
    </w:p>
    <w:p>
      <w:pPr>
        <w:shd w:val="clear" w:color="auto" w:fill="FFFFFF"/>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3）建筑物工程：本次治理范围内共有河坝31处，其中拆除重建1处，改造加固5处；</w:t>
      </w:r>
    </w:p>
    <w:p>
      <w:pPr>
        <w:shd w:val="clear" w:color="auto" w:fill="FFFFFF"/>
        <w:spacing w:line="360" w:lineRule="auto"/>
        <w:ind w:firstLine="480" w:firstLineChars="200"/>
        <w:rPr>
          <w:rFonts w:hint="default" w:ascii="Times New Roman" w:hAnsi="Times New Roman" w:cs="Times New Roman"/>
          <w:color w:val="auto"/>
          <w:spacing w:val="-3"/>
          <w:sz w:val="24"/>
          <w:szCs w:val="24"/>
        </w:rPr>
      </w:pPr>
      <w:r>
        <w:rPr>
          <w:rFonts w:hint="default" w:ascii="Times New Roman" w:hAnsi="Times New Roman" w:eastAsia="宋体" w:cs="Times New Roman"/>
          <w:color w:val="auto"/>
          <w:sz w:val="24"/>
          <w:szCs w:val="24"/>
          <w:lang w:val="en-US" w:eastAsia="zh-CN"/>
        </w:rPr>
        <w:t>4）附属建筑物工程：涵管：本次设计护岸段沿线新建涵管162处，其中新建φ1200涵管2处，新建φ1000涵管8处，新建φ500涵管20处，新建φ300涵管12处，新建φ200涵管120处；踏步：本次治理河段范围内共设80处踏步</w:t>
      </w:r>
      <w:r>
        <w:rPr>
          <w:rFonts w:hint="default" w:ascii="Times New Roman" w:hAnsi="Times New Roman" w:cs="Times New Roman"/>
          <w:color w:val="auto"/>
          <w:sz w:val="24"/>
          <w:szCs w:val="24"/>
        </w:rPr>
        <w:t>。</w:t>
      </w:r>
    </w:p>
    <w:p>
      <w:pPr>
        <w:pStyle w:val="2974"/>
        <w:spacing w:line="360" w:lineRule="auto"/>
        <w:rPr>
          <w:rFonts w:ascii="Times New Roman" w:hAnsi="Times New Roman" w:cs="Times New Roman"/>
        </w:rPr>
      </w:pPr>
      <w:r>
        <w:rPr>
          <w:rFonts w:hint="default" w:ascii="Times New Roman" w:hAnsi="Times New Roman" w:cs="Times New Roman"/>
          <w:color w:val="auto"/>
          <w:spacing w:val="-3"/>
          <w:sz w:val="24"/>
          <w:szCs w:val="24"/>
        </w:rPr>
        <w:t>根据《中华人民共和国环境保护法》、《中华人民共和国环境影响评价法》、《建设项目环境保护管理条例》等相关规定，本项目应进行环境影响评价；对</w:t>
      </w:r>
      <w:r>
        <w:rPr>
          <w:rFonts w:hint="default" w:ascii="Times New Roman" w:hAnsi="Times New Roman" w:cs="Times New Roman"/>
          <w:color w:val="auto"/>
          <w:sz w:val="24"/>
          <w:szCs w:val="24"/>
        </w:rPr>
        <w:t>照《建设项目环境影响评价分类管理名录》（2021版），本项目属于“五十一、水利128.河湖整治（不含农村塘堰、水渠）涉及环境敏感区的”，根据</w:t>
      </w:r>
      <w:r>
        <w:rPr>
          <w:rFonts w:hint="default" w:ascii="Times New Roman" w:hAnsi="Times New Roman" w:cs="Times New Roman"/>
          <w:color w:val="auto"/>
          <w:sz w:val="24"/>
          <w:szCs w:val="24"/>
          <w:lang w:val="en-US" w:eastAsia="zh-CN"/>
        </w:rPr>
        <w:t>项目相关附件</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城连圩乡</w:t>
      </w:r>
      <w:r>
        <w:rPr>
          <w:rFonts w:hint="default" w:ascii="Times New Roman" w:hAnsi="Times New Roman" w:cs="Times New Roman"/>
          <w:color w:val="auto"/>
          <w:sz w:val="24"/>
          <w:szCs w:val="24"/>
          <w:lang w:val="en-US" w:eastAsia="zh-CN"/>
        </w:rPr>
        <w:t>段</w:t>
      </w:r>
      <w:r>
        <w:rPr>
          <w:rFonts w:hint="default" w:ascii="Times New Roman" w:hAnsi="Times New Roman" w:cs="Times New Roman"/>
          <w:color w:val="auto"/>
          <w:sz w:val="24"/>
          <w:szCs w:val="24"/>
        </w:rPr>
        <w:t>护岸工程</w:t>
      </w:r>
      <w:r>
        <w:rPr>
          <w:rFonts w:hint="default" w:ascii="Times New Roman" w:hAnsi="Times New Roman" w:cs="Times New Roman"/>
          <w:color w:val="auto"/>
          <w:sz w:val="24"/>
          <w:szCs w:val="24"/>
          <w:lang w:eastAsia="zh-CN"/>
        </w:rPr>
        <w:t>及清淤工程</w:t>
      </w:r>
      <w:r>
        <w:rPr>
          <w:rFonts w:hint="default" w:ascii="Times New Roman" w:hAnsi="Times New Roman" w:cs="Times New Roman"/>
          <w:color w:val="auto"/>
          <w:sz w:val="24"/>
          <w:szCs w:val="24"/>
        </w:rPr>
        <w:t>涉及</w:t>
      </w:r>
      <w:r>
        <w:rPr>
          <w:rFonts w:hint="default" w:ascii="Times New Roman" w:hAnsi="Times New Roman" w:cs="Times New Roman"/>
          <w:color w:val="auto"/>
          <w:sz w:val="24"/>
          <w:szCs w:val="24"/>
          <w:lang w:eastAsia="zh-CN"/>
        </w:rPr>
        <w:t>祁东县</w:t>
      </w:r>
      <w:r>
        <w:rPr>
          <w:rFonts w:hint="default" w:ascii="Times New Roman" w:hAnsi="Times New Roman" w:cs="Times New Roman"/>
          <w:color w:val="auto"/>
          <w:sz w:val="24"/>
          <w:szCs w:val="24"/>
        </w:rPr>
        <w:t>城连圩乡</w:t>
      </w:r>
      <w:r>
        <w:rPr>
          <w:rFonts w:hint="default" w:ascii="Times New Roman" w:hAnsi="Times New Roman" w:cs="Times New Roman"/>
          <w:color w:val="auto"/>
          <w:sz w:val="24"/>
          <w:szCs w:val="24"/>
          <w:lang w:eastAsia="zh-CN"/>
        </w:rPr>
        <w:t>地下水饮用水源保护</w:t>
      </w:r>
      <w:r>
        <w:rPr>
          <w:rFonts w:hint="default" w:ascii="Times New Roman" w:hAnsi="Times New Roman" w:cs="Times New Roman"/>
          <w:color w:val="auto"/>
          <w:sz w:val="24"/>
          <w:szCs w:val="24"/>
        </w:rPr>
        <w:t>区</w:t>
      </w:r>
      <w:r>
        <w:rPr>
          <w:rFonts w:hint="default" w:ascii="Times New Roman" w:hAnsi="Times New Roman" w:cs="Times New Roman"/>
          <w:color w:val="auto"/>
          <w:sz w:val="24"/>
          <w:szCs w:val="24"/>
          <w:lang w:eastAsia="zh-CN"/>
        </w:rPr>
        <w:t>（千人以上集中式饮用水源保护区）二级水域与陆域保护区，</w:t>
      </w:r>
      <w:r>
        <w:rPr>
          <w:rFonts w:hint="default" w:ascii="Times New Roman" w:hAnsi="Times New Roman" w:cs="Times New Roman"/>
          <w:color w:val="auto"/>
          <w:sz w:val="24"/>
          <w:szCs w:val="24"/>
          <w:lang w:val="en-US" w:eastAsia="zh-CN"/>
        </w:rPr>
        <w:t>因此本项目</w:t>
      </w:r>
      <w:r>
        <w:rPr>
          <w:rFonts w:hint="default" w:ascii="Times New Roman" w:hAnsi="Times New Roman" w:cs="Times New Roman"/>
          <w:color w:val="auto"/>
          <w:sz w:val="24"/>
          <w:szCs w:val="24"/>
        </w:rPr>
        <w:t>应当编制环评报告书。因此，</w:t>
      </w:r>
      <w:r>
        <w:rPr>
          <w:rFonts w:hint="default" w:ascii="Times New Roman" w:hAnsi="Times New Roman" w:cs="Times New Roman"/>
          <w:color w:val="auto"/>
          <w:sz w:val="24"/>
          <w:szCs w:val="24"/>
          <w:lang w:eastAsia="zh-CN"/>
        </w:rPr>
        <w:t>祁东县水利水电管理站</w:t>
      </w:r>
      <w:r>
        <w:rPr>
          <w:rFonts w:hint="default" w:ascii="Times New Roman" w:hAnsi="Times New Roman" w:cs="Times New Roman"/>
          <w:color w:val="auto"/>
          <w:sz w:val="24"/>
          <w:szCs w:val="24"/>
        </w:rPr>
        <w:t>委托</w:t>
      </w:r>
      <w:r>
        <w:rPr>
          <w:rFonts w:hint="default" w:ascii="Times New Roman" w:hAnsi="Times New Roman" w:cs="Times New Roman"/>
          <w:color w:val="auto"/>
          <w:sz w:val="24"/>
          <w:szCs w:val="24"/>
          <w:lang w:eastAsia="zh-CN"/>
        </w:rPr>
        <w:t>湖南中璟太禹环保科技有限公司</w:t>
      </w:r>
      <w:r>
        <w:rPr>
          <w:rFonts w:hint="default" w:ascii="Times New Roman" w:hAnsi="Times New Roman" w:cs="Times New Roman"/>
          <w:color w:val="auto"/>
          <w:sz w:val="24"/>
          <w:szCs w:val="24"/>
        </w:rPr>
        <w:t>（以下简称“我公司”）承担本项目环境影响评价相关工作。我公司接受委托后，立即组织评价专题组对本项目及评价区域进行了现场踏勘。在认真调查研究及收集有关数据、资料基础上，结合本项目区域的环境特点和区域规划，依照环境环境影响评价技术导则的对本项目进行了环境影响分析，编制完成本报告书</w:t>
      </w:r>
      <w:r>
        <w:rPr>
          <w:rFonts w:hint="eastAsia"/>
          <w:color w:val="auto"/>
          <w:u w:val="none" w:color="auto"/>
        </w:rPr>
        <w:t>。</w:t>
      </w:r>
    </w:p>
    <w:p>
      <w:pPr>
        <w:rPr>
          <w:rFonts w:ascii="Times New Roman" w:hAnsi="Times New Roman" w:cs="Times New Roman"/>
        </w:rPr>
      </w:pPr>
      <w:bookmarkStart w:id="15" w:name="_Toc6009"/>
      <w:r>
        <w:rPr>
          <w:rFonts w:ascii="Times New Roman" w:hAnsi="Times New Roman" w:cs="Times New Roman"/>
        </w:rPr>
        <w:br w:type="page"/>
      </w:r>
    </w:p>
    <w:p>
      <w:pPr>
        <w:pStyle w:val="5"/>
        <w:autoSpaceDE/>
        <w:autoSpaceDN/>
        <w:adjustRightInd w:val="0"/>
        <w:snapToGrid w:val="0"/>
        <w:spacing w:before="0" w:line="360" w:lineRule="auto"/>
        <w:ind w:left="0" w:firstLine="0"/>
        <w:jc w:val="both"/>
        <w:rPr>
          <w:rFonts w:ascii="Times New Roman" w:hAnsi="Times New Roman" w:cs="Times New Roman"/>
          <w:snapToGrid w:val="0"/>
          <w:lang w:val="en-US"/>
        </w:rPr>
      </w:pPr>
      <w:r>
        <w:rPr>
          <w:rFonts w:ascii="Times New Roman" w:hAnsi="Times New Roman" w:cs="Times New Roman"/>
        </w:rPr>
        <w:t>1.</w:t>
      </w:r>
      <w:r>
        <w:rPr>
          <w:rFonts w:hint="eastAsia" w:ascii="Times New Roman" w:hAnsi="Times New Roman" w:cs="Times New Roman"/>
          <w:lang w:val="en-US" w:eastAsia="zh-CN"/>
        </w:rPr>
        <w:t>2</w:t>
      </w:r>
      <w:r>
        <w:rPr>
          <w:rFonts w:ascii="Times New Roman" w:hAnsi="Times New Roman" w:cs="Times New Roman"/>
          <w:lang w:val="en-US"/>
        </w:rPr>
        <w:t>环境影响评价工作过程</w:t>
      </w:r>
      <w:bookmarkEnd w:id="15"/>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本项目环境影响评价工作分为三个阶段，即前期准备、调研和工作方案阶段，分析论证和预测评价阶段，环境影响评价文件编制阶段。</w:t>
      </w:r>
      <w:r>
        <w:rPr>
          <w:rFonts w:ascii="Times New Roman" w:hAnsi="Times New Roman" w:cs="Times New Roman"/>
          <w:snapToGrid w:val="0"/>
          <w:color w:val="000000" w:themeColor="text1"/>
          <w14:textFill>
            <w14:solidFill>
              <w14:schemeClr w14:val="tx1"/>
            </w14:solidFill>
          </w14:textFill>
        </w:rPr>
        <w:t>具体工作过程见图1.3-1。</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p>
    <w:p>
      <w:pPr>
        <w:pStyle w:val="2"/>
        <w:autoSpaceDE/>
        <w:autoSpaceDN/>
        <w:adjustRightInd w:val="0"/>
        <w:snapToGrid w:val="0"/>
        <w:spacing w:before="0"/>
        <w:ind w:left="0"/>
        <w:jc w:val="center"/>
        <w:rPr>
          <w:rFonts w:ascii="Times New Roman" w:hAnsi="Times New Roman" w:cs="Times New Roman"/>
          <w:b/>
          <w:sz w:val="30"/>
        </w:rPr>
      </w:pPr>
      <w:r>
        <w:rPr>
          <w:rFonts w:ascii="Times New Roman" w:hAnsi="Times New Roman" w:cs="Times New Roman"/>
          <w:sz w:val="7"/>
          <w:lang w:val="en-US" w:bidi="ar-SA"/>
        </w:rPr>
        <w:drawing>
          <wp:inline distT="0" distB="0" distL="0" distR="0">
            <wp:extent cx="3751580" cy="5720080"/>
            <wp:effectExtent l="19050" t="0" r="1107" b="0"/>
            <wp:docPr id="17" name="图片 20" descr="页面提取自－W02016121434866495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descr="页面提取自－W020161214348664955109.jpg"/>
                    <pic:cNvPicPr>
                      <a:picLocks noChangeAspect="1" noChangeArrowheads="1"/>
                    </pic:cNvPicPr>
                  </pic:nvPicPr>
                  <pic:blipFill>
                    <a:blip r:embed="rId15"/>
                    <a:srcRect/>
                    <a:stretch>
                      <a:fillRect/>
                    </a:stretch>
                  </pic:blipFill>
                  <pic:spPr>
                    <a:xfrm>
                      <a:off x="0" y="0"/>
                      <a:ext cx="3751555" cy="5720200"/>
                    </a:xfrm>
                    <a:prstGeom prst="rect">
                      <a:avLst/>
                    </a:prstGeom>
                    <a:noFill/>
                    <a:ln w="9525">
                      <a:noFill/>
                      <a:miter lim="800000"/>
                      <a:headEnd/>
                      <a:tailEnd/>
                    </a:ln>
                  </pic:spPr>
                </pic:pic>
              </a:graphicData>
            </a:graphic>
          </wp:inline>
        </w:drawing>
      </w:r>
      <w:bookmarkStart w:id="16" w:name="_bookmark2"/>
      <w:bookmarkEnd w:id="16"/>
    </w:p>
    <w:p>
      <w:pPr>
        <w:pStyle w:val="2"/>
        <w:autoSpaceDE/>
        <w:autoSpaceDN/>
        <w:adjustRightInd w:val="0"/>
        <w:snapToGrid w:val="0"/>
        <w:spacing w:before="0" w:line="360" w:lineRule="auto"/>
        <w:ind w:left="0" w:firstLine="482" w:firstLineChars="200"/>
        <w:jc w:val="center"/>
        <w:rPr>
          <w:rFonts w:ascii="Times New Roman" w:hAnsi="Times New Roman" w:cs="Times New Roman"/>
          <w:b/>
          <w:bCs/>
        </w:rPr>
      </w:pPr>
      <w:r>
        <w:rPr>
          <w:rFonts w:ascii="Times New Roman" w:hAnsi="Times New Roman" w:cs="Times New Roman"/>
          <w:b/>
          <w:bCs/>
        </w:rPr>
        <w:t>图1.3-1 评价工作程序图</w:t>
      </w:r>
    </w:p>
    <w:p>
      <w:pPr>
        <w:pStyle w:val="2"/>
        <w:autoSpaceDE/>
        <w:autoSpaceDN/>
        <w:adjustRightInd w:val="0"/>
        <w:snapToGrid w:val="0"/>
        <w:spacing w:before="0" w:line="360" w:lineRule="auto"/>
        <w:ind w:left="0"/>
        <w:jc w:val="both"/>
        <w:outlineLvl w:val="1"/>
        <w:rPr>
          <w:rFonts w:ascii="Times New Roman" w:hAnsi="Times New Roman" w:cs="Times New Roman"/>
          <w:b/>
          <w:sz w:val="30"/>
        </w:rPr>
      </w:pPr>
      <w:bookmarkStart w:id="17" w:name="_Toc16031"/>
      <w:r>
        <w:rPr>
          <w:rFonts w:ascii="Times New Roman" w:hAnsi="Times New Roman" w:cs="Times New Roman"/>
          <w:b/>
          <w:sz w:val="30"/>
        </w:rPr>
        <w:t>1.</w:t>
      </w:r>
      <w:r>
        <w:rPr>
          <w:rFonts w:hint="eastAsia" w:ascii="Times New Roman" w:hAnsi="Times New Roman" w:cs="Times New Roman"/>
          <w:b/>
          <w:sz w:val="30"/>
          <w:lang w:val="en-US" w:eastAsia="zh-CN"/>
        </w:rPr>
        <w:t>3</w:t>
      </w:r>
      <w:bookmarkEnd w:id="17"/>
      <w:r>
        <w:rPr>
          <w:rFonts w:hint="eastAsia" w:ascii="Times New Roman" w:hAnsi="Times New Roman" w:cs="Times New Roman"/>
          <w:b/>
          <w:sz w:val="30"/>
        </w:rPr>
        <w:t>项目特点</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snapToGrid w:val="0"/>
        </w:rPr>
      </w:pPr>
      <w:r>
        <w:rPr>
          <w:rFonts w:hint="eastAsia" w:ascii="Times New Roman" w:hAnsi="Times New Roman" w:cs="Times New Roman"/>
          <w:snapToGrid w:val="0"/>
        </w:rPr>
        <w:t>（1）项目为防洪治涝工程及河道治理项目，对环境的影响主要集中在施工期，主要为施工期对水环境、大气环境、声环境、生态环境等产生的影响；</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snapToGrid w:val="0"/>
        </w:rPr>
      </w:pPr>
      <w:r>
        <w:rPr>
          <w:rFonts w:hint="eastAsia" w:ascii="Times New Roman" w:hAnsi="Times New Roman" w:cs="Times New Roman"/>
          <w:snapToGrid w:val="0"/>
        </w:rPr>
        <w:t>（2）项目疏浚与清障工程需对部分河道进行扩宽，对部分洲滩进行疏挖，应关注施工期对水环境、生态环境、运营期对流域水文情势、水生生态环境等的影响；</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hint="eastAsia" w:ascii="Times New Roman" w:hAnsi="Times New Roman" w:cs="Times New Roman"/>
          <w:snapToGrid w:val="0"/>
        </w:rPr>
        <w:t>（3）项目施工涉及饮用水水源保护区，应重点关注对饮用水水源保护区的影响及污染防治。</w:t>
      </w:r>
      <w:r>
        <w:rPr>
          <w:rFonts w:ascii="Times New Roman" w:hAnsi="Times New Roman" w:cs="Times New Roman"/>
          <w:snapToGrid w:val="0"/>
        </w:rPr>
        <w:t>。</w:t>
      </w:r>
    </w:p>
    <w:p>
      <w:pPr>
        <w:pStyle w:val="5"/>
        <w:tabs>
          <w:tab w:val="left" w:pos="766"/>
        </w:tabs>
        <w:autoSpaceDE/>
        <w:autoSpaceDN/>
        <w:adjustRightInd w:val="0"/>
        <w:snapToGrid w:val="0"/>
        <w:spacing w:before="0" w:line="360" w:lineRule="auto"/>
        <w:ind w:left="0" w:firstLine="0"/>
        <w:jc w:val="both"/>
        <w:rPr>
          <w:rFonts w:ascii="Times New Roman" w:hAnsi="Times New Roman" w:cs="Times New Roman"/>
        </w:rPr>
      </w:pPr>
      <w:bookmarkStart w:id="18" w:name="_bookmark4"/>
      <w:bookmarkEnd w:id="18"/>
      <w:bookmarkStart w:id="19" w:name="_Toc11610"/>
      <w:r>
        <w:rPr>
          <w:rFonts w:ascii="Times New Roman" w:hAnsi="Times New Roman" w:cs="Times New Roman"/>
        </w:rPr>
        <w:t>1.</w:t>
      </w:r>
      <w:r>
        <w:rPr>
          <w:rFonts w:hint="eastAsia" w:ascii="Times New Roman" w:hAnsi="Times New Roman" w:cs="Times New Roman"/>
          <w:lang w:val="en-US" w:eastAsia="zh-CN"/>
        </w:rPr>
        <w:t>4</w:t>
      </w:r>
      <w:r>
        <w:rPr>
          <w:rFonts w:ascii="Times New Roman" w:hAnsi="Times New Roman" w:cs="Times New Roman"/>
        </w:rPr>
        <w:t>分析判定相关情况</w:t>
      </w:r>
      <w:bookmarkEnd w:id="19"/>
    </w:p>
    <w:p>
      <w:pPr>
        <w:autoSpaceDE/>
        <w:autoSpaceDN/>
        <w:adjustRightInd w:val="0"/>
        <w:snapToGrid w:val="0"/>
        <w:spacing w:line="360" w:lineRule="auto"/>
        <w:jc w:val="both"/>
        <w:outlineLvl w:val="2"/>
        <w:rPr>
          <w:rFonts w:ascii="Times New Roman" w:hAnsi="Times New Roman" w:cs="Times New Roman"/>
          <w:b/>
          <w:sz w:val="28"/>
          <w:szCs w:val="24"/>
        </w:rPr>
      </w:pPr>
      <w:bookmarkStart w:id="20" w:name="_Toc66206006"/>
      <w:bookmarkStart w:id="21" w:name="_Toc31123"/>
      <w:bookmarkStart w:id="22" w:name="_Toc82593063"/>
      <w:bookmarkStart w:id="23" w:name="_Toc69284532"/>
      <w:bookmarkStart w:id="24" w:name="_Hlk55376152"/>
      <w:r>
        <w:rPr>
          <w:rFonts w:ascii="Times New Roman" w:hAnsi="Times New Roman" w:cs="Times New Roman"/>
          <w:b/>
          <w:sz w:val="28"/>
          <w:szCs w:val="24"/>
        </w:rPr>
        <w:t>1.</w:t>
      </w:r>
      <w:r>
        <w:rPr>
          <w:rFonts w:hint="eastAsia" w:ascii="Times New Roman" w:hAnsi="Times New Roman" w:cs="Times New Roman"/>
          <w:b/>
          <w:sz w:val="28"/>
          <w:szCs w:val="24"/>
          <w:lang w:val="en-US" w:eastAsia="zh-CN"/>
        </w:rPr>
        <w:t>4</w:t>
      </w:r>
      <w:r>
        <w:rPr>
          <w:rFonts w:ascii="Times New Roman" w:hAnsi="Times New Roman" w:cs="Times New Roman"/>
          <w:b/>
          <w:sz w:val="28"/>
          <w:szCs w:val="24"/>
        </w:rPr>
        <w:t>.1与产业政策相符性</w:t>
      </w:r>
      <w:bookmarkEnd w:id="20"/>
      <w:bookmarkEnd w:id="21"/>
      <w:bookmarkEnd w:id="22"/>
      <w:bookmarkEnd w:id="23"/>
    </w:p>
    <w:bookmarkEnd w:id="24"/>
    <w:p>
      <w:pPr>
        <w:autoSpaceDE/>
        <w:autoSpaceDN/>
        <w:adjustRightInd w:val="0"/>
        <w:snapToGrid w:val="0"/>
        <w:spacing w:line="360" w:lineRule="auto"/>
        <w:ind w:firstLine="480" w:firstLineChars="200"/>
        <w:jc w:val="both"/>
        <w:rPr>
          <w:rFonts w:hint="eastAsia" w:ascii="Times New Roman" w:hAnsi="Times New Roman" w:cs="Times New Roman"/>
          <w:snapToGrid w:val="0"/>
          <w:color w:val="000000" w:themeColor="text1"/>
          <w:sz w:val="24"/>
          <w14:textFill>
            <w14:solidFill>
              <w14:schemeClr w14:val="tx1"/>
            </w14:solidFill>
          </w14:textFill>
        </w:rPr>
      </w:pPr>
      <w:r>
        <w:rPr>
          <w:rFonts w:hint="eastAsia" w:ascii="Times New Roman" w:hAnsi="Times New Roman" w:cs="Times New Roman"/>
          <w:snapToGrid w:val="0"/>
          <w:color w:val="000000" w:themeColor="text1"/>
          <w:sz w:val="24"/>
          <w14:textFill>
            <w14:solidFill>
              <w14:schemeClr w14:val="tx1"/>
            </w14:solidFill>
          </w14:textFill>
        </w:rPr>
        <w:t>本工程为防洪治涝工程及河道治理项目，根据《产业结构调整指导目录（2019年本）（2021年修定）》，本工程属于“二、江河湖海堤防建设及河道治理工程”，为鼓励类项目。</w:t>
      </w:r>
    </w:p>
    <w:p>
      <w:pPr>
        <w:autoSpaceDE/>
        <w:autoSpaceDN/>
        <w:adjustRightInd w:val="0"/>
        <w:snapToGrid w:val="0"/>
        <w:spacing w:line="360" w:lineRule="auto"/>
        <w:ind w:firstLine="480" w:firstLineChars="200"/>
        <w:jc w:val="both"/>
        <w:rPr>
          <w:rFonts w:ascii="Times New Roman" w:hAnsi="Times New Roman" w:cs="Times New Roman"/>
          <w:snapToGrid w:val="0"/>
          <w:sz w:val="24"/>
          <w:szCs w:val="24"/>
        </w:rPr>
      </w:pPr>
      <w:r>
        <w:rPr>
          <w:rFonts w:hint="eastAsia" w:ascii="Times New Roman" w:hAnsi="Times New Roman" w:cs="Times New Roman"/>
          <w:snapToGrid w:val="0"/>
          <w:color w:val="000000" w:themeColor="text1"/>
          <w:sz w:val="24"/>
          <w14:textFill>
            <w14:solidFill>
              <w14:schemeClr w14:val="tx1"/>
            </w14:solidFill>
          </w14:textFill>
        </w:rPr>
        <w:t>本工程建设符合国家产业政策。</w:t>
      </w:r>
    </w:p>
    <w:p>
      <w:pPr>
        <w:autoSpaceDE/>
        <w:autoSpaceDN/>
        <w:adjustRightInd w:val="0"/>
        <w:snapToGrid w:val="0"/>
        <w:spacing w:line="360" w:lineRule="auto"/>
        <w:jc w:val="both"/>
        <w:outlineLvl w:val="2"/>
        <w:rPr>
          <w:rFonts w:ascii="Times New Roman" w:hAnsi="Times New Roman" w:cs="Times New Roman"/>
          <w:b/>
          <w:sz w:val="28"/>
          <w:szCs w:val="24"/>
        </w:rPr>
      </w:pPr>
      <w:bookmarkStart w:id="25" w:name="_Toc82593064"/>
      <w:bookmarkStart w:id="26" w:name="_Toc69284533"/>
      <w:bookmarkStart w:id="27" w:name="_Toc66206007"/>
      <w:bookmarkStart w:id="28" w:name="_Toc15576"/>
      <w:r>
        <w:rPr>
          <w:rFonts w:ascii="Times New Roman" w:hAnsi="Times New Roman" w:cs="Times New Roman"/>
          <w:b/>
          <w:sz w:val="28"/>
          <w:szCs w:val="24"/>
        </w:rPr>
        <w:t>1.</w:t>
      </w:r>
      <w:r>
        <w:rPr>
          <w:rFonts w:hint="eastAsia" w:ascii="Times New Roman" w:hAnsi="Times New Roman" w:cs="Times New Roman"/>
          <w:b/>
          <w:sz w:val="28"/>
          <w:szCs w:val="24"/>
          <w:lang w:val="en-US" w:eastAsia="zh-CN"/>
        </w:rPr>
        <w:t>4</w:t>
      </w:r>
      <w:r>
        <w:rPr>
          <w:rFonts w:ascii="Times New Roman" w:hAnsi="Times New Roman" w:cs="Times New Roman"/>
          <w:b/>
          <w:sz w:val="28"/>
          <w:szCs w:val="24"/>
        </w:rPr>
        <w:t>.2与相关法规政策的相符性</w:t>
      </w:r>
      <w:bookmarkEnd w:id="25"/>
      <w:bookmarkEnd w:id="26"/>
      <w:bookmarkEnd w:id="27"/>
      <w:bookmarkEnd w:id="28"/>
    </w:p>
    <w:p>
      <w:pPr>
        <w:autoSpaceDE/>
        <w:autoSpaceDN/>
        <w:adjustRightInd w:val="0"/>
        <w:snapToGrid w:val="0"/>
        <w:spacing w:line="360" w:lineRule="auto"/>
        <w:jc w:val="both"/>
        <w:outlineLvl w:val="3"/>
        <w:rPr>
          <w:rFonts w:ascii="Times New Roman" w:hAnsi="Times New Roman" w:eastAsia="宋体" w:cs="Times New Roman"/>
          <w:b/>
          <w:color w:val="auto"/>
          <w:kern w:val="0"/>
          <w:sz w:val="24"/>
          <w:szCs w:val="24"/>
          <w:lang w:val="zh-CN" w:eastAsia="zh-CN" w:bidi="zh-CN"/>
        </w:rPr>
      </w:pPr>
      <w:r>
        <w:rPr>
          <w:rFonts w:ascii="Times New Roman" w:hAnsi="Times New Roman" w:cs="Times New Roman"/>
          <w:b/>
          <w:color w:val="auto"/>
          <w:sz w:val="24"/>
          <w:szCs w:val="24"/>
        </w:rPr>
        <w:t>1.</w:t>
      </w:r>
      <w:r>
        <w:rPr>
          <w:rFonts w:hint="eastAsia" w:ascii="Times New Roman" w:hAnsi="Times New Roman" w:cs="Times New Roman"/>
          <w:b/>
          <w:color w:val="auto"/>
          <w:sz w:val="24"/>
          <w:szCs w:val="24"/>
          <w:lang w:val="en-US" w:eastAsia="zh-CN"/>
        </w:rPr>
        <w:t>4</w:t>
      </w:r>
      <w:r>
        <w:rPr>
          <w:rFonts w:ascii="Times New Roman" w:hAnsi="Times New Roman" w:cs="Times New Roman"/>
          <w:b/>
          <w:color w:val="auto"/>
          <w:sz w:val="24"/>
          <w:szCs w:val="24"/>
        </w:rPr>
        <w:t>.2.1</w:t>
      </w:r>
      <w:r>
        <w:rPr>
          <w:rFonts w:hint="eastAsia" w:ascii="Times New Roman" w:hAnsi="Times New Roman" w:cs="Times New Roman"/>
          <w:b/>
          <w:color w:val="auto"/>
          <w:sz w:val="24"/>
          <w:szCs w:val="24"/>
          <w:lang w:val="en-US" w:eastAsia="zh-CN"/>
        </w:rPr>
        <w:t xml:space="preserve"> </w:t>
      </w:r>
      <w:r>
        <w:rPr>
          <w:rFonts w:hint="eastAsia" w:ascii="Times New Roman" w:hAnsi="Times New Roman" w:eastAsia="宋体" w:cs="Times New Roman"/>
          <w:b/>
          <w:color w:val="auto"/>
          <w:kern w:val="0"/>
          <w:sz w:val="24"/>
          <w:szCs w:val="24"/>
          <w:lang w:val="zh-CN" w:eastAsia="zh-CN" w:bidi="zh-CN"/>
        </w:rPr>
        <w:t>与长江保护和湘江保护相关要求的符合性分析</w:t>
      </w:r>
    </w:p>
    <w:p>
      <w:pPr>
        <w:pStyle w:val="2974"/>
        <w:rPr>
          <w:color w:val="auto"/>
          <w:u w:val="none" w:color="auto"/>
        </w:rPr>
      </w:pPr>
      <w:r>
        <w:rPr>
          <w:rFonts w:hint="eastAsia"/>
          <w:color w:val="auto"/>
          <w:u w:val="none" w:color="auto"/>
        </w:rPr>
        <w:t>本项目与《中华人民共和国长江保护法》、《湖南省</w:t>
      </w:r>
      <w:r>
        <w:rPr>
          <w:rFonts w:hint="eastAsia"/>
          <w:color w:val="auto"/>
          <w:u w:val="none" w:color="auto"/>
          <w:lang w:eastAsia="zh-CN"/>
        </w:rPr>
        <w:t>湘江</w:t>
      </w:r>
      <w:r>
        <w:rPr>
          <w:rFonts w:hint="eastAsia"/>
          <w:color w:val="auto"/>
          <w:u w:val="none" w:color="auto"/>
        </w:rPr>
        <w:t>保护条例》等相关要求的符合性分析如下：</w:t>
      </w:r>
    </w:p>
    <w:p>
      <w:pPr>
        <w:pStyle w:val="2976"/>
        <w:rPr>
          <w:rFonts w:hint="eastAsia" w:ascii="宋体" w:hAnsi="宋体" w:eastAsia="宋体" w:cs="宋体"/>
          <w:b/>
          <w:bCs/>
          <w:color w:val="auto"/>
          <w:u w:val="none" w:color="auto"/>
        </w:rPr>
      </w:pPr>
      <w:r>
        <w:rPr>
          <w:rFonts w:hint="eastAsia" w:ascii="宋体" w:hAnsi="宋体" w:eastAsia="宋体" w:cs="宋体"/>
          <w:b/>
          <w:bCs/>
          <w:color w:val="auto"/>
          <w:u w:val="none" w:color="auto"/>
        </w:rPr>
        <w:t>表</w:t>
      </w:r>
      <w:r>
        <w:rPr>
          <w:rFonts w:hint="eastAsia" w:eastAsia="宋体" w:cs="宋体"/>
          <w:b/>
          <w:bCs/>
          <w:color w:val="auto"/>
          <w:u w:val="none" w:color="auto"/>
          <w:lang w:val="en-US" w:eastAsia="zh-CN"/>
        </w:rPr>
        <w:t>1.4.2-</w:t>
      </w:r>
      <w:r>
        <w:rPr>
          <w:rFonts w:hint="eastAsia" w:ascii="宋体" w:hAnsi="宋体" w:eastAsia="宋体" w:cs="宋体"/>
          <w:b/>
          <w:bCs/>
          <w:color w:val="auto"/>
          <w:u w:val="none" w:color="auto"/>
        </w:rPr>
        <w:t>1 与长江和</w:t>
      </w:r>
      <w:r>
        <w:rPr>
          <w:rFonts w:hint="eastAsia" w:eastAsia="宋体" w:cs="宋体"/>
          <w:b/>
          <w:bCs/>
          <w:color w:val="auto"/>
          <w:u w:val="none" w:color="auto"/>
          <w:lang w:eastAsia="zh-CN"/>
        </w:rPr>
        <w:t>湘江</w:t>
      </w:r>
      <w:r>
        <w:rPr>
          <w:rFonts w:hint="eastAsia" w:ascii="宋体" w:hAnsi="宋体" w:eastAsia="宋体" w:cs="宋体"/>
          <w:b/>
          <w:bCs/>
          <w:color w:val="auto"/>
          <w:u w:val="none" w:color="auto"/>
        </w:rPr>
        <w:t>保护相关要求的符合性分析</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3932"/>
        <w:gridCol w:w="2976"/>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pPr>
              <w:pStyle w:val="2977"/>
              <w:widowControl/>
              <w:spacing w:before="156" w:beforeLines="50" w:after="156" w:afterLines="50"/>
              <w:rPr>
                <w:color w:val="auto"/>
                <w:u w:val="none" w:color="auto"/>
              </w:rPr>
            </w:pPr>
            <w:r>
              <w:rPr>
                <w:rFonts w:hint="eastAsia"/>
                <w:color w:val="auto"/>
                <w:u w:val="none" w:color="auto"/>
              </w:rPr>
              <w:t>文件名称</w:t>
            </w:r>
          </w:p>
        </w:tc>
        <w:tc>
          <w:tcPr>
            <w:tcW w:w="3932" w:type="dxa"/>
            <w:vAlign w:val="center"/>
          </w:tcPr>
          <w:p>
            <w:pPr>
              <w:pStyle w:val="2977"/>
              <w:widowControl/>
              <w:spacing w:before="156" w:beforeLines="50" w:after="156" w:afterLines="50"/>
              <w:rPr>
                <w:color w:val="auto"/>
                <w:u w:val="none" w:color="auto"/>
              </w:rPr>
            </w:pPr>
            <w:r>
              <w:rPr>
                <w:rFonts w:hint="eastAsia"/>
                <w:color w:val="auto"/>
                <w:u w:val="none" w:color="auto"/>
              </w:rPr>
              <w:t>相关要求</w:t>
            </w:r>
          </w:p>
        </w:tc>
        <w:tc>
          <w:tcPr>
            <w:tcW w:w="2976" w:type="dxa"/>
            <w:vAlign w:val="center"/>
          </w:tcPr>
          <w:p>
            <w:pPr>
              <w:pStyle w:val="2977"/>
              <w:widowControl/>
              <w:spacing w:before="156" w:beforeLines="50" w:after="156" w:afterLines="50"/>
              <w:rPr>
                <w:color w:val="auto"/>
                <w:u w:val="none" w:color="auto"/>
              </w:rPr>
            </w:pPr>
            <w:r>
              <w:rPr>
                <w:rFonts w:hint="eastAsia"/>
                <w:color w:val="auto"/>
                <w:u w:val="none" w:color="auto"/>
              </w:rPr>
              <w:t>本项目情况</w:t>
            </w:r>
          </w:p>
        </w:tc>
        <w:tc>
          <w:tcPr>
            <w:tcW w:w="834" w:type="dxa"/>
            <w:vAlign w:val="center"/>
          </w:tcPr>
          <w:p>
            <w:pPr>
              <w:pStyle w:val="2977"/>
              <w:widowControl/>
              <w:spacing w:before="156" w:beforeLines="50" w:after="156" w:afterLines="50"/>
              <w:rPr>
                <w:color w:val="auto"/>
                <w:u w:val="none" w:color="auto"/>
              </w:rPr>
            </w:pPr>
            <w:r>
              <w:rPr>
                <w:rFonts w:hint="eastAsia"/>
                <w:color w:val="auto"/>
                <w:u w:val="none" w:color="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pPr>
              <w:pStyle w:val="2977"/>
              <w:widowControl/>
              <w:spacing w:before="156" w:beforeLines="50" w:after="156" w:afterLines="50"/>
              <w:rPr>
                <w:color w:val="auto"/>
                <w:u w:val="none" w:color="auto"/>
              </w:rPr>
            </w:pPr>
            <w:r>
              <w:rPr>
                <w:rFonts w:hint="eastAsia"/>
                <w:color w:val="auto"/>
                <w:u w:val="none" w:color="auto"/>
              </w:rPr>
              <w:t>《中华人民共和国长江保护法》</w:t>
            </w:r>
          </w:p>
        </w:tc>
        <w:tc>
          <w:tcPr>
            <w:tcW w:w="3932" w:type="dxa"/>
            <w:vAlign w:val="center"/>
          </w:tcPr>
          <w:p>
            <w:pPr>
              <w:pStyle w:val="2977"/>
              <w:widowControl/>
              <w:spacing w:before="156" w:beforeLines="50" w:after="156" w:afterLines="50"/>
              <w:jc w:val="both"/>
              <w:rPr>
                <w:color w:val="auto"/>
                <w:u w:val="none" w:color="auto"/>
              </w:rPr>
            </w:pPr>
            <w:r>
              <w:rPr>
                <w:rFonts w:hint="eastAsia"/>
                <w:color w:val="auto"/>
                <w:u w:val="none" w:color="auto"/>
              </w:rPr>
              <w:t>长江流域地方各级人民政府应当落实本行政区域的生态环境保护和修复、促进资源合理高效利用、优化产业结构和布局、维护长江流域生态安全的责任。</w:t>
            </w:r>
          </w:p>
          <w:p>
            <w:pPr>
              <w:pStyle w:val="2977"/>
              <w:widowControl/>
              <w:spacing w:before="156" w:beforeLines="50" w:after="156" w:afterLines="50"/>
              <w:jc w:val="both"/>
              <w:rPr>
                <w:color w:val="auto"/>
                <w:u w:val="none" w:color="auto"/>
              </w:rPr>
            </w:pPr>
            <w:r>
              <w:rPr>
                <w:rFonts w:hint="eastAsia"/>
                <w:color w:val="auto"/>
                <w:u w:val="none" w:color="auto"/>
              </w:rPr>
              <w:t>国家鼓励、支持单位和个人参与长江流域生态环境保护和修复、资源合理利用、促进绿色发展的活动。</w:t>
            </w:r>
          </w:p>
          <w:p>
            <w:pPr>
              <w:pStyle w:val="2977"/>
              <w:widowControl/>
              <w:spacing w:before="156" w:beforeLines="50" w:after="156" w:afterLines="50"/>
              <w:jc w:val="both"/>
              <w:rPr>
                <w:color w:val="auto"/>
                <w:u w:val="none" w:color="auto"/>
              </w:rPr>
            </w:pPr>
            <w:r>
              <w:rPr>
                <w:rFonts w:hint="eastAsia"/>
                <w:color w:val="auto"/>
                <w:u w:val="none" w:color="auto"/>
              </w:rPr>
              <w:t>国务院生态环境主管部门和长江流域地方各级人民政府应当采取有效措施，加大对长江流域的水污染防治、监管力度，预防、控制和减少水环境污染。</w:t>
            </w:r>
          </w:p>
          <w:p>
            <w:pPr>
              <w:pStyle w:val="2977"/>
              <w:widowControl/>
              <w:spacing w:before="156" w:beforeLines="50" w:after="156" w:afterLines="50"/>
              <w:jc w:val="both"/>
              <w:rPr>
                <w:color w:val="auto"/>
                <w:u w:val="none" w:color="auto"/>
              </w:rPr>
            </w:pPr>
            <w:r>
              <w:rPr>
                <w:rFonts w:hint="eastAsia"/>
                <w:color w:val="auto"/>
                <w:u w:val="none" w:color="auto"/>
              </w:rPr>
              <w:t>国家加大对太湖、鄱阳湖、洞庭湖、巢湖、滇池等重点</w:t>
            </w:r>
            <w:r>
              <w:rPr>
                <w:rFonts w:hint="eastAsia"/>
                <w:color w:val="auto"/>
                <w:u w:val="none" w:color="auto"/>
                <w:lang w:eastAsia="zh-CN"/>
              </w:rPr>
              <w:t>河流</w:t>
            </w:r>
            <w:r>
              <w:rPr>
                <w:rFonts w:hint="eastAsia"/>
                <w:color w:val="auto"/>
                <w:u w:val="none" w:color="auto"/>
              </w:rPr>
              <w:t>实施生态环境修复的支持力度。</w:t>
            </w:r>
          </w:p>
        </w:tc>
        <w:tc>
          <w:tcPr>
            <w:tcW w:w="2976" w:type="dxa"/>
            <w:vAlign w:val="center"/>
          </w:tcPr>
          <w:p>
            <w:pPr>
              <w:pStyle w:val="2977"/>
              <w:widowControl/>
              <w:spacing w:before="156" w:beforeLines="50" w:after="156" w:afterLines="50"/>
              <w:jc w:val="both"/>
              <w:rPr>
                <w:color w:val="auto"/>
                <w:u w:val="none" w:color="auto"/>
              </w:rPr>
            </w:pPr>
            <w:r>
              <w:rPr>
                <w:rFonts w:hint="eastAsia"/>
                <w:color w:val="auto"/>
                <w:u w:val="none" w:color="auto"/>
              </w:rPr>
              <w:t>项目为防洪治涝工程及河道治理项目，</w:t>
            </w:r>
            <w:r>
              <w:rPr>
                <w:rFonts w:hint="eastAsia"/>
                <w:color w:val="auto"/>
                <w:u w:val="none" w:color="auto"/>
                <w:lang w:val="en-US" w:eastAsia="zh-CN"/>
              </w:rPr>
              <w:t>能</w:t>
            </w:r>
            <w:r>
              <w:rPr>
                <w:rFonts w:hint="eastAsia"/>
                <w:color w:val="auto"/>
                <w:u w:val="none" w:color="auto"/>
              </w:rPr>
              <w:t>改善</w:t>
            </w:r>
            <w:r>
              <w:rPr>
                <w:rFonts w:hint="eastAsia"/>
                <w:color w:val="auto"/>
                <w:u w:val="none" w:color="auto"/>
                <w:lang w:eastAsia="zh-CN"/>
              </w:rPr>
              <w:t>祁水</w:t>
            </w:r>
            <w:r>
              <w:rPr>
                <w:rFonts w:hint="eastAsia"/>
                <w:color w:val="auto"/>
                <w:u w:val="none" w:color="auto"/>
              </w:rPr>
              <w:t>流域的环境质量。</w:t>
            </w:r>
            <w:r>
              <w:rPr>
                <w:rFonts w:hint="eastAsia"/>
                <w:color w:val="auto"/>
                <w:u w:val="none" w:color="auto"/>
                <w:lang w:eastAsia="zh-CN"/>
              </w:rPr>
              <w:t>是</w:t>
            </w:r>
            <w:r>
              <w:rPr>
                <w:rFonts w:hint="eastAsia"/>
                <w:color w:val="auto"/>
                <w:u w:val="none" w:color="auto"/>
              </w:rPr>
              <w:t>对长江流域的水污染防治，预防、控制和减少</w:t>
            </w:r>
            <w:r>
              <w:rPr>
                <w:rFonts w:hint="eastAsia"/>
                <w:color w:val="auto"/>
                <w:u w:val="none" w:color="auto"/>
                <w:lang w:eastAsia="zh-CN"/>
              </w:rPr>
              <w:t>了长江</w:t>
            </w:r>
            <w:r>
              <w:rPr>
                <w:rFonts w:hint="eastAsia"/>
                <w:color w:val="auto"/>
                <w:u w:val="none" w:color="auto"/>
              </w:rPr>
              <w:t>水环境污染。</w:t>
            </w:r>
          </w:p>
        </w:tc>
        <w:tc>
          <w:tcPr>
            <w:tcW w:w="834" w:type="dxa"/>
            <w:vAlign w:val="center"/>
          </w:tcPr>
          <w:p>
            <w:pPr>
              <w:pStyle w:val="2977"/>
              <w:widowControl/>
              <w:spacing w:before="156" w:beforeLines="50" w:after="156" w:afterLines="50"/>
              <w:rPr>
                <w:color w:val="auto"/>
                <w:u w:val="none" w:color="auto"/>
              </w:rPr>
            </w:pPr>
            <w:r>
              <w:rPr>
                <w:rFonts w:hint="eastAsia"/>
                <w:color w:val="auto"/>
                <w:u w:val="none" w:color="auto"/>
              </w:rPr>
              <w:t>符合相关要求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pPr>
              <w:pStyle w:val="2977"/>
              <w:widowControl/>
              <w:spacing w:before="156" w:beforeLines="50" w:after="156" w:afterLines="50"/>
              <w:rPr>
                <w:color w:val="auto"/>
                <w:u w:val="none" w:color="auto"/>
              </w:rPr>
            </w:pPr>
            <w:r>
              <w:rPr>
                <w:rFonts w:hint="eastAsia"/>
                <w:color w:val="auto"/>
                <w:u w:val="none" w:color="auto"/>
              </w:rPr>
              <w:t>《湖南省</w:t>
            </w:r>
            <w:r>
              <w:rPr>
                <w:rFonts w:hint="eastAsia"/>
                <w:color w:val="auto"/>
                <w:u w:val="none" w:color="auto"/>
                <w:lang w:eastAsia="zh-CN"/>
              </w:rPr>
              <w:t>湘江</w:t>
            </w:r>
            <w:r>
              <w:rPr>
                <w:rFonts w:hint="eastAsia"/>
                <w:color w:val="auto"/>
                <w:u w:val="none" w:color="auto"/>
              </w:rPr>
              <w:t>保护条例》</w:t>
            </w:r>
          </w:p>
        </w:tc>
        <w:tc>
          <w:tcPr>
            <w:tcW w:w="3932" w:type="dxa"/>
            <w:vAlign w:val="center"/>
          </w:tcPr>
          <w:p>
            <w:pPr>
              <w:pStyle w:val="2977"/>
              <w:widowControl/>
              <w:spacing w:before="156" w:beforeLines="50" w:after="156" w:afterLines="50"/>
              <w:jc w:val="both"/>
              <w:rPr>
                <w:rFonts w:hint="eastAsia"/>
                <w:color w:val="auto"/>
                <w:u w:val="none" w:color="auto"/>
              </w:rPr>
            </w:pPr>
            <w:r>
              <w:rPr>
                <w:rFonts w:hint="eastAsia"/>
                <w:color w:val="auto"/>
                <w:u w:val="none" w:color="auto"/>
              </w:rPr>
              <w:t>第二十四条 禁止在湘江流域饮用水水源一级保护区内设置排污口（渠），禁止新建、改建、扩建与供水设施和保护水源无关的建设项目；已经设置排污口（渠）、建成与供水设施和保护水源无关的建设项目，县级以上人民政府应当在省人民政府规定期限内组织拆除或者关闭</w:t>
            </w:r>
          </w:p>
          <w:p>
            <w:pPr>
              <w:pStyle w:val="2977"/>
              <w:widowControl/>
              <w:spacing w:before="156" w:beforeLines="50" w:after="156" w:afterLines="50"/>
              <w:jc w:val="both"/>
              <w:rPr>
                <w:rFonts w:hint="eastAsia"/>
                <w:color w:val="auto"/>
                <w:u w:val="none" w:color="auto"/>
              </w:rPr>
            </w:pPr>
            <w:r>
              <w:rPr>
                <w:rFonts w:hint="eastAsia"/>
                <w:color w:val="auto"/>
                <w:u w:val="none" w:color="auto"/>
              </w:rPr>
              <w:t>禁止在湘江流域饮用水水源一级保护区内从事网箱养殖、旅游、游泳、垂钓或者其他可能污染饮用水水体的活动。</w:t>
            </w:r>
          </w:p>
          <w:p>
            <w:pPr>
              <w:pStyle w:val="2977"/>
              <w:widowControl/>
              <w:spacing w:before="156" w:beforeLines="50" w:after="156" w:afterLines="50"/>
              <w:jc w:val="both"/>
              <w:rPr>
                <w:color w:val="auto"/>
                <w:u w:val="none" w:color="auto"/>
              </w:rPr>
            </w:pPr>
            <w:r>
              <w:rPr>
                <w:rFonts w:hint="eastAsia"/>
                <w:color w:val="auto"/>
                <w:u w:val="none" w:color="auto"/>
              </w:rPr>
              <w:t>第二十五条 禁止在湘江流域饮用水水源二级保护区内设置排污口（渠），禁止新建、改建、扩建排放污染物的建设项目；已经设置排污口（渠）、建成排放污染物的建设项目，县级以上人民政府应当在省人民政府规定期限内组织拆除或者关闭。</w:t>
            </w:r>
          </w:p>
        </w:tc>
        <w:tc>
          <w:tcPr>
            <w:tcW w:w="2976" w:type="dxa"/>
            <w:vAlign w:val="center"/>
          </w:tcPr>
          <w:p>
            <w:pPr>
              <w:pStyle w:val="2977"/>
              <w:widowControl/>
              <w:spacing w:before="156" w:beforeLines="50" w:after="156" w:afterLines="50"/>
              <w:jc w:val="both"/>
              <w:rPr>
                <w:rFonts w:hint="eastAsia" w:eastAsia="宋体"/>
                <w:color w:val="auto"/>
                <w:u w:val="none" w:color="auto"/>
                <w:lang w:eastAsia="zh-CN"/>
              </w:rPr>
            </w:pPr>
            <w:r>
              <w:rPr>
                <w:rFonts w:hint="eastAsia"/>
                <w:color w:val="auto"/>
                <w:u w:val="none" w:color="auto"/>
              </w:rPr>
              <w:t>本项目</w:t>
            </w:r>
            <w:r>
              <w:rPr>
                <w:rFonts w:hint="eastAsia"/>
                <w:color w:val="auto"/>
                <w:u w:val="none" w:color="auto"/>
                <w:lang w:eastAsia="zh-CN"/>
              </w:rPr>
              <w:t>不在</w:t>
            </w:r>
            <w:r>
              <w:rPr>
                <w:rFonts w:hint="eastAsia"/>
                <w:color w:val="auto"/>
                <w:u w:val="none" w:color="auto"/>
              </w:rPr>
              <w:t>饮用水水源一级保护区内从事网箱养殖、旅游、游泳、垂钓或者其他可能污染饮用水水体的活动</w:t>
            </w:r>
            <w:r>
              <w:rPr>
                <w:rFonts w:hint="eastAsia"/>
                <w:color w:val="auto"/>
                <w:u w:val="none" w:color="auto"/>
                <w:lang w:eastAsia="zh-CN"/>
              </w:rPr>
              <w:t>；不在</w:t>
            </w:r>
            <w:r>
              <w:rPr>
                <w:rFonts w:hint="eastAsia"/>
                <w:color w:val="auto"/>
                <w:u w:val="none" w:color="auto"/>
              </w:rPr>
              <w:t>饮用水水源二级保护区内设置排污口（渠）</w:t>
            </w:r>
          </w:p>
        </w:tc>
        <w:tc>
          <w:tcPr>
            <w:tcW w:w="834" w:type="dxa"/>
            <w:vAlign w:val="center"/>
          </w:tcPr>
          <w:p>
            <w:pPr>
              <w:jc w:val="center"/>
              <w:rPr>
                <w:color w:val="auto"/>
                <w:u w:val="none" w:color="auto"/>
              </w:rPr>
            </w:pPr>
            <w:r>
              <w:rPr>
                <w:rFonts w:hint="eastAsia" w:ascii="宋体" w:hAnsi="宋体" w:eastAsia="宋体"/>
                <w:color w:val="auto"/>
                <w:szCs w:val="24"/>
                <w:u w:val="none" w:color="auto"/>
              </w:rPr>
              <w:t>符合相关要求</w:t>
            </w:r>
          </w:p>
        </w:tc>
      </w:tr>
    </w:tbl>
    <w:p>
      <w:pPr>
        <w:pStyle w:val="2975"/>
        <w:rPr>
          <w:rFonts w:hint="eastAsia" w:ascii="Times New Roman" w:hAnsi="Times New Roman" w:eastAsia="宋体" w:cs="Times New Roman"/>
          <w:b/>
          <w:color w:val="auto"/>
          <w:kern w:val="0"/>
          <w:sz w:val="24"/>
          <w:szCs w:val="24"/>
          <w:lang w:val="zh-CN" w:eastAsia="zh-CN" w:bidi="zh-CN"/>
        </w:rPr>
      </w:pPr>
      <w:bookmarkStart w:id="29" w:name="_Toc26536"/>
      <w:r>
        <w:rPr>
          <w:rFonts w:ascii="Times New Roman" w:hAnsi="Times New Roman" w:cs="Times New Roman"/>
          <w:b/>
          <w:color w:val="auto"/>
          <w:sz w:val="24"/>
          <w:szCs w:val="24"/>
        </w:rPr>
        <w:t>1.</w:t>
      </w:r>
      <w:r>
        <w:rPr>
          <w:rFonts w:hint="eastAsia" w:cs="Times New Roman"/>
          <w:b/>
          <w:color w:val="auto"/>
          <w:sz w:val="24"/>
          <w:szCs w:val="24"/>
          <w:lang w:val="en-US" w:eastAsia="zh-CN"/>
        </w:rPr>
        <w:t>4</w:t>
      </w:r>
      <w:r>
        <w:rPr>
          <w:rFonts w:ascii="Times New Roman" w:hAnsi="Times New Roman" w:cs="Times New Roman"/>
          <w:b/>
          <w:color w:val="auto"/>
          <w:sz w:val="24"/>
          <w:szCs w:val="24"/>
        </w:rPr>
        <w:t>.2.</w:t>
      </w:r>
      <w:r>
        <w:rPr>
          <w:rFonts w:hint="eastAsia" w:cs="Times New Roman"/>
          <w:b/>
          <w:color w:val="auto"/>
          <w:sz w:val="24"/>
          <w:szCs w:val="24"/>
          <w:lang w:val="en-US" w:eastAsia="zh-CN"/>
        </w:rPr>
        <w:t>2</w:t>
      </w:r>
      <w:r>
        <w:rPr>
          <w:rFonts w:hint="eastAsia" w:ascii="Times New Roman" w:hAnsi="Times New Roman" w:eastAsia="宋体" w:cs="Times New Roman"/>
          <w:b/>
          <w:color w:val="auto"/>
          <w:kern w:val="0"/>
          <w:sz w:val="24"/>
          <w:szCs w:val="24"/>
          <w:lang w:val="zh-CN" w:eastAsia="zh-CN" w:bidi="zh-CN"/>
        </w:rPr>
        <w:t xml:space="preserve"> 与饮用水水源保护区相关要求的符合性分析</w:t>
      </w:r>
      <w:bookmarkEnd w:id="29"/>
    </w:p>
    <w:p>
      <w:pPr>
        <w:pStyle w:val="2974"/>
        <w:rPr>
          <w:color w:val="auto"/>
          <w:u w:val="none" w:color="auto"/>
        </w:rPr>
      </w:pPr>
      <w:r>
        <w:rPr>
          <w:rFonts w:hint="eastAsia"/>
          <w:color w:val="auto"/>
          <w:u w:val="none" w:color="auto"/>
        </w:rPr>
        <w:t>本项目与《中华人民共和国水污染防治法》、《湖南省饮用水水源保护条例》等相关要求的符合性分析如下：</w:t>
      </w:r>
    </w:p>
    <w:p>
      <w:pPr>
        <w:pStyle w:val="2976"/>
        <w:rPr>
          <w:color w:val="auto"/>
          <w:u w:val="none" w:color="auto"/>
        </w:rPr>
      </w:pPr>
      <w:r>
        <w:rPr>
          <w:rFonts w:hint="eastAsia"/>
          <w:color w:val="auto"/>
          <w:u w:val="none" w:color="auto"/>
        </w:rPr>
        <w:t>表</w:t>
      </w:r>
      <w:r>
        <w:rPr>
          <w:rFonts w:hint="eastAsia"/>
          <w:color w:val="auto"/>
          <w:u w:val="none" w:color="auto"/>
          <w:lang w:val="en-US" w:eastAsia="zh-CN"/>
        </w:rPr>
        <w:t>1.5.2-2</w:t>
      </w:r>
      <w:r>
        <w:rPr>
          <w:rFonts w:hint="eastAsia"/>
          <w:color w:val="auto"/>
          <w:u w:val="none" w:color="auto"/>
        </w:rPr>
        <w:t xml:space="preserve"> 与饮用水水源保护相关要求的符合性分析</w:t>
      </w:r>
    </w:p>
    <w:tbl>
      <w:tblPr>
        <w:tblStyle w:val="90"/>
        <w:tblW w:w="9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4695"/>
        <w:gridCol w:w="2349"/>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pStyle w:val="2977"/>
              <w:widowControl/>
              <w:spacing w:before="156" w:beforeLines="50" w:after="156" w:afterLines="50"/>
              <w:rPr>
                <w:color w:val="auto"/>
                <w:u w:val="none" w:color="auto"/>
              </w:rPr>
            </w:pPr>
            <w:r>
              <w:rPr>
                <w:rFonts w:hint="eastAsia"/>
                <w:color w:val="auto"/>
                <w:u w:val="none" w:color="auto"/>
              </w:rPr>
              <w:t>文件名称</w:t>
            </w:r>
          </w:p>
        </w:tc>
        <w:tc>
          <w:tcPr>
            <w:tcW w:w="4695" w:type="dxa"/>
            <w:vAlign w:val="center"/>
          </w:tcPr>
          <w:p>
            <w:pPr>
              <w:pStyle w:val="2977"/>
              <w:widowControl/>
              <w:spacing w:before="156" w:beforeLines="50" w:after="156" w:afterLines="50"/>
              <w:rPr>
                <w:color w:val="auto"/>
                <w:u w:val="none" w:color="auto"/>
              </w:rPr>
            </w:pPr>
            <w:r>
              <w:rPr>
                <w:rFonts w:hint="eastAsia"/>
                <w:color w:val="auto"/>
                <w:u w:val="none" w:color="auto"/>
              </w:rPr>
              <w:t>相关要求</w:t>
            </w:r>
          </w:p>
        </w:tc>
        <w:tc>
          <w:tcPr>
            <w:tcW w:w="2349" w:type="dxa"/>
            <w:vAlign w:val="center"/>
          </w:tcPr>
          <w:p>
            <w:pPr>
              <w:pStyle w:val="2977"/>
              <w:widowControl/>
              <w:spacing w:before="156" w:beforeLines="50" w:after="156" w:afterLines="50"/>
              <w:rPr>
                <w:color w:val="auto"/>
                <w:u w:val="none" w:color="auto"/>
              </w:rPr>
            </w:pPr>
            <w:r>
              <w:rPr>
                <w:rFonts w:hint="eastAsia"/>
                <w:color w:val="auto"/>
                <w:u w:val="none" w:color="auto"/>
              </w:rPr>
              <w:t>本项目情况</w:t>
            </w:r>
          </w:p>
        </w:tc>
        <w:tc>
          <w:tcPr>
            <w:tcW w:w="915" w:type="dxa"/>
            <w:vAlign w:val="center"/>
          </w:tcPr>
          <w:p>
            <w:pPr>
              <w:pStyle w:val="2977"/>
              <w:widowControl/>
              <w:spacing w:before="156" w:beforeLines="50" w:after="156" w:afterLines="50"/>
              <w:rPr>
                <w:rFonts w:hint="eastAsia"/>
                <w:color w:val="auto"/>
                <w:u w:val="none" w:color="auto"/>
              </w:rPr>
            </w:pPr>
            <w:r>
              <w:rPr>
                <w:rFonts w:hint="eastAsia"/>
                <w:color w:val="auto"/>
                <w:u w:val="none" w:color="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pStyle w:val="2977"/>
              <w:widowControl/>
              <w:spacing w:before="156" w:beforeLines="50" w:after="156" w:afterLines="50"/>
              <w:rPr>
                <w:color w:val="auto"/>
                <w:u w:val="none" w:color="auto"/>
              </w:rPr>
            </w:pPr>
            <w:r>
              <w:rPr>
                <w:rFonts w:hint="eastAsia"/>
                <w:color w:val="auto"/>
                <w:u w:val="none" w:color="auto"/>
              </w:rPr>
              <w:t>《中华人民共和国水污染防治法》</w:t>
            </w:r>
          </w:p>
        </w:tc>
        <w:tc>
          <w:tcPr>
            <w:tcW w:w="4695" w:type="dxa"/>
            <w:vAlign w:val="center"/>
          </w:tcPr>
          <w:p>
            <w:pPr>
              <w:pStyle w:val="2977"/>
              <w:widowControl/>
              <w:spacing w:before="156" w:beforeLines="50" w:after="156" w:afterLines="50"/>
              <w:jc w:val="both"/>
              <w:rPr>
                <w:rFonts w:hint="eastAsia"/>
                <w:color w:val="auto"/>
                <w:u w:val="none" w:color="auto"/>
              </w:rPr>
            </w:pPr>
            <w:r>
              <w:rPr>
                <w:rFonts w:hint="eastAsia"/>
                <w:color w:val="auto"/>
                <w:u w:val="none" w:color="auto"/>
              </w:rPr>
              <w:t>第六十四条 在饮用水水源保护区内，禁止设置排污口。</w:t>
            </w:r>
          </w:p>
          <w:p>
            <w:pPr>
              <w:pStyle w:val="2977"/>
              <w:widowControl/>
              <w:spacing w:before="156" w:beforeLines="50" w:after="156" w:afterLines="50"/>
              <w:jc w:val="both"/>
              <w:rPr>
                <w:rFonts w:hint="eastAsia"/>
                <w:color w:val="auto"/>
                <w:u w:val="none" w:color="auto"/>
              </w:rPr>
            </w:pPr>
            <w:r>
              <w:rPr>
                <w:rFonts w:hint="eastAsia"/>
                <w:color w:val="auto"/>
                <w:u w:val="none" w:color="auto"/>
              </w:rPr>
              <w:t>第六十五条 禁止在饮用水水源一级保护区内新建、改建、扩建与供水设施和保护水源无关的建设项目；已建成的与供水设施和保护水源无关的建设项目，</w:t>
            </w:r>
          </w:p>
          <w:p>
            <w:pPr>
              <w:pStyle w:val="2977"/>
              <w:widowControl/>
              <w:spacing w:before="156" w:beforeLines="50" w:after="156" w:afterLines="50"/>
              <w:jc w:val="both"/>
              <w:rPr>
                <w:rFonts w:hint="eastAsia"/>
                <w:color w:val="auto"/>
                <w:u w:val="none" w:color="auto"/>
              </w:rPr>
            </w:pPr>
            <w:r>
              <w:rPr>
                <w:rFonts w:hint="eastAsia"/>
                <w:color w:val="auto"/>
                <w:u w:val="none" w:color="auto"/>
              </w:rPr>
              <w:t>由县级以上人民政府责令拆除或者关闭。</w:t>
            </w:r>
          </w:p>
          <w:p>
            <w:pPr>
              <w:pStyle w:val="2977"/>
              <w:widowControl/>
              <w:spacing w:before="156" w:beforeLines="50" w:after="156" w:afterLines="50"/>
              <w:jc w:val="both"/>
              <w:rPr>
                <w:rFonts w:hint="eastAsia"/>
                <w:color w:val="auto"/>
                <w:u w:val="none" w:color="auto"/>
              </w:rPr>
            </w:pPr>
            <w:r>
              <w:rPr>
                <w:rFonts w:hint="eastAsia"/>
                <w:color w:val="auto"/>
                <w:u w:val="none" w:color="auto"/>
              </w:rPr>
              <w:t>禁止在饮用水水源一级保护区内从事网箱养殖、旅游、游泳、垂钓或者其他可能污染饮用水水体的活动。</w:t>
            </w:r>
          </w:p>
          <w:p>
            <w:pPr>
              <w:pStyle w:val="2977"/>
              <w:widowControl/>
              <w:spacing w:before="156" w:beforeLines="50" w:after="156" w:afterLines="50"/>
              <w:jc w:val="both"/>
              <w:rPr>
                <w:rFonts w:hint="eastAsia"/>
                <w:color w:val="auto"/>
                <w:u w:val="none" w:color="auto"/>
              </w:rPr>
            </w:pPr>
            <w:r>
              <w:rPr>
                <w:rFonts w:hint="eastAsia"/>
                <w:color w:val="auto"/>
                <w:u w:val="none" w:color="auto"/>
              </w:rPr>
              <w:t>第六十六条 禁止在饮用水水源二级保护区内新建、改建、扩建排放污染物的建设项目；已建成的排放污染物的建设项目，由县级以上人民政府责令拆除或者关闭。</w:t>
            </w:r>
          </w:p>
          <w:p>
            <w:pPr>
              <w:pStyle w:val="2977"/>
              <w:widowControl/>
              <w:spacing w:before="156" w:beforeLines="50" w:after="156" w:afterLines="50"/>
              <w:jc w:val="both"/>
              <w:rPr>
                <w:rFonts w:hint="eastAsia"/>
                <w:color w:val="auto"/>
                <w:u w:val="none" w:color="auto"/>
              </w:rPr>
            </w:pPr>
            <w:r>
              <w:rPr>
                <w:rFonts w:hint="eastAsia"/>
                <w:color w:val="auto"/>
                <w:u w:val="none" w:color="auto"/>
              </w:rPr>
              <w:t>在饮用水水源二级保护区内从事网箱养殖、旅游等活动的，应当按照规定采取措施，防止污染饮用水水体。</w:t>
            </w:r>
          </w:p>
          <w:p>
            <w:pPr>
              <w:pStyle w:val="2977"/>
              <w:widowControl/>
              <w:spacing w:before="156" w:beforeLines="50" w:after="156" w:afterLines="50"/>
              <w:jc w:val="both"/>
              <w:rPr>
                <w:color w:val="auto"/>
                <w:u w:val="none" w:color="auto"/>
              </w:rPr>
            </w:pPr>
            <w:r>
              <w:rPr>
                <w:rFonts w:hint="eastAsia"/>
                <w:color w:val="auto"/>
                <w:u w:val="none" w:color="auto"/>
              </w:rPr>
              <w:t>第六十七条 禁止在饮用水水源准保护区内新建、扩建对水体污染严重的建设项目；改建建设项目，不得增加排污量。</w:t>
            </w:r>
          </w:p>
        </w:tc>
        <w:tc>
          <w:tcPr>
            <w:tcW w:w="2349" w:type="dxa"/>
            <w:vAlign w:val="center"/>
          </w:tcPr>
          <w:p>
            <w:pPr>
              <w:pStyle w:val="2977"/>
              <w:widowControl/>
              <w:spacing w:before="156" w:beforeLines="50" w:after="156" w:afterLines="50"/>
              <w:jc w:val="center"/>
              <w:rPr>
                <w:rFonts w:hint="eastAsia"/>
                <w:color w:val="auto"/>
                <w:u w:val="none" w:color="auto"/>
                <w:lang w:eastAsia="zh-CN"/>
              </w:rPr>
            </w:pPr>
            <w:r>
              <w:rPr>
                <w:rFonts w:hint="eastAsia"/>
                <w:color w:val="auto"/>
                <w:u w:val="none" w:color="auto"/>
                <w:lang w:eastAsia="zh-CN"/>
              </w:rPr>
              <w:t>项目施工期水体扰动可能会引起的水体悬浮物浓度间歇性上升，这种影响是局部的、有限的、暂时的。本项目在上述保护区范围内施工期产生的生产污水、生活污水、生活垃圾均不外排。因此，项目建设不属于对水体污染严重的建设项目。</w:t>
            </w:r>
          </w:p>
          <w:p>
            <w:pPr>
              <w:pStyle w:val="2977"/>
              <w:widowControl/>
              <w:spacing w:before="156" w:beforeLines="50" w:after="156" w:afterLines="50"/>
              <w:jc w:val="center"/>
              <w:rPr>
                <w:rFonts w:hint="eastAsia" w:eastAsia="宋体"/>
                <w:color w:val="auto"/>
                <w:u w:val="none" w:color="auto"/>
                <w:lang w:eastAsia="zh-CN"/>
              </w:rPr>
            </w:pPr>
            <w:r>
              <w:rPr>
                <w:rFonts w:hint="eastAsia"/>
                <w:color w:val="auto"/>
                <w:u w:val="none" w:color="auto"/>
              </w:rPr>
              <w:t>本项目</w:t>
            </w:r>
            <w:r>
              <w:rPr>
                <w:rFonts w:hint="eastAsia"/>
                <w:color w:val="auto"/>
                <w:u w:val="none" w:color="auto"/>
                <w:lang w:eastAsia="zh-CN"/>
              </w:rPr>
              <w:t>完成后将改善祁水流域饮用水源水质。</w:t>
            </w:r>
          </w:p>
        </w:tc>
        <w:tc>
          <w:tcPr>
            <w:tcW w:w="915" w:type="dxa"/>
            <w:vAlign w:val="center"/>
          </w:tcPr>
          <w:p>
            <w:pPr>
              <w:pStyle w:val="2977"/>
              <w:widowControl/>
              <w:spacing w:before="156" w:beforeLines="50" w:after="156" w:afterLines="50"/>
              <w:jc w:val="center"/>
              <w:rPr>
                <w:rFonts w:hint="eastAsia"/>
                <w:color w:val="auto"/>
                <w:u w:val="none" w:color="auto"/>
              </w:rPr>
            </w:pPr>
            <w:r>
              <w:rPr>
                <w:rFonts w:hint="eastAsia" w:ascii="宋体" w:hAnsi="宋体" w:eastAsia="宋体"/>
                <w:color w:val="auto"/>
                <w:szCs w:val="24"/>
                <w:u w:val="none" w:color="auto"/>
              </w:rPr>
              <w:t>符合相关要求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pStyle w:val="2977"/>
              <w:widowControl/>
              <w:spacing w:before="156" w:beforeLines="50" w:after="156" w:afterLines="50"/>
              <w:rPr>
                <w:color w:val="auto"/>
                <w:u w:val="none" w:color="auto"/>
              </w:rPr>
            </w:pPr>
            <w:r>
              <w:rPr>
                <w:rFonts w:hint="eastAsia"/>
                <w:color w:val="auto"/>
                <w:u w:val="none" w:color="auto"/>
              </w:rPr>
              <w:t>《湖南省饮用水水源保护条例》</w:t>
            </w:r>
          </w:p>
        </w:tc>
        <w:tc>
          <w:tcPr>
            <w:tcW w:w="4695" w:type="dxa"/>
            <w:vAlign w:val="center"/>
          </w:tcPr>
          <w:p>
            <w:pPr>
              <w:pStyle w:val="2977"/>
              <w:widowControl/>
              <w:spacing w:before="156" w:beforeLines="50" w:after="156" w:afterLines="50"/>
              <w:jc w:val="both"/>
              <w:rPr>
                <w:rFonts w:hint="eastAsia"/>
                <w:color w:val="auto"/>
                <w:u w:val="none" w:color="auto"/>
              </w:rPr>
            </w:pPr>
            <w:r>
              <w:rPr>
                <w:rFonts w:hint="eastAsia"/>
                <w:color w:val="auto"/>
                <w:u w:val="none" w:color="auto"/>
              </w:rPr>
              <w:t>第十七条 设区的市、自治州、县（市、区）人民政府应当在饮用水水源保护区按规定设立明确的地理界标和明显的警示标志。</w:t>
            </w:r>
          </w:p>
          <w:p>
            <w:pPr>
              <w:pStyle w:val="2977"/>
              <w:widowControl/>
              <w:spacing w:before="156" w:beforeLines="50" w:after="156" w:afterLines="50"/>
              <w:jc w:val="both"/>
              <w:rPr>
                <w:rFonts w:hint="eastAsia"/>
                <w:color w:val="auto"/>
                <w:u w:val="none" w:color="auto"/>
              </w:rPr>
            </w:pPr>
            <w:r>
              <w:rPr>
                <w:rFonts w:hint="eastAsia"/>
                <w:color w:val="auto"/>
                <w:u w:val="none" w:color="auto"/>
              </w:rPr>
              <w:t>具备条件的地区应当设置饮用水水源一级保护区的隔离防护设施，对一级保护区实行封闭式管理。</w:t>
            </w:r>
          </w:p>
          <w:p>
            <w:pPr>
              <w:pStyle w:val="2977"/>
              <w:widowControl/>
              <w:spacing w:before="156" w:beforeLines="50" w:after="156" w:afterLines="50"/>
              <w:jc w:val="both"/>
              <w:rPr>
                <w:rFonts w:hint="eastAsia"/>
                <w:color w:val="auto"/>
                <w:u w:val="none" w:color="auto"/>
              </w:rPr>
            </w:pPr>
            <w:r>
              <w:rPr>
                <w:rFonts w:hint="eastAsia"/>
                <w:color w:val="auto"/>
                <w:u w:val="none" w:color="auto"/>
              </w:rPr>
              <w:t>任何单位和个人不得损毁、涂改或者擅自移动饮用水水源保护区地理界标、警示标志、隔离防护设施。</w:t>
            </w:r>
          </w:p>
          <w:p>
            <w:pPr>
              <w:pStyle w:val="2977"/>
              <w:widowControl/>
              <w:spacing w:before="156" w:beforeLines="50" w:after="156" w:afterLines="50"/>
              <w:jc w:val="both"/>
              <w:rPr>
                <w:rFonts w:hint="eastAsia"/>
                <w:color w:val="auto"/>
                <w:u w:val="none" w:color="auto"/>
              </w:rPr>
            </w:pPr>
            <w:r>
              <w:rPr>
                <w:rFonts w:hint="eastAsia"/>
                <w:color w:val="auto"/>
                <w:u w:val="none" w:color="auto"/>
              </w:rPr>
              <w:t>第十八条 在饮用水水源准保护区内，禁止下列行为：</w:t>
            </w:r>
          </w:p>
          <w:p>
            <w:pPr>
              <w:pStyle w:val="2977"/>
              <w:widowControl/>
              <w:spacing w:before="156" w:beforeLines="50" w:after="156" w:afterLines="50"/>
              <w:jc w:val="both"/>
              <w:rPr>
                <w:rFonts w:hint="eastAsia"/>
                <w:color w:val="auto"/>
                <w:u w:val="none" w:color="auto"/>
              </w:rPr>
            </w:pPr>
            <w:r>
              <w:rPr>
                <w:rFonts w:hint="eastAsia"/>
                <w:color w:val="auto"/>
                <w:u w:val="none" w:color="auto"/>
              </w:rPr>
              <w:t>（一）新建、扩建水上加油站、油库、制药、造纸、化工等严重污染水体的建设项目，或者改建增加排污量的建设项目；</w:t>
            </w:r>
          </w:p>
          <w:p>
            <w:pPr>
              <w:pStyle w:val="2977"/>
              <w:widowControl/>
              <w:spacing w:before="156" w:beforeLines="50" w:after="156" w:afterLines="50"/>
              <w:jc w:val="both"/>
              <w:rPr>
                <w:rFonts w:hint="eastAsia"/>
                <w:color w:val="auto"/>
                <w:u w:val="none" w:color="auto"/>
              </w:rPr>
            </w:pPr>
            <w:r>
              <w:rPr>
                <w:rFonts w:hint="eastAsia"/>
                <w:color w:val="auto"/>
                <w:u w:val="none" w:color="auto"/>
              </w:rPr>
              <w:t>（二）水上运输剧毒化学品和国家规定禁止通过内河运输的其他危险化学品；</w:t>
            </w:r>
          </w:p>
          <w:p>
            <w:pPr>
              <w:pStyle w:val="2977"/>
              <w:widowControl/>
              <w:spacing w:before="156" w:beforeLines="50" w:after="156" w:afterLines="50"/>
              <w:jc w:val="both"/>
              <w:rPr>
                <w:rFonts w:hint="eastAsia"/>
                <w:color w:val="auto"/>
                <w:u w:val="none" w:color="auto"/>
              </w:rPr>
            </w:pPr>
            <w:r>
              <w:rPr>
                <w:rFonts w:hint="eastAsia"/>
                <w:color w:val="auto"/>
                <w:u w:val="none" w:color="auto"/>
              </w:rPr>
              <w:t>（三）使用毒鱼、炸鱼、电鱼等方法进行捕捞；</w:t>
            </w:r>
          </w:p>
          <w:p>
            <w:pPr>
              <w:pStyle w:val="2977"/>
              <w:widowControl/>
              <w:spacing w:before="156" w:beforeLines="50" w:after="156" w:afterLines="50"/>
              <w:jc w:val="both"/>
              <w:rPr>
                <w:rFonts w:hint="eastAsia"/>
                <w:color w:val="auto"/>
                <w:u w:val="none" w:color="auto"/>
              </w:rPr>
            </w:pPr>
            <w:r>
              <w:rPr>
                <w:rFonts w:hint="eastAsia"/>
                <w:color w:val="auto"/>
                <w:u w:val="none" w:color="auto"/>
              </w:rPr>
              <w:t>（四）排放倾倒工业废渣、城镇垃圾、医疗垃圾和其他废弃物，或者填埋、贮存、堆放、弃置固体废弃物和其他污染物；</w:t>
            </w:r>
          </w:p>
          <w:p>
            <w:pPr>
              <w:pStyle w:val="2977"/>
              <w:widowControl/>
              <w:spacing w:before="156" w:beforeLines="50" w:after="156" w:afterLines="50"/>
              <w:jc w:val="both"/>
              <w:rPr>
                <w:rFonts w:hint="eastAsia"/>
                <w:color w:val="auto"/>
                <w:u w:val="none" w:color="auto"/>
              </w:rPr>
            </w:pPr>
            <w:r>
              <w:rPr>
                <w:rFonts w:hint="eastAsia"/>
                <w:color w:val="auto"/>
                <w:u w:val="none" w:color="auto"/>
              </w:rPr>
              <w:t>（五）使用剧毒和高残留农药，滥用化肥；</w:t>
            </w:r>
          </w:p>
          <w:p>
            <w:pPr>
              <w:pStyle w:val="2977"/>
              <w:widowControl/>
              <w:spacing w:before="156" w:beforeLines="50" w:after="156" w:afterLines="50"/>
              <w:jc w:val="both"/>
              <w:rPr>
                <w:rFonts w:hint="eastAsia"/>
                <w:color w:val="auto"/>
                <w:u w:val="none" w:color="auto"/>
              </w:rPr>
            </w:pPr>
            <w:r>
              <w:rPr>
                <w:rFonts w:hint="eastAsia"/>
                <w:color w:val="auto"/>
                <w:u w:val="none" w:color="auto"/>
              </w:rPr>
              <w:t>（六）投肥养鱼；</w:t>
            </w:r>
          </w:p>
          <w:p>
            <w:pPr>
              <w:pStyle w:val="2977"/>
              <w:widowControl/>
              <w:spacing w:before="156" w:beforeLines="50" w:after="156" w:afterLines="50"/>
              <w:jc w:val="both"/>
              <w:rPr>
                <w:rFonts w:hint="eastAsia"/>
                <w:color w:val="auto"/>
                <w:u w:val="none" w:color="auto"/>
              </w:rPr>
            </w:pPr>
            <w:r>
              <w:rPr>
                <w:rFonts w:hint="eastAsia"/>
                <w:color w:val="auto"/>
                <w:u w:val="none" w:color="auto"/>
              </w:rPr>
              <w:t>（七）其他可能污染饮用水水体的行为。</w:t>
            </w:r>
          </w:p>
          <w:p>
            <w:pPr>
              <w:pStyle w:val="2977"/>
              <w:widowControl/>
              <w:spacing w:before="156" w:beforeLines="50" w:after="156" w:afterLines="50"/>
              <w:jc w:val="both"/>
              <w:rPr>
                <w:rFonts w:hint="eastAsia"/>
                <w:color w:val="auto"/>
                <w:u w:val="none" w:color="auto"/>
              </w:rPr>
            </w:pPr>
            <w:r>
              <w:rPr>
                <w:rFonts w:hint="eastAsia"/>
                <w:color w:val="auto"/>
                <w:u w:val="none" w:color="auto"/>
              </w:rPr>
              <w:t>第十九条 在饮用水水源二级保护区内，除第十八条规定的禁止行为外，还禁止下列行为：</w:t>
            </w:r>
          </w:p>
          <w:p>
            <w:pPr>
              <w:pStyle w:val="2977"/>
              <w:widowControl/>
              <w:spacing w:before="156" w:beforeLines="50" w:after="156" w:afterLines="50"/>
              <w:jc w:val="both"/>
              <w:rPr>
                <w:rFonts w:hint="eastAsia"/>
                <w:color w:val="auto"/>
                <w:u w:val="none" w:color="auto"/>
              </w:rPr>
            </w:pPr>
            <w:r>
              <w:rPr>
                <w:rFonts w:hint="eastAsia"/>
                <w:color w:val="auto"/>
                <w:u w:val="none" w:color="auto"/>
              </w:rPr>
              <w:t>（一）设置排污口；</w:t>
            </w:r>
          </w:p>
          <w:p>
            <w:pPr>
              <w:pStyle w:val="2977"/>
              <w:widowControl/>
              <w:spacing w:before="156" w:beforeLines="50" w:after="156" w:afterLines="50"/>
              <w:jc w:val="both"/>
              <w:rPr>
                <w:rFonts w:hint="eastAsia"/>
                <w:color w:val="auto"/>
                <w:u w:val="none" w:color="auto"/>
              </w:rPr>
            </w:pPr>
            <w:r>
              <w:rPr>
                <w:rFonts w:hint="eastAsia"/>
                <w:color w:val="auto"/>
                <w:u w:val="none" w:color="auto"/>
              </w:rPr>
              <w:t>（二）新建、改建、扩建排放污染物的建设项目；</w:t>
            </w:r>
          </w:p>
          <w:p>
            <w:pPr>
              <w:pStyle w:val="2977"/>
              <w:widowControl/>
              <w:spacing w:before="156" w:beforeLines="50" w:after="156" w:afterLines="50"/>
              <w:jc w:val="both"/>
              <w:rPr>
                <w:rFonts w:hint="eastAsia"/>
                <w:color w:val="auto"/>
                <w:u w:val="none" w:color="auto"/>
              </w:rPr>
            </w:pPr>
            <w:r>
              <w:rPr>
                <w:rFonts w:hint="eastAsia"/>
                <w:color w:val="auto"/>
                <w:u w:val="none" w:color="auto"/>
              </w:rPr>
              <w:t>（三）设置畜禽养殖场、养殖小区；</w:t>
            </w:r>
          </w:p>
          <w:p>
            <w:pPr>
              <w:pStyle w:val="2977"/>
              <w:widowControl/>
              <w:spacing w:before="156" w:beforeLines="50" w:after="156" w:afterLines="50"/>
              <w:jc w:val="both"/>
              <w:rPr>
                <w:rFonts w:hint="eastAsia"/>
                <w:color w:val="auto"/>
                <w:u w:val="none" w:color="auto"/>
              </w:rPr>
            </w:pPr>
            <w:r>
              <w:rPr>
                <w:rFonts w:hint="eastAsia"/>
                <w:color w:val="auto"/>
                <w:u w:val="none" w:color="auto"/>
              </w:rPr>
              <w:t>（四）设置装卸垃圾、油类及其他有毒有害物品的码头；</w:t>
            </w:r>
          </w:p>
          <w:p>
            <w:pPr>
              <w:pStyle w:val="2977"/>
              <w:widowControl/>
              <w:spacing w:before="156" w:beforeLines="50" w:after="156" w:afterLines="50"/>
              <w:jc w:val="both"/>
              <w:rPr>
                <w:rFonts w:hint="eastAsia"/>
                <w:color w:val="auto"/>
                <w:u w:val="none" w:color="auto"/>
              </w:rPr>
            </w:pPr>
            <w:r>
              <w:rPr>
                <w:rFonts w:hint="eastAsia"/>
                <w:color w:val="auto"/>
                <w:u w:val="none" w:color="auto"/>
              </w:rPr>
              <w:t>（五）使用农药。</w:t>
            </w:r>
          </w:p>
          <w:p>
            <w:pPr>
              <w:pStyle w:val="2977"/>
              <w:widowControl/>
              <w:spacing w:before="156" w:beforeLines="50" w:after="156" w:afterLines="50"/>
              <w:jc w:val="both"/>
              <w:rPr>
                <w:rFonts w:hint="eastAsia"/>
                <w:color w:val="auto"/>
                <w:u w:val="none" w:color="auto"/>
              </w:rPr>
            </w:pPr>
            <w:r>
              <w:rPr>
                <w:rFonts w:hint="eastAsia"/>
                <w:color w:val="auto"/>
                <w:u w:val="none" w:color="auto"/>
              </w:rPr>
              <w:t>第二十条 在饮用水水源一级保护区内，除第十八条、第十九条规定的禁止行为外，还禁止下列行为：</w:t>
            </w:r>
          </w:p>
          <w:p>
            <w:pPr>
              <w:pStyle w:val="2977"/>
              <w:widowControl/>
              <w:spacing w:before="156" w:beforeLines="50" w:after="156" w:afterLines="50"/>
              <w:jc w:val="both"/>
              <w:rPr>
                <w:rFonts w:hint="eastAsia"/>
                <w:color w:val="auto"/>
                <w:u w:val="none" w:color="auto"/>
              </w:rPr>
            </w:pPr>
            <w:r>
              <w:rPr>
                <w:rFonts w:hint="eastAsia"/>
                <w:color w:val="auto"/>
                <w:u w:val="none" w:color="auto"/>
              </w:rPr>
              <w:t>（一）新建、改建、扩建与供水设施和保护水源无关的建设项目；</w:t>
            </w:r>
          </w:p>
          <w:p>
            <w:pPr>
              <w:pStyle w:val="2977"/>
              <w:widowControl/>
              <w:spacing w:before="156" w:beforeLines="50" w:after="156" w:afterLines="50"/>
              <w:jc w:val="both"/>
              <w:rPr>
                <w:rFonts w:hint="eastAsia"/>
                <w:color w:val="auto"/>
                <w:u w:val="none" w:color="auto"/>
              </w:rPr>
            </w:pPr>
            <w:r>
              <w:rPr>
                <w:rFonts w:hint="eastAsia"/>
                <w:color w:val="auto"/>
                <w:u w:val="none" w:color="auto"/>
              </w:rPr>
              <w:t>（二）水上餐饮；</w:t>
            </w:r>
          </w:p>
          <w:p>
            <w:pPr>
              <w:pStyle w:val="2977"/>
              <w:widowControl/>
              <w:spacing w:before="156" w:beforeLines="50" w:after="156" w:afterLines="50"/>
              <w:jc w:val="both"/>
              <w:rPr>
                <w:rFonts w:hint="eastAsia"/>
                <w:color w:val="auto"/>
                <w:u w:val="none" w:color="auto"/>
              </w:rPr>
            </w:pPr>
            <w:r>
              <w:rPr>
                <w:rFonts w:hint="eastAsia"/>
                <w:color w:val="auto"/>
                <w:u w:val="none" w:color="auto"/>
              </w:rPr>
              <w:t>（三）网箱养殖、旅游、游泳、垂钓。</w:t>
            </w:r>
          </w:p>
          <w:p>
            <w:pPr>
              <w:pStyle w:val="2977"/>
              <w:widowControl/>
              <w:spacing w:before="156" w:beforeLines="50" w:after="156" w:afterLines="50"/>
              <w:jc w:val="both"/>
              <w:rPr>
                <w:rFonts w:hint="eastAsia"/>
                <w:color w:val="auto"/>
                <w:u w:val="none" w:color="auto"/>
              </w:rPr>
            </w:pPr>
            <w:r>
              <w:rPr>
                <w:rFonts w:hint="eastAsia"/>
                <w:color w:val="auto"/>
                <w:u w:val="none" w:color="auto"/>
              </w:rPr>
              <w:t>第二十一条 在饮用水水源二级保护区划定前已建成的排放污染物的建设项目、在饮用水水源一级保护区划定前已建成的与供水设施和保护水源无关的建设项目，由县级以上人民政府责令拆除或者关闭。因建设项目和设施被拆除或者关闭，导致所有者或者经营者的合法权益受到损害的，有关人民政府应当依法予以补偿。</w:t>
            </w:r>
          </w:p>
          <w:p>
            <w:pPr>
              <w:pStyle w:val="2977"/>
              <w:widowControl/>
              <w:spacing w:before="156" w:beforeLines="50" w:after="156" w:afterLines="50"/>
              <w:jc w:val="both"/>
              <w:rPr>
                <w:rFonts w:hint="eastAsia"/>
                <w:color w:val="auto"/>
                <w:u w:val="none" w:color="auto"/>
              </w:rPr>
            </w:pPr>
            <w:r>
              <w:rPr>
                <w:rFonts w:hint="eastAsia"/>
                <w:color w:val="auto"/>
                <w:u w:val="none" w:color="auto"/>
              </w:rPr>
              <w:t>第二十二条 在地下水饮用水水源保护区内，除禁止第十八条、第十九条、第二十条规定的行为外，还应当遵守下列规定：</w:t>
            </w:r>
          </w:p>
          <w:p>
            <w:pPr>
              <w:pStyle w:val="2977"/>
              <w:widowControl/>
              <w:spacing w:before="156" w:beforeLines="50" w:after="156" w:afterLines="50"/>
              <w:jc w:val="both"/>
              <w:rPr>
                <w:rFonts w:hint="eastAsia"/>
                <w:color w:val="auto"/>
                <w:u w:val="none" w:color="auto"/>
              </w:rPr>
            </w:pPr>
            <w:r>
              <w:rPr>
                <w:rFonts w:hint="eastAsia"/>
                <w:color w:val="auto"/>
                <w:u w:val="none" w:color="auto"/>
              </w:rPr>
              <w:t>（一）人工回灌补给地下水的水质、农田灌溉的水质应当符合国家规定的标准；</w:t>
            </w:r>
          </w:p>
          <w:p>
            <w:pPr>
              <w:pStyle w:val="2977"/>
              <w:widowControl/>
              <w:spacing w:before="156" w:beforeLines="50" w:after="156" w:afterLines="50"/>
              <w:jc w:val="both"/>
              <w:rPr>
                <w:rFonts w:hint="eastAsia"/>
                <w:color w:val="auto"/>
                <w:u w:val="none" w:color="auto"/>
              </w:rPr>
            </w:pPr>
            <w:r>
              <w:rPr>
                <w:rFonts w:hint="eastAsia"/>
                <w:color w:val="auto"/>
                <w:u w:val="none" w:color="auto"/>
              </w:rPr>
              <w:t>（二）从事地质钻探、隧道挖掘、地下施工、地下勘探等活动，应当采取防护措施，防止破坏和污染地下水饮用水水源；</w:t>
            </w:r>
          </w:p>
          <w:p>
            <w:pPr>
              <w:pStyle w:val="2977"/>
              <w:widowControl/>
              <w:spacing w:before="156" w:beforeLines="50" w:after="156" w:afterLines="50"/>
              <w:jc w:val="both"/>
              <w:rPr>
                <w:rFonts w:hint="eastAsia"/>
                <w:color w:val="auto"/>
                <w:u w:val="none" w:color="auto"/>
              </w:rPr>
            </w:pPr>
            <w:r>
              <w:rPr>
                <w:rFonts w:hint="eastAsia"/>
                <w:color w:val="auto"/>
                <w:u w:val="none" w:color="auto"/>
              </w:rPr>
              <w:t>（三）不得排放倾倒含有毒污染物的废水、含病原体的污水或者其他废弃物。</w:t>
            </w:r>
          </w:p>
          <w:p>
            <w:pPr>
              <w:pStyle w:val="2977"/>
              <w:widowControl/>
              <w:spacing w:before="156" w:beforeLines="50" w:after="156" w:afterLines="50"/>
              <w:jc w:val="both"/>
              <w:rPr>
                <w:rFonts w:hint="eastAsia"/>
                <w:color w:val="auto"/>
                <w:u w:val="none" w:color="auto"/>
              </w:rPr>
            </w:pPr>
            <w:r>
              <w:rPr>
                <w:rFonts w:hint="eastAsia"/>
                <w:color w:val="auto"/>
                <w:u w:val="none" w:color="auto"/>
              </w:rPr>
              <w:t>第二十三条 乡（镇）、村饮用水水源保护范围内禁止下列行为：</w:t>
            </w:r>
          </w:p>
          <w:p>
            <w:pPr>
              <w:pStyle w:val="2977"/>
              <w:widowControl/>
              <w:spacing w:before="156" w:beforeLines="50" w:after="156" w:afterLines="50"/>
              <w:jc w:val="both"/>
              <w:rPr>
                <w:rFonts w:hint="eastAsia"/>
                <w:color w:val="auto"/>
                <w:u w:val="none" w:color="auto"/>
              </w:rPr>
            </w:pPr>
            <w:r>
              <w:rPr>
                <w:rFonts w:hint="eastAsia"/>
                <w:color w:val="auto"/>
                <w:u w:val="none" w:color="auto"/>
              </w:rPr>
              <w:t>（一）设置畜禽养殖场、养殖小区；</w:t>
            </w:r>
          </w:p>
          <w:p>
            <w:pPr>
              <w:pStyle w:val="2977"/>
              <w:widowControl/>
              <w:spacing w:before="156" w:beforeLines="50" w:after="156" w:afterLines="50"/>
              <w:jc w:val="both"/>
              <w:rPr>
                <w:rFonts w:hint="eastAsia"/>
                <w:color w:val="auto"/>
                <w:u w:val="none" w:color="auto"/>
              </w:rPr>
            </w:pPr>
            <w:r>
              <w:rPr>
                <w:rFonts w:hint="eastAsia"/>
                <w:color w:val="auto"/>
                <w:u w:val="none" w:color="auto"/>
              </w:rPr>
              <w:t>（二）使用剧毒、高残留农药；</w:t>
            </w:r>
          </w:p>
          <w:p>
            <w:pPr>
              <w:pStyle w:val="2977"/>
              <w:widowControl/>
              <w:spacing w:before="156" w:beforeLines="50" w:after="156" w:afterLines="50"/>
              <w:jc w:val="both"/>
              <w:rPr>
                <w:rFonts w:hint="eastAsia"/>
                <w:color w:val="auto"/>
                <w:u w:val="none" w:color="auto"/>
              </w:rPr>
            </w:pPr>
            <w:r>
              <w:rPr>
                <w:rFonts w:hint="eastAsia"/>
                <w:color w:val="auto"/>
                <w:u w:val="none" w:color="auto"/>
              </w:rPr>
              <w:t>（三）向水体倾倒排放生活垃圾、污水以及其他可能污染水体的物质；</w:t>
            </w:r>
          </w:p>
          <w:p>
            <w:pPr>
              <w:pStyle w:val="2977"/>
              <w:widowControl/>
              <w:spacing w:before="156" w:beforeLines="50" w:after="156" w:afterLines="50"/>
              <w:jc w:val="both"/>
              <w:rPr>
                <w:rFonts w:hint="eastAsia"/>
                <w:color w:val="auto"/>
                <w:u w:val="none" w:color="auto"/>
              </w:rPr>
            </w:pPr>
            <w:r>
              <w:rPr>
                <w:rFonts w:hint="eastAsia"/>
                <w:color w:val="auto"/>
                <w:u w:val="none" w:color="auto"/>
              </w:rPr>
              <w:t>（四）其他可能污染饮用水水体的行为。</w:t>
            </w:r>
          </w:p>
          <w:p>
            <w:pPr>
              <w:pStyle w:val="2977"/>
              <w:widowControl/>
              <w:spacing w:before="156" w:beforeLines="50" w:after="156" w:afterLines="50"/>
              <w:jc w:val="both"/>
              <w:rPr>
                <w:color w:val="auto"/>
                <w:u w:val="none" w:color="auto"/>
              </w:rPr>
            </w:pPr>
            <w:r>
              <w:rPr>
                <w:rFonts w:hint="eastAsia"/>
                <w:color w:val="auto"/>
                <w:u w:val="none" w:color="auto"/>
              </w:rPr>
              <w:t>第二十五条 县级以上人民政府应当加强饮用水水源保护区及有关流域、区域的生态建设工作，加强水土保持林、水源涵养林、人工湿地建设，维护水体的自净能力，保障饮用水水源安全。</w:t>
            </w:r>
          </w:p>
        </w:tc>
        <w:tc>
          <w:tcPr>
            <w:tcW w:w="2349" w:type="dxa"/>
            <w:vAlign w:val="center"/>
          </w:tcPr>
          <w:p>
            <w:pPr>
              <w:pStyle w:val="2977"/>
              <w:widowControl/>
              <w:spacing w:before="156" w:beforeLines="50" w:after="156" w:afterLines="50"/>
              <w:jc w:val="center"/>
              <w:rPr>
                <w:rFonts w:hint="eastAsia"/>
                <w:color w:val="auto"/>
                <w:u w:val="none" w:color="auto"/>
                <w:lang w:eastAsia="zh-CN"/>
              </w:rPr>
            </w:pPr>
            <w:r>
              <w:rPr>
                <w:rFonts w:hint="eastAsia"/>
                <w:color w:val="auto"/>
                <w:u w:val="none" w:color="auto"/>
                <w:lang w:eastAsia="zh-CN"/>
              </w:rPr>
              <w:t>项目施工期水体扰动可能会引起的水体悬浮物浓度间歇性上升，这种影响是局部的、有限的、暂时的。本项目在上述保护区范围内施工期产生的生产污水、生活污水、生活垃圾均不外排。因此，项目建设不属于对水体污染严重的建设项目。</w:t>
            </w:r>
          </w:p>
          <w:p>
            <w:pPr>
              <w:pStyle w:val="2977"/>
              <w:widowControl/>
              <w:spacing w:before="156" w:beforeLines="50" w:after="156" w:afterLines="50"/>
              <w:jc w:val="center"/>
              <w:rPr>
                <w:rFonts w:hint="eastAsia" w:ascii="Times New Roman" w:hAnsi="Times New Roman" w:eastAsia="宋体" w:cs="Times New Roman"/>
                <w:color w:val="auto"/>
                <w:kern w:val="2"/>
                <w:sz w:val="21"/>
                <w:szCs w:val="24"/>
                <w:u w:val="none" w:color="auto"/>
                <w:lang w:val="en-US" w:eastAsia="zh-CN" w:bidi="ar-SA"/>
              </w:rPr>
            </w:pPr>
            <w:r>
              <w:rPr>
                <w:rFonts w:hint="eastAsia"/>
                <w:color w:val="auto"/>
                <w:u w:val="none" w:color="auto"/>
              </w:rPr>
              <w:t>本项目</w:t>
            </w:r>
            <w:r>
              <w:rPr>
                <w:rFonts w:hint="eastAsia"/>
                <w:color w:val="auto"/>
                <w:u w:val="none" w:color="auto"/>
                <w:lang w:eastAsia="zh-CN"/>
              </w:rPr>
              <w:t>完成后将改善祁水流域饮用水源水质。</w:t>
            </w:r>
          </w:p>
        </w:tc>
        <w:tc>
          <w:tcPr>
            <w:tcW w:w="915" w:type="dxa"/>
            <w:vAlign w:val="center"/>
          </w:tcPr>
          <w:p>
            <w:pPr>
              <w:pStyle w:val="2977"/>
              <w:widowControl/>
              <w:spacing w:before="156" w:beforeLines="50" w:after="156" w:afterLines="5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宋体" w:hAnsi="宋体" w:eastAsia="宋体"/>
                <w:color w:val="auto"/>
                <w:szCs w:val="24"/>
                <w:u w:val="none" w:color="auto"/>
              </w:rPr>
              <w:t>符合相关要求</w:t>
            </w:r>
          </w:p>
        </w:tc>
      </w:tr>
    </w:tbl>
    <w:p>
      <w:pPr>
        <w:autoSpaceDE/>
        <w:autoSpaceDN/>
        <w:adjustRightInd w:val="0"/>
        <w:snapToGrid w:val="0"/>
        <w:spacing w:line="360" w:lineRule="auto"/>
        <w:jc w:val="both"/>
        <w:outlineLvl w:val="3"/>
        <w:rPr>
          <w:rFonts w:ascii="Times New Roman" w:hAnsi="Times New Roman" w:cs="Times New Roman"/>
          <w:b/>
          <w:color w:val="auto"/>
          <w:sz w:val="24"/>
          <w:szCs w:val="24"/>
        </w:rPr>
      </w:pPr>
      <w:bookmarkStart w:id="30" w:name="_Toc69284534"/>
      <w:bookmarkStart w:id="31" w:name="_Toc66206008"/>
      <w:bookmarkStart w:id="32" w:name="_Toc1035"/>
      <w:bookmarkStart w:id="33" w:name="_Toc82593065"/>
      <w:r>
        <w:rPr>
          <w:rFonts w:ascii="Times New Roman" w:hAnsi="Times New Roman" w:cs="Times New Roman"/>
          <w:b/>
          <w:color w:val="auto"/>
          <w:sz w:val="24"/>
          <w:szCs w:val="24"/>
        </w:rPr>
        <w:t>1.</w:t>
      </w:r>
      <w:r>
        <w:rPr>
          <w:rFonts w:hint="eastAsia" w:ascii="Times New Roman" w:hAnsi="Times New Roman" w:cs="Times New Roman"/>
          <w:b/>
          <w:color w:val="auto"/>
          <w:sz w:val="24"/>
          <w:szCs w:val="24"/>
          <w:lang w:val="en-US" w:eastAsia="zh-CN"/>
        </w:rPr>
        <w:t>4</w:t>
      </w:r>
      <w:r>
        <w:rPr>
          <w:rFonts w:ascii="Times New Roman" w:hAnsi="Times New Roman" w:cs="Times New Roman"/>
          <w:b/>
          <w:color w:val="auto"/>
          <w:sz w:val="24"/>
          <w:szCs w:val="24"/>
        </w:rPr>
        <w:t>.2.</w:t>
      </w:r>
      <w:r>
        <w:rPr>
          <w:rFonts w:hint="eastAsia" w:cs="Times New Roman"/>
          <w:b/>
          <w:color w:val="auto"/>
          <w:sz w:val="24"/>
          <w:szCs w:val="24"/>
          <w:lang w:val="en-US" w:eastAsia="zh-CN"/>
        </w:rPr>
        <w:t xml:space="preserve">3 </w:t>
      </w:r>
      <w:r>
        <w:rPr>
          <w:rFonts w:hint="eastAsia" w:ascii="Times New Roman" w:hAnsi="Times New Roman" w:cs="Times New Roman"/>
          <w:b/>
          <w:color w:val="auto"/>
          <w:sz w:val="24"/>
          <w:szCs w:val="24"/>
        </w:rPr>
        <w:t>项目与《湖南省长江经济带发展负面清单实施细则（试行，2022 年版）》相符性分析</w:t>
      </w:r>
    </w:p>
    <w:p>
      <w:pPr>
        <w:pStyle w:val="2"/>
        <w:jc w:val="center"/>
        <w:rPr>
          <w:rFonts w:hint="eastAsia" w:ascii="Times New Roman" w:hAnsi="Times New Roman" w:cs="Times New Roman"/>
          <w:b/>
          <w:bCs/>
          <w:snapToGrid w:val="0"/>
          <w:color w:val="auto"/>
          <w:sz w:val="24"/>
        </w:rPr>
      </w:pPr>
      <w:r>
        <w:rPr>
          <w:rFonts w:hint="eastAsia" w:ascii="Times New Roman" w:hAnsi="Times New Roman" w:cs="Times New Roman"/>
          <w:b/>
          <w:bCs/>
          <w:snapToGrid w:val="0"/>
          <w:color w:val="auto"/>
          <w:sz w:val="24"/>
        </w:rPr>
        <w:t xml:space="preserve">表 </w:t>
      </w:r>
      <w:r>
        <w:rPr>
          <w:rFonts w:ascii="Times New Roman" w:hAnsi="Times New Roman" w:cs="Times New Roman"/>
          <w:b/>
          <w:color w:val="auto"/>
          <w:sz w:val="24"/>
          <w:szCs w:val="24"/>
        </w:rPr>
        <w:t>1.</w:t>
      </w:r>
      <w:r>
        <w:rPr>
          <w:rFonts w:hint="eastAsia" w:ascii="Times New Roman" w:hAnsi="Times New Roman" w:cs="Times New Roman"/>
          <w:b/>
          <w:color w:val="auto"/>
          <w:sz w:val="24"/>
          <w:szCs w:val="24"/>
          <w:lang w:val="en-US" w:eastAsia="zh-CN"/>
        </w:rPr>
        <w:t>4</w:t>
      </w:r>
      <w:r>
        <w:rPr>
          <w:rFonts w:ascii="Times New Roman" w:hAnsi="Times New Roman" w:cs="Times New Roman"/>
          <w:b/>
          <w:color w:val="auto"/>
          <w:sz w:val="24"/>
          <w:szCs w:val="24"/>
        </w:rPr>
        <w:t>.2</w:t>
      </w:r>
      <w:r>
        <w:rPr>
          <w:rFonts w:hint="eastAsia" w:ascii="Times New Roman" w:hAnsi="Times New Roman" w:cs="Times New Roman"/>
          <w:b/>
          <w:bCs/>
          <w:snapToGrid w:val="0"/>
          <w:color w:val="auto"/>
          <w:sz w:val="24"/>
        </w:rPr>
        <w:t xml:space="preserve">-3 </w:t>
      </w:r>
      <w:r>
        <w:rPr>
          <w:rFonts w:hint="eastAsia" w:ascii="Times New Roman" w:hAnsi="Times New Roman" w:cs="Times New Roman"/>
          <w:b/>
          <w:color w:val="auto"/>
          <w:sz w:val="24"/>
          <w:szCs w:val="24"/>
        </w:rPr>
        <w:t>《湖南省长江经济带发展负面清单实施细则（试行，2022 年版）》</w:t>
      </w:r>
      <w:r>
        <w:rPr>
          <w:rFonts w:hint="eastAsia" w:ascii="Times New Roman" w:hAnsi="Times New Roman" w:cs="Times New Roman"/>
          <w:b/>
          <w:bCs/>
          <w:snapToGrid w:val="0"/>
          <w:color w:val="auto"/>
          <w:sz w:val="24"/>
        </w:rPr>
        <w:t>相符性分析一览表</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3930"/>
        <w:gridCol w:w="3270"/>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jc w:val="center"/>
              <w:textAlignment w:val="auto"/>
              <w:rPr>
                <w:rFonts w:hint="eastAsia" w:ascii="Times New Roman" w:hAnsi="Times New Roman" w:cs="Times New Roman"/>
                <w:b/>
                <w:bCs/>
                <w:snapToGrid w:val="0"/>
                <w:color w:val="auto"/>
                <w:sz w:val="21"/>
                <w:szCs w:val="21"/>
                <w:vertAlign w:val="baseline"/>
              </w:rPr>
            </w:pPr>
            <w:r>
              <w:rPr>
                <w:rFonts w:hint="eastAsia" w:ascii="宋体" w:hAnsi="宋体" w:eastAsia="宋体" w:cs="宋体"/>
                <w:b/>
                <w:bCs/>
                <w:color w:val="auto"/>
                <w:kern w:val="0"/>
                <w:sz w:val="21"/>
                <w:szCs w:val="21"/>
                <w:lang w:val="en-US" w:eastAsia="zh-CN" w:bidi="ar"/>
              </w:rPr>
              <w:t>序号</w:t>
            </w:r>
          </w:p>
        </w:tc>
        <w:tc>
          <w:tcPr>
            <w:tcW w:w="3930"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jc w:val="center"/>
              <w:textAlignment w:val="auto"/>
              <w:rPr>
                <w:rFonts w:hint="eastAsia" w:ascii="Times New Roman" w:hAnsi="Times New Roman" w:cs="Times New Roman"/>
                <w:b/>
                <w:bCs/>
                <w:snapToGrid w:val="0"/>
                <w:color w:val="auto"/>
                <w:sz w:val="21"/>
                <w:szCs w:val="21"/>
                <w:vertAlign w:val="baseline"/>
              </w:rPr>
            </w:pPr>
            <w:r>
              <w:rPr>
                <w:rFonts w:hint="eastAsia" w:ascii="宋体" w:hAnsi="宋体" w:eastAsia="宋体" w:cs="宋体"/>
                <w:b/>
                <w:bCs/>
                <w:color w:val="auto"/>
                <w:kern w:val="0"/>
                <w:sz w:val="21"/>
                <w:szCs w:val="21"/>
                <w:lang w:val="en-US" w:eastAsia="zh-CN" w:bidi="ar"/>
              </w:rPr>
              <w:t>要求</w:t>
            </w:r>
          </w:p>
        </w:tc>
        <w:tc>
          <w:tcPr>
            <w:tcW w:w="3270"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jc w:val="center"/>
              <w:textAlignment w:val="auto"/>
              <w:rPr>
                <w:rFonts w:hint="eastAsia" w:ascii="Times New Roman" w:hAnsi="Times New Roman" w:cs="Times New Roman"/>
                <w:b/>
                <w:bCs/>
                <w:snapToGrid w:val="0"/>
                <w:color w:val="auto"/>
                <w:sz w:val="21"/>
                <w:szCs w:val="21"/>
                <w:vertAlign w:val="baseline"/>
              </w:rPr>
            </w:pPr>
            <w:r>
              <w:rPr>
                <w:rFonts w:hint="eastAsia" w:ascii="宋体" w:hAnsi="宋体" w:eastAsia="宋体" w:cs="宋体"/>
                <w:b/>
                <w:bCs/>
                <w:color w:val="auto"/>
                <w:kern w:val="0"/>
                <w:sz w:val="21"/>
                <w:szCs w:val="21"/>
                <w:lang w:val="en-US" w:eastAsia="zh-CN" w:bidi="ar"/>
              </w:rPr>
              <w:t>本项目情况</w:t>
            </w:r>
          </w:p>
        </w:tc>
        <w:tc>
          <w:tcPr>
            <w:tcW w:w="104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jc w:val="center"/>
              <w:textAlignment w:val="auto"/>
              <w:rPr>
                <w:rFonts w:hint="eastAsia" w:ascii="Times New Roman" w:hAnsi="Times New Roman" w:cs="Times New Roman"/>
                <w:b/>
                <w:bCs/>
                <w:snapToGrid w:val="0"/>
                <w:color w:val="auto"/>
                <w:sz w:val="21"/>
                <w:szCs w:val="21"/>
                <w:vertAlign w:val="baseline"/>
              </w:rPr>
            </w:pPr>
            <w:r>
              <w:rPr>
                <w:rFonts w:hint="eastAsia" w:ascii="宋体" w:hAnsi="宋体" w:eastAsia="宋体" w:cs="宋体"/>
                <w:b/>
                <w:bCs/>
                <w:color w:val="auto"/>
                <w:kern w:val="0"/>
                <w:sz w:val="21"/>
                <w:szCs w:val="21"/>
                <w:lang w:val="en-US" w:eastAsia="zh-CN"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pPr>
              <w:pStyle w:val="2"/>
              <w:keepNext w:val="0"/>
              <w:keepLines w:val="0"/>
              <w:pageBreakBefore w:val="0"/>
              <w:kinsoku/>
              <w:wordWrap/>
              <w:overflowPunct/>
              <w:topLinePunct w:val="0"/>
              <w:autoSpaceDE w:val="0"/>
              <w:autoSpaceDN w:val="0"/>
              <w:bidi w:val="0"/>
              <w:adjustRightInd/>
              <w:snapToGrid/>
              <w:spacing w:before="0"/>
              <w:ind w:left="0"/>
              <w:jc w:val="center"/>
              <w:textAlignment w:val="auto"/>
              <w:rPr>
                <w:rFonts w:hint="eastAsia" w:ascii="Times New Roman" w:hAnsi="Times New Roman" w:eastAsia="宋体" w:cs="Times New Roman"/>
                <w:b w:val="0"/>
                <w:bCs w:val="0"/>
                <w:snapToGrid w:val="0"/>
                <w:color w:val="auto"/>
                <w:sz w:val="21"/>
                <w:szCs w:val="21"/>
                <w:vertAlign w:val="baseline"/>
                <w:lang w:val="en-US" w:eastAsia="zh-CN"/>
              </w:rPr>
            </w:pPr>
            <w:r>
              <w:rPr>
                <w:rFonts w:hint="eastAsia" w:ascii="Times New Roman" w:hAnsi="Times New Roman" w:cs="Times New Roman"/>
                <w:b w:val="0"/>
                <w:bCs w:val="0"/>
                <w:snapToGrid w:val="0"/>
                <w:color w:val="auto"/>
                <w:sz w:val="21"/>
                <w:szCs w:val="21"/>
                <w:vertAlign w:val="baseline"/>
                <w:lang w:val="en-US" w:eastAsia="zh-CN"/>
              </w:rPr>
              <w:t>1</w:t>
            </w:r>
          </w:p>
        </w:tc>
        <w:tc>
          <w:tcPr>
            <w:tcW w:w="3930" w:type="dxa"/>
            <w:vAlign w:val="center"/>
          </w:tcPr>
          <w:p>
            <w:pPr>
              <w:pStyle w:val="2"/>
              <w:keepNext w:val="0"/>
              <w:keepLines w:val="0"/>
              <w:pageBreakBefore w:val="0"/>
              <w:kinsoku/>
              <w:wordWrap/>
              <w:overflowPunct/>
              <w:topLinePunct w:val="0"/>
              <w:autoSpaceDE w:val="0"/>
              <w:autoSpaceDN w:val="0"/>
              <w:bidi w:val="0"/>
              <w:adjustRightInd/>
              <w:snapToGrid/>
              <w:spacing w:before="0"/>
              <w:ind w:left="0"/>
              <w:jc w:val="center"/>
              <w:textAlignment w:val="auto"/>
              <w:rPr>
                <w:rFonts w:hint="eastAsia" w:ascii="Times New Roman" w:hAnsi="Times New Roman" w:cs="Times New Roman"/>
                <w:b w:val="0"/>
                <w:bCs w:val="0"/>
                <w:snapToGrid w:val="0"/>
                <w:color w:val="auto"/>
                <w:sz w:val="21"/>
                <w:szCs w:val="21"/>
                <w:vertAlign w:val="baseline"/>
              </w:rPr>
            </w:pPr>
            <w:r>
              <w:rPr>
                <w:rFonts w:hint="eastAsia" w:ascii="Times New Roman" w:hAnsi="Times New Roman" w:cs="Times New Roman"/>
                <w:b w:val="0"/>
                <w:bCs w:val="0"/>
                <w:snapToGrid w:val="0"/>
                <w:color w:val="auto"/>
                <w:sz w:val="21"/>
                <w:szCs w:val="21"/>
                <w:vertAlign w:val="baseline"/>
              </w:rPr>
              <w:t>饮用水水源一级保护区内禁止新建、改建、扩建与供水设施和保护水源无关的建设项目，以及网箱养殖、畜禽养殖、旅游等可能污染饮用水水体的投资建设项目；禁止向水域排放污水，已设置的排污口必须拆除；不得设置与供水需要无关的码头，禁止停靠船舶；禁止堆置和存放工业废渣、城市垃圾、粪便和其它废弃物；禁止设置油库；禁止使用含磷洗涤用品。</w:t>
            </w:r>
          </w:p>
        </w:tc>
        <w:tc>
          <w:tcPr>
            <w:tcW w:w="3270" w:type="dxa"/>
            <w:vAlign w:val="center"/>
          </w:tcPr>
          <w:p>
            <w:pPr>
              <w:pStyle w:val="2"/>
              <w:keepNext w:val="0"/>
              <w:keepLines w:val="0"/>
              <w:pageBreakBefore w:val="0"/>
              <w:kinsoku/>
              <w:wordWrap/>
              <w:overflowPunct/>
              <w:topLinePunct w:val="0"/>
              <w:autoSpaceDE w:val="0"/>
              <w:autoSpaceDN w:val="0"/>
              <w:bidi w:val="0"/>
              <w:adjustRightInd/>
              <w:snapToGrid/>
              <w:spacing w:before="0"/>
              <w:ind w:left="0"/>
              <w:jc w:val="center"/>
              <w:textAlignment w:val="auto"/>
              <w:rPr>
                <w:rFonts w:hint="eastAsia" w:ascii="Times New Roman" w:hAnsi="Times New Roman" w:eastAsia="宋体" w:cs="Times New Roman"/>
                <w:b w:val="0"/>
                <w:bCs w:val="0"/>
                <w:snapToGrid w:val="0"/>
                <w:color w:val="auto"/>
                <w:sz w:val="21"/>
                <w:szCs w:val="21"/>
                <w:vertAlign w:val="baseline"/>
                <w:lang w:eastAsia="zh-CN"/>
              </w:rPr>
            </w:pPr>
            <w:r>
              <w:rPr>
                <w:rFonts w:hint="eastAsia"/>
                <w:color w:val="auto"/>
                <w:sz w:val="21"/>
                <w:szCs w:val="21"/>
                <w:u w:val="none" w:color="auto"/>
              </w:rPr>
              <w:t>本项目</w:t>
            </w:r>
            <w:r>
              <w:rPr>
                <w:rFonts w:hint="eastAsia"/>
                <w:color w:val="auto"/>
                <w:sz w:val="21"/>
                <w:szCs w:val="21"/>
                <w:u w:val="none" w:color="auto"/>
                <w:lang w:eastAsia="zh-CN"/>
              </w:rPr>
              <w:t>无在</w:t>
            </w:r>
            <w:r>
              <w:rPr>
                <w:rFonts w:hint="eastAsia" w:ascii="Times New Roman" w:hAnsi="Times New Roman" w:cs="Times New Roman"/>
                <w:b w:val="0"/>
                <w:bCs w:val="0"/>
                <w:snapToGrid w:val="0"/>
                <w:color w:val="auto"/>
                <w:sz w:val="21"/>
                <w:szCs w:val="21"/>
                <w:vertAlign w:val="baseline"/>
              </w:rPr>
              <w:t>饮用水水源一级保护区内</w:t>
            </w:r>
            <w:r>
              <w:rPr>
                <w:rFonts w:hint="eastAsia" w:ascii="Times New Roman" w:hAnsi="Times New Roman" w:cs="Times New Roman"/>
                <w:b w:val="0"/>
                <w:bCs w:val="0"/>
                <w:snapToGrid w:val="0"/>
                <w:color w:val="auto"/>
                <w:sz w:val="21"/>
                <w:szCs w:val="21"/>
                <w:vertAlign w:val="baseline"/>
                <w:lang w:eastAsia="zh-CN"/>
              </w:rPr>
              <w:t>建设内容。项目不设置排污口，不向</w:t>
            </w:r>
            <w:r>
              <w:rPr>
                <w:rFonts w:hint="eastAsia" w:ascii="Times New Roman" w:hAnsi="Times New Roman" w:cs="Times New Roman"/>
                <w:b w:val="0"/>
                <w:bCs w:val="0"/>
                <w:snapToGrid w:val="0"/>
                <w:color w:val="auto"/>
                <w:sz w:val="21"/>
                <w:szCs w:val="21"/>
                <w:vertAlign w:val="baseline"/>
              </w:rPr>
              <w:t>水域排放污水</w:t>
            </w:r>
            <w:r>
              <w:rPr>
                <w:rFonts w:hint="eastAsia" w:ascii="Times New Roman" w:hAnsi="Times New Roman" w:cs="Times New Roman"/>
                <w:b w:val="0"/>
                <w:bCs w:val="0"/>
                <w:snapToGrid w:val="0"/>
                <w:color w:val="auto"/>
                <w:sz w:val="21"/>
                <w:szCs w:val="21"/>
                <w:vertAlign w:val="baseline"/>
                <w:lang w:eastAsia="zh-CN"/>
              </w:rPr>
              <w:t>。不在</w:t>
            </w:r>
            <w:r>
              <w:rPr>
                <w:rFonts w:hint="eastAsia" w:ascii="Times New Roman" w:hAnsi="Times New Roman" w:cs="Times New Roman"/>
                <w:b w:val="0"/>
                <w:bCs w:val="0"/>
                <w:snapToGrid w:val="0"/>
                <w:color w:val="auto"/>
                <w:sz w:val="21"/>
                <w:szCs w:val="21"/>
                <w:vertAlign w:val="baseline"/>
              </w:rPr>
              <w:t>饮用水水源一级保护区内堆置和存放工业废渣、城市垃圾、粪便和其它废弃物；</w:t>
            </w:r>
            <w:r>
              <w:rPr>
                <w:rFonts w:hint="eastAsia" w:ascii="Times New Roman" w:hAnsi="Times New Roman" w:cs="Times New Roman"/>
                <w:b w:val="0"/>
                <w:bCs w:val="0"/>
                <w:snapToGrid w:val="0"/>
                <w:color w:val="auto"/>
                <w:sz w:val="21"/>
                <w:szCs w:val="21"/>
                <w:vertAlign w:val="baseline"/>
                <w:lang w:eastAsia="zh-CN"/>
              </w:rPr>
              <w:t>不</w:t>
            </w:r>
            <w:r>
              <w:rPr>
                <w:rFonts w:hint="eastAsia" w:ascii="Times New Roman" w:hAnsi="Times New Roman" w:cs="Times New Roman"/>
                <w:b w:val="0"/>
                <w:bCs w:val="0"/>
                <w:snapToGrid w:val="0"/>
                <w:color w:val="auto"/>
                <w:sz w:val="21"/>
                <w:szCs w:val="21"/>
                <w:vertAlign w:val="baseline"/>
              </w:rPr>
              <w:t>设置油库</w:t>
            </w:r>
          </w:p>
        </w:tc>
        <w:tc>
          <w:tcPr>
            <w:tcW w:w="1048" w:type="dxa"/>
            <w:vAlign w:val="center"/>
          </w:tcPr>
          <w:p>
            <w:pPr>
              <w:pStyle w:val="2"/>
              <w:keepNext w:val="0"/>
              <w:keepLines w:val="0"/>
              <w:pageBreakBefore w:val="0"/>
              <w:kinsoku/>
              <w:wordWrap/>
              <w:overflowPunct/>
              <w:topLinePunct w:val="0"/>
              <w:autoSpaceDE w:val="0"/>
              <w:autoSpaceDN w:val="0"/>
              <w:bidi w:val="0"/>
              <w:adjustRightInd/>
              <w:snapToGrid/>
              <w:spacing w:before="0"/>
              <w:ind w:left="0"/>
              <w:jc w:val="center"/>
              <w:textAlignment w:val="auto"/>
              <w:rPr>
                <w:rFonts w:hint="eastAsia" w:ascii="Times New Roman" w:hAnsi="Times New Roman" w:eastAsia="宋体" w:cs="Times New Roman"/>
                <w:b w:val="0"/>
                <w:bCs w:val="0"/>
                <w:snapToGrid w:val="0"/>
                <w:color w:val="auto"/>
                <w:sz w:val="21"/>
                <w:szCs w:val="21"/>
                <w:vertAlign w:val="baseline"/>
                <w:lang w:eastAsia="zh-CN"/>
              </w:rPr>
            </w:pPr>
            <w:r>
              <w:rPr>
                <w:rFonts w:hint="eastAsia" w:ascii="Times New Roman" w:hAnsi="Times New Roman" w:cs="Times New Roman"/>
                <w:b w:val="0"/>
                <w:bCs w:val="0"/>
                <w:snapToGrid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pPr>
              <w:pStyle w:val="2"/>
              <w:keepNext w:val="0"/>
              <w:keepLines w:val="0"/>
              <w:pageBreakBefore w:val="0"/>
              <w:kinsoku/>
              <w:wordWrap/>
              <w:overflowPunct/>
              <w:topLinePunct w:val="0"/>
              <w:autoSpaceDE w:val="0"/>
              <w:autoSpaceDN w:val="0"/>
              <w:bidi w:val="0"/>
              <w:adjustRightInd/>
              <w:snapToGrid/>
              <w:spacing w:before="0"/>
              <w:ind w:left="0"/>
              <w:jc w:val="center"/>
              <w:textAlignment w:val="auto"/>
              <w:rPr>
                <w:rFonts w:hint="eastAsia" w:ascii="Times New Roman" w:hAnsi="Times New Roman" w:eastAsia="宋体" w:cs="Times New Roman"/>
                <w:b w:val="0"/>
                <w:bCs w:val="0"/>
                <w:snapToGrid w:val="0"/>
                <w:color w:val="auto"/>
                <w:sz w:val="21"/>
                <w:szCs w:val="21"/>
                <w:vertAlign w:val="baseline"/>
                <w:lang w:val="en-US" w:eastAsia="zh-CN"/>
              </w:rPr>
            </w:pPr>
            <w:r>
              <w:rPr>
                <w:rFonts w:hint="eastAsia" w:ascii="Times New Roman" w:hAnsi="Times New Roman" w:cs="Times New Roman"/>
                <w:b w:val="0"/>
                <w:bCs w:val="0"/>
                <w:snapToGrid w:val="0"/>
                <w:color w:val="auto"/>
                <w:sz w:val="21"/>
                <w:szCs w:val="21"/>
                <w:vertAlign w:val="baseline"/>
                <w:lang w:val="en-US" w:eastAsia="zh-CN"/>
              </w:rPr>
              <w:t>2</w:t>
            </w:r>
          </w:p>
        </w:tc>
        <w:tc>
          <w:tcPr>
            <w:tcW w:w="3930" w:type="dxa"/>
            <w:vAlign w:val="center"/>
          </w:tcPr>
          <w:p>
            <w:pPr>
              <w:pStyle w:val="2"/>
              <w:keepNext w:val="0"/>
              <w:keepLines w:val="0"/>
              <w:pageBreakBefore w:val="0"/>
              <w:kinsoku/>
              <w:wordWrap/>
              <w:overflowPunct/>
              <w:topLinePunct w:val="0"/>
              <w:autoSpaceDE w:val="0"/>
              <w:autoSpaceDN w:val="0"/>
              <w:bidi w:val="0"/>
              <w:adjustRightInd/>
              <w:snapToGrid/>
              <w:spacing w:before="0"/>
              <w:ind w:left="0"/>
              <w:jc w:val="center"/>
              <w:textAlignment w:val="auto"/>
              <w:rPr>
                <w:rFonts w:hint="eastAsia" w:ascii="Times New Roman" w:hAnsi="Times New Roman" w:cs="Times New Roman"/>
                <w:b w:val="0"/>
                <w:bCs w:val="0"/>
                <w:snapToGrid w:val="0"/>
                <w:color w:val="auto"/>
                <w:sz w:val="21"/>
                <w:szCs w:val="21"/>
                <w:vertAlign w:val="baseline"/>
              </w:rPr>
            </w:pPr>
            <w:r>
              <w:rPr>
                <w:rFonts w:hint="eastAsia" w:ascii="Times New Roman" w:hAnsi="Times New Roman" w:cs="Times New Roman"/>
                <w:b w:val="0"/>
                <w:bCs w:val="0"/>
                <w:snapToGrid w:val="0"/>
                <w:color w:val="auto"/>
                <w:sz w:val="21"/>
                <w:szCs w:val="21"/>
                <w:vertAlign w:val="baseline"/>
              </w:rPr>
              <w:t>禁止在长江湖南段和洞庭湖、湘江、资江、沅江、澧水干流岸线一公里范围内新建、扩建化工园区和化工项目。禁止在长江湖南段岸线三公里范围内和湘江、资江、沅江、澧水岸线一公里范围内新建、改建、扩建尾矿库、冶炼渣库和磷石膏库，以提升安全、生态环境保护水平为目的的改建除外。</w:t>
            </w:r>
          </w:p>
        </w:tc>
        <w:tc>
          <w:tcPr>
            <w:tcW w:w="3270" w:type="dxa"/>
            <w:vAlign w:val="center"/>
          </w:tcPr>
          <w:p>
            <w:pPr>
              <w:pStyle w:val="2"/>
              <w:keepNext w:val="0"/>
              <w:keepLines w:val="0"/>
              <w:pageBreakBefore w:val="0"/>
              <w:kinsoku/>
              <w:wordWrap/>
              <w:overflowPunct/>
              <w:topLinePunct w:val="0"/>
              <w:autoSpaceDE w:val="0"/>
              <w:autoSpaceDN w:val="0"/>
              <w:bidi w:val="0"/>
              <w:adjustRightInd/>
              <w:snapToGrid/>
              <w:spacing w:before="0"/>
              <w:ind w:left="0"/>
              <w:jc w:val="center"/>
              <w:textAlignment w:val="auto"/>
              <w:rPr>
                <w:rFonts w:hint="eastAsia" w:ascii="Times New Roman" w:hAnsi="Times New Roman" w:eastAsia="宋体" w:cs="Times New Roman"/>
                <w:b w:val="0"/>
                <w:bCs w:val="0"/>
                <w:snapToGrid w:val="0"/>
                <w:color w:val="auto"/>
                <w:sz w:val="21"/>
                <w:szCs w:val="21"/>
                <w:vertAlign w:val="baseline"/>
                <w:lang w:eastAsia="zh-CN"/>
              </w:rPr>
            </w:pPr>
            <w:r>
              <w:rPr>
                <w:rFonts w:hint="eastAsia"/>
                <w:color w:val="auto"/>
                <w:sz w:val="21"/>
                <w:szCs w:val="21"/>
                <w:u w:val="none" w:color="auto"/>
              </w:rPr>
              <w:t>本项目</w:t>
            </w:r>
            <w:r>
              <w:rPr>
                <w:rFonts w:hint="eastAsia"/>
                <w:color w:val="auto"/>
                <w:sz w:val="21"/>
                <w:szCs w:val="21"/>
                <w:u w:val="none" w:color="auto"/>
                <w:lang w:eastAsia="zh-CN"/>
              </w:rPr>
              <w:t>不属于化工项目</w:t>
            </w:r>
          </w:p>
        </w:tc>
        <w:tc>
          <w:tcPr>
            <w:tcW w:w="1048" w:type="dxa"/>
            <w:vAlign w:val="center"/>
          </w:tcPr>
          <w:p>
            <w:pPr>
              <w:pStyle w:val="2"/>
              <w:keepNext w:val="0"/>
              <w:keepLines w:val="0"/>
              <w:pageBreakBefore w:val="0"/>
              <w:kinsoku/>
              <w:wordWrap/>
              <w:overflowPunct/>
              <w:topLinePunct w:val="0"/>
              <w:autoSpaceDE w:val="0"/>
              <w:autoSpaceDN w:val="0"/>
              <w:bidi w:val="0"/>
              <w:adjustRightInd/>
              <w:snapToGrid/>
              <w:spacing w:before="0"/>
              <w:ind w:left="0"/>
              <w:jc w:val="center"/>
              <w:textAlignment w:val="auto"/>
              <w:rPr>
                <w:rFonts w:hint="eastAsia" w:ascii="Times New Roman" w:hAnsi="Times New Roman" w:cs="Times New Roman"/>
                <w:b w:val="0"/>
                <w:bCs w:val="0"/>
                <w:snapToGrid w:val="0"/>
                <w:color w:val="auto"/>
                <w:sz w:val="21"/>
                <w:szCs w:val="21"/>
                <w:vertAlign w:val="baseline"/>
              </w:rPr>
            </w:pPr>
            <w:r>
              <w:rPr>
                <w:rFonts w:hint="eastAsia" w:ascii="Times New Roman" w:hAnsi="Times New Roman" w:cs="Times New Roman"/>
                <w:b w:val="0"/>
                <w:bCs w:val="0"/>
                <w:snapToGrid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pPr>
              <w:pStyle w:val="2"/>
              <w:keepNext w:val="0"/>
              <w:keepLines w:val="0"/>
              <w:pageBreakBefore w:val="0"/>
              <w:kinsoku/>
              <w:wordWrap/>
              <w:overflowPunct/>
              <w:topLinePunct w:val="0"/>
              <w:autoSpaceDE w:val="0"/>
              <w:autoSpaceDN w:val="0"/>
              <w:bidi w:val="0"/>
              <w:adjustRightInd/>
              <w:snapToGrid/>
              <w:spacing w:before="0"/>
              <w:ind w:left="0"/>
              <w:jc w:val="center"/>
              <w:textAlignment w:val="auto"/>
              <w:rPr>
                <w:rFonts w:hint="eastAsia" w:ascii="Times New Roman" w:hAnsi="Times New Roman" w:eastAsia="宋体" w:cs="Times New Roman"/>
                <w:b w:val="0"/>
                <w:bCs w:val="0"/>
                <w:snapToGrid w:val="0"/>
                <w:color w:val="auto"/>
                <w:sz w:val="21"/>
                <w:szCs w:val="21"/>
                <w:vertAlign w:val="baseline"/>
                <w:lang w:val="en-US" w:eastAsia="zh-CN"/>
              </w:rPr>
            </w:pPr>
            <w:r>
              <w:rPr>
                <w:rFonts w:hint="eastAsia" w:ascii="Times New Roman" w:hAnsi="Times New Roman" w:cs="Times New Roman"/>
                <w:b w:val="0"/>
                <w:bCs w:val="0"/>
                <w:snapToGrid w:val="0"/>
                <w:color w:val="auto"/>
                <w:sz w:val="21"/>
                <w:szCs w:val="21"/>
                <w:vertAlign w:val="baseline"/>
                <w:lang w:val="en-US" w:eastAsia="zh-CN"/>
              </w:rPr>
              <w:t>3</w:t>
            </w:r>
          </w:p>
        </w:tc>
        <w:tc>
          <w:tcPr>
            <w:tcW w:w="3930" w:type="dxa"/>
            <w:vAlign w:val="center"/>
          </w:tcPr>
          <w:p>
            <w:pPr>
              <w:pStyle w:val="2"/>
              <w:keepNext w:val="0"/>
              <w:keepLines w:val="0"/>
              <w:pageBreakBefore w:val="0"/>
              <w:kinsoku/>
              <w:wordWrap/>
              <w:overflowPunct/>
              <w:topLinePunct w:val="0"/>
              <w:autoSpaceDE w:val="0"/>
              <w:autoSpaceDN w:val="0"/>
              <w:bidi w:val="0"/>
              <w:adjustRightInd/>
              <w:snapToGrid/>
              <w:spacing w:before="0"/>
              <w:ind w:left="0"/>
              <w:jc w:val="center"/>
              <w:textAlignment w:val="auto"/>
              <w:rPr>
                <w:rFonts w:hint="eastAsia" w:ascii="Times New Roman" w:hAnsi="Times New Roman" w:cs="Times New Roman"/>
                <w:b w:val="0"/>
                <w:bCs w:val="0"/>
                <w:snapToGrid w:val="0"/>
                <w:color w:val="auto"/>
                <w:sz w:val="21"/>
                <w:szCs w:val="21"/>
                <w:vertAlign w:val="baseline"/>
              </w:rPr>
            </w:pPr>
            <w:r>
              <w:rPr>
                <w:rFonts w:hint="eastAsia" w:ascii="Times New Roman" w:hAnsi="Times New Roman" w:cs="Times New Roman"/>
                <w:b w:val="0"/>
                <w:bCs w:val="0"/>
                <w:snapToGrid w:val="0"/>
                <w:color w:val="auto"/>
                <w:sz w:val="21"/>
                <w:szCs w:val="21"/>
                <w:vertAlign w:val="baseline"/>
              </w:rPr>
              <w:t>禁止在合规园区外新建、扩建钢铁、石化、化工、焦化、建材、有色、制浆造纸等高污染项目。高污染项目严格按照生态环境部《环境保护综合名录（2021 年版）》有关要求执行。</w:t>
            </w:r>
          </w:p>
        </w:tc>
        <w:tc>
          <w:tcPr>
            <w:tcW w:w="3270" w:type="dxa"/>
            <w:vAlign w:val="center"/>
          </w:tcPr>
          <w:p>
            <w:pPr>
              <w:pStyle w:val="2"/>
              <w:keepNext w:val="0"/>
              <w:keepLines w:val="0"/>
              <w:pageBreakBefore w:val="0"/>
              <w:kinsoku/>
              <w:wordWrap/>
              <w:overflowPunct/>
              <w:topLinePunct w:val="0"/>
              <w:autoSpaceDE w:val="0"/>
              <w:autoSpaceDN w:val="0"/>
              <w:bidi w:val="0"/>
              <w:adjustRightInd/>
              <w:snapToGrid/>
              <w:spacing w:before="0"/>
              <w:ind w:left="0"/>
              <w:jc w:val="center"/>
              <w:textAlignment w:val="auto"/>
              <w:rPr>
                <w:rFonts w:hint="eastAsia" w:ascii="Times New Roman" w:hAnsi="Times New Roman" w:eastAsia="宋体" w:cs="Times New Roman"/>
                <w:b w:val="0"/>
                <w:bCs w:val="0"/>
                <w:snapToGrid w:val="0"/>
                <w:color w:val="auto"/>
                <w:sz w:val="21"/>
                <w:szCs w:val="21"/>
                <w:vertAlign w:val="baseline"/>
                <w:lang w:eastAsia="zh-CN"/>
              </w:rPr>
            </w:pPr>
            <w:r>
              <w:rPr>
                <w:rFonts w:hint="eastAsia"/>
                <w:color w:val="auto"/>
                <w:sz w:val="21"/>
                <w:szCs w:val="21"/>
                <w:u w:val="none" w:color="auto"/>
              </w:rPr>
              <w:t>本项目</w:t>
            </w:r>
            <w:r>
              <w:rPr>
                <w:rFonts w:hint="eastAsia"/>
                <w:color w:val="auto"/>
                <w:sz w:val="21"/>
                <w:szCs w:val="21"/>
                <w:u w:val="none" w:color="auto"/>
                <w:lang w:eastAsia="zh-CN"/>
              </w:rPr>
              <w:t>不涉及</w:t>
            </w:r>
            <w:r>
              <w:rPr>
                <w:rFonts w:hint="eastAsia" w:ascii="Times New Roman" w:hAnsi="Times New Roman" w:cs="Times New Roman"/>
                <w:b w:val="0"/>
                <w:bCs w:val="0"/>
                <w:snapToGrid w:val="0"/>
                <w:color w:val="auto"/>
                <w:sz w:val="21"/>
                <w:szCs w:val="21"/>
                <w:vertAlign w:val="baseline"/>
              </w:rPr>
              <w:t>高污染项目</w:t>
            </w:r>
            <w:r>
              <w:rPr>
                <w:rFonts w:hint="eastAsia" w:ascii="Times New Roman" w:hAnsi="Times New Roman" w:cs="Times New Roman"/>
                <w:b w:val="0"/>
                <w:bCs w:val="0"/>
                <w:snapToGrid w:val="0"/>
                <w:color w:val="auto"/>
                <w:sz w:val="21"/>
                <w:szCs w:val="21"/>
                <w:vertAlign w:val="baseline"/>
                <w:lang w:eastAsia="zh-CN"/>
              </w:rPr>
              <w:t>。</w:t>
            </w:r>
          </w:p>
        </w:tc>
        <w:tc>
          <w:tcPr>
            <w:tcW w:w="1048" w:type="dxa"/>
            <w:vAlign w:val="center"/>
          </w:tcPr>
          <w:p>
            <w:pPr>
              <w:pStyle w:val="2"/>
              <w:keepNext w:val="0"/>
              <w:keepLines w:val="0"/>
              <w:pageBreakBefore w:val="0"/>
              <w:kinsoku/>
              <w:wordWrap/>
              <w:overflowPunct/>
              <w:topLinePunct w:val="0"/>
              <w:autoSpaceDE w:val="0"/>
              <w:autoSpaceDN w:val="0"/>
              <w:bidi w:val="0"/>
              <w:adjustRightInd/>
              <w:snapToGrid/>
              <w:spacing w:before="0"/>
              <w:ind w:left="0"/>
              <w:jc w:val="center"/>
              <w:textAlignment w:val="auto"/>
              <w:rPr>
                <w:rFonts w:hint="eastAsia" w:ascii="Times New Roman" w:hAnsi="Times New Roman" w:cs="Times New Roman"/>
                <w:b w:val="0"/>
                <w:bCs w:val="0"/>
                <w:snapToGrid w:val="0"/>
                <w:color w:val="auto"/>
                <w:sz w:val="21"/>
                <w:szCs w:val="21"/>
                <w:vertAlign w:val="baseline"/>
              </w:rPr>
            </w:pPr>
            <w:r>
              <w:rPr>
                <w:rFonts w:hint="eastAsia" w:ascii="Times New Roman" w:hAnsi="Times New Roman" w:cs="Times New Roman"/>
                <w:b w:val="0"/>
                <w:bCs w:val="0"/>
                <w:snapToGrid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pPr>
              <w:pStyle w:val="2"/>
              <w:keepNext w:val="0"/>
              <w:keepLines w:val="0"/>
              <w:pageBreakBefore w:val="0"/>
              <w:kinsoku/>
              <w:wordWrap/>
              <w:overflowPunct/>
              <w:topLinePunct w:val="0"/>
              <w:autoSpaceDE w:val="0"/>
              <w:autoSpaceDN w:val="0"/>
              <w:bidi w:val="0"/>
              <w:adjustRightInd/>
              <w:snapToGrid/>
              <w:spacing w:before="0"/>
              <w:ind w:left="0"/>
              <w:jc w:val="center"/>
              <w:textAlignment w:val="auto"/>
              <w:rPr>
                <w:rFonts w:hint="eastAsia" w:ascii="Times New Roman" w:hAnsi="Times New Roman" w:eastAsia="宋体" w:cs="Times New Roman"/>
                <w:b w:val="0"/>
                <w:bCs w:val="0"/>
                <w:snapToGrid w:val="0"/>
                <w:color w:val="auto"/>
                <w:sz w:val="21"/>
                <w:szCs w:val="21"/>
                <w:vertAlign w:val="baseline"/>
                <w:lang w:val="en-US" w:eastAsia="zh-CN"/>
              </w:rPr>
            </w:pPr>
            <w:r>
              <w:rPr>
                <w:rFonts w:hint="eastAsia" w:ascii="Times New Roman" w:hAnsi="Times New Roman" w:cs="Times New Roman"/>
                <w:b w:val="0"/>
                <w:bCs w:val="0"/>
                <w:snapToGrid w:val="0"/>
                <w:color w:val="auto"/>
                <w:sz w:val="21"/>
                <w:szCs w:val="21"/>
                <w:vertAlign w:val="baseline"/>
                <w:lang w:val="en-US" w:eastAsia="zh-CN"/>
              </w:rPr>
              <w:t>4</w:t>
            </w:r>
          </w:p>
        </w:tc>
        <w:tc>
          <w:tcPr>
            <w:tcW w:w="3930" w:type="dxa"/>
            <w:vAlign w:val="center"/>
          </w:tcPr>
          <w:p>
            <w:pPr>
              <w:pStyle w:val="2"/>
              <w:keepNext w:val="0"/>
              <w:keepLines w:val="0"/>
              <w:pageBreakBefore w:val="0"/>
              <w:kinsoku/>
              <w:wordWrap/>
              <w:overflowPunct/>
              <w:topLinePunct w:val="0"/>
              <w:autoSpaceDE w:val="0"/>
              <w:autoSpaceDN w:val="0"/>
              <w:bidi w:val="0"/>
              <w:adjustRightInd/>
              <w:snapToGrid/>
              <w:spacing w:before="0"/>
              <w:ind w:left="0"/>
              <w:jc w:val="center"/>
              <w:textAlignment w:val="auto"/>
              <w:rPr>
                <w:rFonts w:hint="eastAsia" w:ascii="Times New Roman" w:hAnsi="Times New Roman" w:cs="Times New Roman"/>
                <w:b w:val="0"/>
                <w:bCs w:val="0"/>
                <w:snapToGrid w:val="0"/>
                <w:color w:val="auto"/>
                <w:sz w:val="21"/>
                <w:szCs w:val="21"/>
                <w:vertAlign w:val="baseline"/>
              </w:rPr>
            </w:pPr>
            <w:r>
              <w:rPr>
                <w:rFonts w:hint="eastAsia" w:ascii="Times New Roman" w:hAnsi="Times New Roman" w:cs="Times New Roman"/>
                <w:b w:val="0"/>
                <w:bCs w:val="0"/>
                <w:snapToGrid w:val="0"/>
                <w:color w:val="auto"/>
                <w:sz w:val="21"/>
                <w:szCs w:val="21"/>
                <w:vertAlign w:val="baseline"/>
              </w:rPr>
              <w:t>禁止新建、扩建不符合国家石化、现代煤化工等产业布局规划的项目。未通过认定的化工园区，不得新建、改扩建化工项目（安全、环保、节能和智能化改造项目除外）。</w:t>
            </w:r>
          </w:p>
        </w:tc>
        <w:tc>
          <w:tcPr>
            <w:tcW w:w="3270" w:type="dxa"/>
            <w:vAlign w:val="center"/>
          </w:tcPr>
          <w:p>
            <w:pPr>
              <w:pStyle w:val="2"/>
              <w:keepNext w:val="0"/>
              <w:keepLines w:val="0"/>
              <w:pageBreakBefore w:val="0"/>
              <w:kinsoku/>
              <w:wordWrap/>
              <w:overflowPunct/>
              <w:topLinePunct w:val="0"/>
              <w:autoSpaceDE w:val="0"/>
              <w:autoSpaceDN w:val="0"/>
              <w:bidi w:val="0"/>
              <w:adjustRightInd/>
              <w:snapToGrid/>
              <w:spacing w:before="0"/>
              <w:ind w:left="0"/>
              <w:jc w:val="center"/>
              <w:textAlignment w:val="auto"/>
              <w:rPr>
                <w:rFonts w:hint="eastAsia" w:ascii="Times New Roman" w:hAnsi="Times New Roman" w:cs="Times New Roman"/>
                <w:b w:val="0"/>
                <w:bCs w:val="0"/>
                <w:snapToGrid w:val="0"/>
                <w:color w:val="auto"/>
                <w:sz w:val="21"/>
                <w:szCs w:val="21"/>
                <w:vertAlign w:val="baseline"/>
              </w:rPr>
            </w:pPr>
            <w:r>
              <w:rPr>
                <w:rFonts w:hint="eastAsia"/>
                <w:color w:val="auto"/>
                <w:sz w:val="21"/>
                <w:szCs w:val="21"/>
                <w:u w:val="none" w:color="auto"/>
              </w:rPr>
              <w:t>本项目</w:t>
            </w:r>
            <w:r>
              <w:rPr>
                <w:rFonts w:hint="eastAsia"/>
                <w:color w:val="auto"/>
                <w:sz w:val="21"/>
                <w:szCs w:val="21"/>
                <w:u w:val="none" w:color="auto"/>
                <w:lang w:eastAsia="zh-CN"/>
              </w:rPr>
              <w:t>不涉及</w:t>
            </w:r>
            <w:r>
              <w:rPr>
                <w:rFonts w:hint="eastAsia" w:ascii="Times New Roman" w:hAnsi="Times New Roman" w:cs="Times New Roman"/>
                <w:b w:val="0"/>
                <w:bCs w:val="0"/>
                <w:snapToGrid w:val="0"/>
                <w:color w:val="auto"/>
                <w:sz w:val="21"/>
                <w:szCs w:val="21"/>
                <w:vertAlign w:val="baseline"/>
              </w:rPr>
              <w:t>石化、现代煤化工等产业</w:t>
            </w:r>
          </w:p>
        </w:tc>
        <w:tc>
          <w:tcPr>
            <w:tcW w:w="1048" w:type="dxa"/>
            <w:vAlign w:val="center"/>
          </w:tcPr>
          <w:p>
            <w:pPr>
              <w:pStyle w:val="2"/>
              <w:keepNext w:val="0"/>
              <w:keepLines w:val="0"/>
              <w:pageBreakBefore w:val="0"/>
              <w:kinsoku/>
              <w:wordWrap/>
              <w:overflowPunct/>
              <w:topLinePunct w:val="0"/>
              <w:autoSpaceDE w:val="0"/>
              <w:autoSpaceDN w:val="0"/>
              <w:bidi w:val="0"/>
              <w:adjustRightInd/>
              <w:snapToGrid/>
              <w:spacing w:before="0"/>
              <w:ind w:left="0"/>
              <w:jc w:val="center"/>
              <w:textAlignment w:val="auto"/>
              <w:rPr>
                <w:rFonts w:hint="eastAsia" w:ascii="Times New Roman" w:hAnsi="Times New Roman" w:cs="Times New Roman"/>
                <w:b w:val="0"/>
                <w:bCs w:val="0"/>
                <w:snapToGrid w:val="0"/>
                <w:color w:val="auto"/>
                <w:sz w:val="21"/>
                <w:szCs w:val="21"/>
                <w:vertAlign w:val="baseline"/>
              </w:rPr>
            </w:pPr>
            <w:r>
              <w:rPr>
                <w:rFonts w:hint="eastAsia" w:ascii="Times New Roman" w:hAnsi="Times New Roman" w:cs="Times New Roman"/>
                <w:b w:val="0"/>
                <w:bCs w:val="0"/>
                <w:snapToGrid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pPr>
              <w:pStyle w:val="2"/>
              <w:keepNext w:val="0"/>
              <w:keepLines w:val="0"/>
              <w:pageBreakBefore w:val="0"/>
              <w:kinsoku/>
              <w:wordWrap/>
              <w:overflowPunct/>
              <w:topLinePunct w:val="0"/>
              <w:autoSpaceDE w:val="0"/>
              <w:autoSpaceDN w:val="0"/>
              <w:bidi w:val="0"/>
              <w:adjustRightInd/>
              <w:snapToGrid/>
              <w:spacing w:before="0"/>
              <w:ind w:left="0"/>
              <w:jc w:val="center"/>
              <w:textAlignment w:val="auto"/>
              <w:rPr>
                <w:rFonts w:hint="eastAsia" w:ascii="Times New Roman" w:hAnsi="Times New Roman" w:eastAsia="宋体" w:cs="Times New Roman"/>
                <w:b w:val="0"/>
                <w:bCs w:val="0"/>
                <w:snapToGrid w:val="0"/>
                <w:color w:val="auto"/>
                <w:sz w:val="21"/>
                <w:szCs w:val="21"/>
                <w:vertAlign w:val="baseline"/>
                <w:lang w:val="en-US" w:eastAsia="zh-CN"/>
              </w:rPr>
            </w:pPr>
            <w:r>
              <w:rPr>
                <w:rFonts w:hint="eastAsia" w:ascii="Times New Roman" w:hAnsi="Times New Roman" w:cs="Times New Roman"/>
                <w:b w:val="0"/>
                <w:bCs w:val="0"/>
                <w:snapToGrid w:val="0"/>
                <w:color w:val="auto"/>
                <w:sz w:val="21"/>
                <w:szCs w:val="21"/>
                <w:vertAlign w:val="baseline"/>
                <w:lang w:val="en-US" w:eastAsia="zh-CN"/>
              </w:rPr>
              <w:t>5</w:t>
            </w:r>
          </w:p>
        </w:tc>
        <w:tc>
          <w:tcPr>
            <w:tcW w:w="3930" w:type="dxa"/>
            <w:vAlign w:val="center"/>
          </w:tcPr>
          <w:p>
            <w:pPr>
              <w:pStyle w:val="2"/>
              <w:keepNext w:val="0"/>
              <w:keepLines w:val="0"/>
              <w:pageBreakBefore w:val="0"/>
              <w:kinsoku/>
              <w:wordWrap/>
              <w:overflowPunct/>
              <w:topLinePunct w:val="0"/>
              <w:autoSpaceDE w:val="0"/>
              <w:autoSpaceDN w:val="0"/>
              <w:bidi w:val="0"/>
              <w:adjustRightInd/>
              <w:snapToGrid/>
              <w:spacing w:before="0"/>
              <w:ind w:left="0"/>
              <w:jc w:val="center"/>
              <w:textAlignment w:val="auto"/>
              <w:rPr>
                <w:rFonts w:hint="eastAsia" w:ascii="Times New Roman" w:hAnsi="Times New Roman" w:cs="Times New Roman"/>
                <w:b w:val="0"/>
                <w:bCs w:val="0"/>
                <w:snapToGrid w:val="0"/>
                <w:color w:val="auto"/>
                <w:sz w:val="21"/>
                <w:szCs w:val="21"/>
                <w:vertAlign w:val="baseline"/>
              </w:rPr>
            </w:pPr>
            <w:r>
              <w:rPr>
                <w:rFonts w:hint="eastAsia" w:ascii="Times New Roman" w:hAnsi="Times New Roman" w:cs="Times New Roman"/>
                <w:b w:val="0"/>
                <w:bCs w:val="0"/>
                <w:snapToGrid w:val="0"/>
                <w:color w:val="auto"/>
                <w:sz w:val="21"/>
                <w:szCs w:val="21"/>
                <w:vertAlign w:val="baseline"/>
              </w:rPr>
              <w:t>禁止新建、扩建法律法规和相关政策明令禁止的落后产能项目；对不符合要求的落后产能存量项目依法依规退出。禁止新建、扩建不符合国家产能置换要求的严重过剩产能行业（钢铁、水泥、电解铝、平板玻璃、船舶等行业）的项目。对确有必要新建、扩建的，必须严格执行产能置换实施办法，实施减量或等量置换，依法依规办理有关手续。禁止新建、扩建不符合要求的高耗能高排放项目。</w:t>
            </w:r>
          </w:p>
        </w:tc>
        <w:tc>
          <w:tcPr>
            <w:tcW w:w="3270" w:type="dxa"/>
            <w:vAlign w:val="center"/>
          </w:tcPr>
          <w:p>
            <w:pPr>
              <w:pStyle w:val="2"/>
              <w:keepNext w:val="0"/>
              <w:keepLines w:val="0"/>
              <w:pageBreakBefore w:val="0"/>
              <w:kinsoku/>
              <w:wordWrap/>
              <w:overflowPunct/>
              <w:topLinePunct w:val="0"/>
              <w:autoSpaceDE w:val="0"/>
              <w:autoSpaceDN w:val="0"/>
              <w:bidi w:val="0"/>
              <w:adjustRightInd/>
              <w:snapToGrid/>
              <w:spacing w:before="0"/>
              <w:ind w:left="0"/>
              <w:jc w:val="center"/>
              <w:textAlignment w:val="auto"/>
              <w:rPr>
                <w:rFonts w:hint="eastAsia" w:ascii="Times New Roman" w:hAnsi="Times New Roman" w:cs="Times New Roman"/>
                <w:b w:val="0"/>
                <w:bCs w:val="0"/>
                <w:snapToGrid w:val="0"/>
                <w:color w:val="auto"/>
                <w:sz w:val="21"/>
                <w:szCs w:val="21"/>
                <w:vertAlign w:val="baseline"/>
              </w:rPr>
            </w:pPr>
            <w:r>
              <w:rPr>
                <w:rFonts w:hint="eastAsia"/>
                <w:color w:val="auto"/>
                <w:sz w:val="21"/>
                <w:szCs w:val="21"/>
                <w:u w:val="none" w:color="auto"/>
              </w:rPr>
              <w:t>本项目</w:t>
            </w:r>
            <w:r>
              <w:rPr>
                <w:rFonts w:hint="eastAsia"/>
                <w:color w:val="auto"/>
                <w:sz w:val="21"/>
                <w:szCs w:val="21"/>
                <w:u w:val="none" w:color="auto"/>
                <w:lang w:eastAsia="zh-CN"/>
              </w:rPr>
              <w:t>不涉及</w:t>
            </w:r>
            <w:r>
              <w:rPr>
                <w:rFonts w:hint="eastAsia" w:ascii="Times New Roman" w:hAnsi="Times New Roman" w:cs="Times New Roman"/>
                <w:b w:val="0"/>
                <w:bCs w:val="0"/>
                <w:snapToGrid w:val="0"/>
                <w:color w:val="auto"/>
                <w:sz w:val="21"/>
                <w:szCs w:val="21"/>
                <w:vertAlign w:val="baseline"/>
              </w:rPr>
              <w:t>严重过剩产能行业</w:t>
            </w:r>
          </w:p>
        </w:tc>
        <w:tc>
          <w:tcPr>
            <w:tcW w:w="1048" w:type="dxa"/>
            <w:vAlign w:val="center"/>
          </w:tcPr>
          <w:p>
            <w:pPr>
              <w:pStyle w:val="2"/>
              <w:keepNext w:val="0"/>
              <w:keepLines w:val="0"/>
              <w:pageBreakBefore w:val="0"/>
              <w:kinsoku/>
              <w:wordWrap/>
              <w:overflowPunct/>
              <w:topLinePunct w:val="0"/>
              <w:autoSpaceDE w:val="0"/>
              <w:autoSpaceDN w:val="0"/>
              <w:bidi w:val="0"/>
              <w:adjustRightInd/>
              <w:snapToGrid/>
              <w:spacing w:before="0"/>
              <w:ind w:left="0"/>
              <w:jc w:val="center"/>
              <w:textAlignment w:val="auto"/>
              <w:rPr>
                <w:rFonts w:hint="eastAsia" w:ascii="Times New Roman" w:hAnsi="Times New Roman" w:cs="Times New Roman"/>
                <w:b w:val="0"/>
                <w:bCs w:val="0"/>
                <w:snapToGrid w:val="0"/>
                <w:color w:val="auto"/>
                <w:sz w:val="21"/>
                <w:szCs w:val="21"/>
                <w:vertAlign w:val="baseline"/>
              </w:rPr>
            </w:pPr>
            <w:r>
              <w:rPr>
                <w:rFonts w:hint="eastAsia" w:ascii="Times New Roman" w:hAnsi="Times New Roman" w:cs="Times New Roman"/>
                <w:b w:val="0"/>
                <w:bCs w:val="0"/>
                <w:snapToGrid w:val="0"/>
                <w:color w:val="auto"/>
                <w:sz w:val="21"/>
                <w:szCs w:val="21"/>
                <w:vertAlign w:val="baseline"/>
                <w:lang w:eastAsia="zh-CN"/>
              </w:rPr>
              <w:t>符合</w:t>
            </w:r>
          </w:p>
        </w:tc>
      </w:tr>
    </w:tbl>
    <w:p>
      <w:pPr>
        <w:pStyle w:val="2"/>
        <w:spacing w:line="360" w:lineRule="auto"/>
        <w:ind w:firstLine="480" w:firstLineChars="200"/>
        <w:rPr>
          <w:rFonts w:hint="eastAsia" w:ascii="Times New Roman" w:hAnsi="Times New Roman" w:eastAsia="宋体" w:cs="Times New Roman"/>
          <w:b w:val="0"/>
          <w:bCs w:val="0"/>
          <w:snapToGrid w:val="0"/>
          <w:color w:val="auto"/>
          <w:sz w:val="24"/>
          <w:lang w:eastAsia="zh-CN"/>
        </w:rPr>
      </w:pPr>
      <w:r>
        <w:rPr>
          <w:rFonts w:hint="eastAsia" w:ascii="Times New Roman" w:hAnsi="Times New Roman" w:cs="Times New Roman"/>
          <w:b w:val="0"/>
          <w:bCs w:val="0"/>
          <w:snapToGrid w:val="0"/>
          <w:color w:val="auto"/>
          <w:sz w:val="24"/>
        </w:rPr>
        <w:t>综上所述，项目不在《湖南省长江经济带发展负面清单实施细则（试行，2022 年版）》中禁止的范围内，符合相关要求</w:t>
      </w:r>
      <w:r>
        <w:rPr>
          <w:rFonts w:hint="eastAsia" w:ascii="Times New Roman" w:hAnsi="Times New Roman" w:cs="Times New Roman"/>
          <w:b w:val="0"/>
          <w:bCs w:val="0"/>
          <w:snapToGrid w:val="0"/>
          <w:color w:val="auto"/>
          <w:sz w:val="24"/>
          <w:lang w:eastAsia="zh-CN"/>
        </w:rPr>
        <w:t>。</w:t>
      </w:r>
    </w:p>
    <w:p>
      <w:pPr>
        <w:autoSpaceDE/>
        <w:autoSpaceDN/>
        <w:adjustRightInd w:val="0"/>
        <w:snapToGrid w:val="0"/>
        <w:spacing w:line="360" w:lineRule="auto"/>
        <w:jc w:val="both"/>
        <w:outlineLvl w:val="2"/>
        <w:rPr>
          <w:rFonts w:ascii="Times New Roman" w:hAnsi="Times New Roman" w:cs="Times New Roman"/>
          <w:b/>
          <w:sz w:val="28"/>
          <w:szCs w:val="24"/>
        </w:rPr>
      </w:pPr>
      <w:r>
        <w:rPr>
          <w:rFonts w:ascii="Times New Roman" w:hAnsi="Times New Roman" w:cs="Times New Roman"/>
          <w:b/>
          <w:sz w:val="28"/>
          <w:szCs w:val="24"/>
        </w:rPr>
        <w:t>1.</w:t>
      </w:r>
      <w:r>
        <w:rPr>
          <w:rFonts w:hint="eastAsia" w:ascii="Times New Roman" w:hAnsi="Times New Roman" w:cs="Times New Roman"/>
          <w:b/>
          <w:sz w:val="28"/>
          <w:szCs w:val="24"/>
          <w:lang w:val="en-US" w:eastAsia="zh-CN"/>
        </w:rPr>
        <w:t>4</w:t>
      </w:r>
      <w:r>
        <w:rPr>
          <w:rFonts w:ascii="Times New Roman" w:hAnsi="Times New Roman" w:cs="Times New Roman"/>
          <w:b/>
          <w:sz w:val="28"/>
          <w:szCs w:val="24"/>
        </w:rPr>
        <w:t>.3与相关规划的相符性</w:t>
      </w:r>
      <w:bookmarkEnd w:id="30"/>
      <w:bookmarkEnd w:id="31"/>
      <w:bookmarkEnd w:id="32"/>
      <w:bookmarkEnd w:id="33"/>
    </w:p>
    <w:p>
      <w:pPr>
        <w:autoSpaceDE/>
        <w:autoSpaceDN/>
        <w:adjustRightInd w:val="0"/>
        <w:snapToGrid w:val="0"/>
        <w:spacing w:line="360" w:lineRule="auto"/>
        <w:jc w:val="both"/>
        <w:outlineLvl w:val="3"/>
        <w:rPr>
          <w:rFonts w:ascii="Times New Roman" w:hAnsi="Times New Roman" w:cs="Times New Roman"/>
          <w:b/>
          <w:sz w:val="24"/>
          <w:szCs w:val="24"/>
        </w:rPr>
      </w:pPr>
      <w:r>
        <w:rPr>
          <w:rFonts w:ascii="Times New Roman" w:hAnsi="Times New Roman" w:cs="Times New Roman"/>
          <w:b/>
          <w:sz w:val="24"/>
          <w:szCs w:val="24"/>
        </w:rPr>
        <w:t>1.</w:t>
      </w:r>
      <w:r>
        <w:rPr>
          <w:rFonts w:hint="eastAsia" w:ascii="Times New Roman" w:hAnsi="Times New Roman" w:cs="Times New Roman"/>
          <w:b/>
          <w:sz w:val="24"/>
          <w:szCs w:val="24"/>
          <w:lang w:val="en-US" w:eastAsia="zh-CN"/>
        </w:rPr>
        <w:t>4</w:t>
      </w:r>
      <w:r>
        <w:rPr>
          <w:rFonts w:ascii="Times New Roman" w:hAnsi="Times New Roman" w:cs="Times New Roman"/>
          <w:b/>
          <w:sz w:val="24"/>
          <w:szCs w:val="24"/>
        </w:rPr>
        <w:t>.3.1与《湖南省“十四五”生态环境保护规划》的相符性分析</w:t>
      </w:r>
    </w:p>
    <w:p>
      <w:pPr>
        <w:autoSpaceDE/>
        <w:autoSpaceDN/>
        <w:adjustRightInd w:val="0"/>
        <w:snapToGrid w:val="0"/>
        <w:spacing w:line="360" w:lineRule="auto"/>
        <w:ind w:firstLine="480" w:firstLineChars="200"/>
        <w:jc w:val="both"/>
        <w:rPr>
          <w:rFonts w:ascii="Times New Roman" w:hAnsi="Times New Roman" w:cs="Times New Roman"/>
          <w:snapToGrid w:val="0"/>
          <w:sz w:val="24"/>
        </w:rPr>
      </w:pPr>
      <w:r>
        <w:rPr>
          <w:rFonts w:ascii="Times New Roman" w:hAnsi="Times New Roman" w:cs="Times New Roman"/>
          <w:snapToGrid w:val="0"/>
          <w:sz w:val="24"/>
        </w:rPr>
        <w:t>根据《湖南省“十四五”环境保护规划》（湘政办发〔2021〕61号），其中部分内容如下：</w:t>
      </w:r>
    </w:p>
    <w:p>
      <w:pPr>
        <w:autoSpaceDE/>
        <w:autoSpaceDN/>
        <w:adjustRightInd w:val="0"/>
        <w:snapToGrid w:val="0"/>
        <w:spacing w:line="360" w:lineRule="auto"/>
        <w:ind w:firstLine="480" w:firstLineChars="200"/>
        <w:jc w:val="both"/>
        <w:rPr>
          <w:rFonts w:ascii="Times New Roman" w:hAnsi="Times New Roman" w:cs="Times New Roman"/>
          <w:snapToGrid w:val="0"/>
          <w:sz w:val="24"/>
        </w:rPr>
      </w:pPr>
      <w:r>
        <w:rPr>
          <w:rFonts w:hint="eastAsia" w:ascii="Times New Roman" w:hAnsi="Times New Roman" w:cs="Times New Roman"/>
          <w:snapToGrid w:val="0"/>
          <w:sz w:val="24"/>
        </w:rPr>
        <w:t>加强“一江一湖三山四水”重要生态功能区域保护，统筹推进山水林田湖草沙系统保护修复。保障长江岸线、洞庭湖区域洪水调蓄、水源涵养、气候调节和生物多样性保护等生态功能，推动长江及其岸线生态恢复、洞庭湖及其内湖湿地生态系统修复，打造长江绿色生态廊道，改善江湖连通性，提升生态系统稳定性和生态服务功能，保护江豚、候鸟等珍稀濒危和区域代表性野生动植物栖息地及迁徙路线。发挥武陵—雪峰山区、南岭山区、罗霄—幕阜山区和湘资沅澧四水源头生物多样性维护、水源涵养、水土保持生态功能，加强原生地带性植被保护和珍稀原生动植物保护，加快区域生态廊道建设，加强湘资沅澧四水上游及两岸天然林保护、公益林建设和造林绿化等</w:t>
      </w:r>
      <w:r>
        <w:rPr>
          <w:rFonts w:ascii="Times New Roman" w:hAnsi="Times New Roman" w:cs="Times New Roman"/>
          <w:snapToGrid w:val="0"/>
          <w:sz w:val="24"/>
        </w:rPr>
        <w:t>。</w:t>
      </w:r>
    </w:p>
    <w:p>
      <w:pPr>
        <w:autoSpaceDE/>
        <w:autoSpaceDN/>
        <w:adjustRightInd w:val="0"/>
        <w:snapToGrid w:val="0"/>
        <w:spacing w:line="360" w:lineRule="auto"/>
        <w:ind w:firstLine="480" w:firstLineChars="200"/>
        <w:jc w:val="both"/>
        <w:rPr>
          <w:rFonts w:ascii="Times New Roman" w:hAnsi="Times New Roman" w:cs="Times New Roman"/>
          <w:snapToGrid w:val="0"/>
          <w:sz w:val="24"/>
        </w:rPr>
      </w:pPr>
      <w:r>
        <w:rPr>
          <w:rFonts w:hint="eastAsia" w:ascii="Times New Roman" w:hAnsi="Times New Roman" w:cs="Times New Roman"/>
          <w:snapToGrid w:val="0"/>
          <w:sz w:val="24"/>
        </w:rPr>
        <w:t>本项目为防洪除涝和河湖整治项目，对于改善河道两岸人居环境、提升两岸耕地安全水平等发挥了重要的作用，符合《湖南省“十四五”生态环境保护规划》</w:t>
      </w:r>
      <w:r>
        <w:rPr>
          <w:rFonts w:ascii="Times New Roman" w:hAnsi="Times New Roman" w:cs="Times New Roman"/>
          <w:snapToGrid w:val="0"/>
          <w:sz w:val="24"/>
        </w:rPr>
        <w:t>。</w:t>
      </w:r>
    </w:p>
    <w:p>
      <w:pPr>
        <w:autoSpaceDE/>
        <w:autoSpaceDN/>
        <w:adjustRightInd w:val="0"/>
        <w:snapToGrid w:val="0"/>
        <w:spacing w:line="360" w:lineRule="auto"/>
        <w:jc w:val="both"/>
        <w:outlineLvl w:val="3"/>
        <w:rPr>
          <w:rFonts w:ascii="Times New Roman" w:hAnsi="Times New Roman" w:cs="Times New Roman"/>
          <w:b/>
          <w:sz w:val="24"/>
          <w:szCs w:val="24"/>
        </w:rPr>
      </w:pPr>
      <w:r>
        <w:rPr>
          <w:rFonts w:ascii="Times New Roman" w:hAnsi="Times New Roman" w:cs="Times New Roman"/>
          <w:b/>
          <w:sz w:val="24"/>
          <w:szCs w:val="24"/>
        </w:rPr>
        <w:t>1.</w:t>
      </w:r>
      <w:r>
        <w:rPr>
          <w:rFonts w:hint="eastAsia" w:ascii="Times New Roman" w:hAnsi="Times New Roman" w:cs="Times New Roman"/>
          <w:b/>
          <w:sz w:val="24"/>
          <w:szCs w:val="24"/>
          <w:lang w:val="en-US" w:eastAsia="zh-CN"/>
        </w:rPr>
        <w:t>4</w:t>
      </w:r>
      <w:r>
        <w:rPr>
          <w:rFonts w:ascii="Times New Roman" w:hAnsi="Times New Roman" w:cs="Times New Roman"/>
          <w:b/>
          <w:sz w:val="24"/>
          <w:szCs w:val="24"/>
        </w:rPr>
        <w:t>.3.2与《全国主体生态功能区划》和《湖南省主体功能区划》相符性分析</w:t>
      </w:r>
    </w:p>
    <w:p>
      <w:pPr>
        <w:autoSpaceDE/>
        <w:autoSpaceDN/>
        <w:adjustRightInd w:val="0"/>
        <w:snapToGrid w:val="0"/>
        <w:spacing w:line="360" w:lineRule="auto"/>
        <w:ind w:firstLine="480" w:firstLineChars="200"/>
        <w:jc w:val="both"/>
        <w:rPr>
          <w:rFonts w:ascii="Times New Roman" w:hAnsi="Times New Roman" w:cs="Times New Roman"/>
          <w:snapToGrid w:val="0"/>
          <w:sz w:val="24"/>
        </w:rPr>
      </w:pPr>
      <w:r>
        <w:rPr>
          <w:rFonts w:ascii="Times New Roman" w:hAnsi="Times New Roman" w:cs="Times New Roman"/>
          <w:snapToGrid w:val="0"/>
          <w:sz w:val="24"/>
        </w:rPr>
        <w:t xml:space="preserve">《全国主体功能区规划》主要划分：优化开发区、重点开发区、限制开发区、禁止开发区。重点开发区域是有一定经济基础、资源环境承载能力较强、发展潜力较大、集聚人口和经济的条件较好，从而应该重点进行工业化城镇化开发的城市化地区。限制开发区域分为两类：一类是农产品主产区，即耕地较多、农业发展条件较好，尽管也适宜工业化城镇化开发，但从保障国家农产品安全以及中华民族永续发展的需要出发，必须把增强农业综合生产能力作为发展的首要任务，从而应该限制进行大规模高强度工业化城镇化开发的地区；一类是重点生态功能区，即生态系统脆弱或生态功能重要，资源环境承载能力较低，不具备大规模高强度工业化城镇化开发的条件，必须把增强生态产品生产能力作为首要任务，从而应该限制进行大规模高强度工业化城镇化开发的地区；禁止开发区域是依法设立的各级各类自然文化资源保护区域，以及其他禁止进行工业化城镇化开发、需要特殊保护的重点生态功能区。 </w:t>
      </w:r>
    </w:p>
    <w:p>
      <w:pPr>
        <w:autoSpaceDE/>
        <w:autoSpaceDN/>
        <w:adjustRightInd w:val="0"/>
        <w:snapToGrid w:val="0"/>
        <w:spacing w:line="360" w:lineRule="auto"/>
        <w:ind w:firstLine="480" w:firstLineChars="200"/>
        <w:jc w:val="both"/>
        <w:rPr>
          <w:rFonts w:ascii="Times New Roman" w:hAnsi="Times New Roman" w:cs="Times New Roman"/>
          <w:snapToGrid w:val="0"/>
          <w:sz w:val="24"/>
        </w:rPr>
      </w:pPr>
      <w:r>
        <w:rPr>
          <w:rFonts w:hint="eastAsia" w:ascii="Times New Roman" w:hAnsi="Times New Roman" w:cs="Times New Roman"/>
          <w:snapToGrid w:val="0"/>
          <w:sz w:val="24"/>
        </w:rPr>
        <w:t>根据《湖南省主体功能区划》，项目区域内属于有限开发重点区域，项目不属于生产设施项目，但是项目涉及的环境敏感区均为禁止开发区域，项目建设属于基础设施建设，对于完善区域基础设施、改善区域生态环境、确保两岸人居环境安全、加强两岸耕地保护等具有重要意义，不会进行地块的开发建设，项目的建设与《全国主体生态功能区划》和《湖南省主体功能区划》相符合</w:t>
      </w:r>
      <w:r>
        <w:rPr>
          <w:rFonts w:ascii="Times New Roman" w:hAnsi="Times New Roman" w:cs="Times New Roman"/>
          <w:snapToGrid w:val="0"/>
          <w:sz w:val="24"/>
        </w:rPr>
        <w:t>。</w:t>
      </w:r>
    </w:p>
    <w:p>
      <w:pPr>
        <w:autoSpaceDE/>
        <w:autoSpaceDN/>
        <w:adjustRightInd w:val="0"/>
        <w:snapToGrid w:val="0"/>
        <w:spacing w:line="360" w:lineRule="auto"/>
        <w:jc w:val="both"/>
        <w:outlineLvl w:val="2"/>
        <w:rPr>
          <w:rFonts w:ascii="Times New Roman" w:hAnsi="Times New Roman" w:cs="Times New Roman"/>
          <w:b/>
          <w:sz w:val="28"/>
          <w:szCs w:val="24"/>
        </w:rPr>
      </w:pPr>
      <w:bookmarkStart w:id="34" w:name="_Toc66206009"/>
      <w:bookmarkStart w:id="35" w:name="_Toc69284535"/>
      <w:bookmarkStart w:id="36" w:name="_Toc82593066"/>
      <w:bookmarkStart w:id="37" w:name="_Toc10330"/>
      <w:r>
        <w:rPr>
          <w:rFonts w:ascii="Times New Roman" w:hAnsi="Times New Roman" w:cs="Times New Roman"/>
          <w:b/>
          <w:sz w:val="28"/>
          <w:szCs w:val="24"/>
        </w:rPr>
        <w:t>1.</w:t>
      </w:r>
      <w:r>
        <w:rPr>
          <w:rFonts w:hint="eastAsia" w:ascii="Times New Roman" w:hAnsi="Times New Roman" w:cs="Times New Roman"/>
          <w:b/>
          <w:sz w:val="28"/>
          <w:szCs w:val="24"/>
          <w:lang w:val="en-US" w:eastAsia="zh-CN"/>
        </w:rPr>
        <w:t>4</w:t>
      </w:r>
      <w:r>
        <w:rPr>
          <w:rFonts w:ascii="Times New Roman" w:hAnsi="Times New Roman" w:cs="Times New Roman"/>
          <w:b/>
          <w:sz w:val="28"/>
          <w:szCs w:val="24"/>
        </w:rPr>
        <w:t>.4“三线一单”符合性</w:t>
      </w:r>
      <w:bookmarkEnd w:id="34"/>
      <w:bookmarkEnd w:id="35"/>
      <w:bookmarkEnd w:id="36"/>
      <w:bookmarkEnd w:id="37"/>
    </w:p>
    <w:p>
      <w:pPr>
        <w:tabs>
          <w:tab w:val="left" w:pos="1322"/>
        </w:tabs>
        <w:autoSpaceDE/>
        <w:autoSpaceDN/>
        <w:adjustRightInd w:val="0"/>
        <w:snapToGrid w:val="0"/>
        <w:spacing w:line="360" w:lineRule="auto"/>
        <w:ind w:firstLine="480" w:firstLineChars="200"/>
        <w:jc w:val="both"/>
        <w:rPr>
          <w:rFonts w:ascii="Times New Roman" w:hAnsi="Times New Roman" w:cs="Times New Roman"/>
          <w:snapToGrid w:val="0"/>
          <w:sz w:val="24"/>
        </w:rPr>
      </w:pPr>
      <w:r>
        <w:rPr>
          <w:rFonts w:ascii="Times New Roman" w:hAnsi="Times New Roman" w:cs="Times New Roman"/>
          <w:snapToGrid w:val="0"/>
          <w:sz w:val="24"/>
        </w:rPr>
        <w:t>（1）生态红线</w:t>
      </w:r>
    </w:p>
    <w:p>
      <w:pPr>
        <w:pStyle w:val="2974"/>
        <w:rPr>
          <w:color w:val="auto"/>
          <w:u w:val="none" w:color="auto"/>
        </w:rPr>
      </w:pPr>
      <w:r>
        <w:rPr>
          <w:rFonts w:hint="eastAsia"/>
          <w:color w:val="auto"/>
          <w:u w:val="none" w:color="auto"/>
        </w:rPr>
        <w:t>根据《关于以改善环境质量为核心加强环境影响评价管理的通知》（环环评[2016]150号），生态保护红线是生态空间范围内具有特殊重要生态功能必须实行强制性严格保护的区域，除受自然条件限制、确实无法避让的铁路、公路、航道、防洪、管道、干渠、通讯、输变电等重要基础设施项目外，在生态保护红线范围内，严控各类开发建设活动，依法不予审批新建工业项目和矿产开发项目的环评文件。</w:t>
      </w:r>
    </w:p>
    <w:p>
      <w:pPr>
        <w:pStyle w:val="2974"/>
        <w:rPr>
          <w:color w:val="auto"/>
          <w:u w:val="none" w:color="auto"/>
        </w:rPr>
      </w:pPr>
      <w:r>
        <w:rPr>
          <w:rFonts w:hint="eastAsia"/>
          <w:color w:val="auto"/>
          <w:u w:val="none" w:color="auto"/>
        </w:rPr>
        <w:t>根据《湖南省人民政府关于印发&lt;湖南省生态保护红线&gt;的通知》（湘政发〔2018〕20号）中关于</w:t>
      </w:r>
      <w:r>
        <w:rPr>
          <w:rFonts w:hint="eastAsia"/>
          <w:color w:val="auto"/>
          <w:u w:val="none" w:color="auto"/>
          <w:lang w:eastAsia="zh-CN"/>
        </w:rPr>
        <w:t>衡阳市</w:t>
      </w:r>
      <w:r>
        <w:rPr>
          <w:rFonts w:hint="eastAsia"/>
          <w:color w:val="auto"/>
          <w:u w:val="none" w:color="auto"/>
        </w:rPr>
        <w:t>生态保护红线的要求，洞庭湖区生物多样性维护生态保护红线（包括长江岸线）主要考虑保护重点：以湿地生物多样性保护为核心，加强区内湿地自然保护区的恢复与管理，平垸行洪、退田还湖，扩大</w:t>
      </w:r>
      <w:r>
        <w:rPr>
          <w:rFonts w:hint="eastAsia"/>
          <w:color w:val="auto"/>
          <w:u w:val="none" w:color="auto"/>
          <w:lang w:eastAsia="zh-CN"/>
        </w:rPr>
        <w:t>河流</w:t>
      </w:r>
      <w:r>
        <w:rPr>
          <w:rFonts w:hint="eastAsia"/>
          <w:color w:val="auto"/>
          <w:u w:val="none" w:color="auto"/>
        </w:rPr>
        <w:t>面积，提高调蓄洪水的能力，工程属于河湖整治、水系连通和区域生态改善的治理工程，对区域生态环境有改善的正效益作用。</w:t>
      </w:r>
    </w:p>
    <w:p>
      <w:pPr>
        <w:pStyle w:val="2974"/>
        <w:rPr>
          <w:rFonts w:hint="eastAsia"/>
          <w:color w:val="auto"/>
          <w:u w:val="none" w:color="auto"/>
        </w:rPr>
      </w:pPr>
      <w:r>
        <w:rPr>
          <w:rFonts w:hint="eastAsia"/>
          <w:color w:val="auto"/>
          <w:u w:val="none" w:color="auto"/>
        </w:rPr>
        <w:t>根据《</w:t>
      </w:r>
      <w:r>
        <w:rPr>
          <w:rFonts w:hint="eastAsia"/>
          <w:color w:val="auto"/>
          <w:u w:val="none" w:color="auto"/>
          <w:lang w:eastAsia="zh-CN"/>
        </w:rPr>
        <w:t>衡阳市</w:t>
      </w:r>
      <w:r>
        <w:rPr>
          <w:rFonts w:hint="eastAsia"/>
          <w:color w:val="auto"/>
          <w:u w:val="none" w:color="auto"/>
        </w:rPr>
        <w:t>“三线一单”生态环境分区管控的意见》，‘生态保护红线内，自然保护地核心保护区原则上禁止人为活动，其他区域严格禁止开发性、生产性建设活动，在符合现行法律法规前提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涉及生态保护红线占用的，报国务院审批’。</w:t>
      </w:r>
    </w:p>
    <w:p>
      <w:pPr>
        <w:pStyle w:val="2974"/>
        <w:rPr>
          <w:rFonts w:hint="eastAsia"/>
          <w:color w:val="auto"/>
          <w:u w:val="none" w:color="auto"/>
        </w:rPr>
      </w:pPr>
      <w:r>
        <w:rPr>
          <w:rFonts w:hint="eastAsia"/>
          <w:color w:val="auto"/>
          <w:u w:val="none" w:color="auto"/>
          <w:lang w:val="en-US" w:eastAsia="zh-CN"/>
        </w:rPr>
        <w:t>根据祁东县自然资源局查询文件（附件11），</w:t>
      </w:r>
      <w:r>
        <w:rPr>
          <w:rFonts w:hint="eastAsia"/>
          <w:color w:val="auto"/>
          <w:u w:val="none" w:color="auto"/>
        </w:rPr>
        <w:t>本项目不在</w:t>
      </w:r>
      <w:r>
        <w:rPr>
          <w:rFonts w:hint="eastAsia"/>
          <w:color w:val="auto"/>
          <w:u w:val="none" w:color="auto"/>
          <w:lang w:eastAsia="zh-CN"/>
        </w:rPr>
        <w:t>祁东县</w:t>
      </w:r>
      <w:r>
        <w:rPr>
          <w:rFonts w:hint="eastAsia"/>
          <w:color w:val="auto"/>
          <w:u w:val="none" w:color="auto"/>
        </w:rPr>
        <w:t>红线保护区范围内，工程建设不属于污染环境、破坏资源或者景观的生产设施，工程通过</w:t>
      </w:r>
      <w:r>
        <w:rPr>
          <w:rFonts w:hint="eastAsia"/>
          <w:color w:val="auto"/>
          <w:u w:val="none" w:color="auto"/>
          <w:lang w:eastAsia="zh-CN"/>
        </w:rPr>
        <w:t>河滨湿地、河滨缓冲带、河口湿地</w:t>
      </w:r>
      <w:r>
        <w:rPr>
          <w:rFonts w:hint="eastAsia"/>
          <w:color w:val="auto"/>
          <w:u w:val="none" w:color="auto"/>
        </w:rPr>
        <w:t>提升区域</w:t>
      </w:r>
      <w:r>
        <w:rPr>
          <w:rFonts w:hint="eastAsia"/>
          <w:color w:val="auto"/>
          <w:u w:val="none" w:color="auto"/>
          <w:lang w:eastAsia="zh-CN"/>
        </w:rPr>
        <w:t>水环境质量</w:t>
      </w:r>
      <w:r>
        <w:rPr>
          <w:rFonts w:hint="eastAsia"/>
          <w:color w:val="auto"/>
          <w:u w:val="none" w:color="auto"/>
        </w:rPr>
        <w:t>，改善区域生态环境。因此项目与红线保护不相冲突。</w:t>
      </w:r>
    </w:p>
    <w:p>
      <w:pPr>
        <w:pStyle w:val="2974"/>
        <w:rPr>
          <w:rFonts w:ascii="Times New Roman" w:hAnsi="Times New Roman" w:cs="Times New Roman"/>
          <w:snapToGrid w:val="0"/>
          <w:sz w:val="24"/>
        </w:rPr>
      </w:pPr>
      <w:r>
        <w:rPr>
          <w:rFonts w:ascii="Times New Roman" w:hAnsi="Times New Roman" w:cs="Times New Roman"/>
          <w:snapToGrid w:val="0"/>
          <w:sz w:val="24"/>
        </w:rPr>
        <w:t>（2）环境质量底线</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区域环境空气属于《环境空气质量标准》（GB3095-2012）中二类功能区、地表水水体环境功能属于《地表水环境质量标准》（GB3838-2002）中</w:t>
      </w:r>
      <w:r>
        <w:rPr>
          <w:rFonts w:hint="eastAsia" w:ascii="宋体" w:hAnsi="宋体" w:eastAsia="宋体" w:cs="宋体"/>
          <w:snapToGrid w:val="0"/>
        </w:rPr>
        <w:t>Ⅱ</w:t>
      </w:r>
      <w:r>
        <w:rPr>
          <w:rFonts w:ascii="Times New Roman" w:hAnsi="Times New Roman" w:cs="Times New Roman"/>
          <w:snapToGrid w:val="0"/>
        </w:rPr>
        <w:t>类</w:t>
      </w:r>
      <w:r>
        <w:rPr>
          <w:rFonts w:hint="eastAsia" w:ascii="Times New Roman" w:hAnsi="Times New Roman" w:cs="Times New Roman"/>
          <w:snapToGrid w:val="0"/>
          <w:lang w:eastAsia="zh-CN"/>
        </w:rPr>
        <w:t>及</w:t>
      </w:r>
      <w:r>
        <w:rPr>
          <w:rFonts w:hint="eastAsia" w:ascii="宋体" w:hAnsi="宋体" w:eastAsia="宋体" w:cs="宋体"/>
          <w:snapToGrid w:val="0"/>
          <w:lang w:eastAsia="zh-CN"/>
        </w:rPr>
        <w:t>Ⅲ</w:t>
      </w:r>
      <w:r>
        <w:rPr>
          <w:rFonts w:hint="eastAsia" w:ascii="Times New Roman" w:hAnsi="Times New Roman" w:cs="Times New Roman"/>
          <w:snapToGrid w:val="0"/>
          <w:lang w:eastAsia="zh-CN"/>
        </w:rPr>
        <w:t>类</w:t>
      </w:r>
      <w:r>
        <w:rPr>
          <w:rFonts w:ascii="Times New Roman" w:hAnsi="Times New Roman" w:cs="Times New Roman"/>
          <w:snapToGrid w:val="0"/>
        </w:rPr>
        <w:t>功能区、区域声环境属于《声环境质量标准》（GB3096-2008）中2类功能区。</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本工程的实施目的是改善</w:t>
      </w:r>
      <w:r>
        <w:rPr>
          <w:rFonts w:hint="eastAsia" w:ascii="Times New Roman" w:hAnsi="Times New Roman" w:cs="Times New Roman"/>
          <w:snapToGrid w:val="0"/>
          <w:lang w:eastAsia="zh-CN"/>
        </w:rPr>
        <w:t>祁水</w:t>
      </w:r>
      <w:r>
        <w:rPr>
          <w:rFonts w:ascii="Times New Roman" w:hAnsi="Times New Roman" w:cs="Times New Roman"/>
          <w:snapToGrid w:val="0"/>
        </w:rPr>
        <w:t>及周围水体水环境质量及周边生态环境，有利于区域水环境质量的提升，有利于提升当地环境质量底线。</w:t>
      </w:r>
    </w:p>
    <w:p>
      <w:pPr>
        <w:tabs>
          <w:tab w:val="left" w:pos="1322"/>
        </w:tabs>
        <w:autoSpaceDE/>
        <w:autoSpaceDN/>
        <w:adjustRightInd w:val="0"/>
        <w:snapToGrid w:val="0"/>
        <w:spacing w:line="360" w:lineRule="auto"/>
        <w:ind w:firstLine="480" w:firstLineChars="200"/>
        <w:jc w:val="both"/>
        <w:rPr>
          <w:rFonts w:ascii="Times New Roman" w:hAnsi="Times New Roman" w:cs="Times New Roman"/>
          <w:snapToGrid w:val="0"/>
          <w:sz w:val="24"/>
        </w:rPr>
      </w:pPr>
      <w:r>
        <w:rPr>
          <w:rFonts w:ascii="Times New Roman" w:hAnsi="Times New Roman" w:cs="Times New Roman"/>
          <w:snapToGrid w:val="0"/>
          <w:sz w:val="24"/>
        </w:rPr>
        <w:t>（3）资源利用上线</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本项目对</w:t>
      </w:r>
      <w:r>
        <w:rPr>
          <w:rFonts w:hint="eastAsia" w:ascii="Times New Roman" w:hAnsi="Times New Roman" w:cs="Times New Roman"/>
          <w:snapToGrid w:val="0"/>
          <w:lang w:eastAsia="zh-CN"/>
        </w:rPr>
        <w:t>祁水</w:t>
      </w:r>
      <w:r>
        <w:rPr>
          <w:rFonts w:ascii="Times New Roman" w:hAnsi="Times New Roman" w:cs="Times New Roman"/>
          <w:snapToGrid w:val="0"/>
        </w:rPr>
        <w:t>入湖河流进行综合治理，治理过程需要永久或临时占用一定的土地资源，用地符合相关部门对土地资源开发利用的管控要求，符合土地资源利用上线管控要求。</w:t>
      </w:r>
    </w:p>
    <w:p>
      <w:pPr>
        <w:tabs>
          <w:tab w:val="left" w:pos="1322"/>
        </w:tabs>
        <w:autoSpaceDE/>
        <w:autoSpaceDN/>
        <w:adjustRightInd w:val="0"/>
        <w:snapToGrid w:val="0"/>
        <w:spacing w:line="360" w:lineRule="auto"/>
        <w:ind w:firstLine="480" w:firstLineChars="200"/>
        <w:jc w:val="both"/>
        <w:rPr>
          <w:rFonts w:ascii="Times New Roman" w:hAnsi="Times New Roman" w:cs="Times New Roman"/>
          <w:snapToGrid w:val="0"/>
          <w:sz w:val="24"/>
        </w:rPr>
      </w:pPr>
      <w:r>
        <w:rPr>
          <w:rFonts w:ascii="Times New Roman" w:hAnsi="Times New Roman" w:cs="Times New Roman"/>
          <w:snapToGrid w:val="0"/>
          <w:sz w:val="24"/>
        </w:rPr>
        <w:t>（4）生态环境准入清单</w:t>
      </w:r>
    </w:p>
    <w:p>
      <w:pPr>
        <w:pStyle w:val="145"/>
        <w:adjustRightInd w:val="0"/>
        <w:snapToGrid w:val="0"/>
        <w:ind w:firstLine="480"/>
        <w:rPr>
          <w:rFonts w:cs="Times New Roman"/>
          <w:snapToGrid w:val="0"/>
        </w:rPr>
      </w:pPr>
      <w:r>
        <w:rPr>
          <w:rFonts w:cs="Times New Roman"/>
          <w:snapToGrid w:val="0"/>
        </w:rPr>
        <w:t>本项目属于环境综合整治项目，项目建设符合国家和行业的产业政策，符合</w:t>
      </w:r>
      <w:r>
        <w:rPr>
          <w:rFonts w:hint="eastAsia" w:cs="Times New Roman"/>
          <w:snapToGrid w:val="0"/>
          <w:lang w:eastAsia="zh-CN"/>
        </w:rPr>
        <w:t>衡阳市</w:t>
      </w:r>
      <w:r>
        <w:rPr>
          <w:rFonts w:hint="eastAsia" w:cs="Times New Roman"/>
          <w:snapToGrid w:val="0"/>
        </w:rPr>
        <w:t>“三线一单”生态环境分区管控的意见</w:t>
      </w:r>
      <w:r>
        <w:rPr>
          <w:rFonts w:cs="Times New Roman"/>
          <w:snapToGrid w:val="0"/>
        </w:rPr>
        <w:t>的要求。</w:t>
      </w:r>
    </w:p>
    <w:p>
      <w:pPr>
        <w:autoSpaceDE/>
        <w:autoSpaceDN/>
        <w:adjustRightInd w:val="0"/>
        <w:snapToGrid w:val="0"/>
        <w:spacing w:line="360" w:lineRule="auto"/>
        <w:jc w:val="both"/>
        <w:outlineLvl w:val="2"/>
        <w:rPr>
          <w:rFonts w:ascii="Times New Roman" w:hAnsi="Times New Roman" w:cs="Times New Roman"/>
          <w:b/>
          <w:sz w:val="28"/>
          <w:szCs w:val="24"/>
        </w:rPr>
      </w:pPr>
      <w:bookmarkStart w:id="38" w:name="_Toc82593067"/>
      <w:bookmarkStart w:id="39" w:name="_Toc7994"/>
      <w:r>
        <w:rPr>
          <w:rFonts w:ascii="Times New Roman" w:hAnsi="Times New Roman" w:cs="Times New Roman"/>
          <w:b/>
          <w:sz w:val="28"/>
          <w:szCs w:val="24"/>
        </w:rPr>
        <w:t>1.</w:t>
      </w:r>
      <w:r>
        <w:rPr>
          <w:rFonts w:hint="eastAsia" w:ascii="Times New Roman" w:hAnsi="Times New Roman" w:cs="Times New Roman"/>
          <w:b/>
          <w:sz w:val="28"/>
          <w:szCs w:val="24"/>
          <w:lang w:val="en-US" w:eastAsia="zh-CN"/>
        </w:rPr>
        <w:t>4</w:t>
      </w:r>
      <w:r>
        <w:rPr>
          <w:rFonts w:ascii="Times New Roman" w:hAnsi="Times New Roman" w:cs="Times New Roman"/>
          <w:b/>
          <w:sz w:val="28"/>
          <w:szCs w:val="24"/>
        </w:rPr>
        <w:t>.5</w:t>
      </w:r>
      <w:bookmarkEnd w:id="38"/>
      <w:r>
        <w:rPr>
          <w:rFonts w:hint="eastAsia" w:ascii="Times New Roman" w:hAnsi="Times New Roman" w:cs="Times New Roman"/>
          <w:b/>
          <w:sz w:val="28"/>
          <w:szCs w:val="24"/>
        </w:rPr>
        <w:t>与“</w:t>
      </w:r>
      <w:r>
        <w:rPr>
          <w:rFonts w:hint="eastAsia" w:ascii="Times New Roman" w:hAnsi="Times New Roman" w:cs="Times New Roman"/>
          <w:b/>
          <w:sz w:val="28"/>
          <w:szCs w:val="24"/>
          <w:lang w:eastAsia="zh-CN"/>
        </w:rPr>
        <w:t>衡阳市</w:t>
      </w:r>
      <w:r>
        <w:rPr>
          <w:rFonts w:hint="eastAsia" w:ascii="Times New Roman" w:hAnsi="Times New Roman" w:cs="Times New Roman"/>
          <w:b/>
          <w:sz w:val="28"/>
          <w:szCs w:val="24"/>
        </w:rPr>
        <w:t>人民政府关于实施</w:t>
      </w:r>
      <w:r>
        <w:rPr>
          <w:rFonts w:hint="eastAsia" w:ascii="Times New Roman" w:hAnsi="Times New Roman" w:cs="Times New Roman"/>
          <w:b/>
          <w:sz w:val="28"/>
          <w:szCs w:val="24"/>
          <w:lang w:eastAsia="zh-CN"/>
        </w:rPr>
        <w:t>衡阳市</w:t>
      </w:r>
      <w:r>
        <w:rPr>
          <w:rFonts w:hint="eastAsia" w:ascii="Times New Roman" w:hAnsi="Times New Roman" w:cs="Times New Roman"/>
          <w:b/>
          <w:sz w:val="28"/>
          <w:szCs w:val="24"/>
        </w:rPr>
        <w:t>“三线一单”生态环境分区管控的意见（</w:t>
      </w:r>
      <w:r>
        <w:rPr>
          <w:rFonts w:hint="eastAsia" w:ascii="Times New Roman" w:hAnsi="Times New Roman" w:cs="Times New Roman"/>
          <w:b/>
          <w:sz w:val="28"/>
          <w:szCs w:val="24"/>
          <w:lang w:eastAsia="zh-CN"/>
        </w:rPr>
        <w:t>衡政发[2020]9号</w:t>
      </w:r>
      <w:r>
        <w:rPr>
          <w:rFonts w:hint="eastAsia" w:ascii="Times New Roman" w:hAnsi="Times New Roman" w:cs="Times New Roman"/>
          <w:b/>
          <w:sz w:val="28"/>
          <w:szCs w:val="24"/>
        </w:rPr>
        <w:t>）”相符性分析</w:t>
      </w:r>
      <w:bookmarkEnd w:id="39"/>
    </w:p>
    <w:p>
      <w:pPr>
        <w:pStyle w:val="145"/>
        <w:adjustRightInd w:val="0"/>
        <w:snapToGrid w:val="0"/>
        <w:ind w:firstLine="480"/>
        <w:rPr>
          <w:rFonts w:cs="Times New Roman"/>
          <w:snapToGrid w:val="0"/>
          <w:color w:val="000000" w:themeColor="text1"/>
          <w14:textFill>
            <w14:solidFill>
              <w14:schemeClr w14:val="tx1"/>
            </w14:solidFill>
          </w14:textFill>
        </w:rPr>
      </w:pPr>
      <w:r>
        <w:rPr>
          <w:rFonts w:cs="Times New Roman"/>
          <w:snapToGrid w:val="0"/>
        </w:rPr>
        <w:t>根据《</w:t>
      </w:r>
      <w:r>
        <w:rPr>
          <w:rFonts w:hint="eastAsia" w:cs="Times New Roman"/>
          <w:snapToGrid w:val="0"/>
          <w:lang w:eastAsia="zh-CN"/>
        </w:rPr>
        <w:t>衡阳市</w:t>
      </w:r>
      <w:r>
        <w:rPr>
          <w:rFonts w:hint="eastAsia" w:cs="Times New Roman"/>
          <w:snapToGrid w:val="0"/>
        </w:rPr>
        <w:t>人民政府</w:t>
      </w:r>
      <w:r>
        <w:rPr>
          <w:rFonts w:cs="Times New Roman"/>
          <w:snapToGrid w:val="0"/>
        </w:rPr>
        <w:t>〈</w:t>
      </w:r>
      <w:r>
        <w:rPr>
          <w:rFonts w:hint="eastAsia" w:cs="Times New Roman"/>
          <w:snapToGrid w:val="0"/>
        </w:rPr>
        <w:t>关于实施</w:t>
      </w:r>
      <w:r>
        <w:rPr>
          <w:rFonts w:hint="eastAsia" w:cs="Times New Roman"/>
          <w:snapToGrid w:val="0"/>
          <w:lang w:eastAsia="zh-CN"/>
        </w:rPr>
        <w:t>衡阳市</w:t>
      </w:r>
      <w:r>
        <w:rPr>
          <w:rFonts w:hint="eastAsia" w:cs="Times New Roman"/>
          <w:snapToGrid w:val="0"/>
        </w:rPr>
        <w:t>“三线一单”生态环境分区管控的意见</w:t>
      </w:r>
      <w:r>
        <w:rPr>
          <w:rFonts w:cs="Times New Roman"/>
          <w:snapToGrid w:val="0"/>
        </w:rPr>
        <w:t>〉》（</w:t>
      </w:r>
      <w:r>
        <w:rPr>
          <w:rFonts w:hint="eastAsia" w:cs="Times New Roman"/>
          <w:snapToGrid w:val="0"/>
          <w:lang w:eastAsia="zh-CN"/>
        </w:rPr>
        <w:t>衡政发[2020]9号</w:t>
      </w:r>
      <w:r>
        <w:rPr>
          <w:rFonts w:cs="Times New Roman"/>
          <w:snapToGrid w:val="0"/>
        </w:rPr>
        <w:t>），</w:t>
      </w:r>
      <w:r>
        <w:rPr>
          <w:rFonts w:hint="eastAsia" w:cs="Times New Roman"/>
          <w:snapToGrid w:val="0"/>
          <w:lang w:eastAsia="zh-CN"/>
        </w:rPr>
        <w:t>结合本项目工程所在地分析如下</w:t>
      </w:r>
      <w:r>
        <w:rPr>
          <w:rFonts w:cs="Times New Roman"/>
          <w:snapToGrid w:val="0"/>
          <w:color w:val="000000" w:themeColor="text1"/>
          <w14:textFill>
            <w14:solidFill>
              <w14:schemeClr w14:val="tx1"/>
            </w14:solidFill>
          </w14:textFill>
        </w:rPr>
        <w:t>。</w:t>
      </w:r>
    </w:p>
    <w:p>
      <w:pPr>
        <w:pStyle w:val="2976"/>
        <w:rPr>
          <w:color w:val="auto"/>
          <w:u w:val="none" w:color="auto"/>
        </w:rPr>
      </w:pPr>
      <w:r>
        <w:rPr>
          <w:rFonts w:hint="eastAsia"/>
          <w:color w:val="auto"/>
          <w:u w:val="none" w:color="auto"/>
        </w:rPr>
        <w:t>表</w:t>
      </w:r>
      <w:r>
        <w:rPr>
          <w:rFonts w:hint="eastAsia"/>
          <w:color w:val="auto"/>
          <w:u w:val="none" w:color="auto"/>
          <w:lang w:val="en-US" w:eastAsia="zh-CN"/>
        </w:rPr>
        <w:t>1.5.5</w:t>
      </w:r>
      <w:r>
        <w:rPr>
          <w:rFonts w:hint="eastAsia"/>
          <w:color w:val="auto"/>
          <w:u w:val="none" w:color="auto"/>
        </w:rPr>
        <w:t>-1 与</w:t>
      </w:r>
      <w:r>
        <w:rPr>
          <w:rFonts w:hint="eastAsia"/>
          <w:color w:val="auto"/>
          <w:u w:val="none" w:color="auto"/>
          <w:lang w:eastAsia="zh-CN"/>
        </w:rPr>
        <w:t>衡政发[2020]9号</w:t>
      </w:r>
      <w:r>
        <w:rPr>
          <w:rFonts w:hint="eastAsia"/>
          <w:color w:val="auto"/>
          <w:u w:val="none" w:color="auto"/>
        </w:rPr>
        <w:t>相符性分析</w:t>
      </w:r>
    </w:p>
    <w:tbl>
      <w:tblPr>
        <w:tblStyle w:val="90"/>
        <w:tblW w:w="924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750"/>
        <w:gridCol w:w="916"/>
        <w:gridCol w:w="1100"/>
        <w:gridCol w:w="2376"/>
        <w:gridCol w:w="27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42" w:type="dxa"/>
            <w:gridSpan w:val="6"/>
            <w:vAlign w:val="center"/>
          </w:tcPr>
          <w:p>
            <w:pPr>
              <w:pStyle w:val="2977"/>
              <w:widowControl w:val="0"/>
              <w:rPr>
                <w:color w:val="auto"/>
                <w:u w:val="none" w:color="auto"/>
              </w:rPr>
            </w:pPr>
            <w:r>
              <w:rPr>
                <w:rFonts w:hint="eastAsia"/>
                <w:color w:val="auto"/>
                <w:u w:val="none" w:color="auto"/>
                <w:lang w:eastAsia="zh-CN"/>
              </w:rPr>
              <w:t>总体</w:t>
            </w:r>
            <w:r>
              <w:rPr>
                <w:rFonts w:hint="eastAsia"/>
                <w:color w:val="auto"/>
                <w:u w:val="none" w:color="auto"/>
              </w:rPr>
              <w:t>管控要求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5" w:type="dxa"/>
            <w:vAlign w:val="center"/>
          </w:tcPr>
          <w:p>
            <w:pPr>
              <w:pStyle w:val="2977"/>
              <w:widowControl w:val="0"/>
              <w:rPr>
                <w:color w:val="auto"/>
                <w:u w:val="none" w:color="auto"/>
              </w:rPr>
            </w:pPr>
            <w:r>
              <w:rPr>
                <w:rFonts w:hint="eastAsia"/>
                <w:color w:val="auto"/>
                <w:u w:val="none" w:color="auto"/>
              </w:rPr>
              <w:t>内容</w:t>
            </w:r>
          </w:p>
        </w:tc>
        <w:tc>
          <w:tcPr>
            <w:tcW w:w="5142" w:type="dxa"/>
            <w:gridSpan w:val="4"/>
            <w:vAlign w:val="center"/>
          </w:tcPr>
          <w:p>
            <w:pPr>
              <w:pStyle w:val="2977"/>
              <w:widowControl w:val="0"/>
              <w:rPr>
                <w:color w:val="auto"/>
                <w:u w:val="none" w:color="auto"/>
              </w:rPr>
            </w:pPr>
            <w:r>
              <w:rPr>
                <w:rFonts w:hint="eastAsia"/>
                <w:color w:val="auto"/>
                <w:u w:val="none" w:color="auto"/>
              </w:rPr>
              <w:t>文件要求</w:t>
            </w:r>
          </w:p>
        </w:tc>
        <w:tc>
          <w:tcPr>
            <w:tcW w:w="2745" w:type="dxa"/>
            <w:vAlign w:val="center"/>
          </w:tcPr>
          <w:p>
            <w:pPr>
              <w:pStyle w:val="2977"/>
              <w:widowControl w:val="0"/>
              <w:rPr>
                <w:color w:val="auto"/>
                <w:u w:val="none" w:color="auto"/>
              </w:rPr>
            </w:pPr>
            <w:r>
              <w:rPr>
                <w:rFonts w:hint="eastAsia"/>
                <w:color w:val="auto"/>
                <w:u w:val="none" w:color="auto"/>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5" w:type="dxa"/>
            <w:vAlign w:val="center"/>
          </w:tcPr>
          <w:p>
            <w:pPr>
              <w:pStyle w:val="2977"/>
              <w:widowControl w:val="0"/>
              <w:rPr>
                <w:color w:val="auto"/>
                <w:u w:val="none" w:color="auto"/>
              </w:rPr>
            </w:pPr>
            <w:r>
              <w:rPr>
                <w:rFonts w:hint="eastAsia"/>
                <w:color w:val="auto"/>
                <w:u w:val="none" w:color="auto"/>
              </w:rPr>
              <w:t>空间布局约束</w:t>
            </w:r>
          </w:p>
        </w:tc>
        <w:tc>
          <w:tcPr>
            <w:tcW w:w="5142" w:type="dxa"/>
            <w:gridSpan w:val="4"/>
            <w:vAlign w:val="center"/>
          </w:tcPr>
          <w:p>
            <w:pPr>
              <w:pStyle w:val="2977"/>
              <w:widowControl w:val="0"/>
              <w:jc w:val="both"/>
              <w:rPr>
                <w:rFonts w:hint="eastAsia"/>
                <w:color w:val="auto"/>
                <w:u w:val="none" w:color="auto"/>
              </w:rPr>
            </w:pPr>
            <w:r>
              <w:rPr>
                <w:rFonts w:hint="eastAsia"/>
                <w:color w:val="auto"/>
                <w:u w:val="none" w:color="auto"/>
              </w:rPr>
              <w:t>（1.1）全面落实主体功能区规划，优化发展空间布局。以《衡阳市城市总体规划（2006—2020）》为指导，根据资源环境承载能力、现有开发密度和发展潜力，统筹考虑未来的人口分布、经济布局、城镇化格局和国土利用，将全市国土空间划分为已建区域、适宜开发区域、限制开发区域、禁止开发区域四大类主体功能区。</w:t>
            </w:r>
          </w:p>
          <w:p>
            <w:pPr>
              <w:pStyle w:val="2977"/>
              <w:widowControl w:val="0"/>
              <w:jc w:val="both"/>
              <w:rPr>
                <w:rFonts w:hint="eastAsia"/>
                <w:color w:val="auto"/>
                <w:u w:val="none" w:color="auto"/>
              </w:rPr>
            </w:pPr>
            <w:r>
              <w:rPr>
                <w:rFonts w:hint="eastAsia"/>
                <w:color w:val="auto"/>
                <w:u w:val="none" w:color="auto"/>
              </w:rPr>
              <w:t>（1.2）强化主体功能区划约束，科学制定重点行业发展规划，严格限制在生态脆弱或环境敏感地区建设“两高”行业项目。在全市范围内对淘汰类“散乱污”企业依法依规完成关停取缔。</w:t>
            </w:r>
          </w:p>
          <w:p>
            <w:pPr>
              <w:pStyle w:val="2977"/>
              <w:widowControl w:val="0"/>
              <w:jc w:val="both"/>
              <w:rPr>
                <w:rFonts w:hint="eastAsia"/>
                <w:color w:val="auto"/>
                <w:u w:val="none" w:color="auto"/>
              </w:rPr>
            </w:pPr>
            <w:r>
              <w:rPr>
                <w:rFonts w:hint="eastAsia"/>
                <w:color w:val="auto"/>
                <w:u w:val="none" w:color="auto"/>
              </w:rPr>
              <w:t>（1.3）进一步鼓励产业集聚发展，统筹开展全市范围内“散乱污”企业综合整治。基本完成产业园区外重化企业搬迁入园和园区循环化改造。</w:t>
            </w:r>
          </w:p>
          <w:p>
            <w:pPr>
              <w:pStyle w:val="2977"/>
              <w:widowControl w:val="0"/>
              <w:jc w:val="both"/>
              <w:rPr>
                <w:rFonts w:hint="eastAsia"/>
                <w:color w:val="auto"/>
                <w:u w:val="none" w:color="auto"/>
              </w:rPr>
            </w:pPr>
            <w:r>
              <w:rPr>
                <w:rFonts w:hint="eastAsia"/>
                <w:color w:val="auto"/>
                <w:u w:val="none" w:color="auto"/>
              </w:rPr>
              <w:t>（1.4）严格执行相关行业企业布局选址要求，禁止在商住、学校、医疗、养老机构、人口密集区和公共服务设施等周边新建有色金属冶炼、化工等行业企业。</w:t>
            </w:r>
          </w:p>
          <w:p>
            <w:pPr>
              <w:pStyle w:val="2977"/>
              <w:widowControl w:val="0"/>
              <w:jc w:val="both"/>
              <w:rPr>
                <w:color w:val="auto"/>
                <w:u w:val="none" w:color="auto"/>
              </w:rPr>
            </w:pPr>
            <w:r>
              <w:rPr>
                <w:rFonts w:hint="eastAsia"/>
                <w:color w:val="auto"/>
                <w:u w:val="none" w:color="auto"/>
              </w:rPr>
              <w:t>（1.5）湘江沿江岸线1公里范围内，严禁新建、扩建化工园区、化工生产项目；严禁现有合规化工园区在沿江岸线1公里范围内靠江扩建；安全环保达标的化工生产企业因生产需要可向背江一面逐步搬迁。</w:t>
            </w:r>
          </w:p>
        </w:tc>
        <w:tc>
          <w:tcPr>
            <w:tcW w:w="2745" w:type="dxa"/>
            <w:vAlign w:val="center"/>
          </w:tcPr>
          <w:p>
            <w:pPr>
              <w:pStyle w:val="2977"/>
              <w:widowControl w:val="0"/>
              <w:rPr>
                <w:rFonts w:hint="eastAsia" w:eastAsia="宋体"/>
                <w:color w:val="auto"/>
                <w:u w:val="none" w:color="auto"/>
                <w:lang w:eastAsia="zh-CN"/>
              </w:rPr>
            </w:pPr>
            <w:r>
              <w:rPr>
                <w:rFonts w:hint="eastAsia"/>
                <w:color w:val="auto"/>
                <w:u w:val="none" w:color="auto"/>
              </w:rPr>
              <w:t>本项目是对</w:t>
            </w:r>
            <w:r>
              <w:rPr>
                <w:rFonts w:hint="eastAsia"/>
                <w:color w:val="auto"/>
                <w:u w:val="none" w:color="auto"/>
                <w:lang w:eastAsia="zh-CN"/>
              </w:rPr>
              <w:t>祁水</w:t>
            </w:r>
            <w:r>
              <w:rPr>
                <w:rFonts w:hint="eastAsia"/>
                <w:color w:val="auto"/>
                <w:u w:val="none" w:color="auto"/>
              </w:rPr>
              <w:t>流域</w:t>
            </w:r>
            <w:r>
              <w:rPr>
                <w:rFonts w:hint="eastAsia"/>
                <w:color w:val="auto"/>
                <w:u w:val="none" w:color="auto"/>
                <w:lang w:eastAsia="zh-CN"/>
              </w:rPr>
              <w:t>河湖整治</w:t>
            </w:r>
            <w:r>
              <w:rPr>
                <w:rFonts w:hint="eastAsia"/>
                <w:color w:val="auto"/>
                <w:u w:val="none" w:color="auto"/>
              </w:rPr>
              <w:t>。</w:t>
            </w:r>
            <w:r>
              <w:rPr>
                <w:rFonts w:hint="eastAsia"/>
                <w:color w:val="auto"/>
                <w:u w:val="none" w:color="auto"/>
                <w:lang w:eastAsia="zh-CN"/>
              </w:rPr>
              <w:t>符合相关的要求。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5" w:type="dxa"/>
            <w:vAlign w:val="center"/>
          </w:tcPr>
          <w:p>
            <w:pPr>
              <w:pStyle w:val="2977"/>
              <w:widowControl w:val="0"/>
              <w:rPr>
                <w:rFonts w:hint="eastAsia"/>
                <w:color w:val="auto"/>
                <w:u w:val="none" w:color="auto"/>
              </w:rPr>
            </w:pPr>
            <w:r>
              <w:rPr>
                <w:rFonts w:hint="eastAsia"/>
                <w:color w:val="auto"/>
                <w:u w:val="none" w:color="auto"/>
              </w:rPr>
              <w:t>污染物排放管控</w:t>
            </w:r>
          </w:p>
        </w:tc>
        <w:tc>
          <w:tcPr>
            <w:tcW w:w="5142" w:type="dxa"/>
            <w:gridSpan w:val="4"/>
            <w:vAlign w:val="center"/>
          </w:tcPr>
          <w:p>
            <w:pPr>
              <w:pStyle w:val="2977"/>
              <w:widowControl w:val="0"/>
              <w:jc w:val="both"/>
              <w:rPr>
                <w:rFonts w:hint="eastAsia"/>
                <w:color w:val="auto"/>
                <w:u w:val="none" w:color="auto"/>
              </w:rPr>
            </w:pPr>
            <w:r>
              <w:rPr>
                <w:rFonts w:hint="eastAsia"/>
                <w:color w:val="auto"/>
                <w:u w:val="none" w:color="auto"/>
              </w:rPr>
              <w:t>（2.1）全市淘汰10 蒸吨及以下燃煤锅炉。新、改、扩建项目二氧化硫、氮氧化物污染物须实行两倍削减替代。</w:t>
            </w:r>
          </w:p>
          <w:p>
            <w:pPr>
              <w:pStyle w:val="2977"/>
              <w:widowControl w:val="0"/>
              <w:jc w:val="both"/>
              <w:rPr>
                <w:rFonts w:hint="eastAsia"/>
                <w:color w:val="auto"/>
                <w:u w:val="none" w:color="auto"/>
              </w:rPr>
            </w:pPr>
            <w:r>
              <w:rPr>
                <w:rFonts w:hint="eastAsia"/>
                <w:color w:val="auto"/>
                <w:u w:val="none" w:color="auto"/>
              </w:rPr>
              <w:t>（2.2）以钢铁、建材、化工、有色金属冶炼等行业为重点，全面推进清洁生产技术改造，注重过程控制。全市国家级园区和省级工业园区建成大气污染网格化综合监管平台，建设网格化监测微型站，加强特征污染物和环境质量监测；积极推进火电、钢铁、建材、平板玻璃、有色、化工等重点行业以及符合政策予以保留的在用燃煤锅炉环保设施升级改造，实现连续稳定达标排放。强化工业企业无组织排放管控。实行重点地区和重点行业特别排放限值要求。</w:t>
            </w:r>
          </w:p>
          <w:p>
            <w:pPr>
              <w:pStyle w:val="2977"/>
              <w:widowControl w:val="0"/>
              <w:jc w:val="both"/>
              <w:rPr>
                <w:rFonts w:hint="eastAsia"/>
                <w:color w:val="auto"/>
                <w:u w:val="none" w:color="auto"/>
              </w:rPr>
            </w:pPr>
            <w:r>
              <w:rPr>
                <w:rFonts w:hint="eastAsia"/>
                <w:color w:val="auto"/>
                <w:u w:val="none" w:color="auto"/>
              </w:rPr>
              <w:t>（2.3）加强在用机动车污染防治，管控非道路移动机械和船舶污染。坚持扬尘污染治理。严禁秸秆露天焚烧。</w:t>
            </w:r>
          </w:p>
          <w:p>
            <w:pPr>
              <w:pStyle w:val="2977"/>
              <w:widowControl w:val="0"/>
              <w:jc w:val="both"/>
              <w:rPr>
                <w:rFonts w:hint="eastAsia"/>
                <w:color w:val="auto"/>
                <w:u w:val="none" w:color="auto"/>
              </w:rPr>
            </w:pPr>
            <w:r>
              <w:rPr>
                <w:rFonts w:hint="eastAsia"/>
                <w:color w:val="auto"/>
                <w:u w:val="none" w:color="auto"/>
              </w:rPr>
              <w:t>（2.4）督促涉重金属企业严格落实各项要求，对未经审批的建设项目，一律停止建设；对未按时完成实施方案规定要求、无污染治理设施、污染治理设施运行不正常或超标排放的，一律停产整治；对整治无望或限期整治后仍达不到相关要求的，依法予以关停。</w:t>
            </w:r>
          </w:p>
          <w:p>
            <w:pPr>
              <w:pStyle w:val="2977"/>
              <w:widowControl w:val="0"/>
              <w:jc w:val="both"/>
              <w:rPr>
                <w:rFonts w:hint="eastAsia"/>
                <w:color w:val="auto"/>
                <w:u w:val="none" w:color="auto"/>
              </w:rPr>
            </w:pPr>
            <w:r>
              <w:rPr>
                <w:rFonts w:hint="eastAsia"/>
                <w:color w:val="auto"/>
                <w:u w:val="none" w:color="auto"/>
              </w:rPr>
              <w:t>（2.5）充分利用环境监测网格，重点监管有色金属冶炼、有色金属矿采选、化工、电解锰、电镀、制革、石油加工、危险废物经营等重点行业，以及产粮（油）大县、绿色食品（原料）基地、县级以上城市建成区等区域，重点监控土壤中镉、汞、砷、铅、铬、锑等重金属和多环芳烃、石油烃、卤代烃等有机污染物。</w:t>
            </w:r>
          </w:p>
        </w:tc>
        <w:tc>
          <w:tcPr>
            <w:tcW w:w="2745" w:type="dxa"/>
            <w:vAlign w:val="center"/>
          </w:tcPr>
          <w:p>
            <w:pPr>
              <w:pStyle w:val="2977"/>
              <w:widowControl w:val="0"/>
              <w:rPr>
                <w:rFonts w:hint="eastAsia" w:eastAsia="宋体"/>
                <w:color w:val="auto"/>
                <w:u w:val="none" w:color="auto"/>
                <w:lang w:eastAsia="zh-CN"/>
              </w:rPr>
            </w:pPr>
            <w:r>
              <w:rPr>
                <w:rFonts w:hint="eastAsia"/>
                <w:color w:val="auto"/>
                <w:u w:val="none" w:color="auto"/>
                <w:lang w:eastAsia="zh-CN"/>
              </w:rPr>
              <w:t>项目施工期将</w:t>
            </w:r>
            <w:r>
              <w:rPr>
                <w:rFonts w:hint="eastAsia"/>
                <w:color w:val="auto"/>
                <w:u w:val="none" w:color="auto"/>
              </w:rPr>
              <w:t>加强建筑施工扬尘和渣土扬尘综合整治</w:t>
            </w:r>
            <w:r>
              <w:rPr>
                <w:rFonts w:hint="eastAsia"/>
                <w:color w:val="auto"/>
                <w:u w:val="none" w:color="auto"/>
                <w:lang w:eastAsia="zh-CN"/>
              </w:rPr>
              <w:t>，不设置施工废水排口。不进行</w:t>
            </w:r>
            <w:r>
              <w:rPr>
                <w:rFonts w:hint="eastAsia"/>
                <w:color w:val="auto"/>
                <w:u w:val="none" w:color="auto"/>
              </w:rPr>
              <w:t>河道采砂</w:t>
            </w:r>
            <w:r>
              <w:rPr>
                <w:rFonts w:hint="eastAsia"/>
                <w:color w:val="auto"/>
                <w:u w:val="none" w:color="auto"/>
                <w:lang w:eastAsia="zh-CN"/>
              </w:rPr>
              <w:t>等</w:t>
            </w:r>
            <w:r>
              <w:rPr>
                <w:rFonts w:hint="eastAsia"/>
                <w:color w:val="auto"/>
                <w:u w:val="none" w:color="auto"/>
              </w:rPr>
              <w:t>非法采砂行为</w:t>
            </w:r>
            <w:r>
              <w:rPr>
                <w:rFonts w:hint="eastAsia"/>
                <w:color w:val="auto"/>
                <w:u w:val="none" w:color="auto"/>
                <w:lang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5" w:type="dxa"/>
            <w:vAlign w:val="center"/>
          </w:tcPr>
          <w:p>
            <w:pPr>
              <w:pStyle w:val="2977"/>
              <w:widowControl w:val="0"/>
              <w:rPr>
                <w:rFonts w:hint="eastAsia"/>
                <w:color w:val="auto"/>
                <w:u w:val="none" w:color="auto"/>
              </w:rPr>
            </w:pPr>
            <w:r>
              <w:rPr>
                <w:rFonts w:hint="eastAsia"/>
                <w:color w:val="auto"/>
                <w:u w:val="none" w:color="auto"/>
              </w:rPr>
              <w:t>环境风险防控</w:t>
            </w:r>
          </w:p>
        </w:tc>
        <w:tc>
          <w:tcPr>
            <w:tcW w:w="5142" w:type="dxa"/>
            <w:gridSpan w:val="4"/>
            <w:vAlign w:val="center"/>
          </w:tcPr>
          <w:p>
            <w:pPr>
              <w:pStyle w:val="2977"/>
              <w:widowControl w:val="0"/>
              <w:jc w:val="both"/>
              <w:rPr>
                <w:rFonts w:hint="eastAsia"/>
                <w:color w:val="auto"/>
                <w:u w:val="none" w:color="auto"/>
              </w:rPr>
            </w:pPr>
            <w:r>
              <w:rPr>
                <w:rFonts w:hint="eastAsia"/>
                <w:color w:val="auto"/>
                <w:u w:val="none" w:color="auto"/>
              </w:rPr>
              <w:t>（3.1）向环境排放污染物的企业事业单位，生产、贮存、经营、使用、运输危险化学品的企业事业单位，产生、</w:t>
            </w:r>
          </w:p>
          <w:p>
            <w:pPr>
              <w:pStyle w:val="2977"/>
              <w:widowControl w:val="0"/>
              <w:jc w:val="both"/>
              <w:rPr>
                <w:rFonts w:hint="eastAsia"/>
                <w:color w:val="auto"/>
                <w:u w:val="none" w:color="auto"/>
              </w:rPr>
            </w:pPr>
            <w:r>
              <w:rPr>
                <w:rFonts w:hint="eastAsia"/>
                <w:color w:val="auto"/>
                <w:u w:val="none" w:color="auto"/>
              </w:rPr>
              <w:t>收集、贮存、运输、利用、处置危险废物的企业事业单位，以及其他可能发生突发环境事件的单位应编制突发环境事件应急预案。</w:t>
            </w:r>
          </w:p>
          <w:p>
            <w:pPr>
              <w:pStyle w:val="2977"/>
              <w:widowControl w:val="0"/>
              <w:jc w:val="both"/>
              <w:rPr>
                <w:rFonts w:hint="eastAsia"/>
                <w:color w:val="auto"/>
                <w:u w:val="none" w:color="auto"/>
              </w:rPr>
            </w:pPr>
            <w:r>
              <w:rPr>
                <w:rFonts w:hint="eastAsia"/>
                <w:color w:val="auto"/>
                <w:u w:val="none" w:color="auto"/>
              </w:rPr>
              <w:t>（3.2）加强重金属污染风险防控。推进全过程污染防控，设定有色金属企业进入门槛，对新进、新建企业设置技术和环保门槛，引进具备先进采选冶炼技术的大型企业进驻工业园区等手段全面促进产业技术升级，涉重产业发展规划必须开展规划环境影响评价，积极开展涉重金属企业产业结构调整，对规模小、污染排放高、经济效益差、环境风险隐患突出的企业实施关停并转，加快淘汰落后生产能力，对于生产工艺落后、浪费资源、破坏环境的企业坚决关停淘汰。各县（市、区）要对本辖区的所有新（改、扩）建涉重金属重点行业项目进行统筹考虑。新（改、扩）建涉重金属重点行业建设项目必须遵循重点重金属污染物排放“减量置换”或“等量置换”原则，有明确具体的重金属污染物排放总量来源；无明确总量来源的，各级环保部门不得批准相关环境影响评价文件。</w:t>
            </w:r>
          </w:p>
          <w:p>
            <w:pPr>
              <w:pStyle w:val="2977"/>
              <w:widowControl w:val="0"/>
              <w:jc w:val="both"/>
              <w:rPr>
                <w:rFonts w:hint="eastAsia"/>
                <w:color w:val="auto"/>
                <w:u w:val="none" w:color="auto"/>
              </w:rPr>
            </w:pPr>
            <w:r>
              <w:rPr>
                <w:rFonts w:hint="eastAsia"/>
                <w:color w:val="auto"/>
                <w:u w:val="none" w:color="auto"/>
              </w:rPr>
              <w:t>（3.3）强化源头预防，深入推进重点区域和重点行业土壤重金属污染综合整治，部分重点区域实现土壤环境质量明显改善，遏止污染事故的发生。制定实施受污染耕地安全利用方案，采取农艺调控、化学阻控、替代种植等措施，降低农产品重金属超标风险。暂时不能进行治理修复的污染地块，设置标志标识围栏，根据各地块的环境因地制宜采取建设撇洪导流沟渠、地表覆盖等措施减少雨水冲刷等风险管控措施。在未完成治理并通过验收前，不得用于农业、畜牧业以及工商业开发建设。</w:t>
            </w:r>
          </w:p>
          <w:p>
            <w:pPr>
              <w:pStyle w:val="2977"/>
              <w:widowControl w:val="0"/>
              <w:jc w:val="both"/>
              <w:rPr>
                <w:rFonts w:hint="eastAsia"/>
                <w:color w:val="auto"/>
                <w:u w:val="none" w:color="auto"/>
              </w:rPr>
            </w:pPr>
            <w:r>
              <w:rPr>
                <w:rFonts w:hint="eastAsia"/>
                <w:color w:val="auto"/>
                <w:u w:val="none" w:color="auto"/>
              </w:rPr>
              <w:t>（3.4）加强土壤污染风险防控能力建设。提高突发土壤环境事件应急能力，完善各级环境污染事件应急预案，加强环境应急管理、技术支撑、处置救援能力建设。</w:t>
            </w:r>
          </w:p>
          <w:p>
            <w:pPr>
              <w:pStyle w:val="2977"/>
              <w:widowControl w:val="0"/>
              <w:jc w:val="both"/>
              <w:rPr>
                <w:rFonts w:hint="eastAsia"/>
                <w:color w:val="auto"/>
                <w:u w:val="none" w:color="auto"/>
              </w:rPr>
            </w:pPr>
            <w:r>
              <w:rPr>
                <w:rFonts w:hint="eastAsia"/>
                <w:color w:val="auto"/>
                <w:u w:val="none" w:color="auto"/>
              </w:rPr>
              <w:t>（3.5）县市区、重点乡镇（街道）及工业园区要配备必要的土壤污染快速检测等执法装备。对全市环境执法人员每3年开展1轮土壤污染防治专业技术培训。提高突发土壤环境事件应急能力，完善各级环境污染事件应急预案，加强环境应急管理、技术支撑、处置救援能力建设。</w:t>
            </w:r>
          </w:p>
          <w:p>
            <w:pPr>
              <w:pStyle w:val="2977"/>
              <w:widowControl w:val="0"/>
              <w:jc w:val="both"/>
              <w:rPr>
                <w:rFonts w:hint="eastAsia"/>
                <w:color w:val="auto"/>
                <w:u w:val="none" w:color="auto"/>
              </w:rPr>
            </w:pPr>
            <w:r>
              <w:rPr>
                <w:rFonts w:hint="eastAsia"/>
                <w:color w:val="auto"/>
                <w:u w:val="none" w:color="auto"/>
              </w:rPr>
              <w:t>（3.6）结合土壤污染状况详查情况，根据建设用地土壤环境调查评估及现有重金属污染场地调查结果，逐步建立污染地块名录及其开发利用的负面清单，合理确定土地用途。土地开发利用必须符合土壤环境质量要求。各部门在编制土地利用总体规划、城市总体规划、控制性详细规划等相关规划时，应充分考虑污染地块的环境风险，合理确定土地用途。</w:t>
            </w:r>
          </w:p>
        </w:tc>
        <w:tc>
          <w:tcPr>
            <w:tcW w:w="2745" w:type="dxa"/>
            <w:vAlign w:val="center"/>
          </w:tcPr>
          <w:p>
            <w:pPr>
              <w:pStyle w:val="2977"/>
              <w:widowControl w:val="0"/>
              <w:rPr>
                <w:rFonts w:hint="eastAsia" w:eastAsia="宋体"/>
                <w:color w:val="auto"/>
                <w:u w:val="none" w:color="auto"/>
                <w:lang w:eastAsia="zh-CN"/>
              </w:rPr>
            </w:pPr>
            <w:r>
              <w:rPr>
                <w:rFonts w:hint="eastAsia"/>
                <w:color w:val="auto"/>
                <w:u w:val="none" w:color="auto"/>
                <w:lang w:eastAsia="zh-CN"/>
              </w:rPr>
              <w:t>项目将制定应急预案，确保项目范围内乡镇自来水厂</w:t>
            </w:r>
            <w:r>
              <w:rPr>
                <w:rFonts w:hint="eastAsia"/>
                <w:color w:val="auto"/>
                <w:u w:val="none" w:color="auto"/>
              </w:rPr>
              <w:t>供水安全</w:t>
            </w:r>
            <w:r>
              <w:rPr>
                <w:rFonts w:hint="eastAsia"/>
                <w:color w:val="auto"/>
                <w:u w:val="none" w:color="auto"/>
                <w:lang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5" w:type="dxa"/>
            <w:vAlign w:val="center"/>
          </w:tcPr>
          <w:p>
            <w:pPr>
              <w:pStyle w:val="2977"/>
              <w:widowControl w:val="0"/>
              <w:rPr>
                <w:color w:val="auto"/>
                <w:u w:val="none" w:color="auto"/>
              </w:rPr>
            </w:pPr>
            <w:r>
              <w:rPr>
                <w:rFonts w:hint="eastAsia"/>
                <w:color w:val="auto"/>
                <w:u w:val="none" w:color="auto"/>
              </w:rPr>
              <w:t>环境管控单元编码</w:t>
            </w:r>
          </w:p>
        </w:tc>
        <w:tc>
          <w:tcPr>
            <w:tcW w:w="750" w:type="dxa"/>
            <w:vAlign w:val="center"/>
          </w:tcPr>
          <w:p>
            <w:pPr>
              <w:pStyle w:val="2977"/>
              <w:widowControl w:val="0"/>
              <w:rPr>
                <w:color w:val="auto"/>
                <w:u w:val="none" w:color="auto"/>
              </w:rPr>
            </w:pPr>
            <w:r>
              <w:rPr>
                <w:rFonts w:hint="eastAsia"/>
                <w:color w:val="auto"/>
                <w:u w:val="none" w:color="auto"/>
              </w:rPr>
              <w:t>单元名称</w:t>
            </w:r>
          </w:p>
        </w:tc>
        <w:tc>
          <w:tcPr>
            <w:tcW w:w="916" w:type="dxa"/>
            <w:vAlign w:val="center"/>
          </w:tcPr>
          <w:p>
            <w:pPr>
              <w:pStyle w:val="2977"/>
              <w:widowControl w:val="0"/>
              <w:rPr>
                <w:color w:val="auto"/>
                <w:u w:val="none" w:color="auto"/>
              </w:rPr>
            </w:pPr>
            <w:r>
              <w:rPr>
                <w:rFonts w:hint="eastAsia"/>
                <w:color w:val="auto"/>
                <w:u w:val="none" w:color="auto"/>
              </w:rPr>
              <w:t>单元分类</w:t>
            </w:r>
          </w:p>
        </w:tc>
        <w:tc>
          <w:tcPr>
            <w:tcW w:w="1100" w:type="dxa"/>
            <w:vAlign w:val="center"/>
          </w:tcPr>
          <w:p>
            <w:pPr>
              <w:pStyle w:val="2977"/>
              <w:widowControl w:val="0"/>
              <w:rPr>
                <w:color w:val="auto"/>
                <w:u w:val="none" w:color="auto"/>
              </w:rPr>
            </w:pPr>
            <w:r>
              <w:rPr>
                <w:rFonts w:hint="eastAsia"/>
                <w:color w:val="auto"/>
                <w:u w:val="none" w:color="auto"/>
              </w:rPr>
              <w:t>主体功能定位</w:t>
            </w:r>
          </w:p>
        </w:tc>
        <w:tc>
          <w:tcPr>
            <w:tcW w:w="2376" w:type="dxa"/>
            <w:vAlign w:val="center"/>
          </w:tcPr>
          <w:p>
            <w:pPr>
              <w:pStyle w:val="2977"/>
              <w:widowControl w:val="0"/>
              <w:rPr>
                <w:color w:val="auto"/>
                <w:u w:val="none" w:color="auto"/>
              </w:rPr>
            </w:pPr>
            <w:r>
              <w:rPr>
                <w:rFonts w:hint="eastAsia"/>
                <w:color w:val="auto"/>
                <w:u w:val="none" w:color="auto"/>
              </w:rPr>
              <w:t>经济产业布局</w:t>
            </w:r>
          </w:p>
        </w:tc>
        <w:tc>
          <w:tcPr>
            <w:tcW w:w="2745" w:type="dxa"/>
            <w:vAlign w:val="center"/>
          </w:tcPr>
          <w:p>
            <w:pPr>
              <w:pStyle w:val="2977"/>
              <w:widowControl w:val="0"/>
              <w:rPr>
                <w:color w:val="auto"/>
                <w:u w:val="none" w:color="auto"/>
              </w:rPr>
            </w:pPr>
            <w:r>
              <w:rPr>
                <w:rFonts w:hint="eastAsia"/>
                <w:color w:val="auto"/>
                <w:u w:val="none" w:color="auto"/>
              </w:rPr>
              <w:t>主要环境问题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5" w:type="dxa"/>
            <w:vAlign w:val="center"/>
          </w:tcPr>
          <w:p>
            <w:pPr>
              <w:pStyle w:val="2977"/>
              <w:widowControl w:val="0"/>
              <w:rPr>
                <w:color w:val="auto"/>
                <w:u w:val="none" w:color="auto"/>
              </w:rPr>
            </w:pPr>
            <w:r>
              <w:rPr>
                <w:rFonts w:hint="eastAsia"/>
                <w:color w:val="auto"/>
                <w:u w:val="none" w:color="auto"/>
              </w:rPr>
              <w:t>ZH43042610002</w:t>
            </w:r>
          </w:p>
        </w:tc>
        <w:tc>
          <w:tcPr>
            <w:tcW w:w="750" w:type="dxa"/>
            <w:vAlign w:val="center"/>
          </w:tcPr>
          <w:p>
            <w:pPr>
              <w:pStyle w:val="2977"/>
              <w:widowControl w:val="0"/>
              <w:rPr>
                <w:color w:val="auto"/>
                <w:u w:val="none" w:color="auto"/>
              </w:rPr>
            </w:pPr>
            <w:r>
              <w:rPr>
                <w:rFonts w:hint="eastAsia"/>
                <w:color w:val="auto"/>
                <w:u w:val="none" w:color="auto"/>
              </w:rPr>
              <w:t>太和堂镇</w:t>
            </w:r>
          </w:p>
        </w:tc>
        <w:tc>
          <w:tcPr>
            <w:tcW w:w="916" w:type="dxa"/>
            <w:vAlign w:val="center"/>
          </w:tcPr>
          <w:p>
            <w:pPr>
              <w:pStyle w:val="2977"/>
              <w:widowControl w:val="0"/>
              <w:rPr>
                <w:color w:val="auto"/>
                <w:u w:val="none" w:color="auto"/>
              </w:rPr>
            </w:pPr>
            <w:r>
              <w:rPr>
                <w:rFonts w:hint="eastAsia"/>
                <w:color w:val="auto"/>
                <w:u w:val="none" w:color="auto"/>
              </w:rPr>
              <w:t>优先保护单元</w:t>
            </w:r>
          </w:p>
        </w:tc>
        <w:tc>
          <w:tcPr>
            <w:tcW w:w="1100" w:type="dxa"/>
            <w:vAlign w:val="center"/>
          </w:tcPr>
          <w:p>
            <w:pPr>
              <w:pStyle w:val="2977"/>
              <w:widowControl w:val="0"/>
              <w:rPr>
                <w:rFonts w:hint="eastAsia"/>
                <w:color w:val="auto"/>
                <w:u w:val="none" w:color="auto"/>
              </w:rPr>
            </w:pPr>
            <w:r>
              <w:rPr>
                <w:rFonts w:hint="eastAsia"/>
                <w:color w:val="auto"/>
                <w:u w:val="none" w:color="auto"/>
              </w:rPr>
              <w:t>国家层面</w:t>
            </w:r>
          </w:p>
          <w:p>
            <w:pPr>
              <w:pStyle w:val="2977"/>
              <w:widowControl w:val="0"/>
              <w:rPr>
                <w:color w:val="auto"/>
                <w:u w:val="none" w:color="auto"/>
              </w:rPr>
            </w:pPr>
            <w:r>
              <w:rPr>
                <w:rFonts w:hint="eastAsia"/>
                <w:color w:val="auto"/>
                <w:u w:val="none" w:color="auto"/>
              </w:rPr>
              <w:t>农产品主产区</w:t>
            </w:r>
          </w:p>
        </w:tc>
        <w:tc>
          <w:tcPr>
            <w:tcW w:w="2376" w:type="dxa"/>
            <w:vAlign w:val="center"/>
          </w:tcPr>
          <w:p>
            <w:pPr>
              <w:pStyle w:val="2977"/>
              <w:widowControl w:val="0"/>
              <w:rPr>
                <w:color w:val="auto"/>
                <w:u w:val="none" w:color="auto"/>
              </w:rPr>
            </w:pPr>
            <w:r>
              <w:rPr>
                <w:rFonts w:hint="eastAsia"/>
                <w:color w:val="auto"/>
                <w:u w:val="none" w:color="auto"/>
              </w:rPr>
              <w:t>矿产资源开采、建材、农副产品加工、烟花炮竹、物流、旅游、生态农业、烟草、畜禽养殖等。</w:t>
            </w:r>
          </w:p>
        </w:tc>
        <w:tc>
          <w:tcPr>
            <w:tcW w:w="2745" w:type="dxa"/>
            <w:vAlign w:val="center"/>
          </w:tcPr>
          <w:p>
            <w:pPr>
              <w:pStyle w:val="2977"/>
              <w:widowControl w:val="0"/>
              <w:rPr>
                <w:color w:val="auto"/>
                <w:u w:val="none" w:color="auto"/>
              </w:rPr>
            </w:pPr>
            <w:r>
              <w:rPr>
                <w:rFonts w:hint="eastAsia"/>
                <w:color w:val="auto"/>
                <w:u w:val="none" w:color="auto"/>
              </w:rPr>
              <w:t>养殖废水治理设施不完善，农村垃圾收集处理系统有待完善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42" w:type="dxa"/>
            <w:gridSpan w:val="6"/>
            <w:vAlign w:val="center"/>
          </w:tcPr>
          <w:p>
            <w:pPr>
              <w:pStyle w:val="2977"/>
              <w:widowControl w:val="0"/>
              <w:rPr>
                <w:color w:val="auto"/>
                <w:u w:val="none" w:color="auto"/>
              </w:rPr>
            </w:pPr>
            <w:r>
              <w:rPr>
                <w:rFonts w:hint="eastAsia"/>
                <w:color w:val="auto"/>
                <w:u w:val="none" w:color="auto"/>
              </w:rPr>
              <w:t>管控要求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5" w:type="dxa"/>
            <w:vAlign w:val="center"/>
          </w:tcPr>
          <w:p>
            <w:pPr>
              <w:pStyle w:val="2977"/>
              <w:widowControl w:val="0"/>
              <w:rPr>
                <w:color w:val="auto"/>
                <w:u w:val="none" w:color="auto"/>
              </w:rPr>
            </w:pPr>
            <w:r>
              <w:rPr>
                <w:rFonts w:hint="eastAsia"/>
                <w:color w:val="auto"/>
                <w:u w:val="none" w:color="auto"/>
              </w:rPr>
              <w:t>内容</w:t>
            </w:r>
          </w:p>
        </w:tc>
        <w:tc>
          <w:tcPr>
            <w:tcW w:w="5142" w:type="dxa"/>
            <w:gridSpan w:val="4"/>
            <w:vAlign w:val="center"/>
          </w:tcPr>
          <w:p>
            <w:pPr>
              <w:pStyle w:val="2977"/>
              <w:widowControl w:val="0"/>
              <w:rPr>
                <w:color w:val="auto"/>
                <w:u w:val="none" w:color="auto"/>
              </w:rPr>
            </w:pPr>
            <w:r>
              <w:rPr>
                <w:rFonts w:hint="eastAsia"/>
                <w:color w:val="auto"/>
                <w:u w:val="none" w:color="auto"/>
              </w:rPr>
              <w:t>文件要求</w:t>
            </w:r>
          </w:p>
        </w:tc>
        <w:tc>
          <w:tcPr>
            <w:tcW w:w="2745" w:type="dxa"/>
            <w:vAlign w:val="center"/>
          </w:tcPr>
          <w:p>
            <w:pPr>
              <w:pStyle w:val="2977"/>
              <w:widowControl w:val="0"/>
              <w:rPr>
                <w:color w:val="auto"/>
                <w:u w:val="none" w:color="auto"/>
              </w:rPr>
            </w:pPr>
            <w:r>
              <w:rPr>
                <w:rFonts w:hint="eastAsia"/>
                <w:color w:val="auto"/>
                <w:u w:val="none" w:color="auto"/>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5" w:type="dxa"/>
            <w:vAlign w:val="center"/>
          </w:tcPr>
          <w:p>
            <w:pPr>
              <w:pStyle w:val="2977"/>
              <w:widowControl w:val="0"/>
              <w:rPr>
                <w:color w:val="auto"/>
                <w:u w:val="none" w:color="auto"/>
              </w:rPr>
            </w:pPr>
            <w:r>
              <w:rPr>
                <w:rFonts w:hint="eastAsia"/>
                <w:color w:val="auto"/>
                <w:u w:val="none" w:color="auto"/>
              </w:rPr>
              <w:t>空间布局约束</w:t>
            </w:r>
          </w:p>
        </w:tc>
        <w:tc>
          <w:tcPr>
            <w:tcW w:w="5142" w:type="dxa"/>
            <w:gridSpan w:val="4"/>
            <w:vAlign w:val="center"/>
          </w:tcPr>
          <w:p>
            <w:pPr>
              <w:pStyle w:val="2977"/>
              <w:widowControl w:val="0"/>
              <w:jc w:val="both"/>
              <w:rPr>
                <w:color w:val="auto"/>
                <w:u w:val="none" w:color="auto"/>
              </w:rPr>
            </w:pPr>
            <w:r>
              <w:rPr>
                <w:rFonts w:hint="eastAsia"/>
                <w:color w:val="auto"/>
                <w:u w:val="none" w:color="auto"/>
              </w:rPr>
              <w:t>（1.1）区域养殖业按划定的禁养区、限养区、适养区实施分类管理。</w:t>
            </w:r>
          </w:p>
        </w:tc>
        <w:tc>
          <w:tcPr>
            <w:tcW w:w="2745" w:type="dxa"/>
            <w:vAlign w:val="center"/>
          </w:tcPr>
          <w:p>
            <w:pPr>
              <w:pStyle w:val="2977"/>
              <w:widowControl w:val="0"/>
              <w:rPr>
                <w:rFonts w:hint="eastAsia" w:eastAsia="宋体"/>
                <w:color w:val="auto"/>
                <w:u w:val="none" w:color="auto"/>
                <w:lang w:eastAsia="zh-CN"/>
              </w:rPr>
            </w:pPr>
            <w:r>
              <w:rPr>
                <w:rFonts w:hint="eastAsia"/>
                <w:color w:val="auto"/>
                <w:u w:val="none" w:color="auto"/>
              </w:rPr>
              <w:t>本项目是对</w:t>
            </w:r>
            <w:r>
              <w:rPr>
                <w:rFonts w:hint="eastAsia"/>
                <w:color w:val="auto"/>
                <w:u w:val="none" w:color="auto"/>
                <w:lang w:eastAsia="zh-CN"/>
              </w:rPr>
              <w:t>祁水</w:t>
            </w:r>
            <w:r>
              <w:rPr>
                <w:rFonts w:hint="eastAsia"/>
                <w:color w:val="auto"/>
                <w:u w:val="none" w:color="auto"/>
              </w:rPr>
              <w:t>流域</w:t>
            </w:r>
            <w:r>
              <w:rPr>
                <w:rFonts w:hint="eastAsia"/>
                <w:color w:val="auto"/>
                <w:u w:val="none" w:color="auto"/>
                <w:lang w:eastAsia="zh-CN"/>
              </w:rPr>
              <w:t>河湖整治</w:t>
            </w:r>
            <w:r>
              <w:rPr>
                <w:rFonts w:hint="eastAsia"/>
                <w:color w:val="auto"/>
                <w:u w:val="none" w:color="auto"/>
              </w:rPr>
              <w:t>，</w:t>
            </w:r>
            <w:r>
              <w:rPr>
                <w:rFonts w:hint="eastAsia"/>
                <w:color w:val="auto"/>
                <w:u w:val="none" w:color="auto"/>
                <w:lang w:eastAsia="zh-CN"/>
              </w:rPr>
              <w:t>目的为提升项目工程涉及</w:t>
            </w:r>
            <w:r>
              <w:rPr>
                <w:rFonts w:hint="eastAsia"/>
                <w:color w:val="auto"/>
                <w:u w:val="none" w:color="auto"/>
              </w:rPr>
              <w:t>嘉树镇</w:t>
            </w:r>
            <w:r>
              <w:rPr>
                <w:rFonts w:hint="eastAsia"/>
                <w:color w:val="auto"/>
                <w:u w:val="none" w:color="auto"/>
                <w:lang w:eastAsia="zh-CN"/>
              </w:rPr>
              <w:t>祁水</w:t>
            </w:r>
            <w:r>
              <w:rPr>
                <w:rFonts w:hint="eastAsia"/>
                <w:color w:val="auto"/>
                <w:u w:val="none" w:color="auto"/>
              </w:rPr>
              <w:t>饮用水水源保护区、沈潭镇自来水厂饮用水水源保护区、泗汾镇泗新自来水公司饮用水水源保护区、泗汾镇（泗汾自来水厂）</w:t>
            </w:r>
            <w:r>
              <w:rPr>
                <w:rFonts w:hint="eastAsia"/>
                <w:color w:val="auto"/>
                <w:u w:val="none" w:color="auto"/>
                <w:lang w:eastAsia="zh-CN"/>
              </w:rPr>
              <w:t>祁水</w:t>
            </w:r>
            <w:r>
              <w:rPr>
                <w:rFonts w:hint="eastAsia"/>
                <w:color w:val="auto"/>
                <w:u w:val="none" w:color="auto"/>
              </w:rPr>
              <w:t>饮用水水源保护区</w:t>
            </w:r>
            <w:r>
              <w:rPr>
                <w:rFonts w:hint="eastAsia"/>
                <w:color w:val="auto"/>
                <w:u w:val="none" w:color="auto"/>
                <w:lang w:eastAsia="zh-CN"/>
              </w:rPr>
              <w:t>的水环境质量</w:t>
            </w:r>
            <w:r>
              <w:rPr>
                <w:rFonts w:hint="eastAsia"/>
                <w:color w:val="auto"/>
                <w:u w:val="none" w:color="auto"/>
              </w:rPr>
              <w:t>。</w:t>
            </w:r>
            <w:r>
              <w:rPr>
                <w:rFonts w:hint="eastAsia"/>
                <w:color w:val="auto"/>
                <w:u w:val="none" w:color="auto"/>
                <w:lang w:eastAsia="zh-CN"/>
              </w:rPr>
              <w:t>项目实施后将提高项目范围内乡镇自来水厂</w:t>
            </w:r>
            <w:r>
              <w:rPr>
                <w:rFonts w:hint="eastAsia"/>
                <w:color w:val="auto"/>
                <w:u w:val="none" w:color="auto"/>
              </w:rPr>
              <w:t>供水安全</w:t>
            </w:r>
            <w:r>
              <w:rPr>
                <w:rFonts w:hint="eastAsia"/>
                <w:color w:val="auto"/>
                <w:u w:val="none" w:color="auto"/>
                <w:lang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3" w:hRule="atLeast"/>
        </w:trPr>
        <w:tc>
          <w:tcPr>
            <w:tcW w:w="1355" w:type="dxa"/>
            <w:vAlign w:val="center"/>
          </w:tcPr>
          <w:p>
            <w:pPr>
              <w:pStyle w:val="2977"/>
              <w:widowControl w:val="0"/>
              <w:rPr>
                <w:color w:val="auto"/>
                <w:u w:val="none" w:color="auto"/>
              </w:rPr>
            </w:pPr>
            <w:r>
              <w:rPr>
                <w:rFonts w:hint="eastAsia"/>
                <w:color w:val="auto"/>
                <w:u w:val="none" w:color="auto"/>
              </w:rPr>
              <w:t>污染物排放管控</w:t>
            </w:r>
          </w:p>
        </w:tc>
        <w:tc>
          <w:tcPr>
            <w:tcW w:w="5142" w:type="dxa"/>
            <w:gridSpan w:val="4"/>
            <w:vAlign w:val="center"/>
          </w:tcPr>
          <w:p>
            <w:pPr>
              <w:pStyle w:val="2977"/>
              <w:widowControl w:val="0"/>
              <w:jc w:val="both"/>
              <w:rPr>
                <w:rFonts w:hint="eastAsia"/>
                <w:color w:val="auto"/>
              </w:rPr>
            </w:pPr>
            <w:r>
              <w:rPr>
                <w:rFonts w:hint="eastAsia"/>
                <w:color w:val="auto"/>
              </w:rPr>
              <w:t>（2.1）积极推进雨污分流、老旧污水管网改造和破损修复等工作，加快消除老旧城区和城乡结合部生活污水收集处理设施空白区，显著提升县城生活污水集中收集效能，落实《湖南省乡镇污水处理设施建设四年行动实施方案（2019—2022年）》，实现全县乡镇污水处理设施全覆盖。加快实施城市黑臭水体治理工程，突出抓好控源截污、内源治理、生态修复、活水保质等工作。</w:t>
            </w:r>
          </w:p>
          <w:p>
            <w:pPr>
              <w:pStyle w:val="2977"/>
              <w:widowControl w:val="0"/>
              <w:jc w:val="both"/>
              <w:rPr>
                <w:rFonts w:hint="eastAsia"/>
                <w:color w:val="auto"/>
              </w:rPr>
            </w:pPr>
            <w:r>
              <w:rPr>
                <w:rFonts w:hint="eastAsia"/>
                <w:color w:val="auto"/>
              </w:rPr>
              <w:t>（2.2）完成“散乱污”企业及集群综合整治工作，全面推进清洁生产技术改造；新建涉及工业炉窑的建设项目，原则上要入园区，配套建设高效环保治理设施；加油站、储油库、油罐车基本完成油气回收治理工作；辖区内涉气型污染企业应配置废气收集与净化处理装置，减少无组织排放，废气达到国家或地方排放标准要求；禁止露天烧烤直排；禁止露天焚烧农作物秸秆、枯枝、落叶、杂草及生活垃圾。</w:t>
            </w:r>
          </w:p>
          <w:p>
            <w:pPr>
              <w:pStyle w:val="2977"/>
              <w:widowControl w:val="0"/>
              <w:jc w:val="both"/>
              <w:rPr>
                <w:color w:val="auto"/>
                <w:u w:val="none" w:color="auto"/>
              </w:rPr>
            </w:pPr>
            <w:r>
              <w:rPr>
                <w:rFonts w:hint="eastAsia"/>
                <w:color w:val="auto"/>
              </w:rPr>
              <w:t>（2.3）建立健全城镇垃圾收集转运及处理处置体系，推动生活垃圾分类，统筹布局生活垃圾转运站，逐步淘汰敞开式收运设施，在全县建成区推广密闭压缩式收运方式，加快建设生活垃圾处理设施；对于无渗滤液处理设施、渗滤液处理不达标的生活垃圾处理设施，加快完成改造。</w:t>
            </w:r>
          </w:p>
        </w:tc>
        <w:tc>
          <w:tcPr>
            <w:tcW w:w="2745" w:type="dxa"/>
            <w:vAlign w:val="center"/>
          </w:tcPr>
          <w:p>
            <w:pPr>
              <w:pStyle w:val="2977"/>
              <w:widowControl w:val="0"/>
              <w:rPr>
                <w:color w:val="auto"/>
                <w:u w:val="none" w:color="auto"/>
              </w:rPr>
            </w:pPr>
            <w:r>
              <w:rPr>
                <w:rFonts w:hint="eastAsia"/>
                <w:color w:val="auto"/>
                <w:u w:val="none" w:color="auto"/>
              </w:rPr>
              <w:t>本项目</w:t>
            </w:r>
            <w:r>
              <w:rPr>
                <w:rFonts w:hint="eastAsia"/>
                <w:color w:val="auto"/>
                <w:u w:val="none" w:color="auto"/>
                <w:lang w:eastAsia="zh-CN"/>
              </w:rPr>
              <w:t>施工期生活污水依托周边居民民房，无生活废水外排</w:t>
            </w:r>
            <w:r>
              <w:rPr>
                <w:rFonts w:hint="eastAsia"/>
                <w:color w:val="auto"/>
                <w:u w:val="none" w:color="auto"/>
              </w:rPr>
              <w:t>。</w:t>
            </w:r>
            <w:r>
              <w:rPr>
                <w:rFonts w:hint="eastAsia"/>
                <w:color w:val="auto"/>
                <w:u w:val="none" w:color="auto"/>
                <w:lang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5" w:type="dxa"/>
            <w:vAlign w:val="center"/>
          </w:tcPr>
          <w:p>
            <w:pPr>
              <w:pStyle w:val="2977"/>
              <w:widowControl w:val="0"/>
              <w:rPr>
                <w:color w:val="auto"/>
                <w:u w:val="none" w:color="auto"/>
              </w:rPr>
            </w:pPr>
            <w:r>
              <w:rPr>
                <w:rFonts w:hint="eastAsia"/>
                <w:color w:val="auto"/>
                <w:u w:val="none" w:color="auto"/>
              </w:rPr>
              <w:t>环境风险防控</w:t>
            </w:r>
          </w:p>
        </w:tc>
        <w:tc>
          <w:tcPr>
            <w:tcW w:w="5142" w:type="dxa"/>
            <w:gridSpan w:val="4"/>
            <w:vAlign w:val="center"/>
          </w:tcPr>
          <w:p>
            <w:pPr>
              <w:pStyle w:val="2977"/>
              <w:widowControl w:val="0"/>
              <w:jc w:val="both"/>
              <w:rPr>
                <w:rFonts w:hint="eastAsia"/>
                <w:color w:val="auto"/>
                <w:u w:val="none" w:color="auto"/>
              </w:rPr>
            </w:pPr>
            <w:r>
              <w:rPr>
                <w:rFonts w:hint="eastAsia"/>
                <w:color w:val="auto"/>
                <w:u w:val="none" w:color="auto"/>
              </w:rPr>
              <w:t>（3.1）管控农用地土壤污染风险。推动完成受污染耕地安全利用和结构调整工作，在农用地土壤污染状况详查基础上，完成受污染耕地的质量类别划分，开展受污染耕地成因排查和整改试点工作。</w:t>
            </w:r>
          </w:p>
          <w:p>
            <w:pPr>
              <w:pStyle w:val="2977"/>
              <w:widowControl w:val="0"/>
              <w:jc w:val="both"/>
              <w:rPr>
                <w:color w:val="auto"/>
                <w:u w:val="none" w:color="auto"/>
              </w:rPr>
            </w:pPr>
            <w:r>
              <w:rPr>
                <w:rFonts w:hint="eastAsia"/>
                <w:color w:val="auto"/>
                <w:u w:val="none" w:color="auto"/>
              </w:rPr>
              <w:t>（3.2）采取农艺调控、化学阻控、替代种植等措施，降低农产品重金属超标风险。</w:t>
            </w:r>
          </w:p>
        </w:tc>
        <w:tc>
          <w:tcPr>
            <w:tcW w:w="2745" w:type="dxa"/>
            <w:vAlign w:val="center"/>
          </w:tcPr>
          <w:p>
            <w:pPr>
              <w:pStyle w:val="2977"/>
              <w:widowControl w:val="0"/>
              <w:rPr>
                <w:color w:val="auto"/>
                <w:u w:val="none" w:color="auto"/>
              </w:rPr>
            </w:pPr>
            <w:r>
              <w:rPr>
                <w:rFonts w:hint="eastAsia"/>
                <w:color w:val="auto"/>
                <w:u w:val="none" w:color="auto"/>
              </w:rPr>
              <w:t>本项目属于</w:t>
            </w:r>
            <w:r>
              <w:rPr>
                <w:rFonts w:hint="eastAsia"/>
                <w:color w:val="auto"/>
                <w:u w:val="none" w:color="auto"/>
                <w:lang w:eastAsia="zh-CN"/>
              </w:rPr>
              <w:t>河湖整治工程</w:t>
            </w:r>
            <w:r>
              <w:rPr>
                <w:rFonts w:hint="eastAsia"/>
                <w:color w:val="auto"/>
                <w:u w:val="none" w:color="auto"/>
              </w:rPr>
              <w:t>，本环评对项目施工期间要求定期进行水质监测。</w:t>
            </w:r>
            <w:r>
              <w:rPr>
                <w:rFonts w:hint="eastAsia"/>
                <w:color w:val="auto"/>
                <w:u w:val="none" w:color="auto"/>
                <w:lang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5" w:type="dxa"/>
            <w:vAlign w:val="center"/>
          </w:tcPr>
          <w:p>
            <w:pPr>
              <w:pStyle w:val="2977"/>
              <w:widowControl w:val="0"/>
              <w:rPr>
                <w:color w:val="auto"/>
                <w:u w:val="none" w:color="auto"/>
              </w:rPr>
            </w:pPr>
            <w:r>
              <w:rPr>
                <w:rFonts w:hint="eastAsia"/>
                <w:color w:val="auto"/>
                <w:u w:val="none" w:color="auto"/>
              </w:rPr>
              <w:t>资源开发效率要求</w:t>
            </w:r>
          </w:p>
        </w:tc>
        <w:tc>
          <w:tcPr>
            <w:tcW w:w="5142" w:type="dxa"/>
            <w:gridSpan w:val="4"/>
            <w:vAlign w:val="center"/>
          </w:tcPr>
          <w:p>
            <w:pPr>
              <w:pStyle w:val="2977"/>
              <w:widowControl w:val="0"/>
              <w:jc w:val="both"/>
              <w:rPr>
                <w:rFonts w:hint="eastAsia"/>
                <w:color w:val="auto"/>
              </w:rPr>
            </w:pPr>
            <w:r>
              <w:rPr>
                <w:rFonts w:hint="eastAsia"/>
                <w:color w:val="auto"/>
              </w:rPr>
              <w:t>（4.1）能源：强化节能环保标准约束，严格行业规范、准入管理和节能审查，对电力、钢铁、建材、有色、化工、石油石化、煤炭、造纸等行业中，环保、能耗、安全等不达标或生产、使用淘汰类产品的企业和产能，依法依规改造升级或有序退出。推广使用优质煤、洁净型煤，推进煤改气、煤改电，鼓励利用可再生能源、天然气、电力等优质能源替代燃煤使用。</w:t>
            </w:r>
          </w:p>
          <w:p>
            <w:pPr>
              <w:pStyle w:val="2977"/>
              <w:widowControl w:val="0"/>
              <w:jc w:val="both"/>
              <w:rPr>
                <w:color w:val="auto"/>
                <w:u w:val="none" w:color="auto"/>
              </w:rPr>
            </w:pPr>
            <w:r>
              <w:rPr>
                <w:rFonts w:hint="eastAsia"/>
                <w:color w:val="auto"/>
              </w:rPr>
              <w:t>（4.2）水资源：大力推进农业、工业、城镇节水，全面推进节水型社会建设。</w:t>
            </w:r>
          </w:p>
        </w:tc>
        <w:tc>
          <w:tcPr>
            <w:tcW w:w="2745" w:type="dxa"/>
            <w:vAlign w:val="center"/>
          </w:tcPr>
          <w:p>
            <w:pPr>
              <w:pStyle w:val="2977"/>
              <w:widowControl w:val="0"/>
              <w:rPr>
                <w:rFonts w:hint="default" w:eastAsia="宋体"/>
                <w:color w:val="auto"/>
                <w:u w:val="none" w:color="auto"/>
                <w:lang w:val="en-US" w:eastAsia="zh-CN"/>
              </w:rPr>
            </w:pPr>
            <w:r>
              <w:rPr>
                <w:rFonts w:hint="eastAsia"/>
                <w:color w:val="auto"/>
                <w:u w:val="none" w:color="auto"/>
              </w:rPr>
              <w:t>本工程</w:t>
            </w:r>
            <w:r>
              <w:rPr>
                <w:rFonts w:hint="eastAsia"/>
                <w:color w:val="auto"/>
                <w:u w:val="none" w:color="auto"/>
                <w:lang w:eastAsia="zh-CN"/>
              </w:rPr>
              <w:t>不占用基本农田，不改变原有土地利用性质，</w:t>
            </w:r>
            <w:r>
              <w:rPr>
                <w:rFonts w:hint="eastAsia"/>
                <w:color w:val="auto"/>
                <w:u w:val="none" w:color="auto"/>
                <w:lang w:val="en-US" w:eastAsia="zh-CN"/>
              </w:rPr>
              <w:t>符合资源开发效率的要求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5" w:type="dxa"/>
            <w:vAlign w:val="center"/>
          </w:tcPr>
          <w:p>
            <w:pPr>
              <w:pStyle w:val="2977"/>
              <w:widowControl w:val="0"/>
              <w:rPr>
                <w:color w:val="auto"/>
                <w:u w:val="none" w:color="auto"/>
              </w:rPr>
            </w:pPr>
            <w:r>
              <w:rPr>
                <w:rFonts w:hint="eastAsia"/>
                <w:color w:val="auto"/>
                <w:u w:val="none" w:color="auto"/>
              </w:rPr>
              <w:t>环境管控单元编码</w:t>
            </w:r>
          </w:p>
        </w:tc>
        <w:tc>
          <w:tcPr>
            <w:tcW w:w="750" w:type="dxa"/>
            <w:vAlign w:val="center"/>
          </w:tcPr>
          <w:p>
            <w:pPr>
              <w:pStyle w:val="2977"/>
              <w:widowControl w:val="0"/>
              <w:rPr>
                <w:color w:val="auto"/>
                <w:u w:val="none" w:color="auto"/>
              </w:rPr>
            </w:pPr>
            <w:r>
              <w:rPr>
                <w:rFonts w:hint="eastAsia"/>
                <w:color w:val="auto"/>
                <w:u w:val="none" w:color="auto"/>
              </w:rPr>
              <w:t>单元名称</w:t>
            </w:r>
          </w:p>
        </w:tc>
        <w:tc>
          <w:tcPr>
            <w:tcW w:w="916" w:type="dxa"/>
            <w:vAlign w:val="center"/>
          </w:tcPr>
          <w:p>
            <w:pPr>
              <w:pStyle w:val="2977"/>
              <w:widowControl w:val="0"/>
              <w:rPr>
                <w:color w:val="auto"/>
                <w:u w:val="none" w:color="auto"/>
              </w:rPr>
            </w:pPr>
            <w:r>
              <w:rPr>
                <w:rFonts w:hint="eastAsia"/>
                <w:color w:val="auto"/>
                <w:u w:val="none" w:color="auto"/>
              </w:rPr>
              <w:t>单元分类</w:t>
            </w:r>
          </w:p>
        </w:tc>
        <w:tc>
          <w:tcPr>
            <w:tcW w:w="1100" w:type="dxa"/>
            <w:vAlign w:val="center"/>
          </w:tcPr>
          <w:p>
            <w:pPr>
              <w:pStyle w:val="2977"/>
              <w:widowControl w:val="0"/>
              <w:rPr>
                <w:color w:val="auto"/>
                <w:u w:val="none" w:color="auto"/>
              </w:rPr>
            </w:pPr>
            <w:r>
              <w:rPr>
                <w:rFonts w:hint="eastAsia"/>
                <w:color w:val="auto"/>
                <w:u w:val="none" w:color="auto"/>
              </w:rPr>
              <w:t>主体功能定位</w:t>
            </w:r>
          </w:p>
        </w:tc>
        <w:tc>
          <w:tcPr>
            <w:tcW w:w="2376" w:type="dxa"/>
            <w:vAlign w:val="center"/>
          </w:tcPr>
          <w:p>
            <w:pPr>
              <w:pStyle w:val="2977"/>
              <w:widowControl w:val="0"/>
              <w:rPr>
                <w:color w:val="auto"/>
                <w:u w:val="none" w:color="auto"/>
              </w:rPr>
            </w:pPr>
            <w:r>
              <w:rPr>
                <w:rFonts w:hint="eastAsia"/>
                <w:color w:val="auto"/>
                <w:u w:val="none" w:color="auto"/>
              </w:rPr>
              <w:t>经济产业布局</w:t>
            </w:r>
          </w:p>
        </w:tc>
        <w:tc>
          <w:tcPr>
            <w:tcW w:w="2745" w:type="dxa"/>
            <w:vAlign w:val="center"/>
          </w:tcPr>
          <w:p>
            <w:pPr>
              <w:pStyle w:val="2977"/>
              <w:widowControl w:val="0"/>
              <w:rPr>
                <w:color w:val="auto"/>
                <w:u w:val="none" w:color="auto"/>
              </w:rPr>
            </w:pPr>
            <w:r>
              <w:rPr>
                <w:rFonts w:hint="eastAsia"/>
                <w:color w:val="auto"/>
                <w:u w:val="none" w:color="auto"/>
              </w:rPr>
              <w:t>主要环境问题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5" w:type="dxa"/>
            <w:vAlign w:val="center"/>
          </w:tcPr>
          <w:p>
            <w:pPr>
              <w:pStyle w:val="2977"/>
              <w:widowControl w:val="0"/>
              <w:rPr>
                <w:color w:val="auto"/>
                <w:u w:val="none" w:color="auto"/>
              </w:rPr>
            </w:pPr>
            <w:r>
              <w:rPr>
                <w:rFonts w:hint="eastAsia"/>
                <w:color w:val="auto"/>
                <w:u w:val="none" w:color="auto"/>
              </w:rPr>
              <w:t>ZH43042630002</w:t>
            </w:r>
          </w:p>
        </w:tc>
        <w:tc>
          <w:tcPr>
            <w:tcW w:w="750" w:type="dxa"/>
            <w:vAlign w:val="center"/>
          </w:tcPr>
          <w:p>
            <w:pPr>
              <w:pStyle w:val="2977"/>
              <w:widowControl w:val="0"/>
              <w:rPr>
                <w:color w:val="auto"/>
                <w:u w:val="none" w:color="auto"/>
              </w:rPr>
            </w:pPr>
            <w:r>
              <w:rPr>
                <w:rFonts w:hint="eastAsia"/>
                <w:color w:val="auto"/>
                <w:u w:val="none" w:color="auto"/>
              </w:rPr>
              <w:t>步云桥镇/城连墟乡/凤歧坪乡/黄土铺镇/蒋家桥镇/石亭子镇/砖塘镇</w:t>
            </w:r>
          </w:p>
        </w:tc>
        <w:tc>
          <w:tcPr>
            <w:tcW w:w="916" w:type="dxa"/>
            <w:vAlign w:val="center"/>
          </w:tcPr>
          <w:p>
            <w:pPr>
              <w:pStyle w:val="2977"/>
              <w:widowControl w:val="0"/>
              <w:rPr>
                <w:color w:val="auto"/>
                <w:u w:val="none" w:color="auto"/>
              </w:rPr>
            </w:pPr>
            <w:r>
              <w:rPr>
                <w:rFonts w:hint="eastAsia"/>
                <w:color w:val="auto"/>
                <w:u w:val="none" w:color="auto"/>
              </w:rPr>
              <w:t>一般管控单元</w:t>
            </w:r>
          </w:p>
        </w:tc>
        <w:tc>
          <w:tcPr>
            <w:tcW w:w="1100" w:type="dxa"/>
            <w:vAlign w:val="center"/>
          </w:tcPr>
          <w:p>
            <w:pPr>
              <w:pStyle w:val="2977"/>
              <w:widowControl w:val="0"/>
              <w:rPr>
                <w:rFonts w:hint="eastAsia"/>
                <w:color w:val="auto"/>
                <w:u w:val="none" w:color="auto"/>
              </w:rPr>
            </w:pPr>
            <w:r>
              <w:rPr>
                <w:rFonts w:hint="eastAsia"/>
                <w:color w:val="auto"/>
                <w:u w:val="none" w:color="auto"/>
              </w:rPr>
              <w:t>国家层面</w:t>
            </w:r>
          </w:p>
          <w:p>
            <w:pPr>
              <w:pStyle w:val="2977"/>
              <w:widowControl w:val="0"/>
              <w:rPr>
                <w:color w:val="auto"/>
                <w:u w:val="none" w:color="auto"/>
              </w:rPr>
            </w:pPr>
            <w:r>
              <w:rPr>
                <w:rFonts w:hint="eastAsia"/>
                <w:color w:val="auto"/>
                <w:u w:val="none" w:color="auto"/>
              </w:rPr>
              <w:t>农产品主产区</w:t>
            </w:r>
          </w:p>
        </w:tc>
        <w:tc>
          <w:tcPr>
            <w:tcW w:w="2376" w:type="dxa"/>
            <w:vAlign w:val="center"/>
          </w:tcPr>
          <w:p>
            <w:pPr>
              <w:pStyle w:val="2977"/>
              <w:widowControl w:val="0"/>
              <w:rPr>
                <w:color w:val="auto"/>
                <w:u w:val="none" w:color="auto"/>
              </w:rPr>
            </w:pPr>
            <w:r>
              <w:rPr>
                <w:rFonts w:hint="eastAsia"/>
                <w:color w:val="auto"/>
                <w:u w:val="none" w:color="auto"/>
              </w:rPr>
              <w:t>矿产资源开采、建材、农副产品加工、烟花炮竹、旅游、物流、生态农业、烟草、畜禽养殖等。</w:t>
            </w:r>
          </w:p>
        </w:tc>
        <w:tc>
          <w:tcPr>
            <w:tcW w:w="2745" w:type="dxa"/>
            <w:vAlign w:val="center"/>
          </w:tcPr>
          <w:p>
            <w:pPr>
              <w:pStyle w:val="2977"/>
              <w:widowControl w:val="0"/>
              <w:rPr>
                <w:color w:val="auto"/>
                <w:u w:val="none" w:color="auto"/>
              </w:rPr>
            </w:pPr>
            <w:r>
              <w:rPr>
                <w:rFonts w:hint="eastAsia"/>
                <w:color w:val="auto"/>
                <w:u w:val="none" w:color="auto"/>
              </w:rPr>
              <w:t>乡镇污水管网建设不完善，养殖废水治理设施不完善，农村垃圾收集处理系统有待完善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42" w:type="dxa"/>
            <w:gridSpan w:val="6"/>
            <w:vAlign w:val="center"/>
          </w:tcPr>
          <w:p>
            <w:pPr>
              <w:pStyle w:val="2977"/>
              <w:widowControl w:val="0"/>
              <w:rPr>
                <w:color w:val="auto"/>
                <w:u w:val="none" w:color="auto"/>
              </w:rPr>
            </w:pPr>
            <w:r>
              <w:rPr>
                <w:rFonts w:hint="eastAsia"/>
                <w:color w:val="auto"/>
                <w:u w:val="none" w:color="auto"/>
              </w:rPr>
              <w:t>管控要求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5" w:type="dxa"/>
            <w:vAlign w:val="center"/>
          </w:tcPr>
          <w:p>
            <w:pPr>
              <w:pStyle w:val="2977"/>
              <w:widowControl w:val="0"/>
              <w:rPr>
                <w:color w:val="auto"/>
                <w:u w:val="none" w:color="auto"/>
              </w:rPr>
            </w:pPr>
            <w:r>
              <w:rPr>
                <w:rFonts w:hint="eastAsia"/>
                <w:color w:val="auto"/>
                <w:u w:val="none" w:color="auto"/>
              </w:rPr>
              <w:t>内容</w:t>
            </w:r>
          </w:p>
        </w:tc>
        <w:tc>
          <w:tcPr>
            <w:tcW w:w="5142" w:type="dxa"/>
            <w:gridSpan w:val="4"/>
            <w:vAlign w:val="center"/>
          </w:tcPr>
          <w:p>
            <w:pPr>
              <w:pStyle w:val="2977"/>
              <w:widowControl w:val="0"/>
              <w:rPr>
                <w:color w:val="auto"/>
                <w:u w:val="none" w:color="auto"/>
              </w:rPr>
            </w:pPr>
            <w:r>
              <w:rPr>
                <w:rFonts w:hint="eastAsia"/>
                <w:color w:val="auto"/>
                <w:u w:val="none" w:color="auto"/>
              </w:rPr>
              <w:t>文件要求</w:t>
            </w:r>
          </w:p>
        </w:tc>
        <w:tc>
          <w:tcPr>
            <w:tcW w:w="2745" w:type="dxa"/>
            <w:vAlign w:val="center"/>
          </w:tcPr>
          <w:p>
            <w:pPr>
              <w:pStyle w:val="2977"/>
              <w:widowControl w:val="0"/>
              <w:rPr>
                <w:color w:val="auto"/>
                <w:u w:val="none" w:color="auto"/>
              </w:rPr>
            </w:pPr>
            <w:r>
              <w:rPr>
                <w:rFonts w:hint="eastAsia"/>
                <w:color w:val="auto"/>
                <w:u w:val="none" w:color="auto"/>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5" w:type="dxa"/>
            <w:vAlign w:val="center"/>
          </w:tcPr>
          <w:p>
            <w:pPr>
              <w:pStyle w:val="2977"/>
              <w:widowControl w:val="0"/>
              <w:rPr>
                <w:color w:val="auto"/>
                <w:u w:val="none" w:color="auto"/>
              </w:rPr>
            </w:pPr>
            <w:r>
              <w:rPr>
                <w:rFonts w:hint="eastAsia"/>
                <w:color w:val="auto"/>
                <w:u w:val="none" w:color="auto"/>
              </w:rPr>
              <w:t>空间布局约束</w:t>
            </w:r>
          </w:p>
        </w:tc>
        <w:tc>
          <w:tcPr>
            <w:tcW w:w="5142" w:type="dxa"/>
            <w:gridSpan w:val="4"/>
            <w:vAlign w:val="center"/>
          </w:tcPr>
          <w:p>
            <w:pPr>
              <w:pStyle w:val="2977"/>
              <w:widowControl w:val="0"/>
              <w:jc w:val="both"/>
              <w:rPr>
                <w:color w:val="auto"/>
                <w:u w:val="none" w:color="auto"/>
              </w:rPr>
            </w:pPr>
            <w:r>
              <w:rPr>
                <w:rFonts w:hint="eastAsia"/>
                <w:color w:val="auto"/>
                <w:u w:val="none" w:color="auto"/>
              </w:rPr>
              <w:t>（1.1）区域养殖业按划定的禁养区、限养区、适养区实施分类管理。</w:t>
            </w:r>
          </w:p>
        </w:tc>
        <w:tc>
          <w:tcPr>
            <w:tcW w:w="2745" w:type="dxa"/>
            <w:vAlign w:val="center"/>
          </w:tcPr>
          <w:p>
            <w:pPr>
              <w:pStyle w:val="2977"/>
              <w:widowControl w:val="0"/>
              <w:rPr>
                <w:rFonts w:hint="eastAsia" w:eastAsia="宋体"/>
                <w:color w:val="auto"/>
                <w:u w:val="none" w:color="auto"/>
                <w:lang w:eastAsia="zh-CN"/>
              </w:rPr>
            </w:pPr>
            <w:r>
              <w:rPr>
                <w:rFonts w:hint="eastAsia"/>
                <w:color w:val="auto"/>
                <w:u w:val="none" w:color="auto"/>
              </w:rPr>
              <w:t>本项目是对</w:t>
            </w:r>
            <w:r>
              <w:rPr>
                <w:rFonts w:hint="eastAsia"/>
                <w:color w:val="auto"/>
                <w:u w:val="none" w:color="auto"/>
                <w:lang w:eastAsia="zh-CN"/>
              </w:rPr>
              <w:t>祁水</w:t>
            </w:r>
            <w:r>
              <w:rPr>
                <w:rFonts w:hint="eastAsia"/>
                <w:color w:val="auto"/>
                <w:u w:val="none" w:color="auto"/>
              </w:rPr>
              <w:t>流域</w:t>
            </w:r>
            <w:r>
              <w:rPr>
                <w:rFonts w:hint="eastAsia"/>
                <w:color w:val="auto"/>
                <w:u w:val="none" w:color="auto"/>
                <w:lang w:eastAsia="zh-CN"/>
              </w:rPr>
              <w:t>河湖整治</w:t>
            </w:r>
            <w:r>
              <w:rPr>
                <w:rFonts w:hint="eastAsia"/>
                <w:color w:val="auto"/>
                <w:u w:val="none" w:color="auto"/>
              </w:rPr>
              <w:t>，</w:t>
            </w:r>
            <w:r>
              <w:rPr>
                <w:rFonts w:hint="eastAsia"/>
                <w:color w:val="auto"/>
                <w:u w:val="none" w:color="auto"/>
                <w:lang w:eastAsia="zh-CN"/>
              </w:rPr>
              <w:t>目的为提升项目工程涉及</w:t>
            </w:r>
            <w:r>
              <w:rPr>
                <w:rFonts w:hint="eastAsia"/>
                <w:color w:val="auto"/>
                <w:u w:val="none" w:color="auto"/>
              </w:rPr>
              <w:t>茶山镇</w:t>
            </w:r>
            <w:r>
              <w:rPr>
                <w:rFonts w:hint="eastAsia"/>
                <w:color w:val="auto"/>
                <w:u w:val="none" w:color="auto"/>
                <w:lang w:eastAsia="zh-CN"/>
              </w:rPr>
              <w:t>祁水</w:t>
            </w:r>
            <w:r>
              <w:rPr>
                <w:rFonts w:hint="eastAsia"/>
                <w:color w:val="auto"/>
                <w:u w:val="none" w:color="auto"/>
              </w:rPr>
              <w:t>饮用水水源保护区</w:t>
            </w:r>
            <w:r>
              <w:rPr>
                <w:rFonts w:hint="eastAsia"/>
                <w:color w:val="auto"/>
                <w:u w:val="none" w:color="auto"/>
                <w:lang w:eastAsia="zh-CN"/>
              </w:rPr>
              <w:t>的水环境质量</w:t>
            </w:r>
            <w:r>
              <w:rPr>
                <w:rFonts w:hint="eastAsia"/>
                <w:color w:val="auto"/>
                <w:u w:val="none" w:color="auto"/>
              </w:rPr>
              <w:t>。</w:t>
            </w:r>
            <w:r>
              <w:rPr>
                <w:rFonts w:hint="eastAsia"/>
                <w:color w:val="auto"/>
                <w:u w:val="none" w:color="auto"/>
                <w:lang w:eastAsia="zh-CN"/>
              </w:rPr>
              <w:t>将解决现有的主要环境问题。符合要求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5" w:type="dxa"/>
            <w:vAlign w:val="center"/>
          </w:tcPr>
          <w:p>
            <w:pPr>
              <w:pStyle w:val="2977"/>
              <w:widowControl w:val="0"/>
              <w:rPr>
                <w:color w:val="auto"/>
                <w:u w:val="none" w:color="auto"/>
              </w:rPr>
            </w:pPr>
            <w:r>
              <w:rPr>
                <w:rFonts w:hint="eastAsia"/>
                <w:color w:val="auto"/>
                <w:u w:val="none" w:color="auto"/>
              </w:rPr>
              <w:t>污染物排放管控</w:t>
            </w:r>
          </w:p>
        </w:tc>
        <w:tc>
          <w:tcPr>
            <w:tcW w:w="5142" w:type="dxa"/>
            <w:gridSpan w:val="4"/>
            <w:vAlign w:val="center"/>
          </w:tcPr>
          <w:p>
            <w:pPr>
              <w:pStyle w:val="2977"/>
              <w:widowControl w:val="0"/>
              <w:jc w:val="both"/>
              <w:rPr>
                <w:rFonts w:hint="eastAsia"/>
                <w:color w:val="auto"/>
              </w:rPr>
            </w:pPr>
            <w:r>
              <w:rPr>
                <w:rFonts w:hint="eastAsia"/>
                <w:color w:val="auto"/>
              </w:rPr>
              <w:t>（2.1）积极推进雨污分流、老旧污水管网改造和破损修复等工作，加快消除老旧城区和城乡结合部生活污水收集处理设施空白区，显著提升县城生活污水集中收集效能，落实《湖南省乡镇污水处理设施建设四年行动实施方案（2019—2022年）》，实现全县乡镇污水处理设施全覆盖。加快实施城市黑臭水体治理工程，突出抓好控源截污、内源治理、生态修复、活水保质等工作。</w:t>
            </w:r>
          </w:p>
          <w:p>
            <w:pPr>
              <w:pStyle w:val="2977"/>
              <w:widowControl w:val="0"/>
              <w:jc w:val="both"/>
              <w:rPr>
                <w:rFonts w:hint="eastAsia"/>
                <w:color w:val="auto"/>
              </w:rPr>
            </w:pPr>
            <w:r>
              <w:rPr>
                <w:rFonts w:hint="eastAsia"/>
                <w:color w:val="auto"/>
              </w:rPr>
              <w:t>（2.2）完成“散乱污”企业及集群综合整治工作，全面推进清洁生产技术改造；新建涉及工业炉窑的建设项目，原则上要入园区，配套建设高效环保治理设施；加油站、储油库、油罐车基本完成油气回收治理工作；辖区内涉气型污染企业应配置废气收集与净化处理装置，减少无组织排放，废气达到国家或地方排放标准要求；禁止露天烧烤直排；禁止露天焚烧农作物秸秆、枯枝、落叶、杂草及生活垃圾。</w:t>
            </w:r>
          </w:p>
          <w:p>
            <w:pPr>
              <w:pStyle w:val="2977"/>
              <w:widowControl w:val="0"/>
              <w:jc w:val="both"/>
              <w:rPr>
                <w:color w:val="auto"/>
                <w:u w:val="none" w:color="auto"/>
              </w:rPr>
            </w:pPr>
            <w:r>
              <w:rPr>
                <w:rFonts w:hint="eastAsia"/>
                <w:color w:val="auto"/>
              </w:rPr>
              <w:t>（2.3）建立健全城镇垃圾收集转运及处理处置体系，推动生活垃圾分类，统筹布局生活垃圾转运站，逐步淘汰敞开式收运设施，在全县建成区推广密闭压缩式收运方式，加快建设生活垃圾处理设施；对于无渗滤液处理设施、渗滤液处理不达标的生活垃圾处理设施，加快完成改造</w:t>
            </w:r>
          </w:p>
        </w:tc>
        <w:tc>
          <w:tcPr>
            <w:tcW w:w="2745" w:type="dxa"/>
            <w:vAlign w:val="center"/>
          </w:tcPr>
          <w:p>
            <w:pPr>
              <w:pStyle w:val="2977"/>
              <w:widowControl w:val="0"/>
              <w:rPr>
                <w:color w:val="auto"/>
                <w:u w:val="none" w:color="auto"/>
              </w:rPr>
            </w:pPr>
            <w:r>
              <w:rPr>
                <w:rFonts w:hint="eastAsia"/>
                <w:color w:val="auto"/>
                <w:u w:val="none" w:color="auto"/>
              </w:rPr>
              <w:t>本项目</w:t>
            </w:r>
            <w:r>
              <w:rPr>
                <w:rFonts w:hint="eastAsia"/>
                <w:color w:val="auto"/>
                <w:u w:val="none" w:color="auto"/>
                <w:lang w:eastAsia="zh-CN"/>
              </w:rPr>
              <w:t>施工期生活污水依托周边居民民房，无生活废水外排</w:t>
            </w:r>
            <w:r>
              <w:rPr>
                <w:rFonts w:hint="eastAsia"/>
                <w:color w:val="auto"/>
                <w:u w:val="none" w:color="auto"/>
              </w:rPr>
              <w:t>。</w:t>
            </w:r>
            <w:r>
              <w:rPr>
                <w:rFonts w:hint="eastAsia"/>
                <w:color w:val="auto"/>
                <w:u w:val="none" w:color="auto"/>
                <w:lang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5" w:type="dxa"/>
            <w:vAlign w:val="center"/>
          </w:tcPr>
          <w:p>
            <w:pPr>
              <w:pStyle w:val="2977"/>
              <w:widowControl w:val="0"/>
              <w:rPr>
                <w:color w:val="auto"/>
                <w:u w:val="none" w:color="auto"/>
              </w:rPr>
            </w:pPr>
            <w:r>
              <w:rPr>
                <w:rFonts w:hint="eastAsia"/>
                <w:color w:val="auto"/>
                <w:u w:val="none" w:color="auto"/>
              </w:rPr>
              <w:t>环境风险防控</w:t>
            </w:r>
          </w:p>
        </w:tc>
        <w:tc>
          <w:tcPr>
            <w:tcW w:w="5142" w:type="dxa"/>
            <w:gridSpan w:val="4"/>
            <w:vAlign w:val="center"/>
          </w:tcPr>
          <w:p>
            <w:pPr>
              <w:pStyle w:val="2977"/>
              <w:widowControl w:val="0"/>
              <w:jc w:val="both"/>
              <w:rPr>
                <w:rFonts w:hint="eastAsia"/>
                <w:color w:val="auto"/>
                <w:u w:val="none" w:color="auto"/>
              </w:rPr>
            </w:pPr>
            <w:r>
              <w:rPr>
                <w:rFonts w:hint="eastAsia"/>
                <w:color w:val="auto"/>
                <w:u w:val="none" w:color="auto"/>
              </w:rPr>
              <w:t>（3.1）管控农用地土壤污染风险。推动完成受污染耕地安全利用和结构调整工作，在农用地土壤污染状况详查基础上，完成受污染耕地的质量类别划分，开展受污染耕地成因排查和整改试点工作。</w:t>
            </w:r>
          </w:p>
          <w:p>
            <w:pPr>
              <w:pStyle w:val="2977"/>
              <w:widowControl w:val="0"/>
              <w:jc w:val="both"/>
              <w:rPr>
                <w:color w:val="auto"/>
                <w:u w:val="none" w:color="auto"/>
              </w:rPr>
            </w:pPr>
            <w:r>
              <w:rPr>
                <w:rFonts w:hint="eastAsia"/>
                <w:color w:val="auto"/>
                <w:u w:val="none" w:color="auto"/>
              </w:rPr>
              <w:t>（3.2）根据建设用地土壤环境调查评估及现有重金属污染场地调查结果，逐步建立污染地块名录及其开发利用的负面清单，合理确定土地用途。土地开发利用必须符合土壤环境质量要求。各部门在编制土地利用总体规划、城市总体规划、控制性详细规划等相关规划时，应充分考虑污染地块的环境风险，合理确定土地用途。制定实施受污染耕地安全利用方案，采取农艺调控、化学阻控、替代种植等措施，降低农产品重金属超标风险。暂时不能进行治理修复的污染地块，设置标志标识围栏，根据各地块的环境因地制宜采取建设撇洪导流沟渠、地表覆盖等措施减少雨水冲刷等风险管控措施。在未完成治理并通过验收前，不得用于农业、畜牧业以及工商业开发建设。</w:t>
            </w:r>
          </w:p>
        </w:tc>
        <w:tc>
          <w:tcPr>
            <w:tcW w:w="2745" w:type="dxa"/>
            <w:vAlign w:val="center"/>
          </w:tcPr>
          <w:p>
            <w:pPr>
              <w:pStyle w:val="2977"/>
              <w:widowControl w:val="0"/>
              <w:rPr>
                <w:color w:val="auto"/>
                <w:u w:val="none" w:color="auto"/>
              </w:rPr>
            </w:pPr>
            <w:r>
              <w:rPr>
                <w:rFonts w:hint="eastAsia"/>
                <w:color w:val="auto"/>
                <w:u w:val="none" w:color="auto"/>
              </w:rPr>
              <w:t>本项目属于</w:t>
            </w:r>
            <w:r>
              <w:rPr>
                <w:rFonts w:hint="eastAsia"/>
                <w:color w:val="auto"/>
                <w:u w:val="none" w:color="auto"/>
                <w:lang w:eastAsia="zh-CN"/>
              </w:rPr>
              <w:t>河湖整治工程</w:t>
            </w:r>
            <w:r>
              <w:rPr>
                <w:rFonts w:hint="eastAsia"/>
                <w:color w:val="auto"/>
                <w:u w:val="none" w:color="auto"/>
              </w:rPr>
              <w:t>，本环评对项目施工期间要求定期进行水质监测。</w:t>
            </w:r>
            <w:r>
              <w:rPr>
                <w:rFonts w:hint="eastAsia"/>
                <w:color w:val="auto"/>
                <w:u w:val="none" w:color="auto"/>
                <w:lang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5" w:type="dxa"/>
            <w:vAlign w:val="center"/>
          </w:tcPr>
          <w:p>
            <w:pPr>
              <w:pStyle w:val="2977"/>
              <w:widowControl w:val="0"/>
              <w:rPr>
                <w:color w:val="auto"/>
                <w:u w:val="none" w:color="auto"/>
              </w:rPr>
            </w:pPr>
            <w:r>
              <w:rPr>
                <w:rFonts w:hint="eastAsia"/>
                <w:color w:val="auto"/>
                <w:u w:val="none" w:color="auto"/>
              </w:rPr>
              <w:t>资源开发效率要求</w:t>
            </w:r>
          </w:p>
        </w:tc>
        <w:tc>
          <w:tcPr>
            <w:tcW w:w="5142" w:type="dxa"/>
            <w:gridSpan w:val="4"/>
            <w:vAlign w:val="center"/>
          </w:tcPr>
          <w:p>
            <w:pPr>
              <w:pStyle w:val="2977"/>
              <w:widowControl w:val="0"/>
              <w:jc w:val="both"/>
              <w:rPr>
                <w:rFonts w:hint="eastAsia"/>
                <w:color w:val="auto"/>
                <w:u w:val="none" w:color="auto"/>
              </w:rPr>
            </w:pPr>
            <w:r>
              <w:rPr>
                <w:rFonts w:hint="eastAsia"/>
                <w:color w:val="auto"/>
                <w:u w:val="none" w:color="auto"/>
              </w:rPr>
              <w:t>（4.1）能源：强化节能环保标准约束，严格行业规范、准入管理和节能审查，对电力、钢铁、建材、有色、化工、石油石化、煤炭、造纸等行业中，环保、能耗、安全等不达标或生产、使用淘汰类产品的企业和产能，依法依规改造升级或有序退出。推广使用优质煤、洁净型煤，推进煤改气、煤改电，鼓励利用可再生能源、天然气、电力等优质能源替代燃煤使用。</w:t>
            </w:r>
          </w:p>
          <w:p>
            <w:pPr>
              <w:pStyle w:val="2977"/>
              <w:widowControl w:val="0"/>
              <w:jc w:val="both"/>
              <w:rPr>
                <w:color w:val="auto"/>
                <w:u w:val="none" w:color="auto"/>
              </w:rPr>
            </w:pPr>
            <w:r>
              <w:rPr>
                <w:rFonts w:hint="eastAsia"/>
                <w:color w:val="auto"/>
                <w:u w:val="none" w:color="auto"/>
              </w:rPr>
              <w:t>（4.2）水资源：大力推进农业、工业、城镇节水，全面推进节水型社会建设。</w:t>
            </w:r>
          </w:p>
        </w:tc>
        <w:tc>
          <w:tcPr>
            <w:tcW w:w="2745" w:type="dxa"/>
            <w:vAlign w:val="center"/>
          </w:tcPr>
          <w:p>
            <w:pPr>
              <w:pStyle w:val="2977"/>
              <w:widowControl w:val="0"/>
              <w:rPr>
                <w:color w:val="auto"/>
                <w:u w:val="none" w:color="auto"/>
              </w:rPr>
            </w:pPr>
            <w:r>
              <w:rPr>
                <w:rFonts w:hint="eastAsia"/>
                <w:color w:val="auto"/>
                <w:u w:val="none" w:color="auto"/>
              </w:rPr>
              <w:t>本工程</w:t>
            </w:r>
            <w:r>
              <w:rPr>
                <w:rFonts w:hint="eastAsia"/>
                <w:color w:val="auto"/>
                <w:u w:val="none" w:color="auto"/>
                <w:lang w:eastAsia="zh-CN"/>
              </w:rPr>
              <w:t>不占用基本农田，不改变原有土地利用性质，</w:t>
            </w:r>
            <w:r>
              <w:rPr>
                <w:rFonts w:hint="eastAsia"/>
                <w:color w:val="auto"/>
                <w:u w:val="none" w:color="auto"/>
                <w:lang w:val="en-US" w:eastAsia="zh-CN"/>
              </w:rPr>
              <w:t>符合资源开发效率的要求</w:t>
            </w:r>
          </w:p>
        </w:tc>
      </w:tr>
    </w:tbl>
    <w:p>
      <w:pPr>
        <w:pStyle w:val="145"/>
        <w:adjustRightInd w:val="0"/>
        <w:snapToGrid w:val="0"/>
        <w:ind w:firstLine="480"/>
        <w:rPr>
          <w:rFonts w:cs="Times New Roman"/>
          <w:snapToGrid w:val="0"/>
        </w:rPr>
      </w:pPr>
      <w:r>
        <w:rPr>
          <w:rFonts w:hint="eastAsia"/>
          <w:color w:val="auto"/>
          <w:u w:val="none" w:color="auto"/>
        </w:rPr>
        <w:t>综上所述，</w:t>
      </w:r>
      <w:r>
        <w:rPr>
          <w:rFonts w:cs="Times New Roman"/>
          <w:snapToGrid w:val="0"/>
        </w:rPr>
        <w:t>本项目属于</w:t>
      </w:r>
      <w:r>
        <w:rPr>
          <w:rFonts w:hint="eastAsia" w:cs="Times New Roman"/>
          <w:snapToGrid w:val="0"/>
          <w:lang w:eastAsia="zh-CN"/>
        </w:rPr>
        <w:t>河湖整治</w:t>
      </w:r>
      <w:r>
        <w:rPr>
          <w:rFonts w:cs="Times New Roman"/>
          <w:snapToGrid w:val="0"/>
        </w:rPr>
        <w:t>项目，项目主要污染物排放集中在施工期，均采取有效措施控制，项目的实施改善项目区域水环境和生态环境质量，因此本项目符合</w:t>
      </w:r>
      <w:r>
        <w:rPr>
          <w:rFonts w:hint="eastAsia"/>
          <w:color w:val="auto"/>
          <w:u w:val="none" w:color="auto"/>
        </w:rPr>
        <w:t>《</w:t>
      </w:r>
      <w:r>
        <w:rPr>
          <w:rFonts w:hint="eastAsia"/>
          <w:color w:val="auto"/>
          <w:u w:val="none" w:color="auto"/>
          <w:lang w:eastAsia="zh-CN"/>
        </w:rPr>
        <w:t>衡阳市</w:t>
      </w:r>
      <w:r>
        <w:rPr>
          <w:rFonts w:hint="eastAsia"/>
          <w:color w:val="auto"/>
          <w:u w:val="none" w:color="auto"/>
        </w:rPr>
        <w:t>人民政府关于实施</w:t>
      </w:r>
      <w:r>
        <w:rPr>
          <w:rFonts w:hint="eastAsia"/>
          <w:color w:val="auto"/>
          <w:u w:val="none" w:color="auto"/>
          <w:lang w:eastAsia="zh-CN"/>
        </w:rPr>
        <w:t>衡阳市</w:t>
      </w:r>
      <w:r>
        <w:rPr>
          <w:rFonts w:hint="eastAsia"/>
          <w:color w:val="auto"/>
          <w:u w:val="none" w:color="auto"/>
        </w:rPr>
        <w:t>“三线一单”生态 环境分区管控的意见》（</w:t>
      </w:r>
      <w:r>
        <w:rPr>
          <w:rFonts w:hint="eastAsia"/>
          <w:color w:val="auto"/>
          <w:u w:val="none" w:color="auto"/>
          <w:lang w:eastAsia="zh-CN"/>
        </w:rPr>
        <w:t>衡政发〔2020〕4号</w:t>
      </w:r>
      <w:r>
        <w:rPr>
          <w:rFonts w:hint="eastAsia"/>
          <w:color w:val="auto"/>
          <w:u w:val="none" w:color="auto"/>
        </w:rPr>
        <w:t>）中</w:t>
      </w:r>
      <w:r>
        <w:rPr>
          <w:rFonts w:hint="eastAsia"/>
          <w:color w:val="auto"/>
          <w:u w:val="none" w:color="auto"/>
          <w:lang w:eastAsia="zh-CN"/>
        </w:rPr>
        <w:t>四明山乡、太和堂镇、蒋家桥镇、城连圩乡</w:t>
      </w:r>
      <w:r>
        <w:rPr>
          <w:rFonts w:hint="eastAsia"/>
          <w:color w:val="auto"/>
          <w:u w:val="none" w:color="auto"/>
        </w:rPr>
        <w:t>关于</w:t>
      </w:r>
      <w:r>
        <w:rPr>
          <w:rFonts w:hint="eastAsia"/>
          <w:color w:val="auto"/>
          <w:u w:val="none" w:color="auto"/>
          <w:lang w:eastAsia="zh-CN"/>
        </w:rPr>
        <w:t>饮用水源保护区</w:t>
      </w:r>
      <w:r>
        <w:rPr>
          <w:rFonts w:hint="eastAsia"/>
          <w:color w:val="auto"/>
          <w:u w:val="none" w:color="auto"/>
        </w:rPr>
        <w:t>的管控要求。</w:t>
      </w:r>
    </w:p>
    <w:p>
      <w:pPr>
        <w:autoSpaceDE/>
        <w:autoSpaceDN/>
        <w:adjustRightInd w:val="0"/>
        <w:snapToGrid w:val="0"/>
        <w:spacing w:line="360" w:lineRule="auto"/>
        <w:jc w:val="both"/>
        <w:outlineLvl w:val="2"/>
        <w:rPr>
          <w:rFonts w:ascii="Times New Roman" w:hAnsi="Times New Roman" w:cs="Times New Roman"/>
          <w:b/>
          <w:sz w:val="28"/>
          <w:szCs w:val="24"/>
        </w:rPr>
      </w:pPr>
      <w:bookmarkStart w:id="40" w:name="_Toc82593068"/>
      <w:bookmarkStart w:id="41" w:name="_Toc24226"/>
      <w:r>
        <w:rPr>
          <w:rFonts w:ascii="Times New Roman" w:hAnsi="Times New Roman" w:cs="Times New Roman"/>
          <w:b/>
          <w:sz w:val="28"/>
          <w:szCs w:val="24"/>
        </w:rPr>
        <w:t>1.5.6选址合理性分析</w:t>
      </w:r>
      <w:bookmarkEnd w:id="40"/>
      <w:bookmarkEnd w:id="41"/>
    </w:p>
    <w:p>
      <w:pPr>
        <w:bidi w:val="0"/>
        <w:spacing w:line="360" w:lineRule="auto"/>
        <w:ind w:firstLine="480" w:firstLineChars="200"/>
        <w:rPr>
          <w:rFonts w:ascii="Times New Roman" w:hAnsi="Times New Roman" w:eastAsia="宋体" w:cs="Times New Roman"/>
          <w:snapToGrid w:val="0"/>
          <w:sz w:val="24"/>
          <w:szCs w:val="21"/>
          <w:lang w:val="en-US" w:eastAsia="zh-CN" w:bidi="ar-SA"/>
        </w:rPr>
      </w:pPr>
      <w:r>
        <w:rPr>
          <w:rFonts w:ascii="Times New Roman" w:hAnsi="Times New Roman" w:eastAsia="宋体" w:cs="Times New Roman"/>
          <w:snapToGrid w:val="0"/>
          <w:sz w:val="24"/>
          <w:szCs w:val="21"/>
          <w:lang w:val="en-US" w:eastAsia="zh-CN" w:bidi="ar-SA"/>
        </w:rPr>
        <w:t>本项目选址为</w:t>
      </w:r>
      <w:r>
        <w:rPr>
          <w:rFonts w:hint="eastAsia" w:ascii="Times New Roman" w:hAnsi="Times New Roman" w:cs="Times New Roman"/>
          <w:snapToGrid w:val="0"/>
          <w:sz w:val="24"/>
          <w:szCs w:val="21"/>
          <w:lang w:val="en-US" w:eastAsia="zh-CN" w:bidi="ar-SA"/>
        </w:rPr>
        <w:t>祁水</w:t>
      </w:r>
      <w:r>
        <w:rPr>
          <w:rFonts w:hint="eastAsia" w:ascii="Times New Roman" w:hAnsi="Times New Roman" w:eastAsia="宋体" w:cs="Times New Roman"/>
          <w:snapToGrid w:val="0"/>
          <w:sz w:val="24"/>
          <w:szCs w:val="21"/>
          <w:lang w:val="en-US" w:eastAsia="zh-CN" w:bidi="ar-SA"/>
        </w:rPr>
        <w:t>流域涉及的</w:t>
      </w:r>
      <w:r>
        <w:rPr>
          <w:rFonts w:hint="eastAsia" w:ascii="Times New Roman" w:hAnsi="Times New Roman" w:cs="Times New Roman"/>
          <w:snapToGrid w:val="0"/>
          <w:sz w:val="24"/>
          <w:szCs w:val="21"/>
          <w:lang w:val="en-US" w:eastAsia="zh-CN" w:bidi="ar-SA"/>
        </w:rPr>
        <w:t>祁东县四明山乡、太和堂镇、蒋家桥镇、城连圩乡</w:t>
      </w:r>
      <w:r>
        <w:rPr>
          <w:rFonts w:ascii="Times New Roman" w:hAnsi="Times New Roman" w:eastAsia="宋体" w:cs="Times New Roman"/>
          <w:snapToGrid w:val="0"/>
          <w:sz w:val="24"/>
          <w:szCs w:val="21"/>
          <w:lang w:val="en-US" w:eastAsia="zh-CN" w:bidi="ar-SA"/>
        </w:rPr>
        <w:t>，项目用地主要为滩涂地、荒地等，不涉及基本农田。</w:t>
      </w:r>
    </w:p>
    <w:p>
      <w:pPr>
        <w:pStyle w:val="145"/>
        <w:adjustRightInd w:val="0"/>
        <w:snapToGrid w:val="0"/>
        <w:spacing w:line="360" w:lineRule="auto"/>
        <w:ind w:firstLine="480"/>
        <w:rPr>
          <w:rFonts w:ascii="Times New Roman" w:hAnsi="Times New Roman" w:eastAsia="宋体" w:cs="Times New Roman"/>
          <w:snapToGrid w:val="0"/>
          <w:sz w:val="24"/>
          <w:szCs w:val="21"/>
          <w:lang w:val="en-US" w:eastAsia="zh-CN" w:bidi="ar-SA"/>
        </w:rPr>
      </w:pPr>
      <w:r>
        <w:rPr>
          <w:rFonts w:ascii="Times New Roman" w:hAnsi="Times New Roman" w:eastAsia="宋体" w:cs="Times New Roman"/>
          <w:snapToGrid w:val="0"/>
          <w:sz w:val="24"/>
          <w:szCs w:val="21"/>
          <w:lang w:val="en-US" w:eastAsia="zh-CN" w:bidi="ar-SA"/>
        </w:rPr>
        <w:t>项目不需要设置弃土及弃渣场，弃</w:t>
      </w:r>
      <w:r>
        <w:rPr>
          <w:rFonts w:hint="eastAsia" w:cs="Times New Roman"/>
          <w:snapToGrid w:val="0"/>
          <w:sz w:val="24"/>
          <w:szCs w:val="21"/>
          <w:lang w:val="en-US" w:eastAsia="zh-CN" w:bidi="ar-SA"/>
        </w:rPr>
        <w:t>方运送至祁东县渣土管理部门指定消纳场，</w:t>
      </w:r>
      <w:r>
        <w:rPr>
          <w:rFonts w:ascii="Times New Roman" w:hAnsi="Times New Roman" w:eastAsia="宋体" w:cs="Times New Roman"/>
          <w:snapToGrid w:val="0"/>
          <w:sz w:val="24"/>
          <w:szCs w:val="21"/>
          <w:lang w:val="en-US" w:eastAsia="zh-CN" w:bidi="ar-SA"/>
        </w:rPr>
        <w:t>需要的回填土由</w:t>
      </w:r>
      <w:r>
        <w:rPr>
          <w:rFonts w:hint="eastAsia" w:ascii="Times New Roman" w:hAnsi="Times New Roman" w:eastAsia="宋体" w:cs="Times New Roman"/>
          <w:snapToGrid w:val="0"/>
          <w:sz w:val="24"/>
          <w:szCs w:val="21"/>
          <w:lang w:val="en-US" w:eastAsia="zh-CN" w:bidi="ar-SA"/>
        </w:rPr>
        <w:t>船湾镇</w:t>
      </w:r>
      <w:r>
        <w:rPr>
          <w:rFonts w:ascii="Times New Roman" w:hAnsi="Times New Roman" w:eastAsia="宋体" w:cs="Times New Roman"/>
          <w:snapToGrid w:val="0"/>
          <w:sz w:val="24"/>
          <w:szCs w:val="21"/>
          <w:lang w:val="en-US" w:eastAsia="zh-CN" w:bidi="ar-SA"/>
        </w:rPr>
        <w:t>人民政府组织调运，根据工程规模及施工进度安排，施工</w:t>
      </w:r>
      <w:r>
        <w:rPr>
          <w:rFonts w:hint="eastAsia" w:ascii="Times New Roman" w:hAnsi="Times New Roman" w:eastAsia="宋体" w:cs="Times New Roman"/>
          <w:snapToGrid w:val="0"/>
          <w:sz w:val="24"/>
          <w:szCs w:val="21"/>
          <w:lang w:val="en-US" w:eastAsia="zh-CN" w:bidi="ar-SA"/>
        </w:rPr>
        <w:t>主要</w:t>
      </w:r>
      <w:r>
        <w:rPr>
          <w:rFonts w:ascii="Times New Roman" w:hAnsi="Times New Roman" w:eastAsia="宋体" w:cs="Times New Roman"/>
          <w:snapToGrid w:val="0"/>
          <w:sz w:val="24"/>
          <w:szCs w:val="21"/>
          <w:lang w:val="en-US" w:eastAsia="zh-CN" w:bidi="ar-SA"/>
        </w:rPr>
        <w:t>安排在枯水期进行，不会影响行洪。随着施工期结束，不会对环境造成影响。</w:t>
      </w:r>
    </w:p>
    <w:p>
      <w:pPr>
        <w:pStyle w:val="145"/>
        <w:adjustRightInd w:val="0"/>
        <w:snapToGrid w:val="0"/>
        <w:ind w:firstLine="480"/>
        <w:rPr>
          <w:rFonts w:cs="Times New Roman"/>
          <w:snapToGrid w:val="0"/>
        </w:rPr>
      </w:pPr>
      <w:r>
        <w:rPr>
          <w:rFonts w:ascii="Times New Roman" w:hAnsi="Times New Roman" w:eastAsia="宋体" w:cs="Times New Roman"/>
          <w:snapToGrid w:val="0"/>
          <w:sz w:val="24"/>
          <w:szCs w:val="21"/>
          <w:lang w:val="en-US" w:eastAsia="zh-CN" w:bidi="ar-SA"/>
        </w:rPr>
        <w:t>综上所述，项目符合相</w:t>
      </w:r>
      <w:r>
        <w:rPr>
          <w:rFonts w:cs="Times New Roman"/>
          <w:snapToGrid w:val="0"/>
        </w:rPr>
        <w:t>关法规政策，湖南省及</w:t>
      </w:r>
      <w:r>
        <w:rPr>
          <w:rFonts w:hint="eastAsia" w:cs="Times New Roman"/>
          <w:snapToGrid w:val="0"/>
          <w:lang w:eastAsia="zh-CN"/>
        </w:rPr>
        <w:t>衡阳市、祁东县</w:t>
      </w:r>
      <w:r>
        <w:rPr>
          <w:rFonts w:cs="Times New Roman"/>
          <w:snapToGrid w:val="0"/>
        </w:rPr>
        <w:t>相关规划要求，符合国家产业政策，项目主要为环境污染治理项目，属公益性工程，项目投入运行后将改善</w:t>
      </w:r>
      <w:r>
        <w:rPr>
          <w:rFonts w:hint="eastAsia" w:cs="Times New Roman"/>
          <w:snapToGrid w:val="0"/>
          <w:lang w:eastAsia="zh-CN"/>
        </w:rPr>
        <w:t>祁水及沿线饮用水源保护区</w:t>
      </w:r>
      <w:r>
        <w:rPr>
          <w:rFonts w:cs="Times New Roman"/>
          <w:snapToGrid w:val="0"/>
        </w:rPr>
        <w:t>的水质</w:t>
      </w:r>
      <w:r>
        <w:rPr>
          <w:rFonts w:hint="eastAsia" w:cs="Times New Roman"/>
          <w:snapToGrid w:val="0"/>
          <w:lang w:eastAsia="zh-CN"/>
        </w:rPr>
        <w:t>及生态</w:t>
      </w:r>
      <w:r>
        <w:rPr>
          <w:rFonts w:cs="Times New Roman"/>
          <w:snapToGrid w:val="0"/>
        </w:rPr>
        <w:t>环境。因此，本项目选址可行。</w:t>
      </w:r>
    </w:p>
    <w:p>
      <w:pPr>
        <w:pStyle w:val="5"/>
        <w:tabs>
          <w:tab w:val="left" w:pos="692"/>
        </w:tabs>
        <w:autoSpaceDE/>
        <w:autoSpaceDN/>
        <w:adjustRightInd w:val="0"/>
        <w:snapToGrid w:val="0"/>
        <w:spacing w:before="0" w:line="360" w:lineRule="auto"/>
        <w:ind w:left="524" w:hanging="524" w:hangingChars="174"/>
        <w:jc w:val="both"/>
        <w:rPr>
          <w:rFonts w:ascii="Times New Roman" w:hAnsi="Times New Roman" w:cs="Times New Roman"/>
          <w:snapToGrid w:val="0"/>
        </w:rPr>
      </w:pPr>
      <w:bookmarkStart w:id="42" w:name="_bookmark7"/>
      <w:bookmarkEnd w:id="42"/>
      <w:bookmarkStart w:id="43" w:name="_Toc1536"/>
      <w:r>
        <w:rPr>
          <w:rFonts w:ascii="Times New Roman" w:hAnsi="Times New Roman" w:cs="Times New Roman"/>
          <w:snapToGrid w:val="0"/>
        </w:rPr>
        <w:t>1.</w:t>
      </w:r>
      <w:r>
        <w:rPr>
          <w:rFonts w:ascii="Times New Roman" w:hAnsi="Times New Roman" w:cs="Times New Roman"/>
          <w:snapToGrid w:val="0"/>
          <w:lang w:val="en-US"/>
        </w:rPr>
        <w:t>6</w:t>
      </w:r>
      <w:r>
        <w:rPr>
          <w:rFonts w:ascii="Times New Roman" w:hAnsi="Times New Roman" w:cs="Times New Roman"/>
          <w:snapToGrid w:val="0"/>
        </w:rPr>
        <w:t>环境影响报告书主要结论</w:t>
      </w:r>
      <w:bookmarkEnd w:id="43"/>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rPr>
      </w:pPr>
      <w:r>
        <w:rPr>
          <w:rFonts w:ascii="Times New Roman" w:hAnsi="Times New Roman" w:cs="Times New Roman"/>
          <w:snapToGrid w:val="0"/>
          <w:color w:val="000000" w:themeColor="text1"/>
          <w14:textFill>
            <w14:solidFill>
              <w14:schemeClr w14:val="tx1"/>
            </w14:solidFill>
          </w14:textFill>
        </w:rPr>
        <w:t>本项目为</w:t>
      </w:r>
      <w:r>
        <w:rPr>
          <w:rFonts w:hint="eastAsia" w:ascii="Times New Roman" w:hAnsi="Times New Roman" w:cs="Times New Roman"/>
          <w:snapToGrid w:val="0"/>
          <w:color w:val="000000" w:themeColor="text1"/>
          <w:lang w:eastAsia="zh-CN"/>
          <w14:textFill>
            <w14:solidFill>
              <w14:schemeClr w14:val="tx1"/>
            </w14:solidFill>
          </w14:textFill>
        </w:rPr>
        <w:t>河湖整治</w:t>
      </w:r>
      <w:r>
        <w:rPr>
          <w:rFonts w:ascii="Times New Roman" w:hAnsi="Times New Roman" w:cs="Times New Roman"/>
          <w:snapToGrid w:val="0"/>
          <w:color w:val="000000" w:themeColor="text1"/>
          <w14:textFill>
            <w14:solidFill>
              <w14:schemeClr w14:val="tx1"/>
            </w14:solidFill>
          </w14:textFill>
        </w:rPr>
        <w:t>项目，根据《国民经济行业分类》（GB/T 4754-2017）。因此，本项目建设符合国家现行产业政策。</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rPr>
      </w:pPr>
      <w:r>
        <w:rPr>
          <w:rFonts w:ascii="Times New Roman" w:hAnsi="Times New Roman" w:cs="Times New Roman"/>
          <w:snapToGrid w:val="0"/>
          <w:color w:val="000000"/>
        </w:rPr>
        <w:t>本评价收集了项目所在地和周围区域的环境质量现状监测数据，并对所在地及周边区域进行了调查与评价，对项目施工期及营运过程的环境影响因素进行识别分析，分析评价项目可能产生的环境影响，并提出环境保护措施、环境管理和环境监测计划。建设项目拟采取切实有效的污染防治措施对污染源进行治理，确保达标排放，在此基础上，项目对周边环境的影响可以为环境所接受。</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color w:val="000000"/>
        </w:rPr>
        <w:t>在切实保证本报告提出的各项环保措施得到落实，严格按照有关法律、法规及本报告提出的要求实施有效的环境管理，真正实现环境保护与经济建设的可持续协调发展，本项目对周围环境影响较小，且本项目为环境污染治理项目，属公益性工程，改善</w:t>
      </w:r>
      <w:r>
        <w:rPr>
          <w:rFonts w:hint="eastAsia" w:ascii="Times New Roman" w:hAnsi="Times New Roman" w:cs="Times New Roman"/>
          <w:snapToGrid w:val="0"/>
          <w:color w:val="000000"/>
          <w:lang w:eastAsia="zh-CN"/>
        </w:rPr>
        <w:t>祁水及沿线饮用水源保护区</w:t>
      </w:r>
      <w:r>
        <w:rPr>
          <w:rFonts w:ascii="Times New Roman" w:hAnsi="Times New Roman" w:cs="Times New Roman"/>
          <w:snapToGrid w:val="0"/>
          <w:color w:val="000000"/>
        </w:rPr>
        <w:t>水质及周边生态环境。从环境保护角度分析，本评价认为项目的建设是可行的。</w:t>
      </w:r>
    </w:p>
    <w:p>
      <w:pPr>
        <w:autoSpaceDE/>
        <w:autoSpaceDN/>
        <w:adjustRightInd w:val="0"/>
        <w:snapToGrid w:val="0"/>
        <w:spacing w:line="365" w:lineRule="auto"/>
        <w:ind w:firstLine="476"/>
        <w:jc w:val="both"/>
        <w:rPr>
          <w:rFonts w:ascii="Times New Roman" w:hAnsi="Times New Roman" w:cs="Times New Roman"/>
        </w:rPr>
        <w:sectPr>
          <w:headerReference r:id="rId11" w:type="default"/>
          <w:footerReference r:id="rId12" w:type="default"/>
          <w:pgSz w:w="11910" w:h="16840"/>
          <w:pgMar w:top="1378" w:right="1542" w:bottom="1378" w:left="1559" w:header="877" w:footer="1020" w:gutter="0"/>
          <w:pgBorders>
            <w:top w:val="none" w:sz="0" w:space="0"/>
            <w:left w:val="none" w:sz="0" w:space="0"/>
            <w:bottom w:val="none" w:sz="0" w:space="0"/>
            <w:right w:val="none" w:sz="0" w:space="0"/>
          </w:pgBorders>
          <w:pgNumType w:fmt="decimal" w:start="1"/>
          <w:cols w:space="720" w:num="1"/>
          <w:docGrid w:linePitch="299" w:charSpace="0"/>
        </w:sectPr>
      </w:pPr>
    </w:p>
    <w:p>
      <w:pPr>
        <w:pStyle w:val="2"/>
        <w:autoSpaceDE/>
        <w:autoSpaceDN/>
        <w:adjustRightInd w:val="0"/>
        <w:snapToGrid w:val="0"/>
        <w:spacing w:before="0"/>
        <w:ind w:left="0"/>
        <w:jc w:val="both"/>
        <w:rPr>
          <w:rFonts w:ascii="Times New Roman" w:hAnsi="Times New Roman" w:cs="Times New Roman"/>
          <w:sz w:val="8"/>
        </w:rPr>
      </w:pPr>
    </w:p>
    <w:p>
      <w:pPr>
        <w:tabs>
          <w:tab w:val="left" w:pos="481"/>
        </w:tabs>
        <w:autoSpaceDE/>
        <w:autoSpaceDN/>
        <w:adjustRightInd w:val="0"/>
        <w:snapToGrid w:val="0"/>
        <w:spacing w:line="360" w:lineRule="auto"/>
        <w:outlineLvl w:val="0"/>
        <w:rPr>
          <w:rFonts w:ascii="Times New Roman" w:hAnsi="Times New Roman" w:cs="Times New Roman"/>
          <w:b/>
          <w:sz w:val="32"/>
        </w:rPr>
      </w:pPr>
      <w:bookmarkStart w:id="44" w:name="_bookmark8"/>
      <w:bookmarkEnd w:id="44"/>
      <w:bookmarkStart w:id="45" w:name="_Toc10773"/>
      <w:r>
        <w:rPr>
          <w:rFonts w:ascii="Times New Roman" w:hAnsi="Times New Roman" w:cs="Times New Roman"/>
          <w:b/>
          <w:sz w:val="32"/>
        </w:rPr>
        <w:t>2.总则</w:t>
      </w:r>
      <w:bookmarkEnd w:id="45"/>
    </w:p>
    <w:p>
      <w:pPr>
        <w:pStyle w:val="123"/>
        <w:tabs>
          <w:tab w:val="left" w:pos="692"/>
        </w:tabs>
        <w:autoSpaceDE/>
        <w:autoSpaceDN/>
        <w:adjustRightInd w:val="0"/>
        <w:snapToGrid w:val="0"/>
        <w:spacing w:before="0" w:line="360" w:lineRule="auto"/>
        <w:ind w:left="0" w:firstLine="0"/>
        <w:jc w:val="both"/>
        <w:outlineLvl w:val="1"/>
        <w:rPr>
          <w:rFonts w:ascii="Times New Roman" w:hAnsi="Times New Roman" w:cs="Times New Roman"/>
          <w:b/>
          <w:sz w:val="30"/>
        </w:rPr>
      </w:pPr>
      <w:bookmarkStart w:id="46" w:name="_bookmark9"/>
      <w:bookmarkEnd w:id="46"/>
      <w:bookmarkStart w:id="47" w:name="_Toc20092"/>
      <w:r>
        <w:rPr>
          <w:rFonts w:ascii="Times New Roman" w:hAnsi="Times New Roman" w:cs="Times New Roman"/>
          <w:b/>
          <w:sz w:val="30"/>
        </w:rPr>
        <w:t>2.1编制依据</w:t>
      </w:r>
      <w:bookmarkEnd w:id="47"/>
    </w:p>
    <w:p>
      <w:pPr>
        <w:autoSpaceDE/>
        <w:autoSpaceDN/>
        <w:adjustRightInd w:val="0"/>
        <w:snapToGrid w:val="0"/>
        <w:spacing w:line="360" w:lineRule="auto"/>
        <w:jc w:val="both"/>
        <w:outlineLvl w:val="2"/>
        <w:rPr>
          <w:rFonts w:ascii="Times New Roman" w:hAnsi="Times New Roman" w:cs="Times New Roman"/>
          <w:b/>
          <w:sz w:val="28"/>
          <w:szCs w:val="24"/>
        </w:rPr>
      </w:pPr>
      <w:bookmarkStart w:id="48" w:name="_Toc66206014"/>
      <w:bookmarkStart w:id="49" w:name="_Toc20932"/>
      <w:bookmarkStart w:id="50" w:name="_Toc82593073"/>
      <w:bookmarkStart w:id="51" w:name="_Toc69284540"/>
      <w:r>
        <w:rPr>
          <w:rFonts w:ascii="Times New Roman" w:hAnsi="Times New Roman" w:cs="Times New Roman"/>
          <w:b/>
          <w:sz w:val="28"/>
          <w:szCs w:val="24"/>
        </w:rPr>
        <w:t>2.1.1国家法律、法规</w:t>
      </w:r>
      <w:bookmarkEnd w:id="48"/>
      <w:bookmarkEnd w:id="49"/>
      <w:bookmarkEnd w:id="50"/>
      <w:bookmarkEnd w:id="51"/>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（1）《中华人民共和国环境保护法（2014年修订）》，2015.1；</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（2）《中华人民共和国环境影响评价法（2018.12.29修订）》；</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（3）《中华人民共和国防洪法》，2016.7.2修正；</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（4）《中华人民共和国水法》，2016.7. 2修正；</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（5）</w:t>
      </w:r>
      <w:r>
        <w:rPr>
          <w:rFonts w:ascii="Times New Roman" w:hAnsi="Times New Roman" w:cs="Times New Roman"/>
          <w:snapToGrid w:val="0"/>
          <w:color w:val="auto"/>
          <w:u w:val="none"/>
        </w:rPr>
        <w:t>《中华人民共和国噪声污染防治法》，</w:t>
      </w:r>
      <w:r>
        <w:rPr>
          <w:rFonts w:hint="eastAsia" w:ascii="Times New Roman" w:hAnsi="Times New Roman" w:cs="Times New Roman"/>
          <w:snapToGrid w:val="0"/>
          <w:color w:val="auto"/>
          <w:u w:val="none"/>
        </w:rPr>
        <w:t>2022年6月5日起施行</w:t>
      </w:r>
      <w:r>
        <w:rPr>
          <w:rFonts w:ascii="Times New Roman" w:hAnsi="Times New Roman" w:cs="Times New Roman"/>
          <w:snapToGrid w:val="0"/>
        </w:rPr>
        <w:t>；</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（6）《中华人民共和国大气污染防治法（2018年修订）》，2018.10.26；</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（7）《中华人民共和国水污染防治法》，2018.1.1起施行；</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（8）《中华人民共和国固体废物污染环境防治法（2020年修订）》，2020.9；</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（9）《中华人民共和国土壤污染防治法》，2019.1.1；</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（10）《中华人民共和国土地管理法》，2020.1.1起施行；</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（11）《中华人民共和国水土保持法》，2011.3.1起施行；</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（12）《中华人民共和国突发事件应对法》，2007.11.1；</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（13）《中华人民共和国森林法》，2019.12.28修订；</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（14）《中华人民共和国野生动物保护法》，2018.10.26修订；</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（15）《中华人民共和国文物保护法》，2017.11.4修订；</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（16）《中华人民共和国渔业法》，2013.12.28修订；</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（17）《中华人民共和国传染病防治法》，2013.6.29修订；</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（18）《中华人民共和国城乡规划法》，2019.4.23修订；</w:t>
      </w:r>
    </w:p>
    <w:p>
      <w:pPr>
        <w:pStyle w:val="2"/>
        <w:autoSpaceDE/>
        <w:autoSpaceDN/>
        <w:adjustRightInd w:val="0"/>
        <w:snapToGrid w:val="0"/>
        <w:spacing w:before="0" w:line="360" w:lineRule="auto"/>
        <w:ind w:left="0" w:firstLine="480" w:firstLineChars="200"/>
        <w:jc w:val="both"/>
        <w:rPr>
          <w:rFonts w:hint="eastAsia" w:ascii="Times New Roman" w:hAnsi="Times New Roman" w:eastAsia="宋体" w:cs="Times New Roman"/>
          <w:snapToGrid w:val="0"/>
          <w:color w:val="FF0000"/>
          <w:u w:val="single"/>
          <w:lang w:val="en-US" w:eastAsia="zh-CN"/>
        </w:rPr>
      </w:pPr>
      <w:r>
        <w:rPr>
          <w:rFonts w:ascii="Times New Roman" w:hAnsi="Times New Roman" w:cs="Times New Roman"/>
          <w:snapToGrid w:val="0"/>
        </w:rPr>
        <w:t>（19）</w:t>
      </w:r>
      <w:r>
        <w:rPr>
          <w:rFonts w:hint="eastAsia" w:ascii="Times New Roman" w:hAnsi="Times New Roman" w:cs="Times New Roman"/>
          <w:snapToGrid w:val="0"/>
          <w:color w:val="auto"/>
          <w:u w:val="none"/>
        </w:rPr>
        <w:t>《中华人民共和国长江保护法》</w:t>
      </w:r>
      <w:r>
        <w:rPr>
          <w:rFonts w:ascii="Times New Roman" w:hAnsi="Times New Roman" w:cs="Times New Roman"/>
          <w:snapToGrid w:val="0"/>
          <w:color w:val="auto"/>
          <w:u w:val="none"/>
        </w:rPr>
        <w:t>，</w:t>
      </w:r>
      <w:r>
        <w:rPr>
          <w:rFonts w:hint="eastAsia" w:ascii="Times New Roman" w:hAnsi="Times New Roman" w:cs="Times New Roman"/>
          <w:snapToGrid w:val="0"/>
          <w:color w:val="auto"/>
          <w:u w:val="none"/>
          <w:lang w:val="en-US" w:eastAsia="zh-CN"/>
        </w:rPr>
        <w:t>2021年3月1日起施行</w:t>
      </w:r>
    </w:p>
    <w:p>
      <w:pPr>
        <w:autoSpaceDE/>
        <w:autoSpaceDN/>
        <w:adjustRightInd w:val="0"/>
        <w:snapToGrid w:val="0"/>
        <w:spacing w:line="360" w:lineRule="auto"/>
        <w:jc w:val="both"/>
        <w:outlineLvl w:val="2"/>
        <w:rPr>
          <w:rFonts w:ascii="Times New Roman" w:hAnsi="Times New Roman" w:cs="Times New Roman"/>
          <w:b/>
          <w:sz w:val="28"/>
          <w:szCs w:val="24"/>
        </w:rPr>
      </w:pPr>
      <w:bookmarkStart w:id="52" w:name="_Toc20256"/>
      <w:bookmarkStart w:id="53" w:name="_Toc82593074"/>
      <w:bookmarkStart w:id="54" w:name="_Toc66206015"/>
      <w:bookmarkStart w:id="55" w:name="_Toc69284541"/>
      <w:r>
        <w:rPr>
          <w:rFonts w:ascii="Times New Roman" w:hAnsi="Times New Roman" w:cs="Times New Roman"/>
          <w:b/>
          <w:sz w:val="28"/>
          <w:szCs w:val="24"/>
        </w:rPr>
        <w:t>2.1.2部门规章、法规</w:t>
      </w:r>
      <w:bookmarkEnd w:id="52"/>
      <w:bookmarkEnd w:id="53"/>
      <w:bookmarkEnd w:id="54"/>
      <w:bookmarkEnd w:id="55"/>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（1）《建设项目环境保护管理条例》（国务院令第682号）；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（2）《中华人民共和国河道管理条例（修正）》（国务院令第687号，2017年）；</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 xml:space="preserve">（3）《中华人民共和国野生植物保护实施条例（修正）》（国务院令第687号，2017年10月7日）； </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（4）《中华人民共和国陆生野生动物保护实施条例（修正）》（国务院令第666号，2016年2月6日）；</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（5）《中华人民共和国水生野生动物保护实施条例（修正）》（国务院令第645号，2013年12月7日）；</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（6）《中华人民共和国水污染防治法实施细则》（国务院令第284号，2000年3月20日）；</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（7）《中华人民共和国森林法实施条例（修正）》（国务院令第698号，2018年3月9日）；</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（8）《中华人民共和国文物保护法实施条例（修正）》（国务院令第666号，2016年2月6日）；</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（9）《中华人民共和国水土保持法实施条例（修正）》（国务院令第588号，2011年1月8日）；</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（10）《中华人民共和国土地管理法实施条例（修正）》（国务院令第653号，2014年7月29日）；</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（11）《土地复垦条例》（2013年3月1日起施行）；</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（12）《中华人民共和国自然保护区条例（修正）》（国务院令第687号，2017年10月7日）；</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（13）《基本农田保护条例（修订）》（国务院令第588号，2011年1月8日）；</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（14）《关于全面加强生态环境保护坚决打好污染防治攻坚战的意见》(中发〔2018〕17号)；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（15）《国务院关于落实科学发展观加强环境保护的决定》（国发﹝2005﹞39号）；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（16）《国务院关于加强环境保护重点工作的意见》（国发﹝2011﹞35号）；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（17）《国务院关于印发全国主体功能区划规划的通知》（国发﹝2010﹞46号）；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（18）《国务院关于全国地下水污染防治规划（2011-2020）的批复》（国函﹝2011﹞119号）；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（19）《国务院关于进一步促进湖南经济社会又好又快发展的若干意见》（国发﹝2012﹞2号）；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（20）《国务院关于印发土壤污染防治行动计划的通知》（国发〔2016〕31号）；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（21）《国务院关于印发水污染防治行动计划的通知》（国发〔2015〕17号）；</w:t>
      </w:r>
    </w:p>
    <w:p>
      <w:pPr>
        <w:pStyle w:val="2"/>
        <w:autoSpaceDE/>
        <w:autoSpaceDN/>
        <w:adjustRightInd w:val="0"/>
        <w:snapToGrid w:val="0"/>
        <w:spacing w:before="0" w:line="360" w:lineRule="auto"/>
        <w:ind w:left="0" w:firstLine="480" w:firstLineChars="200"/>
        <w:jc w:val="both"/>
        <w:rPr>
          <w:rFonts w:ascii="Times New Roman" w:hAnsi="Times New Roman" w:cs="Times New Roman"/>
          <w:spacing w:val="-20"/>
        </w:rPr>
      </w:pPr>
      <w:r>
        <w:rPr>
          <w:rFonts w:ascii="Times New Roman" w:hAnsi="Times New Roman" w:cs="Times New Roman"/>
          <w:snapToGrid w:val="0"/>
        </w:rPr>
        <w:t>（22）《关于划定并严守生态保护红线的若干意见》（中央深改领导小组第二十九次会议审议通过，2016年11月）。</w:t>
      </w:r>
    </w:p>
    <w:p>
      <w:pPr>
        <w:autoSpaceDE/>
        <w:autoSpaceDN/>
        <w:adjustRightInd w:val="0"/>
        <w:snapToGrid w:val="0"/>
        <w:spacing w:line="360" w:lineRule="auto"/>
        <w:jc w:val="both"/>
        <w:outlineLvl w:val="2"/>
        <w:rPr>
          <w:rFonts w:ascii="Times New Roman" w:hAnsi="Times New Roman" w:cs="Times New Roman"/>
          <w:b/>
          <w:sz w:val="28"/>
          <w:szCs w:val="24"/>
        </w:rPr>
      </w:pPr>
      <w:bookmarkStart w:id="56" w:name="_Toc30559"/>
      <w:bookmarkStart w:id="57" w:name="_Toc66206016"/>
      <w:bookmarkStart w:id="58" w:name="_Toc82593075"/>
      <w:bookmarkStart w:id="59" w:name="_Toc69284542"/>
      <w:r>
        <w:rPr>
          <w:rFonts w:ascii="Times New Roman" w:hAnsi="Times New Roman" w:cs="Times New Roman"/>
          <w:b/>
          <w:sz w:val="28"/>
          <w:szCs w:val="24"/>
        </w:rPr>
        <w:t>2.1.3部委规章及规范性文件</w:t>
      </w:r>
      <w:bookmarkEnd w:id="56"/>
      <w:bookmarkEnd w:id="57"/>
      <w:bookmarkEnd w:id="58"/>
      <w:bookmarkEnd w:id="59"/>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themeColor="text1"/>
          <w14:textFill>
            <w14:solidFill>
              <w14:schemeClr w14:val="tx1"/>
            </w14:solidFill>
          </w14:textFill>
        </w:rPr>
      </w:pPr>
      <w:bookmarkStart w:id="60" w:name="_Toc82593076"/>
      <w:bookmarkStart w:id="61" w:name="_Toc66206017"/>
      <w:bookmarkStart w:id="62" w:name="_Toc69284543"/>
      <w:r>
        <w:rPr>
          <w:rFonts w:ascii="Times New Roman" w:hAnsi="Times New Roman" w:cs="Times New Roman"/>
          <w:snapToGrid w:val="0"/>
          <w:color w:val="000000" w:themeColor="text1"/>
          <w14:textFill>
            <w14:solidFill>
              <w14:schemeClr w14:val="tx1"/>
            </w14:solidFill>
          </w14:textFill>
        </w:rPr>
        <w:t>（1）《建设项目环境影响评价分类管理名录（2021年版）》（</w:t>
      </w:r>
      <w:r>
        <w:rPr>
          <w:rFonts w:hint="eastAsia" w:ascii="Times New Roman" w:hAnsi="Times New Roman" w:cs="Times New Roman"/>
          <w:snapToGrid w:val="0"/>
          <w:color w:val="000000" w:themeColor="text1"/>
          <w:lang w:eastAsia="zh-CN"/>
          <w14:textFill>
            <w14:solidFill>
              <w14:schemeClr w14:val="tx1"/>
            </w14:solidFill>
          </w14:textFill>
        </w:rPr>
        <w:t>生态环境部</w:t>
      </w:r>
      <w:r>
        <w:rPr>
          <w:rFonts w:ascii="Times New Roman" w:hAnsi="Times New Roman" w:cs="Times New Roman"/>
          <w:snapToGrid w:val="0"/>
          <w:color w:val="000000" w:themeColor="text1"/>
          <w14:textFill>
            <w14:solidFill>
              <w14:schemeClr w14:val="tx1"/>
            </w14:solidFill>
          </w14:textFill>
        </w:rPr>
        <w:t>令第16号）；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（2）《建设项目环境影响评价文件分级审批规定》（环保部令第5号）；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（3）《建设项目竣工环境保护验收暂行办法》（国环规环评〔2017〕4号）；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（4）《中华人民共和国大气污染防治法实施细则》（国家环保总局令第5号）；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（5）《关于加强生态保护工作的意见》（环发〔1997〕758号）；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（6）《关于加强资源开发生态环境监管工作的意见》（环发〔2004〕24号）；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（7）《关于加强自然资源开发建设项目的生态环境管理的通知》（国家环保局2004年12月）；</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（8）</w:t>
      </w:r>
      <w:r>
        <w:rPr>
          <w:rFonts w:hint="eastAsia" w:ascii="Times New Roman" w:hAnsi="Times New Roman" w:cs="Times New Roman"/>
          <w:snapToGrid w:val="0"/>
          <w:color w:val="000000" w:themeColor="text1"/>
          <w:u w:val="none"/>
          <w14:textFill>
            <w14:solidFill>
              <w14:schemeClr w14:val="tx1"/>
            </w14:solidFill>
          </w14:textFill>
        </w:rPr>
        <w:t>《产业结构调整指导目录（2019年本）》（2021年修改）</w:t>
      </w:r>
      <w:r>
        <w:rPr>
          <w:rFonts w:ascii="Times New Roman" w:hAnsi="Times New Roman" w:cs="Times New Roman"/>
          <w:snapToGrid w:val="0"/>
          <w:color w:val="000000" w:themeColor="text1"/>
          <w14:textFill>
            <w14:solidFill>
              <w14:schemeClr w14:val="tx1"/>
            </w14:solidFill>
          </w14:textFill>
        </w:rPr>
        <w:t>；</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（9）《长江保护修复攻坚战行动计划》(环水体〔2018〕181号)；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（10）《关于进一步加强生态保护工作的意见》（环发〔2007〕37号）；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（11）《关于进一步加强饮用水水源安全保障工作的通知》（环办〔2009〕30号）；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（12）《关于进一步加强环境影响评价管理防范环境风险的通知》（环发〔2012〕77号）。</w:t>
      </w:r>
    </w:p>
    <w:p>
      <w:pPr>
        <w:autoSpaceDE/>
        <w:autoSpaceDN/>
        <w:adjustRightInd w:val="0"/>
        <w:snapToGrid w:val="0"/>
        <w:spacing w:line="360" w:lineRule="auto"/>
        <w:jc w:val="both"/>
        <w:outlineLvl w:val="2"/>
        <w:rPr>
          <w:rFonts w:ascii="Times New Roman" w:hAnsi="Times New Roman" w:cs="Times New Roman"/>
          <w:b/>
          <w:sz w:val="28"/>
          <w:szCs w:val="24"/>
        </w:rPr>
      </w:pPr>
      <w:bookmarkStart w:id="63" w:name="_Toc15324"/>
      <w:r>
        <w:rPr>
          <w:rFonts w:ascii="Times New Roman" w:hAnsi="Times New Roman" w:cs="Times New Roman"/>
          <w:b/>
          <w:sz w:val="28"/>
          <w:szCs w:val="24"/>
        </w:rPr>
        <w:t>2.1.4地方性法规和地方政府规章</w:t>
      </w:r>
      <w:bookmarkEnd w:id="60"/>
      <w:bookmarkEnd w:id="61"/>
      <w:bookmarkEnd w:id="62"/>
      <w:bookmarkEnd w:id="63"/>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themeColor="text1"/>
          <w14:textFill>
            <w14:solidFill>
              <w14:schemeClr w14:val="tx1"/>
            </w14:solidFill>
          </w14:textFill>
        </w:rPr>
      </w:pPr>
      <w:bookmarkStart w:id="64" w:name="_Toc69284544"/>
      <w:bookmarkStart w:id="65" w:name="_Toc82593077"/>
      <w:bookmarkStart w:id="66" w:name="_Toc66206018"/>
      <w:r>
        <w:rPr>
          <w:rFonts w:ascii="Times New Roman" w:hAnsi="Times New Roman" w:cs="Times New Roman"/>
          <w:snapToGrid w:val="0"/>
          <w:color w:val="000000" w:themeColor="text1"/>
          <w14:textFill>
            <w14:solidFill>
              <w14:schemeClr w14:val="tx1"/>
            </w14:solidFill>
          </w14:textFill>
        </w:rPr>
        <w:t>（1）《湖南省环境保护条例》（2019年9月28日修订）；</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（2）《湖南省主要水系地表水环境功能区划》（DB42/023-2005）；</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w:t>
      </w:r>
      <w:r>
        <w:rPr>
          <w:rFonts w:hint="eastAsia" w:ascii="Times New Roman" w:hAnsi="Times New Roman" w:cs="Times New Roman"/>
          <w:snapToGrid w:val="0"/>
          <w:color w:val="000000" w:themeColor="text1"/>
          <w:lang w:val="en-US" w:eastAsia="zh-CN"/>
          <w14:textFill>
            <w14:solidFill>
              <w14:schemeClr w14:val="tx1"/>
            </w14:solidFill>
          </w14:textFill>
        </w:rPr>
        <w:t>3</w:t>
      </w:r>
      <w:r>
        <w:rPr>
          <w:rFonts w:ascii="Times New Roman" w:hAnsi="Times New Roman" w:cs="Times New Roman"/>
          <w:snapToGrid w:val="0"/>
          <w:color w:val="000000" w:themeColor="text1"/>
          <w14:textFill>
            <w14:solidFill>
              <w14:schemeClr w14:val="tx1"/>
            </w14:solidFill>
          </w14:textFill>
        </w:rPr>
        <w:t>）《湖南省主体功能区规划》（湘政发〔2012〕39号，2012年）；</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w:t>
      </w:r>
      <w:r>
        <w:rPr>
          <w:rFonts w:hint="eastAsia" w:ascii="Times New Roman" w:hAnsi="Times New Roman" w:cs="Times New Roman"/>
          <w:snapToGrid w:val="0"/>
          <w:color w:val="000000" w:themeColor="text1"/>
          <w:lang w:val="en-US" w:eastAsia="zh-CN"/>
          <w14:textFill>
            <w14:solidFill>
              <w14:schemeClr w14:val="tx1"/>
            </w14:solidFill>
          </w14:textFill>
        </w:rPr>
        <w:t>4</w:t>
      </w:r>
      <w:r>
        <w:rPr>
          <w:rFonts w:ascii="Times New Roman" w:hAnsi="Times New Roman" w:cs="Times New Roman"/>
          <w:snapToGrid w:val="0"/>
          <w:color w:val="000000" w:themeColor="text1"/>
          <w14:textFill>
            <w14:solidFill>
              <w14:schemeClr w14:val="tx1"/>
            </w14:solidFill>
          </w14:textFill>
        </w:rPr>
        <w:t>）《湖南省人民政府关于印发《湖南省贯彻落实〈水污染防治行动计划〉</w:t>
      </w:r>
      <w:r>
        <w:rPr>
          <w:rFonts w:hint="eastAsia" w:ascii="Times New Roman" w:hAnsi="Times New Roman" w:cs="Times New Roman"/>
          <w:snapToGrid w:val="0"/>
          <w:color w:val="000000" w:themeColor="text1"/>
          <w:lang w:eastAsia="zh-CN"/>
          <w14:textFill>
            <w14:solidFill>
              <w14:schemeClr w14:val="tx1"/>
            </w14:solidFill>
          </w14:textFill>
        </w:rPr>
        <w:t>初步设计</w:t>
      </w:r>
      <w:r>
        <w:rPr>
          <w:rFonts w:ascii="Times New Roman" w:hAnsi="Times New Roman" w:cs="Times New Roman"/>
          <w:snapToGrid w:val="0"/>
          <w:color w:val="000000" w:themeColor="text1"/>
          <w14:textFill>
            <w14:solidFill>
              <w14:schemeClr w14:val="tx1"/>
            </w14:solidFill>
          </w14:textFill>
        </w:rPr>
        <w:t>（2016-2020年）》的通知》（湘政发〔2015〕53号）；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w:t>
      </w:r>
      <w:r>
        <w:rPr>
          <w:rFonts w:hint="eastAsia" w:ascii="Times New Roman" w:hAnsi="Times New Roman" w:cs="Times New Roman"/>
          <w:snapToGrid w:val="0"/>
          <w:color w:val="000000" w:themeColor="text1"/>
          <w:lang w:val="en-US" w:eastAsia="zh-CN"/>
          <w14:textFill>
            <w14:solidFill>
              <w14:schemeClr w14:val="tx1"/>
            </w14:solidFill>
          </w14:textFill>
        </w:rPr>
        <w:t>5</w:t>
      </w:r>
      <w:r>
        <w:rPr>
          <w:rFonts w:ascii="Times New Roman" w:hAnsi="Times New Roman" w:cs="Times New Roman"/>
          <w:snapToGrid w:val="0"/>
          <w:color w:val="000000" w:themeColor="text1"/>
          <w14:textFill>
            <w14:solidFill>
              <w14:schemeClr w14:val="tx1"/>
            </w14:solidFill>
          </w14:textFill>
        </w:rPr>
        <w:t>）《湖南省人民政府关于公布湖南省县级以上地表集中式饮用水水源保护区划定方案的通知》（湘政函〔2016〕176号）。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w:t>
      </w:r>
      <w:r>
        <w:rPr>
          <w:rFonts w:hint="eastAsia" w:ascii="Times New Roman" w:hAnsi="Times New Roman" w:cs="Times New Roman"/>
          <w:snapToGrid w:val="0"/>
          <w:color w:val="000000" w:themeColor="text1"/>
          <w:lang w:val="en-US" w:eastAsia="zh-CN"/>
          <w14:textFill>
            <w14:solidFill>
              <w14:schemeClr w14:val="tx1"/>
            </w14:solidFill>
          </w14:textFill>
        </w:rPr>
        <w:t>6</w:t>
      </w:r>
      <w:r>
        <w:rPr>
          <w:rFonts w:ascii="Times New Roman" w:hAnsi="Times New Roman" w:cs="Times New Roman"/>
          <w:snapToGrid w:val="0"/>
          <w:color w:val="000000" w:themeColor="text1"/>
          <w14:textFill>
            <w14:solidFill>
              <w14:schemeClr w14:val="tx1"/>
            </w14:solidFill>
          </w14:textFill>
        </w:rPr>
        <w:t>）《湖南省国家重点生态功能区产业准入负面清单（试行）》（2016年）；</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themeColor="text1"/>
          <w:u w:val="none"/>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w:t>
      </w:r>
      <w:r>
        <w:rPr>
          <w:rFonts w:hint="eastAsia" w:ascii="Times New Roman" w:hAnsi="Times New Roman" w:cs="Times New Roman"/>
          <w:snapToGrid w:val="0"/>
          <w:color w:val="000000" w:themeColor="text1"/>
          <w:lang w:val="en-US" w:eastAsia="zh-CN"/>
          <w14:textFill>
            <w14:solidFill>
              <w14:schemeClr w14:val="tx1"/>
            </w14:solidFill>
          </w14:textFill>
        </w:rPr>
        <w:t>7</w:t>
      </w:r>
      <w:r>
        <w:rPr>
          <w:rFonts w:ascii="Times New Roman" w:hAnsi="Times New Roman" w:cs="Times New Roman"/>
          <w:snapToGrid w:val="0"/>
          <w:color w:val="000000" w:themeColor="text1"/>
          <w14:textFill>
            <w14:solidFill>
              <w14:schemeClr w14:val="tx1"/>
            </w14:solidFill>
          </w14:textFill>
        </w:rPr>
        <w:t>）《湖南省人民政府关于实施“三线一单”生态环境分区管控的意见》（湘</w:t>
      </w:r>
      <w:r>
        <w:rPr>
          <w:rFonts w:ascii="Times New Roman" w:hAnsi="Times New Roman" w:cs="Times New Roman"/>
          <w:snapToGrid w:val="0"/>
          <w:color w:val="000000" w:themeColor="text1"/>
          <w:u w:val="none"/>
          <w14:textFill>
            <w14:solidFill>
              <w14:schemeClr w14:val="tx1"/>
            </w14:solidFill>
          </w14:textFill>
        </w:rPr>
        <w:t>政发〔2020〕12 号）。</w:t>
      </w:r>
    </w:p>
    <w:p>
      <w:pPr>
        <w:pStyle w:val="2"/>
        <w:autoSpaceDE/>
        <w:autoSpaceDN/>
        <w:adjustRightInd w:val="0"/>
        <w:snapToGrid w:val="0"/>
        <w:spacing w:before="0" w:line="360" w:lineRule="auto"/>
        <w:ind w:left="0" w:firstLine="480" w:firstLineChars="200"/>
        <w:jc w:val="both"/>
        <w:rPr>
          <w:rFonts w:hint="eastAsia" w:ascii="Times New Roman" w:hAnsi="Times New Roman" w:eastAsia="宋体" w:cs="Times New Roman"/>
          <w:snapToGrid w:val="0"/>
          <w:color w:val="000000" w:themeColor="text1"/>
          <w:u w:val="none"/>
          <w:lang w:val="en-US" w:eastAsia="zh-CN"/>
          <w14:textFill>
            <w14:solidFill>
              <w14:schemeClr w14:val="tx1"/>
            </w14:solidFill>
          </w14:textFill>
        </w:rPr>
      </w:pPr>
      <w:r>
        <w:rPr>
          <w:rFonts w:ascii="Times New Roman" w:hAnsi="Times New Roman" w:cs="Times New Roman"/>
          <w:snapToGrid w:val="0"/>
          <w:color w:val="000000" w:themeColor="text1"/>
          <w:u w:val="none"/>
          <w14:textFill>
            <w14:solidFill>
              <w14:schemeClr w14:val="tx1"/>
            </w14:solidFill>
          </w14:textFill>
        </w:rPr>
        <w:t>（</w:t>
      </w:r>
      <w:r>
        <w:rPr>
          <w:rFonts w:hint="eastAsia" w:ascii="Times New Roman" w:hAnsi="Times New Roman" w:cs="Times New Roman"/>
          <w:snapToGrid w:val="0"/>
          <w:color w:val="000000" w:themeColor="text1"/>
          <w:u w:val="none"/>
          <w:lang w:val="en-US" w:eastAsia="zh-CN"/>
          <w14:textFill>
            <w14:solidFill>
              <w14:schemeClr w14:val="tx1"/>
            </w14:solidFill>
          </w14:textFill>
        </w:rPr>
        <w:t>8</w:t>
      </w:r>
      <w:r>
        <w:rPr>
          <w:rFonts w:ascii="Times New Roman" w:hAnsi="Times New Roman" w:cs="Times New Roman"/>
          <w:snapToGrid w:val="0"/>
          <w:color w:val="000000" w:themeColor="text1"/>
          <w:u w:val="none"/>
          <w14:textFill>
            <w14:solidFill>
              <w14:schemeClr w14:val="tx1"/>
            </w14:solidFill>
          </w14:textFill>
        </w:rPr>
        <w:t>）</w:t>
      </w:r>
      <w:r>
        <w:rPr>
          <w:rFonts w:hint="eastAsia" w:ascii="Times New Roman" w:hAnsi="Times New Roman" w:cs="Times New Roman"/>
          <w:snapToGrid w:val="0"/>
          <w:color w:val="000000" w:themeColor="text1"/>
          <w:u w:val="none"/>
          <w14:textFill>
            <w14:solidFill>
              <w14:schemeClr w14:val="tx1"/>
            </w14:solidFill>
          </w14:textFill>
        </w:rPr>
        <w:t>《湖南省长江经济带发展负面清单实施细则（2022年）》</w:t>
      </w:r>
      <w:r>
        <w:rPr>
          <w:rFonts w:ascii="Times New Roman" w:hAnsi="Times New Roman" w:cs="Times New Roman"/>
          <w:snapToGrid w:val="0"/>
          <w:color w:val="000000" w:themeColor="text1"/>
          <w:u w:val="none"/>
          <w14:textFill>
            <w14:solidFill>
              <w14:schemeClr w14:val="tx1"/>
            </w14:solidFill>
          </w14:textFill>
        </w:rPr>
        <w:t>；</w:t>
      </w:r>
    </w:p>
    <w:p>
      <w:pPr>
        <w:pStyle w:val="2"/>
        <w:autoSpaceDE/>
        <w:autoSpaceDN/>
        <w:adjustRightInd w:val="0"/>
        <w:snapToGrid w:val="0"/>
        <w:spacing w:before="0" w:line="360" w:lineRule="auto"/>
        <w:ind w:left="0" w:firstLine="480" w:firstLineChars="200"/>
        <w:jc w:val="both"/>
        <w:rPr>
          <w:rFonts w:hint="eastAsia" w:ascii="Times New Roman" w:hAnsi="Times New Roman" w:eastAsia="宋体" w:cs="Times New Roman"/>
          <w:snapToGrid w:val="0"/>
          <w:color w:val="FF0000"/>
          <w:u w:val="single"/>
          <w:lang w:val="en-US" w:eastAsia="zh-CN"/>
        </w:rPr>
      </w:pPr>
      <w:r>
        <w:rPr>
          <w:rFonts w:ascii="Times New Roman" w:hAnsi="Times New Roman" w:cs="Times New Roman"/>
          <w:snapToGrid w:val="0"/>
          <w:color w:val="000000" w:themeColor="text1"/>
          <w:u w:val="none"/>
          <w14:textFill>
            <w14:solidFill>
              <w14:schemeClr w14:val="tx1"/>
            </w14:solidFill>
          </w14:textFill>
        </w:rPr>
        <w:t>（</w:t>
      </w:r>
      <w:r>
        <w:rPr>
          <w:rFonts w:hint="eastAsia" w:ascii="Times New Roman" w:hAnsi="Times New Roman" w:cs="Times New Roman"/>
          <w:snapToGrid w:val="0"/>
          <w:color w:val="000000" w:themeColor="text1"/>
          <w:u w:val="none"/>
          <w:lang w:val="en-US" w:eastAsia="zh-CN"/>
          <w14:textFill>
            <w14:solidFill>
              <w14:schemeClr w14:val="tx1"/>
            </w14:solidFill>
          </w14:textFill>
        </w:rPr>
        <w:t>9</w:t>
      </w:r>
      <w:r>
        <w:rPr>
          <w:rFonts w:ascii="Times New Roman" w:hAnsi="Times New Roman" w:cs="Times New Roman"/>
          <w:snapToGrid w:val="0"/>
          <w:color w:val="000000" w:themeColor="text1"/>
          <w:u w:val="none"/>
          <w14:textFill>
            <w14:solidFill>
              <w14:schemeClr w14:val="tx1"/>
            </w14:solidFill>
          </w14:textFill>
        </w:rPr>
        <w:t>）</w:t>
      </w:r>
      <w:r>
        <w:rPr>
          <w:rFonts w:hint="eastAsia" w:ascii="Times New Roman" w:hAnsi="Times New Roman" w:cs="Times New Roman"/>
          <w:snapToGrid w:val="0"/>
          <w:color w:val="000000" w:themeColor="text1"/>
          <w:u w:val="none"/>
          <w14:textFill>
            <w14:solidFill>
              <w14:schemeClr w14:val="tx1"/>
            </w14:solidFill>
          </w14:textFill>
        </w:rPr>
        <w:t>《湖南省饮用水水源保护条例》</w:t>
      </w:r>
      <w:r>
        <w:rPr>
          <w:rFonts w:hint="eastAsia" w:ascii="Times New Roman" w:hAnsi="Times New Roman" w:cs="Times New Roman"/>
          <w:snapToGrid w:val="0"/>
          <w:color w:val="000000" w:themeColor="text1"/>
          <w:u w:val="none"/>
          <w:lang w:eastAsia="zh-CN"/>
          <w14:textFill>
            <w14:solidFill>
              <w14:schemeClr w14:val="tx1"/>
            </w14:solidFill>
          </w14:textFill>
        </w:rPr>
        <w:t>，</w:t>
      </w:r>
      <w:r>
        <w:rPr>
          <w:rFonts w:hint="eastAsia" w:ascii="Times New Roman" w:hAnsi="Times New Roman" w:cs="Times New Roman"/>
          <w:snapToGrid w:val="0"/>
          <w:color w:val="000000" w:themeColor="text1"/>
          <w:u w:val="none"/>
          <w14:textFill>
            <w14:solidFill>
              <w14:schemeClr w14:val="tx1"/>
            </w14:solidFill>
          </w14:textFill>
        </w:rPr>
        <w:t>2023年5月31日</w:t>
      </w:r>
      <w:r>
        <w:rPr>
          <w:rFonts w:hint="eastAsia" w:ascii="Times New Roman" w:hAnsi="Times New Roman" w:cs="Times New Roman"/>
          <w:snapToGrid w:val="0"/>
          <w:color w:val="000000" w:themeColor="text1"/>
          <w:u w:val="none"/>
          <w:lang w:eastAsia="zh-CN"/>
          <w14:textFill>
            <w14:solidFill>
              <w14:schemeClr w14:val="tx1"/>
            </w14:solidFill>
          </w14:textFill>
        </w:rPr>
        <w:t>修订</w:t>
      </w:r>
      <w:r>
        <w:rPr>
          <w:rFonts w:ascii="Times New Roman" w:hAnsi="Times New Roman" w:cs="Times New Roman"/>
          <w:snapToGrid w:val="0"/>
          <w:color w:val="000000" w:themeColor="text1"/>
          <w:u w:val="none"/>
          <w14:textFill>
            <w14:solidFill>
              <w14:schemeClr w14:val="tx1"/>
            </w14:solidFill>
          </w14:textFill>
        </w:rPr>
        <w:t>；</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w:t>
      </w:r>
      <w:r>
        <w:rPr>
          <w:rFonts w:hint="eastAsia" w:ascii="Times New Roman" w:hAnsi="Times New Roman" w:cs="Times New Roman"/>
          <w:snapToGrid w:val="0"/>
          <w:color w:val="000000" w:themeColor="text1"/>
          <w:lang w:val="en-US" w:eastAsia="zh-CN"/>
          <w14:textFill>
            <w14:solidFill>
              <w14:schemeClr w14:val="tx1"/>
            </w14:solidFill>
          </w14:textFill>
        </w:rPr>
        <w:t>10</w:t>
      </w:r>
      <w:r>
        <w:rPr>
          <w:rFonts w:ascii="Times New Roman" w:hAnsi="Times New Roman" w:cs="Times New Roman"/>
          <w:snapToGrid w:val="0"/>
          <w:color w:val="000000" w:themeColor="text1"/>
          <w14:textFill>
            <w14:solidFill>
              <w14:schemeClr w14:val="tx1"/>
            </w14:solidFill>
          </w14:textFill>
        </w:rPr>
        <w:t>）《湖南省用水定额》（DB43/T 388-2020）；</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（1</w:t>
      </w:r>
      <w:r>
        <w:rPr>
          <w:rFonts w:hint="eastAsia" w:ascii="Times New Roman" w:hAnsi="Times New Roman" w:cs="Times New Roman"/>
          <w:snapToGrid w:val="0"/>
          <w:color w:val="000000" w:themeColor="text1"/>
          <w:lang w:val="en-US" w:eastAsia="zh-CN"/>
          <w14:textFill>
            <w14:solidFill>
              <w14:schemeClr w14:val="tx1"/>
            </w14:solidFill>
          </w14:textFill>
        </w:rPr>
        <w:t>1</w:t>
      </w:r>
      <w:r>
        <w:rPr>
          <w:rFonts w:ascii="Times New Roman" w:hAnsi="Times New Roman" w:cs="Times New Roman"/>
          <w:snapToGrid w:val="0"/>
          <w:color w:val="000000" w:themeColor="text1"/>
          <w14:textFill>
            <w14:solidFill>
              <w14:schemeClr w14:val="tx1"/>
            </w14:solidFill>
          </w14:textFill>
        </w:rPr>
        <w:t>）《湖南省“十四五”环境保护规划》（湘政办发〔2021〕61号）。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（1</w:t>
      </w:r>
      <w:r>
        <w:rPr>
          <w:rFonts w:hint="eastAsia" w:ascii="Times New Roman" w:hAnsi="Times New Roman" w:cs="Times New Roman"/>
          <w:snapToGrid w:val="0"/>
          <w:color w:val="000000" w:themeColor="text1"/>
          <w:lang w:val="en-US" w:eastAsia="zh-CN"/>
          <w14:textFill>
            <w14:solidFill>
              <w14:schemeClr w14:val="tx1"/>
            </w14:solidFill>
          </w14:textFill>
        </w:rPr>
        <w:t>2</w:t>
      </w:r>
      <w:r>
        <w:rPr>
          <w:rFonts w:ascii="Times New Roman" w:hAnsi="Times New Roman" w:cs="Times New Roman"/>
          <w:snapToGrid w:val="0"/>
          <w:color w:val="000000" w:themeColor="text1"/>
          <w14:textFill>
            <w14:solidFill>
              <w14:schemeClr w14:val="tx1"/>
            </w14:solidFill>
          </w14:textFill>
        </w:rPr>
        <w:t>）《</w:t>
      </w:r>
      <w:r>
        <w:rPr>
          <w:rFonts w:hint="eastAsia" w:ascii="Times New Roman" w:hAnsi="Times New Roman" w:cs="Times New Roman"/>
          <w:snapToGrid w:val="0"/>
          <w:color w:val="000000" w:themeColor="text1"/>
          <w:lang w:eastAsia="zh-CN"/>
          <w14:textFill>
            <w14:solidFill>
              <w14:schemeClr w14:val="tx1"/>
            </w14:solidFill>
          </w14:textFill>
        </w:rPr>
        <w:t>衡阳市</w:t>
      </w:r>
      <w:r>
        <w:rPr>
          <w:rFonts w:ascii="Times New Roman" w:hAnsi="Times New Roman" w:cs="Times New Roman"/>
          <w:snapToGrid w:val="0"/>
          <w:color w:val="000000" w:themeColor="text1"/>
          <w14:textFill>
            <w14:solidFill>
              <w14:schemeClr w14:val="tx1"/>
            </w14:solidFill>
          </w14:textFill>
        </w:rPr>
        <w:t>人民政府〈关于实施“三线一单”生态环境分区管控的意见〉》（</w:t>
      </w:r>
      <w:r>
        <w:rPr>
          <w:rFonts w:hint="eastAsia" w:ascii="Times New Roman" w:hAnsi="Times New Roman" w:cs="Times New Roman"/>
          <w:snapToGrid w:val="0"/>
          <w:color w:val="000000" w:themeColor="text1"/>
          <w:lang w:eastAsia="zh-CN"/>
          <w14:textFill>
            <w14:solidFill>
              <w14:schemeClr w14:val="tx1"/>
            </w14:solidFill>
          </w14:textFill>
        </w:rPr>
        <w:t>衡</w:t>
      </w:r>
      <w:r>
        <w:rPr>
          <w:rFonts w:ascii="Times New Roman" w:hAnsi="Times New Roman" w:cs="Times New Roman"/>
          <w:snapToGrid w:val="0"/>
          <w:color w:val="000000" w:themeColor="text1"/>
          <w14:textFill>
            <w14:solidFill>
              <w14:schemeClr w14:val="tx1"/>
            </w14:solidFill>
          </w14:textFill>
        </w:rPr>
        <w:t>政发〔2020〕4号）。</w:t>
      </w:r>
    </w:p>
    <w:p>
      <w:pPr>
        <w:autoSpaceDE/>
        <w:autoSpaceDN/>
        <w:adjustRightInd w:val="0"/>
        <w:snapToGrid w:val="0"/>
        <w:spacing w:line="360" w:lineRule="auto"/>
        <w:jc w:val="both"/>
        <w:outlineLvl w:val="2"/>
        <w:rPr>
          <w:rFonts w:ascii="Times New Roman" w:hAnsi="Times New Roman" w:cs="Times New Roman"/>
          <w:b/>
          <w:sz w:val="28"/>
          <w:szCs w:val="24"/>
        </w:rPr>
      </w:pPr>
      <w:bookmarkStart w:id="67" w:name="_Toc7207"/>
      <w:r>
        <w:rPr>
          <w:rFonts w:ascii="Times New Roman" w:hAnsi="Times New Roman" w:cs="Times New Roman"/>
          <w:b/>
          <w:sz w:val="28"/>
          <w:szCs w:val="24"/>
        </w:rPr>
        <w:t>2.1.5技术导则、规范</w:t>
      </w:r>
      <w:bookmarkEnd w:id="64"/>
      <w:bookmarkEnd w:id="65"/>
      <w:bookmarkEnd w:id="66"/>
      <w:bookmarkEnd w:id="67"/>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（1）《环境影响评价技术导则  总纲》（HJ2.1-2016）；</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（2）《环境影响评价技术导则  大气环境》（HJ2.2-2018）；</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（3）《环境影响评价技术导则  地表水环境》（HJ2.3-2018）；</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（4）《环境影响评价技术导则  地下水环境》（HJ610-2016）；</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（5）《环境影响评价技术导则  声环境》（HJ2.4-2021）；</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（6）《建设项目环境风险评价技术导则》（HJ169-2018）；</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（7）《环境影响评价技术导则 生态影响》（HJ19-2022）；</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（8）《环境影响评价技术导则 土壤环境（试行）》（HJ964-2018）；</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（9）《开发建设项目水土保持技术规范》(GB50433-2008)；</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（10）《开发建设项目水土流失防治标准》（GB50434-2008）；</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（11）《地表水资源质量评价技术规程》（SL395-2007）；</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（12）《地表水和污水监测技术规范》（HJ/T91-2002）；</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（13）《地表水自动监测技术规范（试行）》HJ 915-2017；</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（14）《水质河流采样技术指导》HJ/T52-1999；</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（15）《水和废水监测分析方法》（第四版）；</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（16）《国家危险废物名录》（2021年）。</w:t>
      </w:r>
    </w:p>
    <w:p>
      <w:pPr>
        <w:autoSpaceDE/>
        <w:autoSpaceDN/>
        <w:adjustRightInd w:val="0"/>
        <w:snapToGrid w:val="0"/>
        <w:spacing w:line="360" w:lineRule="auto"/>
        <w:jc w:val="both"/>
        <w:outlineLvl w:val="2"/>
        <w:rPr>
          <w:rFonts w:ascii="Times New Roman" w:hAnsi="Times New Roman" w:cs="Times New Roman"/>
          <w:b/>
          <w:sz w:val="28"/>
          <w:szCs w:val="24"/>
        </w:rPr>
      </w:pPr>
      <w:bookmarkStart w:id="68" w:name="_Toc82593078"/>
      <w:bookmarkStart w:id="69" w:name="_Toc66206019"/>
      <w:bookmarkStart w:id="70" w:name="_Toc69284545"/>
      <w:bookmarkStart w:id="71" w:name="_Toc436"/>
      <w:r>
        <w:rPr>
          <w:rFonts w:ascii="Times New Roman" w:hAnsi="Times New Roman" w:cs="Times New Roman"/>
          <w:b/>
          <w:sz w:val="28"/>
          <w:szCs w:val="24"/>
        </w:rPr>
        <w:t>2.1.6</w:t>
      </w:r>
      <w:bookmarkEnd w:id="68"/>
      <w:bookmarkEnd w:id="69"/>
      <w:bookmarkEnd w:id="70"/>
      <w:r>
        <w:rPr>
          <w:rFonts w:ascii="Times New Roman" w:hAnsi="Times New Roman" w:cs="Times New Roman"/>
          <w:b/>
          <w:sz w:val="28"/>
          <w:szCs w:val="24"/>
        </w:rPr>
        <w:t>其他资料</w:t>
      </w:r>
      <w:bookmarkEnd w:id="71"/>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w:t>
      </w:r>
      <w:r>
        <w:rPr>
          <w:rFonts w:hint="eastAsia" w:ascii="Times New Roman" w:hAnsi="Times New Roman" w:cs="Times New Roman"/>
          <w:snapToGrid w:val="0"/>
          <w:lang w:eastAsia="zh-CN"/>
        </w:rPr>
        <w:t>祁水祁东县治理工程（祁水三期）</w:t>
      </w:r>
      <w:r>
        <w:rPr>
          <w:rFonts w:ascii="Times New Roman" w:hAnsi="Times New Roman" w:cs="Times New Roman"/>
          <w:snapToGrid w:val="0"/>
        </w:rPr>
        <w:t>可行性研究报告》及批复；</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（2）《</w:t>
      </w:r>
      <w:r>
        <w:rPr>
          <w:rFonts w:hint="eastAsia" w:ascii="Times New Roman" w:hAnsi="Times New Roman" w:cs="Times New Roman"/>
          <w:snapToGrid w:val="0"/>
          <w:lang w:eastAsia="zh-CN"/>
        </w:rPr>
        <w:t>祁水祁东县治理工程初步设计</w:t>
      </w:r>
      <w:r>
        <w:rPr>
          <w:rFonts w:ascii="Times New Roman" w:hAnsi="Times New Roman" w:cs="Times New Roman"/>
          <w:snapToGrid w:val="0"/>
        </w:rPr>
        <w:t>》及</w:t>
      </w:r>
      <w:r>
        <w:rPr>
          <w:rFonts w:hint="eastAsia" w:ascii="Times New Roman" w:hAnsi="Times New Roman" w:cs="Times New Roman"/>
          <w:snapToGrid w:val="0"/>
          <w:lang w:eastAsia="zh-CN"/>
        </w:rPr>
        <w:t>批复</w:t>
      </w:r>
      <w:r>
        <w:rPr>
          <w:rFonts w:ascii="Times New Roman" w:hAnsi="Times New Roman" w:cs="Times New Roman"/>
          <w:snapToGrid w:val="0"/>
        </w:rPr>
        <w:t>；</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（3）建设单位提供的其它资料。</w:t>
      </w:r>
    </w:p>
    <w:p>
      <w:pPr>
        <w:pStyle w:val="123"/>
        <w:tabs>
          <w:tab w:val="left" w:pos="692"/>
        </w:tabs>
        <w:autoSpaceDE/>
        <w:autoSpaceDN/>
        <w:adjustRightInd w:val="0"/>
        <w:snapToGrid w:val="0"/>
        <w:spacing w:before="0" w:line="360" w:lineRule="auto"/>
        <w:ind w:left="0" w:firstLine="0"/>
        <w:jc w:val="both"/>
        <w:outlineLvl w:val="1"/>
        <w:rPr>
          <w:rFonts w:ascii="Times New Roman" w:hAnsi="Times New Roman" w:cs="Times New Roman"/>
          <w:b/>
          <w:sz w:val="30"/>
        </w:rPr>
      </w:pPr>
      <w:bookmarkStart w:id="72" w:name="_bookmark10"/>
      <w:bookmarkEnd w:id="72"/>
      <w:bookmarkStart w:id="73" w:name="_Toc20143"/>
      <w:r>
        <w:rPr>
          <w:rFonts w:ascii="Times New Roman" w:hAnsi="Times New Roman" w:cs="Times New Roman"/>
          <w:b/>
          <w:sz w:val="30"/>
        </w:rPr>
        <w:t>2.2评价目的及原则</w:t>
      </w:r>
      <w:bookmarkEnd w:id="73"/>
    </w:p>
    <w:p>
      <w:pPr>
        <w:autoSpaceDE/>
        <w:autoSpaceDN/>
        <w:adjustRightInd w:val="0"/>
        <w:snapToGrid w:val="0"/>
        <w:spacing w:line="360" w:lineRule="auto"/>
        <w:jc w:val="both"/>
        <w:outlineLvl w:val="2"/>
        <w:rPr>
          <w:rFonts w:ascii="Times New Roman" w:hAnsi="Times New Roman" w:cs="Times New Roman"/>
          <w:b/>
          <w:sz w:val="28"/>
          <w:szCs w:val="24"/>
        </w:rPr>
      </w:pPr>
      <w:bookmarkStart w:id="74" w:name="_Toc66206021"/>
      <w:bookmarkStart w:id="75" w:name="_Toc31754"/>
      <w:bookmarkStart w:id="76" w:name="_Toc82593080"/>
      <w:bookmarkStart w:id="77" w:name="_Toc69284547"/>
      <w:bookmarkStart w:id="78" w:name="_Toc24944"/>
      <w:r>
        <w:rPr>
          <w:rFonts w:ascii="Times New Roman" w:hAnsi="Times New Roman" w:cs="Times New Roman"/>
          <w:b/>
          <w:sz w:val="28"/>
          <w:szCs w:val="24"/>
        </w:rPr>
        <w:t>2.2.1评价目的</w:t>
      </w:r>
      <w:bookmarkEnd w:id="74"/>
      <w:bookmarkEnd w:id="75"/>
      <w:bookmarkEnd w:id="76"/>
      <w:bookmarkEnd w:id="77"/>
      <w:bookmarkEnd w:id="78"/>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本项目的环境影响评价旨在查明工程地区的环境现状，分析预测工程建设对周边区域、</w:t>
      </w:r>
      <w:r>
        <w:rPr>
          <w:rFonts w:hint="eastAsia" w:ascii="Times New Roman" w:hAnsi="Times New Roman" w:cs="Times New Roman"/>
          <w:snapToGrid w:val="0"/>
          <w:lang w:eastAsia="zh-CN"/>
        </w:rPr>
        <w:t>河流</w:t>
      </w:r>
      <w:r>
        <w:rPr>
          <w:rFonts w:ascii="Times New Roman" w:hAnsi="Times New Roman" w:cs="Times New Roman"/>
          <w:snapToGrid w:val="0"/>
        </w:rPr>
        <w:t>生态环境和区域社会经济可能造成的影响，并针对工程产生的不利环境影响制定相应的对策措施，从环境污染控制与生态保护的角度论证工程建设的可行性。具体目的如下：</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（1）调查了解受工程影响区域的环境功能，环境质量现状及发展规划要求；</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（2）结合本项目建设的开展，预测、评价项目工程对所在地区的不利影响；</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3）针对工程建设对周边，尤其是对环境敏感点带来的不利影响，制定可行的对策和措施，保证工程顺利运行，充分发挥工程的经济效益、社会效益与生态效益，保障工程周边地区居民生活环境、居住环境及生产环境不因项目的建设而受到严重干扰；</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（4）为该项目的审批机关提供环境保护方面的审批依据，为该项目的管理机关提供环境保护方面的建议和结论，为本工程的设计、建设单位提供减免不利环境影响的可靠与可行设计依据。</w:t>
      </w:r>
    </w:p>
    <w:p>
      <w:pPr>
        <w:autoSpaceDE/>
        <w:autoSpaceDN/>
        <w:adjustRightInd w:val="0"/>
        <w:snapToGrid w:val="0"/>
        <w:spacing w:line="360" w:lineRule="auto"/>
        <w:jc w:val="both"/>
        <w:outlineLvl w:val="2"/>
        <w:rPr>
          <w:rFonts w:ascii="Times New Roman" w:hAnsi="Times New Roman" w:cs="Times New Roman"/>
          <w:b/>
          <w:sz w:val="28"/>
          <w:szCs w:val="24"/>
        </w:rPr>
      </w:pPr>
      <w:bookmarkStart w:id="79" w:name="_Toc20357"/>
      <w:bookmarkStart w:id="80" w:name="_Toc82593081"/>
      <w:bookmarkStart w:id="81" w:name="_Toc66206022"/>
      <w:bookmarkStart w:id="82" w:name="_Toc15263"/>
      <w:bookmarkStart w:id="83" w:name="_Toc69284548"/>
      <w:r>
        <w:rPr>
          <w:rFonts w:ascii="Times New Roman" w:hAnsi="Times New Roman" w:cs="Times New Roman"/>
          <w:b/>
          <w:sz w:val="28"/>
          <w:szCs w:val="24"/>
        </w:rPr>
        <w:t>2.2.2评价原则</w:t>
      </w:r>
      <w:bookmarkEnd w:id="79"/>
      <w:bookmarkEnd w:id="80"/>
      <w:bookmarkEnd w:id="81"/>
      <w:bookmarkEnd w:id="82"/>
      <w:bookmarkEnd w:id="83"/>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本工程环境影响评价遵循以下原则：</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（1）符合产业政策的原则。工程建设应符合当地国民经济计划发展纲要的总体战略要求，符合国家相关产业政策要求。</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（2）污染物达标排放原则。项目施工期及营运期应采取相应环境防治措施，以确保各污染物均达标排放。</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（3）环保措施合理性原则。环保措施的拟定，应具有针对性和可操作性，做到经济、可靠、实用，便于</w:t>
      </w:r>
      <w:r>
        <w:rPr>
          <w:rFonts w:hint="eastAsia" w:ascii="Times New Roman" w:hAnsi="Times New Roman" w:cs="Times New Roman"/>
          <w:snapToGrid w:val="0"/>
          <w:lang w:eastAsia="zh-CN"/>
        </w:rPr>
        <w:t>生态环境</w:t>
      </w:r>
      <w:r>
        <w:rPr>
          <w:rFonts w:ascii="Times New Roman" w:hAnsi="Times New Roman" w:cs="Times New Roman"/>
          <w:snapToGrid w:val="0"/>
        </w:rPr>
        <w:t>部门进行监督和管理。</w:t>
      </w:r>
    </w:p>
    <w:p>
      <w:pPr>
        <w:pStyle w:val="123"/>
        <w:tabs>
          <w:tab w:val="left" w:pos="692"/>
        </w:tabs>
        <w:autoSpaceDE/>
        <w:autoSpaceDN/>
        <w:adjustRightInd w:val="0"/>
        <w:snapToGrid w:val="0"/>
        <w:spacing w:before="0" w:line="360" w:lineRule="auto"/>
        <w:ind w:left="0" w:firstLine="0"/>
        <w:jc w:val="both"/>
        <w:outlineLvl w:val="1"/>
        <w:rPr>
          <w:rFonts w:ascii="Times New Roman" w:hAnsi="Times New Roman" w:cs="Times New Roman"/>
          <w:b/>
          <w:sz w:val="30"/>
        </w:rPr>
      </w:pPr>
      <w:bookmarkStart w:id="84" w:name="_bookmark11"/>
      <w:bookmarkEnd w:id="84"/>
      <w:bookmarkStart w:id="85" w:name="_Toc14620"/>
      <w:r>
        <w:rPr>
          <w:rFonts w:ascii="Times New Roman" w:hAnsi="Times New Roman" w:cs="Times New Roman"/>
          <w:b/>
          <w:sz w:val="30"/>
        </w:rPr>
        <w:t>2.3环境影响识别及评价因子筛选</w:t>
      </w:r>
      <w:bookmarkEnd w:id="85"/>
    </w:p>
    <w:p>
      <w:pPr>
        <w:autoSpaceDE/>
        <w:autoSpaceDN/>
        <w:adjustRightInd w:val="0"/>
        <w:snapToGrid w:val="0"/>
        <w:spacing w:line="360" w:lineRule="auto"/>
        <w:jc w:val="both"/>
        <w:outlineLvl w:val="2"/>
        <w:rPr>
          <w:rFonts w:ascii="Times New Roman" w:hAnsi="Times New Roman" w:cs="Times New Roman"/>
          <w:b/>
          <w:sz w:val="28"/>
          <w:szCs w:val="24"/>
        </w:rPr>
      </w:pPr>
      <w:bookmarkStart w:id="86" w:name="_Toc69284550"/>
      <w:bookmarkStart w:id="87" w:name="_Toc66206024"/>
      <w:bookmarkStart w:id="88" w:name="_Toc11316"/>
      <w:bookmarkStart w:id="89" w:name="_Toc82593083"/>
      <w:bookmarkStart w:id="90" w:name="_Toc24308"/>
      <w:r>
        <w:rPr>
          <w:rFonts w:ascii="Times New Roman" w:hAnsi="Times New Roman" w:cs="Times New Roman"/>
          <w:b/>
          <w:sz w:val="28"/>
          <w:szCs w:val="24"/>
        </w:rPr>
        <w:t>2.3.1环境影响识别</w:t>
      </w:r>
      <w:bookmarkEnd w:id="86"/>
      <w:bookmarkEnd w:id="87"/>
      <w:bookmarkEnd w:id="88"/>
      <w:bookmarkEnd w:id="89"/>
      <w:bookmarkEnd w:id="90"/>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本工程对周围环境的影响涉及到区域内的水生及陆生生物、环境地质、水环境、环境空气、声环境、土壤、土地资源、人群健康、社会经济等多个环境要素。</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根据工程性质及其污染物排放特点，采用矩阵识别分析方法，识别分析本工程环境要素的程度及性质。识别结果详见下表。</w:t>
      </w:r>
    </w:p>
    <w:p>
      <w:pPr>
        <w:pStyle w:val="2"/>
        <w:autoSpaceDE/>
        <w:autoSpaceDN/>
        <w:adjustRightInd w:val="0"/>
        <w:snapToGrid w:val="0"/>
        <w:spacing w:before="0" w:line="360" w:lineRule="auto"/>
        <w:ind w:left="0"/>
        <w:jc w:val="center"/>
        <w:rPr>
          <w:rFonts w:ascii="Times New Roman" w:hAnsi="Times New Roman" w:cs="Times New Roman"/>
          <w:b/>
          <w:bCs/>
          <w:snapToGrid w:val="0"/>
        </w:rPr>
      </w:pPr>
      <w:r>
        <w:rPr>
          <w:rFonts w:ascii="Times New Roman" w:hAnsi="Times New Roman" w:cs="Times New Roman"/>
          <w:b/>
          <w:bCs/>
          <w:snapToGrid w:val="0"/>
        </w:rPr>
        <w:t>表2.3-1  环境影响因子识别矩阵</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183"/>
        <w:gridCol w:w="561"/>
        <w:gridCol w:w="577"/>
        <w:gridCol w:w="684"/>
        <w:gridCol w:w="944"/>
        <w:gridCol w:w="696"/>
        <w:gridCol w:w="774"/>
        <w:gridCol w:w="774"/>
        <w:gridCol w:w="777"/>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4" w:type="dxa"/>
            <w:vMerge w:val="restart"/>
            <w:noWrap w:val="0"/>
            <w:vAlign w:val="center"/>
          </w:tcPr>
          <w:p>
            <w:pPr>
              <w:spacing w:line="240" w:lineRule="auto"/>
              <w:jc w:val="left"/>
              <w:rPr>
                <w:rFonts w:hint="default" w:ascii="Times New Roman" w:hAnsi="Times New Roman" w:eastAsia="宋体" w:cs="Times New Roman"/>
                <w:color w:val="auto"/>
                <w:sz w:val="21"/>
                <w:szCs w:val="21"/>
              </w:rPr>
            </w:pPr>
          </w:p>
        </w:tc>
        <w:tc>
          <w:tcPr>
            <w:tcW w:w="3949" w:type="dxa"/>
            <w:gridSpan w:val="5"/>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w:t>
            </w:r>
          </w:p>
        </w:tc>
        <w:tc>
          <w:tcPr>
            <w:tcW w:w="3799" w:type="dxa"/>
            <w:gridSpan w:val="5"/>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4" w:type="dxa"/>
            <w:vMerge w:val="continue"/>
            <w:noWrap w:val="0"/>
            <w:vAlign w:val="center"/>
          </w:tcPr>
          <w:p>
            <w:pPr>
              <w:spacing w:line="240" w:lineRule="auto"/>
              <w:jc w:val="left"/>
              <w:rPr>
                <w:rFonts w:hint="default" w:ascii="Times New Roman" w:hAnsi="Times New Roman" w:eastAsia="宋体" w:cs="Times New Roman"/>
                <w:color w:val="auto"/>
                <w:sz w:val="21"/>
                <w:szCs w:val="21"/>
              </w:rPr>
            </w:pPr>
          </w:p>
        </w:tc>
        <w:tc>
          <w:tcPr>
            <w:tcW w:w="1182" w:type="dxa"/>
            <w:tcBorders>
              <w:tl2br w:val="single" w:color="auto" w:sz="4" w:space="0"/>
            </w:tcBorders>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因素</w:t>
            </w:r>
          </w:p>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562"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土建</w:t>
            </w:r>
          </w:p>
        </w:tc>
        <w:tc>
          <w:tcPr>
            <w:tcW w:w="578"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安装</w:t>
            </w:r>
          </w:p>
        </w:tc>
        <w:tc>
          <w:tcPr>
            <w:tcW w:w="683"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w:t>
            </w:r>
          </w:p>
        </w:tc>
        <w:tc>
          <w:tcPr>
            <w:tcW w:w="944"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噪声振动</w:t>
            </w:r>
          </w:p>
        </w:tc>
        <w:tc>
          <w:tcPr>
            <w:tcW w:w="697"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4" w:type="dxa"/>
            <w:vMerge w:val="restart"/>
            <w:noWrap w:val="0"/>
            <w:vAlign w:val="center"/>
          </w:tcPr>
          <w:p>
            <w:pPr>
              <w:spacing w:line="240" w:lineRule="auto"/>
              <w:jc w:val="left"/>
              <w:rPr>
                <w:rFonts w:hint="default" w:ascii="Times New Roman" w:hAnsi="Times New Roman" w:eastAsia="宋体" w:cs="Times New Roman"/>
                <w:color w:val="auto"/>
                <w:sz w:val="21"/>
                <w:szCs w:val="21"/>
              </w:rPr>
            </w:pPr>
          </w:p>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自然生态环境</w:t>
            </w:r>
          </w:p>
        </w:tc>
        <w:tc>
          <w:tcPr>
            <w:tcW w:w="1182"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562" w:type="dxa"/>
            <w:noWrap w:val="0"/>
            <w:vAlign w:val="center"/>
          </w:tcPr>
          <w:p>
            <w:pPr>
              <w:spacing w:line="240" w:lineRule="auto"/>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SP</w:t>
            </w:r>
          </w:p>
        </w:tc>
        <w:tc>
          <w:tcPr>
            <w:tcW w:w="578" w:type="dxa"/>
            <w:noWrap w:val="0"/>
            <w:vAlign w:val="center"/>
          </w:tcPr>
          <w:p>
            <w:pPr>
              <w:spacing w:line="240" w:lineRule="auto"/>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SP</w:t>
            </w:r>
          </w:p>
        </w:tc>
        <w:tc>
          <w:tcPr>
            <w:tcW w:w="683"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944"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697"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4" w:type="dxa"/>
            <w:vMerge w:val="continue"/>
            <w:noWrap w:val="0"/>
            <w:vAlign w:val="center"/>
          </w:tcPr>
          <w:p>
            <w:pPr>
              <w:spacing w:line="240" w:lineRule="auto"/>
              <w:jc w:val="left"/>
              <w:rPr>
                <w:rFonts w:hint="default" w:ascii="Times New Roman" w:hAnsi="Times New Roman" w:eastAsia="宋体" w:cs="Times New Roman"/>
                <w:color w:val="auto"/>
                <w:sz w:val="21"/>
                <w:szCs w:val="21"/>
              </w:rPr>
            </w:pPr>
          </w:p>
        </w:tc>
        <w:tc>
          <w:tcPr>
            <w:tcW w:w="1182"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562"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578"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683"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944"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697"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4" w:type="dxa"/>
            <w:vMerge w:val="continue"/>
            <w:noWrap w:val="0"/>
            <w:vAlign w:val="center"/>
          </w:tcPr>
          <w:p>
            <w:pPr>
              <w:spacing w:line="240" w:lineRule="auto"/>
              <w:jc w:val="left"/>
              <w:rPr>
                <w:rFonts w:hint="default" w:ascii="Times New Roman" w:hAnsi="Times New Roman" w:eastAsia="宋体" w:cs="Times New Roman"/>
                <w:color w:val="auto"/>
                <w:sz w:val="21"/>
                <w:szCs w:val="21"/>
              </w:rPr>
            </w:pPr>
          </w:p>
        </w:tc>
        <w:tc>
          <w:tcPr>
            <w:tcW w:w="1182"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562"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2SP</w:t>
            </w:r>
          </w:p>
        </w:tc>
        <w:tc>
          <w:tcPr>
            <w:tcW w:w="578"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2SP</w:t>
            </w:r>
          </w:p>
        </w:tc>
        <w:tc>
          <w:tcPr>
            <w:tcW w:w="683"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1SP</w:t>
            </w:r>
          </w:p>
        </w:tc>
        <w:tc>
          <w:tcPr>
            <w:tcW w:w="944"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697"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4" w:type="dxa"/>
            <w:vMerge w:val="continue"/>
            <w:noWrap w:val="0"/>
            <w:vAlign w:val="center"/>
          </w:tcPr>
          <w:p>
            <w:pPr>
              <w:spacing w:line="240" w:lineRule="auto"/>
              <w:jc w:val="left"/>
              <w:rPr>
                <w:rFonts w:hint="default" w:ascii="Times New Roman" w:hAnsi="Times New Roman" w:eastAsia="宋体" w:cs="Times New Roman"/>
                <w:color w:val="auto"/>
                <w:sz w:val="21"/>
                <w:szCs w:val="21"/>
              </w:rPr>
            </w:pPr>
          </w:p>
        </w:tc>
        <w:tc>
          <w:tcPr>
            <w:tcW w:w="1182"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562"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2SP</w:t>
            </w:r>
          </w:p>
        </w:tc>
        <w:tc>
          <w:tcPr>
            <w:tcW w:w="578"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2SP</w:t>
            </w:r>
          </w:p>
        </w:tc>
        <w:tc>
          <w:tcPr>
            <w:tcW w:w="683"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1SP</w:t>
            </w:r>
          </w:p>
        </w:tc>
        <w:tc>
          <w:tcPr>
            <w:tcW w:w="944"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2SP</w:t>
            </w:r>
          </w:p>
        </w:tc>
        <w:tc>
          <w:tcPr>
            <w:tcW w:w="697"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4" w:type="dxa"/>
            <w:vMerge w:val="continue"/>
            <w:noWrap w:val="0"/>
            <w:vAlign w:val="center"/>
          </w:tcPr>
          <w:p>
            <w:pPr>
              <w:spacing w:line="240" w:lineRule="auto"/>
              <w:jc w:val="left"/>
              <w:rPr>
                <w:rFonts w:hint="default" w:ascii="Times New Roman" w:hAnsi="Times New Roman" w:eastAsia="宋体" w:cs="Times New Roman"/>
                <w:color w:val="auto"/>
                <w:sz w:val="21"/>
                <w:szCs w:val="21"/>
              </w:rPr>
            </w:pPr>
          </w:p>
        </w:tc>
        <w:tc>
          <w:tcPr>
            <w:tcW w:w="1182"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w:t>
            </w:r>
          </w:p>
        </w:tc>
        <w:tc>
          <w:tcPr>
            <w:tcW w:w="562"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578"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1SP</w:t>
            </w:r>
          </w:p>
        </w:tc>
        <w:tc>
          <w:tcPr>
            <w:tcW w:w="683"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944"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697"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4" w:type="dxa"/>
            <w:vMerge w:val="continue"/>
            <w:noWrap w:val="0"/>
            <w:vAlign w:val="center"/>
          </w:tcPr>
          <w:p>
            <w:pPr>
              <w:spacing w:line="240" w:lineRule="auto"/>
              <w:jc w:val="left"/>
              <w:rPr>
                <w:rFonts w:hint="default" w:ascii="Times New Roman" w:hAnsi="Times New Roman" w:eastAsia="宋体" w:cs="Times New Roman"/>
                <w:color w:val="auto"/>
                <w:sz w:val="21"/>
                <w:szCs w:val="21"/>
              </w:rPr>
            </w:pPr>
          </w:p>
        </w:tc>
        <w:tc>
          <w:tcPr>
            <w:tcW w:w="1182"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植被</w:t>
            </w:r>
          </w:p>
        </w:tc>
        <w:tc>
          <w:tcPr>
            <w:tcW w:w="562"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2SP</w:t>
            </w:r>
          </w:p>
        </w:tc>
        <w:tc>
          <w:tcPr>
            <w:tcW w:w="578"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683"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944"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697"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4" w:type="dxa"/>
            <w:vMerge w:val="continue"/>
            <w:noWrap w:val="0"/>
            <w:vAlign w:val="center"/>
          </w:tcPr>
          <w:p>
            <w:pPr>
              <w:spacing w:line="240" w:lineRule="auto"/>
              <w:jc w:val="left"/>
              <w:rPr>
                <w:rFonts w:hint="default" w:ascii="Times New Roman" w:hAnsi="Times New Roman" w:eastAsia="宋体" w:cs="Times New Roman"/>
                <w:color w:val="auto"/>
                <w:sz w:val="21"/>
                <w:szCs w:val="21"/>
              </w:rPr>
            </w:pPr>
          </w:p>
        </w:tc>
        <w:tc>
          <w:tcPr>
            <w:tcW w:w="1182"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气候</w:t>
            </w:r>
          </w:p>
        </w:tc>
        <w:tc>
          <w:tcPr>
            <w:tcW w:w="562"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578"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1SP</w:t>
            </w:r>
          </w:p>
        </w:tc>
        <w:tc>
          <w:tcPr>
            <w:tcW w:w="683"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944"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697"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4" w:type="dxa"/>
            <w:vMerge w:val="restart"/>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社会经济环境</w:t>
            </w:r>
          </w:p>
        </w:tc>
        <w:tc>
          <w:tcPr>
            <w:tcW w:w="1182"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w:t>
            </w:r>
          </w:p>
        </w:tc>
        <w:tc>
          <w:tcPr>
            <w:tcW w:w="562"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578"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683"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944"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697"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4" w:type="dxa"/>
            <w:vMerge w:val="continue"/>
            <w:noWrap w:val="0"/>
            <w:vAlign w:val="center"/>
          </w:tcPr>
          <w:p>
            <w:pPr>
              <w:spacing w:line="240" w:lineRule="auto"/>
              <w:jc w:val="left"/>
              <w:rPr>
                <w:rFonts w:hint="default" w:ascii="Times New Roman" w:hAnsi="Times New Roman" w:eastAsia="宋体" w:cs="Times New Roman"/>
                <w:color w:val="auto"/>
                <w:sz w:val="21"/>
                <w:szCs w:val="21"/>
              </w:rPr>
            </w:pPr>
          </w:p>
        </w:tc>
        <w:tc>
          <w:tcPr>
            <w:tcW w:w="1182"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农业</w:t>
            </w:r>
          </w:p>
        </w:tc>
        <w:tc>
          <w:tcPr>
            <w:tcW w:w="562"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578"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683"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944"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697"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4" w:type="dxa"/>
            <w:vMerge w:val="continue"/>
            <w:noWrap w:val="0"/>
            <w:vAlign w:val="center"/>
          </w:tcPr>
          <w:p>
            <w:pPr>
              <w:spacing w:line="240" w:lineRule="auto"/>
              <w:jc w:val="left"/>
              <w:rPr>
                <w:rFonts w:hint="default" w:ascii="Times New Roman" w:hAnsi="Times New Roman" w:eastAsia="宋体" w:cs="Times New Roman"/>
                <w:color w:val="auto"/>
                <w:sz w:val="21"/>
                <w:szCs w:val="21"/>
              </w:rPr>
            </w:pPr>
          </w:p>
        </w:tc>
        <w:tc>
          <w:tcPr>
            <w:tcW w:w="1182"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交通</w:t>
            </w:r>
          </w:p>
        </w:tc>
        <w:tc>
          <w:tcPr>
            <w:tcW w:w="562"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578"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683"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1SP</w:t>
            </w:r>
          </w:p>
        </w:tc>
        <w:tc>
          <w:tcPr>
            <w:tcW w:w="944"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697"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4" w:type="dxa"/>
            <w:vMerge w:val="continue"/>
            <w:noWrap w:val="0"/>
            <w:vAlign w:val="center"/>
          </w:tcPr>
          <w:p>
            <w:pPr>
              <w:spacing w:line="240" w:lineRule="auto"/>
              <w:jc w:val="left"/>
              <w:rPr>
                <w:rFonts w:hint="default" w:ascii="Times New Roman" w:hAnsi="Times New Roman" w:eastAsia="宋体" w:cs="Times New Roman"/>
                <w:color w:val="auto"/>
                <w:sz w:val="21"/>
                <w:szCs w:val="21"/>
              </w:rPr>
            </w:pPr>
          </w:p>
        </w:tc>
        <w:tc>
          <w:tcPr>
            <w:tcW w:w="1182"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公众健康</w:t>
            </w:r>
          </w:p>
        </w:tc>
        <w:tc>
          <w:tcPr>
            <w:tcW w:w="562"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578"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683"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944"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1SP</w:t>
            </w:r>
          </w:p>
        </w:tc>
        <w:tc>
          <w:tcPr>
            <w:tcW w:w="697"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4" w:type="dxa"/>
            <w:vMerge w:val="continue"/>
            <w:noWrap w:val="0"/>
            <w:vAlign w:val="center"/>
          </w:tcPr>
          <w:p>
            <w:pPr>
              <w:spacing w:line="240" w:lineRule="auto"/>
              <w:jc w:val="left"/>
              <w:rPr>
                <w:rFonts w:hint="default" w:ascii="Times New Roman" w:hAnsi="Times New Roman" w:eastAsia="宋体" w:cs="Times New Roman"/>
                <w:color w:val="auto"/>
                <w:sz w:val="21"/>
                <w:szCs w:val="21"/>
              </w:rPr>
            </w:pPr>
          </w:p>
        </w:tc>
        <w:tc>
          <w:tcPr>
            <w:tcW w:w="1182"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生活质量</w:t>
            </w:r>
          </w:p>
        </w:tc>
        <w:tc>
          <w:tcPr>
            <w:tcW w:w="562"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578"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683"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944" w:type="dxa"/>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1SP</w:t>
            </w:r>
          </w:p>
        </w:tc>
        <w:tc>
          <w:tcPr>
            <w:tcW w:w="697"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5"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p>
        </w:tc>
        <w:tc>
          <w:tcPr>
            <w:tcW w:w="776" w:type="dxa"/>
            <w:noWrap w:val="0"/>
            <w:vAlign w:val="center"/>
          </w:tcPr>
          <w:p>
            <w:pPr>
              <w:spacing w:line="240" w:lineRule="auto"/>
              <w:jc w:val="left"/>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22" w:type="dxa"/>
            <w:gridSpan w:val="11"/>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备注：影响程度：1-轻微，2-一般、3-显著；影响时段：S-短期、L-长期；影响范围：P-局部、W-大范围</w:t>
            </w:r>
          </w:p>
        </w:tc>
      </w:tr>
    </w:tbl>
    <w:p>
      <w:pPr>
        <w:autoSpaceDE/>
        <w:autoSpaceDN/>
        <w:adjustRightInd w:val="0"/>
        <w:snapToGrid w:val="0"/>
        <w:spacing w:line="360" w:lineRule="auto"/>
        <w:ind w:firstLine="480" w:firstLineChars="200"/>
        <w:jc w:val="both"/>
        <w:rPr>
          <w:rFonts w:ascii="Times New Roman" w:hAnsi="Times New Roman" w:cs="Times New Roman"/>
          <w:color w:val="000000"/>
          <w:kern w:val="10"/>
          <w:sz w:val="24"/>
          <w:szCs w:val="21"/>
          <w:lang w:val="en-US" w:bidi="ar-SA"/>
        </w:rPr>
      </w:pPr>
      <w:r>
        <w:rPr>
          <w:rFonts w:ascii="Times New Roman" w:hAnsi="Times New Roman" w:cs="Times New Roman"/>
          <w:snapToGrid w:val="0"/>
          <w:color w:val="000000"/>
          <w:sz w:val="24"/>
          <w:szCs w:val="24"/>
          <w:lang w:val="en-US" w:bidi="ar-SA"/>
        </w:rPr>
        <w:t>从上表可看出，</w:t>
      </w:r>
      <w:r>
        <w:rPr>
          <w:rFonts w:ascii="Times New Roman" w:hAnsi="Times New Roman" w:cs="Times New Roman"/>
          <w:color w:val="000000"/>
          <w:kern w:val="10"/>
          <w:sz w:val="24"/>
          <w:szCs w:val="21"/>
          <w:lang w:val="en-US" w:bidi="ar-SA"/>
        </w:rPr>
        <w:t>工程施工期对环境的不利影响主要表现在水体扰动、施工扬尘、施工噪声的影响，此外是对水土流失、植被、土壤等生态环境影响；工程属于治理类项目，运营期主要体现为正影响。有利影响主要表现在水质提高、生态环境改善等方面，且是长期广泛的。</w:t>
      </w:r>
    </w:p>
    <w:p>
      <w:pPr>
        <w:autoSpaceDE/>
        <w:autoSpaceDN/>
        <w:adjustRightInd w:val="0"/>
        <w:snapToGrid w:val="0"/>
        <w:spacing w:line="360" w:lineRule="auto"/>
        <w:jc w:val="both"/>
        <w:outlineLvl w:val="2"/>
        <w:rPr>
          <w:rFonts w:ascii="Times New Roman" w:hAnsi="Times New Roman" w:cs="Times New Roman"/>
          <w:b/>
          <w:sz w:val="28"/>
          <w:szCs w:val="24"/>
        </w:rPr>
      </w:pPr>
      <w:bookmarkStart w:id="91" w:name="_Toc66206026"/>
      <w:bookmarkStart w:id="92" w:name="_Toc69284552"/>
      <w:bookmarkStart w:id="93" w:name="_Toc82593085"/>
      <w:bookmarkStart w:id="94" w:name="_Toc8673"/>
      <w:bookmarkStart w:id="95" w:name="_Toc28547"/>
      <w:r>
        <w:rPr>
          <w:rFonts w:ascii="Times New Roman" w:hAnsi="Times New Roman" w:cs="Times New Roman"/>
          <w:b/>
          <w:sz w:val="28"/>
          <w:szCs w:val="24"/>
        </w:rPr>
        <w:t>2.3.2评价因子筛选</w:t>
      </w:r>
      <w:bookmarkEnd w:id="91"/>
      <w:bookmarkEnd w:id="92"/>
      <w:bookmarkEnd w:id="93"/>
      <w:bookmarkEnd w:id="94"/>
      <w:bookmarkEnd w:id="95"/>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根据项目工程分析、环境影响因素识别及判定结果，结合项目特征及周围环境特点，确定本项目对环境影响的因子见下表。</w:t>
      </w:r>
    </w:p>
    <w:p>
      <w:pPr>
        <w:pStyle w:val="2"/>
        <w:autoSpaceDE/>
        <w:autoSpaceDN/>
        <w:adjustRightInd w:val="0"/>
        <w:snapToGrid w:val="0"/>
        <w:spacing w:before="0" w:line="360" w:lineRule="auto"/>
        <w:ind w:left="0"/>
        <w:jc w:val="center"/>
        <w:rPr>
          <w:rFonts w:ascii="Times New Roman" w:hAnsi="Times New Roman" w:cs="Times New Roman"/>
          <w:b/>
          <w:snapToGrid w:val="0"/>
        </w:rPr>
      </w:pPr>
      <w:r>
        <w:rPr>
          <w:rFonts w:ascii="Times New Roman" w:hAnsi="Times New Roman" w:cs="Times New Roman"/>
          <w:b/>
          <w:snapToGrid w:val="0"/>
        </w:rPr>
        <w:t>表2.3-2</w:t>
      </w:r>
      <w:r>
        <w:rPr>
          <w:rFonts w:hint="eastAsia" w:ascii="Times New Roman" w:hAnsi="Times New Roman" w:cs="Times New Roman"/>
          <w:b/>
          <w:snapToGrid w:val="0"/>
        </w:rPr>
        <w:t xml:space="preserve"> </w:t>
      </w:r>
      <w:r>
        <w:rPr>
          <w:rFonts w:ascii="Times New Roman" w:hAnsi="Times New Roman" w:cs="Times New Roman"/>
          <w:b/>
          <w:snapToGrid w:val="0"/>
        </w:rPr>
        <w:t xml:space="preserve"> 环境评价因子识别表</w:t>
      </w:r>
    </w:p>
    <w:tbl>
      <w:tblPr>
        <w:tblStyle w:val="8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64"/>
        <w:gridCol w:w="2823"/>
        <w:gridCol w:w="2552"/>
        <w:gridCol w:w="22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8" w:type="pct"/>
            <w:vMerge w:val="restart"/>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环境要素</w:t>
            </w:r>
          </w:p>
        </w:tc>
        <w:tc>
          <w:tcPr>
            <w:tcW w:w="1693" w:type="pct"/>
            <w:vMerge w:val="restart"/>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现状评价因子</w:t>
            </w:r>
          </w:p>
        </w:tc>
        <w:tc>
          <w:tcPr>
            <w:tcW w:w="2909" w:type="pct"/>
            <w:gridSpan w:val="2"/>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影响评价因子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8" w:type="pct"/>
            <w:vMerge w:val="continue"/>
            <w:vAlign w:val="center"/>
          </w:tcPr>
          <w:p>
            <w:pPr>
              <w:autoSpaceDE/>
              <w:autoSpaceDN/>
              <w:adjustRightInd w:val="0"/>
              <w:snapToGrid w:val="0"/>
              <w:jc w:val="center"/>
              <w:rPr>
                <w:rFonts w:ascii="Times New Roman" w:hAnsi="Times New Roman" w:cs="Times New Roman"/>
                <w:sz w:val="2"/>
                <w:szCs w:val="2"/>
              </w:rPr>
            </w:pPr>
          </w:p>
        </w:tc>
        <w:tc>
          <w:tcPr>
            <w:tcW w:w="1693" w:type="pct"/>
            <w:vMerge w:val="continue"/>
            <w:vAlign w:val="center"/>
          </w:tcPr>
          <w:p>
            <w:pPr>
              <w:autoSpaceDE/>
              <w:autoSpaceDN/>
              <w:adjustRightInd w:val="0"/>
              <w:snapToGrid w:val="0"/>
              <w:jc w:val="center"/>
              <w:rPr>
                <w:rFonts w:ascii="Times New Roman" w:hAnsi="Times New Roman" w:cs="Times New Roman"/>
                <w:sz w:val="2"/>
                <w:szCs w:val="2"/>
              </w:rPr>
            </w:pPr>
          </w:p>
        </w:tc>
        <w:tc>
          <w:tcPr>
            <w:tcW w:w="1531"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施工期</w:t>
            </w:r>
          </w:p>
        </w:tc>
        <w:tc>
          <w:tcPr>
            <w:tcW w:w="1378"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营运期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8" w:type="pct"/>
            <w:vAlign w:val="center"/>
          </w:tcPr>
          <w:p>
            <w:pPr>
              <w:pStyle w:val="124"/>
              <w:autoSpaceDE/>
              <w:autoSpaceDN/>
              <w:adjustRightInd w:val="0"/>
              <w:snapToGrid w:val="0"/>
              <w:rPr>
                <w:rFonts w:ascii="Times New Roman" w:hAnsi="Times New Roman" w:cs="Times New Roman"/>
                <w:color w:val="000000" w:themeColor="text1"/>
                <w:sz w:val="21"/>
                <w:u w:val="none"/>
                <w14:textFill>
                  <w14:solidFill>
                    <w14:schemeClr w14:val="tx1"/>
                  </w14:solidFill>
                </w14:textFill>
              </w:rPr>
            </w:pPr>
            <w:r>
              <w:rPr>
                <w:rFonts w:ascii="Times New Roman" w:hAnsi="Times New Roman" w:cs="Times New Roman"/>
                <w:color w:val="000000" w:themeColor="text1"/>
                <w:sz w:val="21"/>
                <w:u w:val="none"/>
                <w14:textFill>
                  <w14:solidFill>
                    <w14:schemeClr w14:val="tx1"/>
                  </w14:solidFill>
                </w14:textFill>
              </w:rPr>
              <w:t>环境空气</w:t>
            </w:r>
          </w:p>
        </w:tc>
        <w:tc>
          <w:tcPr>
            <w:tcW w:w="1693" w:type="pct"/>
            <w:vAlign w:val="center"/>
          </w:tcPr>
          <w:p>
            <w:pPr>
              <w:pStyle w:val="124"/>
              <w:autoSpaceDE/>
              <w:autoSpaceDN/>
              <w:adjustRightInd w:val="0"/>
              <w:snapToGrid w:val="0"/>
              <w:rPr>
                <w:rFonts w:hint="eastAsia" w:ascii="Times New Roman" w:hAnsi="Times New Roman" w:eastAsia="宋体" w:cs="Times New Roman"/>
                <w:color w:val="000000" w:themeColor="text1"/>
                <w:sz w:val="21"/>
                <w:u w:val="none"/>
                <w:lang w:val="en-US" w:eastAsia="zh-CN"/>
                <w14:textFill>
                  <w14:solidFill>
                    <w14:schemeClr w14:val="tx1"/>
                  </w14:solidFill>
                </w14:textFill>
              </w:rPr>
            </w:pPr>
            <w:r>
              <w:rPr>
                <w:rFonts w:ascii="Times New Roman" w:hAnsi="Times New Roman" w:cs="Times New Roman"/>
                <w:color w:val="000000" w:themeColor="text1"/>
                <w:sz w:val="21"/>
                <w:u w:val="none"/>
                <w:lang w:val="en-US"/>
                <w14:textFill>
                  <w14:solidFill>
                    <w14:schemeClr w14:val="tx1"/>
                  </w14:solidFill>
                </w14:textFill>
              </w:rPr>
              <w:t>SO</w:t>
            </w:r>
            <w:r>
              <w:rPr>
                <w:rFonts w:ascii="Times New Roman" w:hAnsi="Times New Roman" w:cs="Times New Roman"/>
                <w:color w:val="000000" w:themeColor="text1"/>
                <w:sz w:val="21"/>
                <w:u w:val="none"/>
                <w:vertAlign w:val="subscript"/>
                <w:lang w:val="en-US"/>
                <w14:textFill>
                  <w14:solidFill>
                    <w14:schemeClr w14:val="tx1"/>
                  </w14:solidFill>
                </w14:textFill>
              </w:rPr>
              <w:t>2</w:t>
            </w:r>
            <w:r>
              <w:rPr>
                <w:rFonts w:ascii="Times New Roman" w:hAnsi="Times New Roman" w:cs="Times New Roman"/>
                <w:color w:val="000000" w:themeColor="text1"/>
                <w:sz w:val="21"/>
                <w:u w:val="none"/>
                <w14:textFill>
                  <w14:solidFill>
                    <w14:schemeClr w14:val="tx1"/>
                  </w14:solidFill>
                </w14:textFill>
              </w:rPr>
              <w:t>、</w:t>
            </w:r>
            <w:r>
              <w:rPr>
                <w:rFonts w:ascii="Times New Roman" w:hAnsi="Times New Roman" w:cs="Times New Roman"/>
                <w:color w:val="000000" w:themeColor="text1"/>
                <w:sz w:val="21"/>
                <w:u w:val="none"/>
                <w:lang w:val="en-US"/>
                <w14:textFill>
                  <w14:solidFill>
                    <w14:schemeClr w14:val="tx1"/>
                  </w14:solidFill>
                </w14:textFill>
              </w:rPr>
              <w:t>NO</w:t>
            </w:r>
            <w:r>
              <w:rPr>
                <w:rFonts w:ascii="Times New Roman" w:hAnsi="Times New Roman" w:cs="Times New Roman"/>
                <w:color w:val="000000" w:themeColor="text1"/>
                <w:sz w:val="21"/>
                <w:u w:val="none"/>
                <w:vertAlign w:val="subscript"/>
                <w:lang w:val="en-US"/>
                <w14:textFill>
                  <w14:solidFill>
                    <w14:schemeClr w14:val="tx1"/>
                  </w14:solidFill>
                </w14:textFill>
              </w:rPr>
              <w:t>2</w:t>
            </w:r>
            <w:r>
              <w:rPr>
                <w:rFonts w:ascii="Times New Roman" w:hAnsi="Times New Roman" w:cs="Times New Roman"/>
                <w:color w:val="000000" w:themeColor="text1"/>
                <w:sz w:val="21"/>
                <w:u w:val="none"/>
                <w14:textFill>
                  <w14:solidFill>
                    <w14:schemeClr w14:val="tx1"/>
                  </w14:solidFill>
                </w14:textFill>
              </w:rPr>
              <w:t>、</w:t>
            </w:r>
            <w:r>
              <w:rPr>
                <w:rFonts w:ascii="Times New Roman" w:hAnsi="Times New Roman" w:cs="Times New Roman"/>
                <w:color w:val="000000" w:themeColor="text1"/>
                <w:sz w:val="21"/>
                <w:u w:val="none"/>
                <w:lang w:val="en-US"/>
                <w14:textFill>
                  <w14:solidFill>
                    <w14:schemeClr w14:val="tx1"/>
                  </w14:solidFill>
                </w14:textFill>
              </w:rPr>
              <w:t>PM</w:t>
            </w:r>
            <w:r>
              <w:rPr>
                <w:rFonts w:ascii="Times New Roman" w:hAnsi="Times New Roman" w:cs="Times New Roman"/>
                <w:color w:val="000000" w:themeColor="text1"/>
                <w:sz w:val="21"/>
                <w:u w:val="none"/>
                <w:vertAlign w:val="subscript"/>
                <w:lang w:val="en-US"/>
                <w14:textFill>
                  <w14:solidFill>
                    <w14:schemeClr w14:val="tx1"/>
                  </w14:solidFill>
                </w14:textFill>
              </w:rPr>
              <w:t>10</w:t>
            </w:r>
            <w:r>
              <w:rPr>
                <w:rFonts w:ascii="Times New Roman" w:hAnsi="Times New Roman" w:cs="Times New Roman"/>
                <w:color w:val="000000" w:themeColor="text1"/>
                <w:sz w:val="21"/>
                <w:u w:val="none"/>
                <w14:textFill>
                  <w14:solidFill>
                    <w14:schemeClr w14:val="tx1"/>
                  </w14:solidFill>
                </w14:textFill>
              </w:rPr>
              <w:t>、</w:t>
            </w:r>
            <w:r>
              <w:rPr>
                <w:rFonts w:ascii="Times New Roman" w:hAnsi="Times New Roman" w:cs="Times New Roman"/>
                <w:color w:val="000000" w:themeColor="text1"/>
                <w:sz w:val="21"/>
                <w:u w:val="none"/>
                <w:lang w:val="en-US"/>
                <w14:textFill>
                  <w14:solidFill>
                    <w14:schemeClr w14:val="tx1"/>
                  </w14:solidFill>
                </w14:textFill>
              </w:rPr>
              <w:t>PM</w:t>
            </w:r>
            <w:r>
              <w:rPr>
                <w:rFonts w:ascii="Times New Roman" w:hAnsi="Times New Roman" w:cs="Times New Roman"/>
                <w:color w:val="000000" w:themeColor="text1"/>
                <w:sz w:val="21"/>
                <w:u w:val="none"/>
                <w:vertAlign w:val="subscript"/>
                <w:lang w:val="en-US"/>
                <w14:textFill>
                  <w14:solidFill>
                    <w14:schemeClr w14:val="tx1"/>
                  </w14:solidFill>
                </w14:textFill>
              </w:rPr>
              <w:t>2.5</w:t>
            </w:r>
            <w:r>
              <w:rPr>
                <w:rFonts w:ascii="Times New Roman" w:hAnsi="Times New Roman" w:cs="Times New Roman"/>
                <w:color w:val="000000" w:themeColor="text1"/>
                <w:sz w:val="21"/>
                <w:u w:val="none"/>
                <w14:textFill>
                  <w14:solidFill>
                    <w14:schemeClr w14:val="tx1"/>
                  </w14:solidFill>
                </w14:textFill>
              </w:rPr>
              <w:t>、</w:t>
            </w:r>
            <w:r>
              <w:rPr>
                <w:rFonts w:ascii="Times New Roman" w:hAnsi="Times New Roman" w:cs="Times New Roman"/>
                <w:color w:val="000000" w:themeColor="text1"/>
                <w:sz w:val="21"/>
                <w:u w:val="none"/>
                <w:lang w:val="en-US"/>
                <w14:textFill>
                  <w14:solidFill>
                    <w14:schemeClr w14:val="tx1"/>
                  </w14:solidFill>
                </w14:textFill>
              </w:rPr>
              <w:t>O</w:t>
            </w:r>
            <w:r>
              <w:rPr>
                <w:rFonts w:ascii="Times New Roman" w:hAnsi="Times New Roman" w:cs="Times New Roman"/>
                <w:color w:val="000000" w:themeColor="text1"/>
                <w:sz w:val="21"/>
                <w:u w:val="none"/>
                <w:vertAlign w:val="subscript"/>
                <w:lang w:val="en-US"/>
                <w14:textFill>
                  <w14:solidFill>
                    <w14:schemeClr w14:val="tx1"/>
                  </w14:solidFill>
                </w14:textFill>
              </w:rPr>
              <w:t>3</w:t>
            </w:r>
            <w:r>
              <w:rPr>
                <w:rFonts w:ascii="Times New Roman" w:hAnsi="Times New Roman" w:cs="Times New Roman"/>
                <w:color w:val="000000" w:themeColor="text1"/>
                <w:sz w:val="21"/>
                <w:u w:val="none"/>
                <w14:textFill>
                  <w14:solidFill>
                    <w14:schemeClr w14:val="tx1"/>
                  </w14:solidFill>
                </w14:textFill>
              </w:rPr>
              <w:t>、</w:t>
            </w:r>
            <w:r>
              <w:rPr>
                <w:rFonts w:ascii="Times New Roman" w:hAnsi="Times New Roman" w:cs="Times New Roman"/>
                <w:color w:val="000000" w:themeColor="text1"/>
                <w:sz w:val="21"/>
                <w:u w:val="none"/>
                <w:lang w:val="en-US"/>
                <w14:textFill>
                  <w14:solidFill>
                    <w14:schemeClr w14:val="tx1"/>
                  </w14:solidFill>
                </w14:textFill>
              </w:rPr>
              <w:t>CO</w:t>
            </w:r>
            <w:r>
              <w:rPr>
                <w:rFonts w:hint="eastAsia" w:ascii="Times New Roman" w:hAnsi="Times New Roman" w:cs="Times New Roman"/>
                <w:color w:val="000000" w:themeColor="text1"/>
                <w:sz w:val="21"/>
                <w:u w:val="none"/>
                <w:lang w:val="en-US" w:eastAsia="zh-CN"/>
                <w14:textFill>
                  <w14:solidFill>
                    <w14:schemeClr w14:val="tx1"/>
                  </w14:solidFill>
                </w14:textFill>
              </w:rPr>
              <w:t>、氨、硫化氢、臭气浓度、</w:t>
            </w:r>
            <w:r>
              <w:rPr>
                <w:rFonts w:ascii="Times New Roman" w:hAnsi="Times New Roman" w:cs="Times New Roman"/>
                <w:color w:val="000000" w:themeColor="text1"/>
                <w:sz w:val="21"/>
                <w:u w:val="none"/>
                <w:lang w:val="en-US"/>
                <w14:textFill>
                  <w14:solidFill>
                    <w14:schemeClr w14:val="tx1"/>
                  </w14:solidFill>
                </w14:textFill>
              </w:rPr>
              <w:t>TSP</w:t>
            </w:r>
          </w:p>
        </w:tc>
        <w:tc>
          <w:tcPr>
            <w:tcW w:w="1531" w:type="pct"/>
            <w:vAlign w:val="center"/>
          </w:tcPr>
          <w:p>
            <w:pPr>
              <w:pStyle w:val="124"/>
              <w:autoSpaceDE/>
              <w:autoSpaceDN/>
              <w:adjustRightInd w:val="0"/>
              <w:snapToGrid w:val="0"/>
              <w:rPr>
                <w:rFonts w:ascii="Times New Roman" w:hAnsi="Times New Roman" w:cs="Times New Roman"/>
                <w:color w:val="000000" w:themeColor="text1"/>
                <w:sz w:val="21"/>
                <w:u w:val="none"/>
                <w:lang w:val="en-US"/>
                <w14:textFill>
                  <w14:solidFill>
                    <w14:schemeClr w14:val="tx1"/>
                  </w14:solidFill>
                </w14:textFill>
              </w:rPr>
            </w:pPr>
            <w:r>
              <w:rPr>
                <w:rFonts w:ascii="Times New Roman" w:hAnsi="Times New Roman" w:cs="Times New Roman"/>
                <w:color w:val="000000" w:themeColor="text1"/>
                <w:sz w:val="21"/>
                <w:u w:val="none"/>
                <w:lang w:val="en-US"/>
                <w14:textFill>
                  <w14:solidFill>
                    <w14:schemeClr w14:val="tx1"/>
                  </w14:solidFill>
                </w14:textFill>
              </w:rPr>
              <w:t>TSP</w:t>
            </w:r>
            <w:r>
              <w:rPr>
                <w:rFonts w:hint="eastAsia" w:ascii="Times New Roman" w:hAnsi="Times New Roman" w:cs="Times New Roman"/>
                <w:color w:val="000000" w:themeColor="text1"/>
                <w:sz w:val="21"/>
                <w:u w:val="none"/>
                <w:lang w:val="en-US" w:eastAsia="zh-CN"/>
                <w14:textFill>
                  <w14:solidFill>
                    <w14:schemeClr w14:val="tx1"/>
                  </w14:solidFill>
                </w14:textFill>
              </w:rPr>
              <w:t>、氨、硫化氢、臭气浓度</w:t>
            </w:r>
          </w:p>
        </w:tc>
        <w:tc>
          <w:tcPr>
            <w:tcW w:w="1378" w:type="pct"/>
            <w:vAlign w:val="center"/>
          </w:tcPr>
          <w:p>
            <w:pPr>
              <w:pStyle w:val="124"/>
              <w:autoSpaceDE/>
              <w:autoSpaceDN/>
              <w:adjustRightInd w:val="0"/>
              <w:snapToGrid w:val="0"/>
              <w:rPr>
                <w:rFonts w:ascii="Times New Roman" w:hAnsi="Times New Roman" w:cs="Times New Roman"/>
                <w:color w:val="000000" w:themeColor="text1"/>
                <w:sz w:val="21"/>
                <w:u w:val="none"/>
                <w:lang w:val="en-US"/>
                <w14:textFill>
                  <w14:solidFill>
                    <w14:schemeClr w14:val="tx1"/>
                  </w14:solidFill>
                </w14:textFill>
              </w:rPr>
            </w:pPr>
            <w:r>
              <w:rPr>
                <w:rFonts w:ascii="Times New Roman" w:hAnsi="Times New Roman" w:cs="Times New Roman"/>
                <w:color w:val="000000" w:themeColor="text1"/>
                <w:sz w:val="21"/>
                <w:u w:val="none"/>
                <w:lang w:val="en-US"/>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8" w:type="pct"/>
            <w:vAlign w:val="center"/>
          </w:tcPr>
          <w:p>
            <w:pPr>
              <w:pStyle w:val="124"/>
              <w:autoSpaceDE/>
              <w:autoSpaceDN/>
              <w:adjustRightInd w:val="0"/>
              <w:snapToGrid w:val="0"/>
              <w:rPr>
                <w:rFonts w:ascii="Times New Roman" w:hAnsi="Times New Roman" w:cs="Times New Roman"/>
                <w:color w:val="000000" w:themeColor="text1"/>
                <w:sz w:val="21"/>
                <w:u w:val="none"/>
                <w14:textFill>
                  <w14:solidFill>
                    <w14:schemeClr w14:val="tx1"/>
                  </w14:solidFill>
                </w14:textFill>
              </w:rPr>
            </w:pPr>
            <w:r>
              <w:rPr>
                <w:rFonts w:ascii="Times New Roman" w:hAnsi="Times New Roman" w:cs="Times New Roman"/>
                <w:color w:val="000000" w:themeColor="text1"/>
                <w:sz w:val="21"/>
                <w:u w:val="none"/>
                <w14:textFill>
                  <w14:solidFill>
                    <w14:schemeClr w14:val="tx1"/>
                  </w14:solidFill>
                </w14:textFill>
              </w:rPr>
              <w:t>地表水</w:t>
            </w:r>
          </w:p>
        </w:tc>
        <w:tc>
          <w:tcPr>
            <w:tcW w:w="1693" w:type="pct"/>
            <w:vAlign w:val="center"/>
          </w:tcPr>
          <w:p>
            <w:pPr>
              <w:pStyle w:val="124"/>
              <w:autoSpaceDE/>
              <w:autoSpaceDN/>
              <w:adjustRightInd w:val="0"/>
              <w:snapToGrid w:val="0"/>
              <w:rPr>
                <w:rFonts w:ascii="Times New Roman" w:hAnsi="Times New Roman" w:cs="Times New Roman"/>
                <w:color w:val="000000" w:themeColor="text1"/>
                <w:sz w:val="21"/>
                <w:u w:val="none"/>
                <w14:textFill>
                  <w14:solidFill>
                    <w14:schemeClr w14:val="tx1"/>
                  </w14:solidFill>
                </w14:textFill>
              </w:rPr>
            </w:pPr>
            <w:r>
              <w:rPr>
                <w:rFonts w:ascii="Times New Roman" w:hAnsi="Times New Roman" w:cs="Times New Roman"/>
                <w:color w:val="000000" w:themeColor="text1"/>
                <w:sz w:val="21"/>
                <w:u w:val="none"/>
                <w14:textFill>
                  <w14:solidFill>
                    <w14:schemeClr w14:val="tx1"/>
                  </w14:solidFill>
                </w14:textFill>
              </w:rPr>
              <w:t>pH</w:t>
            </w:r>
            <w:r>
              <w:rPr>
                <w:rFonts w:ascii="Times New Roman" w:hAnsi="Times New Roman" w:cs="Times New Roman"/>
                <w:color w:val="000000" w:themeColor="text1"/>
                <w:spacing w:val="-36"/>
                <w:sz w:val="21"/>
                <w:u w:val="none"/>
                <w14:textFill>
                  <w14:solidFill>
                    <w14:schemeClr w14:val="tx1"/>
                  </w14:solidFill>
                </w14:textFill>
              </w:rPr>
              <w:t>、</w:t>
            </w:r>
            <w:r>
              <w:rPr>
                <w:rFonts w:ascii="Times New Roman" w:hAnsi="Times New Roman" w:cs="Times New Roman"/>
                <w:color w:val="000000" w:themeColor="text1"/>
                <w:sz w:val="21"/>
                <w:u w:val="none"/>
                <w14:textFill>
                  <w14:solidFill>
                    <w14:schemeClr w14:val="tx1"/>
                  </w14:solidFill>
                </w14:textFill>
              </w:rPr>
              <w:t>COD</w:t>
            </w:r>
            <w:r>
              <w:rPr>
                <w:rFonts w:ascii="Times New Roman" w:hAnsi="Times New Roman" w:cs="Times New Roman"/>
                <w:color w:val="000000" w:themeColor="text1"/>
                <w:spacing w:val="-36"/>
                <w:sz w:val="21"/>
                <w:u w:val="none"/>
                <w14:textFill>
                  <w14:solidFill>
                    <w14:schemeClr w14:val="tx1"/>
                  </w14:solidFill>
                </w14:textFill>
              </w:rPr>
              <w:t>、</w:t>
            </w:r>
            <w:r>
              <w:rPr>
                <w:rFonts w:ascii="Times New Roman" w:hAnsi="Times New Roman" w:cs="Times New Roman"/>
                <w:color w:val="000000" w:themeColor="text1"/>
                <w:sz w:val="21"/>
                <w:u w:val="none"/>
                <w14:textFill>
                  <w14:solidFill>
                    <w14:schemeClr w14:val="tx1"/>
                  </w14:solidFill>
                </w14:textFill>
              </w:rPr>
              <w:t>NH</w:t>
            </w:r>
            <w:r>
              <w:rPr>
                <w:rFonts w:ascii="Times New Roman" w:hAnsi="Times New Roman" w:cs="Times New Roman"/>
                <w:color w:val="000000" w:themeColor="text1"/>
                <w:sz w:val="21"/>
                <w:u w:val="none"/>
                <w:vertAlign w:val="subscript"/>
                <w14:textFill>
                  <w14:solidFill>
                    <w14:schemeClr w14:val="tx1"/>
                  </w14:solidFill>
                </w14:textFill>
              </w:rPr>
              <w:t>3</w:t>
            </w:r>
            <w:r>
              <w:rPr>
                <w:rFonts w:ascii="Times New Roman" w:hAnsi="Times New Roman" w:cs="Times New Roman"/>
                <w:color w:val="000000" w:themeColor="text1"/>
                <w:sz w:val="21"/>
                <w:u w:val="none"/>
                <w14:textFill>
                  <w14:solidFill>
                    <w14:schemeClr w14:val="tx1"/>
                  </w14:solidFill>
                </w14:textFill>
              </w:rPr>
              <w:t>-N、TP、TN、</w:t>
            </w:r>
            <w:r>
              <w:rPr>
                <w:rFonts w:hint="eastAsia" w:ascii="Times New Roman" w:hAnsi="Times New Roman" w:cs="Times New Roman"/>
                <w:color w:val="000000" w:themeColor="text1"/>
                <w:sz w:val="21"/>
                <w:u w:val="none"/>
                <w14:textFill>
                  <w14:solidFill>
                    <w14:schemeClr w14:val="tx1"/>
                  </w14:solidFill>
                </w14:textFill>
              </w:rPr>
              <w:t>DO、高锰酸钾指数</w:t>
            </w:r>
          </w:p>
        </w:tc>
        <w:tc>
          <w:tcPr>
            <w:tcW w:w="1531" w:type="pct"/>
            <w:vAlign w:val="center"/>
          </w:tcPr>
          <w:p>
            <w:pPr>
              <w:pStyle w:val="124"/>
              <w:autoSpaceDE/>
              <w:autoSpaceDN/>
              <w:adjustRightInd w:val="0"/>
              <w:snapToGrid w:val="0"/>
              <w:rPr>
                <w:rFonts w:ascii="Times New Roman" w:hAnsi="Times New Roman" w:cs="Times New Roman"/>
                <w:color w:val="000000" w:themeColor="text1"/>
                <w:sz w:val="21"/>
                <w:u w:val="none"/>
                <w14:textFill>
                  <w14:solidFill>
                    <w14:schemeClr w14:val="tx1"/>
                  </w14:solidFill>
                </w14:textFill>
              </w:rPr>
            </w:pPr>
            <w:r>
              <w:rPr>
                <w:rFonts w:ascii="Times New Roman" w:hAnsi="Times New Roman" w:cs="Times New Roman"/>
                <w:color w:val="000000" w:themeColor="text1"/>
                <w:sz w:val="21"/>
                <w:u w:val="none"/>
                <w14:textFill>
                  <w14:solidFill>
                    <w14:schemeClr w14:val="tx1"/>
                  </w14:solidFill>
                </w14:textFill>
              </w:rPr>
              <w:t>pH、SS、石油类、COD、氨氮</w:t>
            </w:r>
          </w:p>
        </w:tc>
        <w:tc>
          <w:tcPr>
            <w:tcW w:w="1378" w:type="pct"/>
            <w:vAlign w:val="center"/>
          </w:tcPr>
          <w:p>
            <w:pPr>
              <w:pStyle w:val="124"/>
              <w:autoSpaceDE/>
              <w:autoSpaceDN/>
              <w:adjustRightInd w:val="0"/>
              <w:snapToGrid w:val="0"/>
              <w:rPr>
                <w:rFonts w:ascii="Times New Roman" w:hAnsi="Times New Roman" w:cs="Times New Roman"/>
                <w:color w:val="000000" w:themeColor="text1"/>
                <w:sz w:val="21"/>
                <w:u w:val="none"/>
                <w14:textFill>
                  <w14:solidFill>
                    <w14:schemeClr w14:val="tx1"/>
                  </w14:solidFill>
                </w14:textFill>
              </w:rPr>
            </w:pPr>
            <w:r>
              <w:rPr>
                <w:rFonts w:ascii="Times New Roman" w:hAnsi="Times New Roman" w:cs="Times New Roman"/>
                <w:color w:val="000000" w:themeColor="text1"/>
                <w:sz w:val="21"/>
                <w:u w:val="none"/>
                <w:lang w:val="en-US"/>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8" w:type="pct"/>
            <w:vAlign w:val="center"/>
          </w:tcPr>
          <w:p>
            <w:pPr>
              <w:pStyle w:val="124"/>
              <w:autoSpaceDE/>
              <w:autoSpaceDN/>
              <w:adjustRightInd w:val="0"/>
              <w:snapToGrid w:val="0"/>
              <w:rPr>
                <w:rFonts w:hint="eastAsia" w:ascii="Times New Roman" w:hAnsi="Times New Roman" w:eastAsia="宋体" w:cs="Times New Roman"/>
                <w:color w:val="000000" w:themeColor="text1"/>
                <w:sz w:val="21"/>
                <w:u w:val="none"/>
                <w:lang w:eastAsia="zh-CN"/>
                <w14:textFill>
                  <w14:solidFill>
                    <w14:schemeClr w14:val="tx1"/>
                  </w14:solidFill>
                </w14:textFill>
              </w:rPr>
            </w:pPr>
            <w:r>
              <w:rPr>
                <w:rFonts w:hint="eastAsia" w:ascii="Times New Roman" w:hAnsi="Times New Roman" w:cs="Times New Roman"/>
                <w:color w:val="000000" w:themeColor="text1"/>
                <w:sz w:val="21"/>
                <w:u w:val="none"/>
                <w:lang w:eastAsia="zh-CN"/>
                <w14:textFill>
                  <w14:solidFill>
                    <w14:schemeClr w14:val="tx1"/>
                  </w14:solidFill>
                </w14:textFill>
              </w:rPr>
              <w:t>地下水</w:t>
            </w:r>
          </w:p>
        </w:tc>
        <w:tc>
          <w:tcPr>
            <w:tcW w:w="1693" w:type="pct"/>
            <w:vAlign w:val="center"/>
          </w:tcPr>
          <w:p>
            <w:pPr>
              <w:pStyle w:val="124"/>
              <w:autoSpaceDE/>
              <w:autoSpaceDN/>
              <w:adjustRightInd w:val="0"/>
              <w:snapToGrid w:val="0"/>
              <w:rPr>
                <w:rFonts w:ascii="Times New Roman" w:hAnsi="Times New Roman" w:cs="Times New Roman"/>
                <w:color w:val="000000" w:themeColor="text1"/>
                <w:sz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pH、耗氧量（COD</w:t>
            </w:r>
            <w:r>
              <w:rPr>
                <w:rFonts w:hint="default" w:ascii="Times New Roman" w:hAnsi="Times New Roman" w:eastAsia="宋体" w:cs="Times New Roman"/>
                <w:color w:val="000000" w:themeColor="text1"/>
                <w:sz w:val="21"/>
                <w:szCs w:val="21"/>
                <w:u w:val="none"/>
                <w:vertAlign w:val="subscript"/>
                <w:lang w:val="en-US" w:eastAsia="zh-CN"/>
                <w14:textFill>
                  <w14:solidFill>
                    <w14:schemeClr w14:val="tx1"/>
                  </w14:solidFill>
                </w14:textFill>
              </w:rPr>
              <w:t>Mn</w:t>
            </w: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法，以O</w:t>
            </w:r>
            <w:r>
              <w:rPr>
                <w:rFonts w:hint="default" w:ascii="Times New Roman" w:hAnsi="Times New Roman" w:eastAsia="宋体" w:cs="Times New Roman"/>
                <w:color w:val="000000" w:themeColor="text1"/>
                <w:sz w:val="21"/>
                <w:szCs w:val="21"/>
                <w:u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法计）、总硬度、硫酸盐、氨氮、硝酸盐、亚硝酸盐、氟化物、氯化物、</w:t>
            </w:r>
            <w:r>
              <w:rPr>
                <w:rFonts w:hint="default" w:ascii="Times New Roman" w:hAnsi="Times New Roman" w:eastAsia="宋体" w:cs="Times New Roman"/>
                <w:color w:val="000000" w:themeColor="text1"/>
                <w:sz w:val="21"/>
                <w:szCs w:val="21"/>
                <w:u w:val="none"/>
                <w14:textFill>
                  <w14:solidFill>
                    <w14:schemeClr w14:val="tx1"/>
                  </w14:solidFill>
                </w14:textFill>
              </w:rPr>
              <w:t>氰化物</w:t>
            </w: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挥发酚、总大肠菌群、溶解性总固体</w:t>
            </w:r>
            <w:r>
              <w:rPr>
                <w:rFonts w:hint="default" w:ascii="Times New Roman" w:hAnsi="Times New Roman" w:cs="Times New Roman"/>
                <w:color w:val="000000" w:themeColor="text1"/>
                <w:sz w:val="21"/>
                <w:szCs w:val="21"/>
                <w:u w:val="none"/>
                <w:lang w:val="en-US" w:eastAsia="zh-CN"/>
                <w14:textFill>
                  <w14:solidFill>
                    <w14:schemeClr w14:val="tx1"/>
                  </w14:solidFill>
                </w14:textFill>
              </w:rPr>
              <w:t>、</w:t>
            </w:r>
            <w:r>
              <w:rPr>
                <w:rFonts w:hint="default" w:ascii="Times New Roman" w:hAnsi="Times New Roman" w:cs="Times New Roman"/>
                <w:color w:val="000000" w:themeColor="text1"/>
                <w:position w:val="3"/>
                <w:sz w:val="21"/>
                <w:szCs w:val="21"/>
                <w:u w:val="none"/>
                <w:lang w:bidi="ar"/>
                <w14:textFill>
                  <w14:solidFill>
                    <w14:schemeClr w14:val="tx1"/>
                  </w14:solidFill>
                </w14:textFill>
              </w:rPr>
              <w:t>镉、汞、砷、铜、铅、铬</w:t>
            </w:r>
            <w:r>
              <w:rPr>
                <w:rFonts w:hint="default" w:ascii="Times New Roman" w:hAnsi="Times New Roman" w:cs="Times New Roman"/>
                <w:color w:val="000000" w:themeColor="text1"/>
                <w:position w:val="3"/>
                <w:sz w:val="21"/>
                <w:szCs w:val="21"/>
                <w:u w:val="none"/>
                <w:lang w:eastAsia="zh-CN" w:bidi="ar"/>
                <w14:textFill>
                  <w14:solidFill>
                    <w14:schemeClr w14:val="tx1"/>
                  </w14:solidFill>
                </w14:textFill>
              </w:rPr>
              <w:t>（六价）</w:t>
            </w:r>
            <w:r>
              <w:rPr>
                <w:rFonts w:hint="default" w:ascii="Times New Roman" w:hAnsi="Times New Roman" w:cs="Times New Roman"/>
                <w:color w:val="000000" w:themeColor="text1"/>
                <w:position w:val="3"/>
                <w:sz w:val="21"/>
                <w:szCs w:val="21"/>
                <w:u w:val="none"/>
                <w:lang w:bidi="ar"/>
                <w14:textFill>
                  <w14:solidFill>
                    <w14:schemeClr w14:val="tx1"/>
                  </w14:solidFill>
                </w14:textFill>
              </w:rPr>
              <w:t>、锌、镍</w:t>
            </w:r>
          </w:p>
        </w:tc>
        <w:tc>
          <w:tcPr>
            <w:tcW w:w="1531" w:type="pct"/>
            <w:vAlign w:val="center"/>
          </w:tcPr>
          <w:p>
            <w:pPr>
              <w:pStyle w:val="124"/>
              <w:autoSpaceDE/>
              <w:autoSpaceDN/>
              <w:adjustRightInd w:val="0"/>
              <w:snapToGrid w:val="0"/>
              <w:rPr>
                <w:rFonts w:ascii="Times New Roman" w:hAnsi="Times New Roman" w:cs="Times New Roman"/>
                <w:color w:val="000000" w:themeColor="text1"/>
                <w:sz w:val="21"/>
                <w:u w:val="none"/>
                <w14:textFill>
                  <w14:solidFill>
                    <w14:schemeClr w14:val="tx1"/>
                  </w14:solidFill>
                </w14:textFill>
              </w:rPr>
            </w:pPr>
            <w:r>
              <w:rPr>
                <w:rFonts w:ascii="Times New Roman" w:hAnsi="Times New Roman" w:cs="Times New Roman"/>
                <w:color w:val="000000" w:themeColor="text1"/>
                <w:sz w:val="21"/>
                <w:u w:val="none"/>
                <w:lang w:val="en-US"/>
                <w14:textFill>
                  <w14:solidFill>
                    <w14:schemeClr w14:val="tx1"/>
                  </w14:solidFill>
                </w14:textFill>
              </w:rPr>
              <w:t>/</w:t>
            </w:r>
          </w:p>
        </w:tc>
        <w:tc>
          <w:tcPr>
            <w:tcW w:w="1378" w:type="pct"/>
            <w:vAlign w:val="center"/>
          </w:tcPr>
          <w:p>
            <w:pPr>
              <w:pStyle w:val="124"/>
              <w:autoSpaceDE/>
              <w:autoSpaceDN/>
              <w:adjustRightInd w:val="0"/>
              <w:snapToGrid w:val="0"/>
              <w:rPr>
                <w:rFonts w:ascii="Times New Roman" w:hAnsi="Times New Roman" w:cs="Times New Roman"/>
                <w:color w:val="000000" w:themeColor="text1"/>
                <w:sz w:val="21"/>
                <w:u w:val="none"/>
                <w:lang w:val="en-US"/>
                <w14:textFill>
                  <w14:solidFill>
                    <w14:schemeClr w14:val="tx1"/>
                  </w14:solidFill>
                </w14:textFill>
              </w:rPr>
            </w:pPr>
            <w:r>
              <w:rPr>
                <w:rFonts w:ascii="Times New Roman" w:hAnsi="Times New Roman" w:cs="Times New Roman"/>
                <w:color w:val="000000" w:themeColor="text1"/>
                <w:sz w:val="21"/>
                <w:u w:val="none"/>
                <w:lang w:val="en-US"/>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8" w:type="pct"/>
            <w:vAlign w:val="center"/>
          </w:tcPr>
          <w:p>
            <w:pPr>
              <w:pStyle w:val="124"/>
              <w:autoSpaceDE/>
              <w:autoSpaceDN/>
              <w:adjustRightInd w:val="0"/>
              <w:snapToGrid w:val="0"/>
              <w:rPr>
                <w:rFonts w:ascii="Times New Roman" w:hAnsi="Times New Roman" w:cs="Times New Roman"/>
                <w:color w:val="000000" w:themeColor="text1"/>
                <w:sz w:val="21"/>
                <w:u w:val="none"/>
                <w14:textFill>
                  <w14:solidFill>
                    <w14:schemeClr w14:val="tx1"/>
                  </w14:solidFill>
                </w14:textFill>
              </w:rPr>
            </w:pPr>
            <w:r>
              <w:rPr>
                <w:rFonts w:ascii="Times New Roman" w:hAnsi="Times New Roman" w:cs="Times New Roman"/>
                <w:color w:val="000000" w:themeColor="text1"/>
                <w:sz w:val="21"/>
                <w:u w:val="none"/>
                <w14:textFill>
                  <w14:solidFill>
                    <w14:schemeClr w14:val="tx1"/>
                  </w14:solidFill>
                </w14:textFill>
              </w:rPr>
              <w:t>声环境</w:t>
            </w:r>
          </w:p>
        </w:tc>
        <w:tc>
          <w:tcPr>
            <w:tcW w:w="1693" w:type="pct"/>
            <w:vAlign w:val="center"/>
          </w:tcPr>
          <w:p>
            <w:pPr>
              <w:pStyle w:val="124"/>
              <w:autoSpaceDE/>
              <w:autoSpaceDN/>
              <w:adjustRightInd w:val="0"/>
              <w:snapToGrid w:val="0"/>
              <w:rPr>
                <w:rFonts w:ascii="Times New Roman" w:hAnsi="Times New Roman" w:cs="Times New Roman"/>
                <w:color w:val="000000" w:themeColor="text1"/>
                <w:sz w:val="21"/>
                <w:u w:val="none"/>
                <w14:textFill>
                  <w14:solidFill>
                    <w14:schemeClr w14:val="tx1"/>
                  </w14:solidFill>
                </w14:textFill>
              </w:rPr>
            </w:pPr>
            <w:r>
              <w:rPr>
                <w:rFonts w:ascii="Times New Roman" w:hAnsi="Times New Roman" w:cs="Times New Roman"/>
                <w:color w:val="000000" w:themeColor="text1"/>
                <w:sz w:val="21"/>
                <w:u w:val="none"/>
                <w14:textFill>
                  <w14:solidFill>
                    <w14:schemeClr w14:val="tx1"/>
                  </w14:solidFill>
                </w14:textFill>
              </w:rPr>
              <w:t>等效连续 Leq（A）</w:t>
            </w:r>
          </w:p>
        </w:tc>
        <w:tc>
          <w:tcPr>
            <w:tcW w:w="1531" w:type="pct"/>
            <w:vAlign w:val="center"/>
          </w:tcPr>
          <w:p>
            <w:pPr>
              <w:pStyle w:val="124"/>
              <w:autoSpaceDE/>
              <w:autoSpaceDN/>
              <w:adjustRightInd w:val="0"/>
              <w:snapToGrid w:val="0"/>
              <w:rPr>
                <w:rFonts w:ascii="Times New Roman" w:hAnsi="Times New Roman" w:cs="Times New Roman"/>
                <w:color w:val="000000" w:themeColor="text1"/>
                <w:sz w:val="21"/>
                <w:u w:val="none"/>
                <w14:textFill>
                  <w14:solidFill>
                    <w14:schemeClr w14:val="tx1"/>
                  </w14:solidFill>
                </w14:textFill>
              </w:rPr>
            </w:pPr>
            <w:r>
              <w:rPr>
                <w:rFonts w:ascii="Times New Roman" w:hAnsi="Times New Roman" w:cs="Times New Roman"/>
                <w:color w:val="000000" w:themeColor="text1"/>
                <w:sz w:val="21"/>
                <w:u w:val="none"/>
                <w14:textFill>
                  <w14:solidFill>
                    <w14:schemeClr w14:val="tx1"/>
                  </w14:solidFill>
                </w14:textFill>
              </w:rPr>
              <w:t>等效连续 Leq（A）</w:t>
            </w:r>
          </w:p>
        </w:tc>
        <w:tc>
          <w:tcPr>
            <w:tcW w:w="1378" w:type="pct"/>
            <w:vAlign w:val="center"/>
          </w:tcPr>
          <w:p>
            <w:pPr>
              <w:pStyle w:val="124"/>
              <w:autoSpaceDE/>
              <w:autoSpaceDN/>
              <w:adjustRightInd w:val="0"/>
              <w:snapToGrid w:val="0"/>
              <w:rPr>
                <w:rFonts w:ascii="Times New Roman" w:hAnsi="Times New Roman" w:cs="Times New Roman"/>
                <w:color w:val="000000" w:themeColor="text1"/>
                <w:sz w:val="21"/>
                <w:u w:val="none"/>
                <w14:textFill>
                  <w14:solidFill>
                    <w14:schemeClr w14:val="tx1"/>
                  </w14:solidFill>
                </w14:textFill>
              </w:rPr>
            </w:pPr>
            <w:r>
              <w:rPr>
                <w:rFonts w:ascii="Times New Roman" w:hAnsi="Times New Roman" w:cs="Times New Roman"/>
                <w:color w:val="000000" w:themeColor="text1"/>
                <w:sz w:val="21"/>
                <w:u w:val="none"/>
                <w:lang w:val="en-US"/>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8" w:type="pct"/>
            <w:vAlign w:val="center"/>
          </w:tcPr>
          <w:p>
            <w:pPr>
              <w:pStyle w:val="124"/>
              <w:autoSpaceDE/>
              <w:autoSpaceDN/>
              <w:adjustRightInd w:val="0"/>
              <w:snapToGrid w:val="0"/>
              <w:rPr>
                <w:rFonts w:ascii="Times New Roman" w:hAnsi="Times New Roman" w:cs="Times New Roman"/>
                <w:color w:val="000000" w:themeColor="text1"/>
                <w:sz w:val="21"/>
                <w:u w:val="none"/>
                <w14:textFill>
                  <w14:solidFill>
                    <w14:schemeClr w14:val="tx1"/>
                  </w14:solidFill>
                </w14:textFill>
              </w:rPr>
            </w:pPr>
            <w:r>
              <w:rPr>
                <w:rFonts w:ascii="Times New Roman" w:hAnsi="Times New Roman" w:cs="Times New Roman"/>
                <w:color w:val="000000" w:themeColor="text1"/>
                <w:sz w:val="21"/>
                <w:u w:val="none"/>
                <w14:textFill>
                  <w14:solidFill>
                    <w14:schemeClr w14:val="tx1"/>
                  </w14:solidFill>
                </w14:textFill>
              </w:rPr>
              <w:t>固体废物</w:t>
            </w:r>
          </w:p>
        </w:tc>
        <w:tc>
          <w:tcPr>
            <w:tcW w:w="1693" w:type="pct"/>
            <w:vAlign w:val="center"/>
          </w:tcPr>
          <w:p>
            <w:pPr>
              <w:pStyle w:val="124"/>
              <w:autoSpaceDE/>
              <w:autoSpaceDN/>
              <w:adjustRightInd w:val="0"/>
              <w:snapToGrid w:val="0"/>
              <w:rPr>
                <w:rFonts w:ascii="Times New Roman" w:hAnsi="Times New Roman" w:cs="Times New Roman"/>
                <w:color w:val="000000" w:themeColor="text1"/>
                <w:sz w:val="21"/>
                <w:u w:val="none"/>
                <w14:textFill>
                  <w14:solidFill>
                    <w14:schemeClr w14:val="tx1"/>
                  </w14:solidFill>
                </w14:textFill>
              </w:rPr>
            </w:pPr>
            <w:r>
              <w:rPr>
                <w:rFonts w:ascii="Times New Roman" w:hAnsi="Times New Roman" w:cs="Times New Roman"/>
                <w:color w:val="000000" w:themeColor="text1"/>
                <w:sz w:val="21"/>
                <w:u w:val="none"/>
                <w14:textFill>
                  <w14:solidFill>
                    <w14:schemeClr w14:val="tx1"/>
                  </w14:solidFill>
                </w14:textFill>
              </w:rPr>
              <w:t>/</w:t>
            </w:r>
          </w:p>
        </w:tc>
        <w:tc>
          <w:tcPr>
            <w:tcW w:w="1531" w:type="pct"/>
            <w:vAlign w:val="center"/>
          </w:tcPr>
          <w:p>
            <w:pPr>
              <w:pStyle w:val="124"/>
              <w:autoSpaceDE/>
              <w:autoSpaceDN/>
              <w:adjustRightInd w:val="0"/>
              <w:snapToGrid w:val="0"/>
              <w:rPr>
                <w:rFonts w:hint="eastAsia" w:ascii="Times New Roman" w:hAnsi="Times New Roman" w:eastAsia="宋体" w:cs="Times New Roman"/>
                <w:color w:val="000000" w:themeColor="text1"/>
                <w:sz w:val="21"/>
                <w:u w:val="none"/>
                <w:lang w:eastAsia="zh-CN"/>
                <w14:textFill>
                  <w14:solidFill>
                    <w14:schemeClr w14:val="tx1"/>
                  </w14:solidFill>
                </w14:textFill>
              </w:rPr>
            </w:pPr>
            <w:r>
              <w:rPr>
                <w:rFonts w:ascii="Times New Roman" w:hAnsi="Times New Roman" w:cs="Times New Roman"/>
                <w:color w:val="000000" w:themeColor="text1"/>
                <w:sz w:val="21"/>
                <w:u w:val="none"/>
                <w14:textFill>
                  <w14:solidFill>
                    <w14:schemeClr w14:val="tx1"/>
                  </w14:solidFill>
                </w14:textFill>
              </w:rPr>
              <w:t>清表固废、淤泥、建筑垃圾、施工人员生活垃圾及废包装材料</w:t>
            </w:r>
            <w:r>
              <w:rPr>
                <w:rFonts w:hint="eastAsia" w:ascii="Times New Roman" w:hAnsi="Times New Roman" w:cs="Times New Roman"/>
                <w:color w:val="000000" w:themeColor="text1"/>
                <w:sz w:val="21"/>
                <w:u w:val="none"/>
                <w:lang w:eastAsia="zh-CN"/>
                <w14:textFill>
                  <w14:solidFill>
                    <w14:schemeClr w14:val="tx1"/>
                  </w14:solidFill>
                </w14:textFill>
              </w:rPr>
              <w:t>、土石方</w:t>
            </w:r>
          </w:p>
        </w:tc>
        <w:tc>
          <w:tcPr>
            <w:tcW w:w="1378" w:type="pct"/>
            <w:vAlign w:val="center"/>
          </w:tcPr>
          <w:p>
            <w:pPr>
              <w:pStyle w:val="124"/>
              <w:autoSpaceDE/>
              <w:autoSpaceDN/>
              <w:adjustRightInd w:val="0"/>
              <w:snapToGrid w:val="0"/>
              <w:rPr>
                <w:rFonts w:ascii="Times New Roman" w:hAnsi="Times New Roman" w:cs="Times New Roman"/>
                <w:color w:val="000000" w:themeColor="text1"/>
                <w:sz w:val="21"/>
                <w:u w:val="none"/>
                <w14:textFill>
                  <w14:solidFill>
                    <w14:schemeClr w14:val="tx1"/>
                  </w14:solidFill>
                </w14:textFill>
              </w:rPr>
            </w:pPr>
            <w:r>
              <w:rPr>
                <w:rFonts w:ascii="Times New Roman" w:hAnsi="Times New Roman" w:cs="Times New Roman"/>
                <w:color w:val="000000" w:themeColor="text1"/>
                <w:sz w:val="21"/>
                <w:u w:val="none"/>
                <w:lang w:val="en-US"/>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8" w:type="pct"/>
            <w:vAlign w:val="center"/>
          </w:tcPr>
          <w:p>
            <w:pPr>
              <w:pStyle w:val="124"/>
              <w:autoSpaceDE/>
              <w:autoSpaceDN/>
              <w:adjustRightInd w:val="0"/>
              <w:snapToGrid w:val="0"/>
              <w:rPr>
                <w:rFonts w:ascii="Times New Roman" w:hAnsi="Times New Roman" w:cs="Times New Roman"/>
                <w:color w:val="000000" w:themeColor="text1"/>
                <w:sz w:val="21"/>
                <w:u w:val="none"/>
                <w14:textFill>
                  <w14:solidFill>
                    <w14:schemeClr w14:val="tx1"/>
                  </w14:solidFill>
                </w14:textFill>
              </w:rPr>
            </w:pPr>
            <w:r>
              <w:rPr>
                <w:rFonts w:ascii="Times New Roman" w:hAnsi="Times New Roman" w:cs="Times New Roman"/>
                <w:color w:val="000000" w:themeColor="text1"/>
                <w:sz w:val="21"/>
                <w:u w:val="none"/>
                <w14:textFill>
                  <w14:solidFill>
                    <w14:schemeClr w14:val="tx1"/>
                  </w14:solidFill>
                </w14:textFill>
              </w:rPr>
              <w:t>生态环境</w:t>
            </w:r>
          </w:p>
        </w:tc>
        <w:tc>
          <w:tcPr>
            <w:tcW w:w="1693" w:type="pct"/>
            <w:vAlign w:val="center"/>
          </w:tcPr>
          <w:p>
            <w:pPr>
              <w:pStyle w:val="124"/>
              <w:autoSpaceDE/>
              <w:autoSpaceDN/>
              <w:adjustRightInd w:val="0"/>
              <w:snapToGrid w:val="0"/>
              <w:rPr>
                <w:rFonts w:hint="eastAsia" w:ascii="Times New Roman" w:hAnsi="Times New Roman" w:eastAsia="宋体" w:cs="Times New Roman"/>
                <w:color w:val="000000" w:themeColor="text1"/>
                <w:sz w:val="21"/>
                <w:u w:val="none"/>
                <w:lang w:eastAsia="zh-CN"/>
                <w14:textFill>
                  <w14:solidFill>
                    <w14:schemeClr w14:val="tx1"/>
                  </w14:solidFill>
                </w14:textFill>
              </w:rPr>
            </w:pPr>
            <w:r>
              <w:rPr>
                <w:rFonts w:hint="eastAsia" w:ascii="Times New Roman" w:hAnsi="Times New Roman" w:cs="Times New Roman"/>
                <w:color w:val="000000" w:themeColor="text1"/>
                <w:sz w:val="21"/>
                <w:u w:val="none"/>
                <w:lang w:eastAsia="zh-CN"/>
                <w14:textFill>
                  <w14:solidFill>
                    <w14:schemeClr w14:val="tx1"/>
                  </w14:solidFill>
                </w14:textFill>
              </w:rPr>
              <w:t>物种分布范围、种群数量、种群结构、行为等；生境生境面积、质量、连通性等；生物群落物种组成、群落结构等；生态系统植被覆盖度、生产力、生物量、生态系统功能等；生物多样性；物种丰富度、均匀度、优势度等</w:t>
            </w:r>
          </w:p>
        </w:tc>
        <w:tc>
          <w:tcPr>
            <w:tcW w:w="1531" w:type="pct"/>
            <w:vAlign w:val="center"/>
          </w:tcPr>
          <w:p>
            <w:pPr>
              <w:pStyle w:val="124"/>
              <w:autoSpaceDE/>
              <w:autoSpaceDN/>
              <w:adjustRightInd w:val="0"/>
              <w:snapToGrid w:val="0"/>
              <w:rPr>
                <w:rFonts w:ascii="Times New Roman" w:hAnsi="Times New Roman" w:cs="Times New Roman"/>
                <w:color w:val="000000" w:themeColor="text1"/>
                <w:sz w:val="21"/>
                <w:u w:val="none"/>
                <w14:textFill>
                  <w14:solidFill>
                    <w14:schemeClr w14:val="tx1"/>
                  </w14:solidFill>
                </w14:textFill>
              </w:rPr>
            </w:pPr>
            <w:r>
              <w:rPr>
                <w:rFonts w:hint="eastAsia" w:ascii="Times New Roman" w:hAnsi="Times New Roman" w:cs="Times New Roman"/>
                <w:color w:val="000000" w:themeColor="text1"/>
                <w:sz w:val="21"/>
                <w:u w:val="none"/>
                <w:lang w:eastAsia="zh-CN"/>
                <w14:textFill>
                  <w14:solidFill>
                    <w14:schemeClr w14:val="tx1"/>
                  </w14:solidFill>
                </w14:textFill>
              </w:rPr>
              <w:t>物种分布范围、种群数量、种群结构、行为等；生境生境面积、质量、连通性等；生物群落物种组成、群落结构等；生态系统植被覆盖度、生产力、生物量、生态系统功能等；生物多样性；物种丰富度、均匀度、优势度等</w:t>
            </w:r>
          </w:p>
        </w:tc>
        <w:tc>
          <w:tcPr>
            <w:tcW w:w="1378" w:type="pct"/>
            <w:vAlign w:val="center"/>
          </w:tcPr>
          <w:p>
            <w:pPr>
              <w:pStyle w:val="124"/>
              <w:autoSpaceDE/>
              <w:autoSpaceDN/>
              <w:adjustRightInd w:val="0"/>
              <w:snapToGrid w:val="0"/>
              <w:rPr>
                <w:rFonts w:ascii="Times New Roman" w:hAnsi="Times New Roman" w:cs="Times New Roman"/>
                <w:color w:val="000000" w:themeColor="text1"/>
                <w:sz w:val="21"/>
                <w:u w:val="none"/>
                <w14:textFill>
                  <w14:solidFill>
                    <w14:schemeClr w14:val="tx1"/>
                  </w14:solidFill>
                </w14:textFill>
              </w:rPr>
            </w:pPr>
            <w:r>
              <w:rPr>
                <w:rFonts w:hint="eastAsia" w:ascii="Times New Roman" w:hAnsi="Times New Roman" w:cs="Times New Roman"/>
                <w:color w:val="000000" w:themeColor="text1"/>
                <w:sz w:val="21"/>
                <w:u w:val="none"/>
                <w:lang w:eastAsia="zh-CN"/>
                <w14:textFill>
                  <w14:solidFill>
                    <w14:schemeClr w14:val="tx1"/>
                  </w14:solidFill>
                </w14:textFill>
              </w:rPr>
              <w:t>物种分布范围、种群数量、种群结构、行为等；生境生境面积、质量、连通性等；生物群落物种组成、群落结构等；生态系统植被覆盖度、生产力、生物量、生态系统功能等；生物多样性；物种丰富度、均匀度、优势度等</w:t>
            </w:r>
          </w:p>
        </w:tc>
      </w:tr>
    </w:tbl>
    <w:p>
      <w:pPr>
        <w:pStyle w:val="123"/>
        <w:tabs>
          <w:tab w:val="left" w:pos="692"/>
        </w:tabs>
        <w:autoSpaceDE/>
        <w:autoSpaceDN/>
        <w:adjustRightInd w:val="0"/>
        <w:snapToGrid w:val="0"/>
        <w:spacing w:before="0" w:line="360" w:lineRule="auto"/>
        <w:ind w:left="0" w:firstLine="0"/>
        <w:jc w:val="both"/>
        <w:outlineLvl w:val="1"/>
        <w:rPr>
          <w:rFonts w:ascii="Times New Roman" w:hAnsi="Times New Roman" w:cs="Times New Roman"/>
          <w:b/>
          <w:sz w:val="30"/>
        </w:rPr>
      </w:pPr>
      <w:bookmarkStart w:id="96" w:name="_bookmark12"/>
      <w:bookmarkEnd w:id="96"/>
      <w:bookmarkStart w:id="97" w:name="_Toc2880"/>
      <w:r>
        <w:rPr>
          <w:rFonts w:ascii="Times New Roman" w:hAnsi="Times New Roman" w:cs="Times New Roman"/>
          <w:b/>
          <w:color w:val="000000" w:themeColor="text1"/>
          <w:sz w:val="30"/>
          <w:u w:val="none"/>
          <w14:textFill>
            <w14:solidFill>
              <w14:schemeClr w14:val="tx1"/>
            </w14:solidFill>
          </w14:textFill>
        </w:rPr>
        <w:t>2.4评价工作等级与评价范围</w:t>
      </w:r>
      <w:bookmarkEnd w:id="97"/>
    </w:p>
    <w:p>
      <w:pPr>
        <w:autoSpaceDE/>
        <w:autoSpaceDN/>
        <w:adjustRightInd w:val="0"/>
        <w:snapToGrid w:val="0"/>
        <w:spacing w:line="360" w:lineRule="auto"/>
        <w:jc w:val="both"/>
        <w:outlineLvl w:val="2"/>
        <w:rPr>
          <w:rFonts w:ascii="Times New Roman" w:hAnsi="Times New Roman" w:cs="Times New Roman"/>
          <w:b/>
          <w:sz w:val="28"/>
          <w:szCs w:val="24"/>
        </w:rPr>
      </w:pPr>
      <w:bookmarkStart w:id="98" w:name="_Toc82593087"/>
      <w:bookmarkStart w:id="99" w:name="_Toc69284554"/>
      <w:bookmarkStart w:id="100" w:name="_Toc66206028"/>
      <w:bookmarkStart w:id="101" w:name="_Toc5312"/>
      <w:r>
        <w:rPr>
          <w:rFonts w:ascii="Times New Roman" w:hAnsi="Times New Roman" w:cs="Times New Roman"/>
          <w:b/>
          <w:sz w:val="28"/>
          <w:szCs w:val="24"/>
        </w:rPr>
        <w:t>2.4.1评价工作等级</w:t>
      </w:r>
      <w:bookmarkEnd w:id="98"/>
      <w:bookmarkEnd w:id="99"/>
      <w:bookmarkEnd w:id="100"/>
      <w:bookmarkEnd w:id="101"/>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本工程评价工作等级根据项目污染物排放特征、周围环境敏感程度及《环境影响评价技术导则》中评价等级的原则确定。</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（1）环境空气</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本工程施工期大气环境影响主要是施工扬尘，施工机械和运输车辆排放的废气，以无组织排放为主，排放量不大，产污节点较为分散，涉及范围较广；项目营运期无大气污染源。按照《环境影响评价技术导则 大气环境》（HJ2.2-2018）的评价分级原则，本工程大气环境评价等级为三级，无需设置大气环境影响评价范围。</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u w:val="none"/>
        </w:rPr>
      </w:pPr>
      <w:r>
        <w:rPr>
          <w:rFonts w:ascii="Times New Roman" w:hAnsi="Times New Roman" w:cs="Times New Roman"/>
          <w:snapToGrid w:val="0"/>
          <w:u w:val="none"/>
        </w:rPr>
        <w:t>（2）地表水环境</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u w:val="none"/>
        </w:rPr>
      </w:pPr>
      <w:r>
        <w:rPr>
          <w:rFonts w:hint="eastAsia" w:ascii="Times New Roman" w:hAnsi="Times New Roman" w:cs="Times New Roman"/>
          <w:snapToGrid w:val="0"/>
          <w:u w:val="none"/>
        </w:rPr>
        <w:t>从水污染影响型项目考虑，本项目可能影响水体的污染主要为施工期机械含油清洗废水、施工场地污水等，施工期产生的废水量小，污染物种类简单、量少且分散于各个施工点，施工场地内施工废水经隔油沉淀处理后回用于施工用水，不外排，施工人员生活租用当地民宅，生活污水依托民宅已有设施处理后用作农肥。围堰基坑排水为偶尔产生，因此不作为地表水排放等级判定的依据。本项目施工期常规产生的污水经处理后不直接外排，运营期无废水产生，根据《环境影 响评价技术导则——地表水环境》（HJ2.3-2018）水污染影响型项目评价等级判定表（表1），本项目地表水环境影响评价等级为三级B</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u w:val="none"/>
        </w:rPr>
      </w:pPr>
      <w:r>
        <w:rPr>
          <w:rFonts w:hint="eastAsia" w:ascii="Times New Roman" w:hAnsi="Times New Roman" w:cs="Times New Roman"/>
          <w:snapToGrid w:val="0"/>
          <w:u w:val="none"/>
          <w:lang w:eastAsia="zh-CN"/>
        </w:rPr>
        <w:t>从</w:t>
      </w:r>
      <w:r>
        <w:rPr>
          <w:rFonts w:ascii="Times New Roman" w:hAnsi="Times New Roman" w:cs="Times New Roman"/>
          <w:snapToGrid w:val="0"/>
          <w:u w:val="none"/>
        </w:rPr>
        <w:t>水文要素影响型项目</w:t>
      </w:r>
      <w:r>
        <w:rPr>
          <w:rFonts w:hint="eastAsia" w:ascii="Times New Roman" w:hAnsi="Times New Roman" w:cs="Times New Roman"/>
          <w:snapToGrid w:val="0"/>
          <w:u w:val="none"/>
          <w:lang w:eastAsia="zh-CN"/>
        </w:rPr>
        <w:t>考虑</w:t>
      </w:r>
      <w:r>
        <w:rPr>
          <w:rFonts w:ascii="Times New Roman" w:hAnsi="Times New Roman" w:cs="Times New Roman"/>
          <w:snapToGrid w:val="0"/>
          <w:u w:val="none"/>
        </w:rPr>
        <w:t>，根据《环境影响评价技术导则 地表水环境》（HJ2.3-2018），应按水温、径流与受影响地表水域等三类水文要素的影响程度进行判定。工程主要建设内容为</w:t>
      </w:r>
      <w:r>
        <w:rPr>
          <w:rFonts w:hint="eastAsia" w:ascii="Times New Roman" w:hAnsi="Times New Roman" w:cs="Times New Roman"/>
          <w:snapToGrid w:val="0"/>
          <w:u w:val="none"/>
          <w:lang w:eastAsia="zh-CN"/>
        </w:rPr>
        <w:t>护岸工程、河道清淤疏浚、河坝工程及涵管工程</w:t>
      </w:r>
      <w:r>
        <w:rPr>
          <w:rFonts w:ascii="Times New Roman" w:hAnsi="Times New Roman" w:cs="Times New Roman"/>
          <w:snapToGrid w:val="0"/>
          <w:u w:val="none"/>
        </w:rPr>
        <w:t>，主要施工范围为</w:t>
      </w:r>
      <w:r>
        <w:rPr>
          <w:rFonts w:hint="eastAsia" w:ascii="Times New Roman" w:hAnsi="Times New Roman" w:cs="Times New Roman"/>
          <w:snapToGrid w:val="0"/>
          <w:u w:val="none"/>
          <w:lang w:eastAsia="zh-CN"/>
        </w:rPr>
        <w:t>祁水</w:t>
      </w:r>
      <w:r>
        <w:rPr>
          <w:rFonts w:ascii="Times New Roman" w:hAnsi="Times New Roman" w:cs="Times New Roman"/>
          <w:snapToGrid w:val="0"/>
          <w:u w:val="none"/>
        </w:rPr>
        <w:t>，主要影响类型体现为对地表水域的影响，因此主要通过A</w:t>
      </w:r>
      <w:r>
        <w:rPr>
          <w:rFonts w:ascii="Times New Roman" w:hAnsi="Times New Roman" w:cs="Times New Roman"/>
          <w:snapToGrid w:val="0"/>
          <w:u w:val="none"/>
          <w:vertAlign w:val="subscript"/>
        </w:rPr>
        <w:t>1</w:t>
      </w:r>
      <w:r>
        <w:rPr>
          <w:rFonts w:ascii="Times New Roman" w:hAnsi="Times New Roman" w:cs="Times New Roman"/>
          <w:snapToGrid w:val="0"/>
          <w:u w:val="none"/>
        </w:rPr>
        <w:t>、A</w:t>
      </w:r>
      <w:r>
        <w:rPr>
          <w:rFonts w:ascii="Times New Roman" w:hAnsi="Times New Roman" w:cs="Times New Roman"/>
          <w:snapToGrid w:val="0"/>
          <w:u w:val="none"/>
          <w:vertAlign w:val="subscript"/>
        </w:rPr>
        <w:t>2</w:t>
      </w:r>
      <w:r>
        <w:rPr>
          <w:rFonts w:ascii="Times New Roman" w:hAnsi="Times New Roman" w:cs="Times New Roman"/>
          <w:snapToGrid w:val="0"/>
          <w:u w:val="none"/>
        </w:rPr>
        <w:t>、R进行判定。</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000000" w:themeColor="text1"/>
          <w:u w:val="none"/>
          <w14:textFill>
            <w14:solidFill>
              <w14:schemeClr w14:val="tx1"/>
            </w14:solidFill>
          </w14:textFill>
        </w:rPr>
      </w:pPr>
      <w:r>
        <w:rPr>
          <w:rFonts w:hint="eastAsia" w:ascii="Times New Roman" w:hAnsi="Times New Roman" w:cs="Times New Roman"/>
          <w:snapToGrid w:val="0"/>
          <w:color w:val="000000" w:themeColor="text1"/>
          <w:u w:val="none"/>
          <w:lang w:eastAsia="zh-CN"/>
          <w14:textFill>
            <w14:solidFill>
              <w14:schemeClr w14:val="tx1"/>
            </w14:solidFill>
          </w14:textFill>
        </w:rPr>
        <w:t>项目河道治理长度为23.</w:t>
      </w:r>
      <w:r>
        <w:rPr>
          <w:rFonts w:hint="eastAsia" w:ascii="Times New Roman" w:hAnsi="Times New Roman" w:cs="Times New Roman"/>
          <w:snapToGrid w:val="0"/>
          <w:color w:val="000000" w:themeColor="text1"/>
          <w:u w:val="none"/>
          <w:lang w:val="en-US" w:eastAsia="zh-CN"/>
          <w14:textFill>
            <w14:solidFill>
              <w14:schemeClr w14:val="tx1"/>
            </w14:solidFill>
          </w14:textFill>
        </w:rPr>
        <w:t>9</w:t>
      </w:r>
      <w:r>
        <w:rPr>
          <w:rFonts w:hint="eastAsia" w:ascii="Times New Roman" w:hAnsi="Times New Roman" w:cs="Times New Roman"/>
          <w:snapToGrid w:val="0"/>
          <w:color w:val="000000" w:themeColor="text1"/>
          <w:u w:val="none"/>
          <w:lang w:eastAsia="zh-CN"/>
          <w14:textFill>
            <w14:solidFill>
              <w14:schemeClr w14:val="tx1"/>
            </w14:solidFill>
          </w14:textFill>
        </w:rPr>
        <w:t>km</w:t>
      </w:r>
      <w:r>
        <w:rPr>
          <w:rFonts w:ascii="Times New Roman" w:hAnsi="Times New Roman" w:cs="Times New Roman"/>
          <w:snapToGrid w:val="0"/>
          <w:color w:val="000000" w:themeColor="text1"/>
          <w:u w:val="none"/>
          <w14:textFill>
            <w14:solidFill>
              <w14:schemeClr w14:val="tx1"/>
            </w14:solidFill>
          </w14:textFill>
        </w:rPr>
        <w:t>，工程垂直投影面积及外扩范围</w:t>
      </w:r>
      <w:r>
        <w:rPr>
          <w:rFonts w:hint="eastAsia" w:ascii="Times New Roman" w:hAnsi="Times New Roman" w:cs="Times New Roman"/>
          <w:snapToGrid w:val="0"/>
          <w:color w:val="000000" w:themeColor="text1"/>
          <w:u w:val="none"/>
          <w14:textFill>
            <w14:solidFill>
              <w14:schemeClr w14:val="tx1"/>
            </w14:solidFill>
          </w14:textFill>
        </w:rPr>
        <w:t>0.3&gt;A</w:t>
      </w:r>
      <w:r>
        <w:rPr>
          <w:rFonts w:hint="eastAsia" w:ascii="Times New Roman" w:hAnsi="Times New Roman" w:cs="Times New Roman"/>
          <w:snapToGrid w:val="0"/>
          <w:color w:val="000000" w:themeColor="text1"/>
          <w:u w:val="none"/>
          <w:vertAlign w:val="subscript"/>
          <w14:textFill>
            <w14:solidFill>
              <w14:schemeClr w14:val="tx1"/>
            </w14:solidFill>
          </w14:textFill>
        </w:rPr>
        <w:t>1</w:t>
      </w:r>
      <w:r>
        <w:rPr>
          <w:rFonts w:hint="eastAsia" w:ascii="Times New Roman" w:hAnsi="Times New Roman" w:cs="Times New Roman"/>
          <w:snapToGrid w:val="0"/>
          <w:color w:val="000000" w:themeColor="text1"/>
          <w:u w:val="none"/>
          <w:lang w:val="en-US" w:eastAsia="zh-CN"/>
          <w14:textFill>
            <w14:solidFill>
              <w14:schemeClr w14:val="tx1"/>
            </w14:solidFill>
          </w14:textFill>
        </w:rPr>
        <w:t>=</w:t>
      </w:r>
      <w:r>
        <w:rPr>
          <w:rFonts w:hint="eastAsia" w:ascii="Times New Roman" w:hAnsi="Times New Roman" w:cs="Times New Roman"/>
          <w:snapToGrid w:val="0"/>
          <w:color w:val="000000" w:themeColor="text1"/>
          <w:u w:val="none"/>
          <w14:textFill>
            <w14:solidFill>
              <w14:schemeClr w14:val="tx1"/>
            </w14:solidFill>
          </w14:textFill>
        </w:rPr>
        <w:t>&gt;0.0</w:t>
      </w:r>
      <w:r>
        <w:rPr>
          <w:rFonts w:hint="eastAsia" w:ascii="Times New Roman" w:hAnsi="Times New Roman" w:cs="Times New Roman"/>
          <w:snapToGrid w:val="0"/>
          <w:color w:val="000000" w:themeColor="text1"/>
          <w:u w:val="none"/>
          <w:lang w:val="en-US" w:eastAsia="zh-CN"/>
          <w14:textFill>
            <w14:solidFill>
              <w14:schemeClr w14:val="tx1"/>
            </w14:solidFill>
          </w14:textFill>
        </w:rPr>
        <w:t>72</w:t>
      </w:r>
      <w:r>
        <w:rPr>
          <w:rFonts w:ascii="Times New Roman" w:hAnsi="Times New Roman" w:cs="Times New Roman"/>
          <w:snapToGrid w:val="0"/>
          <w:color w:val="000000" w:themeColor="text1"/>
          <w:u w:val="none"/>
          <w14:textFill>
            <w14:solidFill>
              <w14:schemeClr w14:val="tx1"/>
            </w14:solidFill>
          </w14:textFill>
        </w:rPr>
        <w:t>km</w:t>
      </w:r>
      <w:r>
        <w:rPr>
          <w:rFonts w:ascii="Times New Roman" w:hAnsi="Times New Roman" w:cs="Times New Roman"/>
          <w:snapToGrid w:val="0"/>
          <w:color w:val="000000" w:themeColor="text1"/>
          <w:u w:val="none"/>
          <w:vertAlign w:val="superscript"/>
          <w14:textFill>
            <w14:solidFill>
              <w14:schemeClr w14:val="tx1"/>
            </w14:solidFill>
          </w14:textFill>
        </w:rPr>
        <w:t>2</w:t>
      </w:r>
      <w:r>
        <w:rPr>
          <w:rFonts w:ascii="Times New Roman" w:hAnsi="Times New Roman" w:cs="Times New Roman"/>
          <w:snapToGrid w:val="0"/>
          <w:color w:val="000000" w:themeColor="text1"/>
          <w:u w:val="none"/>
          <w14:textFill>
            <w14:solidFill>
              <w14:schemeClr w14:val="tx1"/>
            </w14:solidFill>
          </w14:textFill>
        </w:rPr>
        <w:t>；考虑</w:t>
      </w:r>
      <w:r>
        <w:rPr>
          <w:rFonts w:hint="eastAsia" w:ascii="Times New Roman" w:hAnsi="Times New Roman" w:cs="Times New Roman"/>
          <w:snapToGrid w:val="0"/>
          <w:color w:val="000000" w:themeColor="text1"/>
          <w:u w:val="none"/>
          <w:lang w:eastAsia="zh-CN"/>
          <w14:textFill>
            <w14:solidFill>
              <w14:schemeClr w14:val="tx1"/>
            </w14:solidFill>
          </w14:textFill>
        </w:rPr>
        <w:t>河滨</w:t>
      </w:r>
      <w:r>
        <w:rPr>
          <w:rFonts w:ascii="Times New Roman" w:hAnsi="Times New Roman" w:cs="Times New Roman"/>
          <w:snapToGrid w:val="0"/>
          <w:color w:val="000000" w:themeColor="text1"/>
          <w:u w:val="none"/>
          <w14:textFill>
            <w14:solidFill>
              <w14:schemeClr w14:val="tx1"/>
            </w14:solidFill>
          </w14:textFill>
        </w:rPr>
        <w:t>湿地</w:t>
      </w:r>
      <w:r>
        <w:rPr>
          <w:rFonts w:hint="eastAsia" w:ascii="Times New Roman" w:hAnsi="Times New Roman" w:cs="Times New Roman"/>
          <w:snapToGrid w:val="0"/>
          <w:color w:val="000000" w:themeColor="text1"/>
          <w:u w:val="none"/>
          <w:lang w:eastAsia="zh-CN"/>
          <w14:textFill>
            <w14:solidFill>
              <w14:schemeClr w14:val="tx1"/>
            </w14:solidFill>
          </w14:textFill>
        </w:rPr>
        <w:t>及河口</w:t>
      </w:r>
      <w:r>
        <w:rPr>
          <w:rFonts w:ascii="Times New Roman" w:hAnsi="Times New Roman" w:cs="Times New Roman"/>
          <w:snapToGrid w:val="0"/>
          <w:color w:val="000000" w:themeColor="text1"/>
          <w:u w:val="none"/>
          <w14:textFill>
            <w14:solidFill>
              <w14:schemeClr w14:val="tx1"/>
            </w14:solidFill>
          </w14:textFill>
        </w:rPr>
        <w:t>湿地工程</w:t>
      </w:r>
      <w:r>
        <w:rPr>
          <w:rFonts w:hint="eastAsia" w:ascii="Times New Roman" w:hAnsi="Times New Roman" w:cs="Times New Roman"/>
          <w:snapToGrid w:val="0"/>
          <w:color w:val="000000" w:themeColor="text1"/>
          <w:u w:val="none"/>
          <w:lang w:eastAsia="zh-CN"/>
          <w14:textFill>
            <w14:solidFill>
              <w14:schemeClr w14:val="tx1"/>
            </w14:solidFill>
          </w14:textFill>
        </w:rPr>
        <w:t>，</w:t>
      </w:r>
      <w:r>
        <w:rPr>
          <w:rFonts w:ascii="Times New Roman" w:hAnsi="Times New Roman" w:cs="Times New Roman"/>
          <w:snapToGrid w:val="0"/>
          <w:color w:val="000000" w:themeColor="text1"/>
          <w:u w:val="none"/>
          <w14:textFill>
            <w14:solidFill>
              <w14:schemeClr w14:val="tx1"/>
            </w14:solidFill>
          </w14:textFill>
        </w:rPr>
        <w:t>扰动水底面积</w:t>
      </w:r>
      <w:r>
        <w:rPr>
          <w:rFonts w:hint="eastAsia" w:ascii="Times New Roman" w:hAnsi="Times New Roman" w:cs="Times New Roman"/>
          <w:snapToGrid w:val="0"/>
          <w:color w:val="000000" w:themeColor="text1"/>
          <w:u w:val="none"/>
          <w14:textFill>
            <w14:solidFill>
              <w14:schemeClr w14:val="tx1"/>
            </w14:solidFill>
          </w14:textFill>
        </w:rPr>
        <w:t>1.5&gt;A</w:t>
      </w:r>
      <w:r>
        <w:rPr>
          <w:rFonts w:hint="eastAsia" w:ascii="Times New Roman" w:hAnsi="Times New Roman" w:cs="Times New Roman"/>
          <w:snapToGrid w:val="0"/>
          <w:color w:val="000000" w:themeColor="text1"/>
          <w:u w:val="none"/>
          <w:vertAlign w:val="subscript"/>
          <w14:textFill>
            <w14:solidFill>
              <w14:schemeClr w14:val="tx1"/>
            </w14:solidFill>
          </w14:textFill>
        </w:rPr>
        <w:t>2</w:t>
      </w:r>
      <w:r>
        <w:rPr>
          <w:rFonts w:hint="eastAsia" w:ascii="Times New Roman" w:hAnsi="Times New Roman" w:cs="Times New Roman"/>
          <w:snapToGrid w:val="0"/>
          <w:color w:val="000000" w:themeColor="text1"/>
          <w:u w:val="none"/>
          <w:vertAlign w:val="baseline"/>
          <w:lang w:val="en-US" w:eastAsia="zh-CN"/>
          <w14:textFill>
            <w14:solidFill>
              <w14:schemeClr w14:val="tx1"/>
            </w14:solidFill>
          </w14:textFill>
        </w:rPr>
        <w:t>=1.19</w:t>
      </w:r>
      <w:r>
        <w:rPr>
          <w:rFonts w:hint="eastAsia" w:ascii="Times New Roman" w:hAnsi="Times New Roman" w:cs="Times New Roman"/>
          <w:snapToGrid w:val="0"/>
          <w:color w:val="000000" w:themeColor="text1"/>
          <w:u w:val="none"/>
          <w14:textFill>
            <w14:solidFill>
              <w14:schemeClr w14:val="tx1"/>
            </w14:solidFill>
          </w14:textFill>
        </w:rPr>
        <w:t>&gt;0.2</w:t>
      </w:r>
      <w:r>
        <w:rPr>
          <w:rFonts w:ascii="Times New Roman" w:hAnsi="Times New Roman" w:cs="Times New Roman"/>
          <w:snapToGrid w:val="0"/>
          <w:color w:val="000000" w:themeColor="text1"/>
          <w:u w:val="none"/>
          <w14:textFill>
            <w14:solidFill>
              <w14:schemeClr w14:val="tx1"/>
            </w14:solidFill>
          </w14:textFill>
        </w:rPr>
        <w:t>km</w:t>
      </w:r>
      <w:r>
        <w:rPr>
          <w:rFonts w:ascii="Times New Roman" w:hAnsi="Times New Roman" w:cs="Times New Roman"/>
          <w:snapToGrid w:val="0"/>
          <w:color w:val="000000" w:themeColor="text1"/>
          <w:u w:val="none"/>
          <w:vertAlign w:val="superscript"/>
          <w14:textFill>
            <w14:solidFill>
              <w14:schemeClr w14:val="tx1"/>
            </w14:solidFill>
          </w14:textFill>
        </w:rPr>
        <w:t>2</w:t>
      </w:r>
      <w:r>
        <w:rPr>
          <w:rFonts w:hint="eastAsia" w:ascii="Times New Roman" w:hAnsi="Times New Roman" w:cs="Times New Roman"/>
          <w:snapToGrid w:val="0"/>
          <w:color w:val="000000" w:themeColor="text1"/>
          <w:u w:val="none"/>
          <w:lang w:eastAsia="zh-CN"/>
          <w14:textFill>
            <w14:solidFill>
              <w14:schemeClr w14:val="tx1"/>
            </w14:solidFill>
          </w14:textFill>
        </w:rPr>
        <w:t>；</w:t>
      </w:r>
      <w:r>
        <w:rPr>
          <w:rFonts w:hint="eastAsia" w:ascii="Times New Roman" w:hAnsi="Times New Roman" w:cs="Times New Roman"/>
          <w:snapToGrid w:val="0"/>
          <w:color w:val="000000" w:themeColor="text1"/>
          <w:sz w:val="24"/>
          <w:szCs w:val="24"/>
          <w:u w:val="none"/>
          <w:lang w:eastAsia="zh-CN"/>
          <w14:textFill>
            <w14:solidFill>
              <w14:schemeClr w14:val="tx1"/>
            </w14:solidFill>
          </w14:textFill>
        </w:rPr>
        <w:t>且工程影响范围涉及饮用水水源保护区，</w:t>
      </w:r>
      <w:r>
        <w:rPr>
          <w:rFonts w:ascii="Times New Roman" w:hAnsi="Times New Roman" w:cs="Times New Roman"/>
          <w:snapToGrid w:val="0"/>
          <w:color w:val="000000" w:themeColor="text1"/>
          <w:sz w:val="24"/>
          <w:szCs w:val="24"/>
          <w:u w:val="none"/>
          <w14:textFill>
            <w14:solidFill>
              <w14:schemeClr w14:val="tx1"/>
            </w14:solidFill>
          </w14:textFill>
        </w:rPr>
        <w:t>评价等级应不低于二级。综合评价，项目</w:t>
      </w:r>
      <w:r>
        <w:rPr>
          <w:rFonts w:ascii="Times New Roman" w:hAnsi="Times New Roman" w:cs="Times New Roman"/>
          <w:snapToGrid w:val="0"/>
          <w:color w:val="000000" w:themeColor="text1"/>
          <w:u w:val="none"/>
          <w14:textFill>
            <w14:solidFill>
              <w14:schemeClr w14:val="tx1"/>
            </w14:solidFill>
          </w14:textFill>
        </w:rPr>
        <w:t>地表水评价等级为二级。</w:t>
      </w:r>
    </w:p>
    <w:p>
      <w:pPr>
        <w:pStyle w:val="2"/>
        <w:autoSpaceDE/>
        <w:autoSpaceDN/>
        <w:adjustRightInd w:val="0"/>
        <w:snapToGrid w:val="0"/>
        <w:spacing w:before="0"/>
        <w:ind w:left="0"/>
        <w:jc w:val="center"/>
        <w:rPr>
          <w:rFonts w:ascii="Times New Roman" w:hAnsi="Times New Roman" w:cs="Times New Roman"/>
          <w:snapToGrid w:val="0"/>
          <w:u w:val="none"/>
        </w:rPr>
      </w:pPr>
      <w:r>
        <w:rPr>
          <w:rFonts w:ascii="Times New Roman" w:hAnsi="Times New Roman" w:cs="Times New Roman"/>
          <w:b/>
          <w:snapToGrid w:val="0"/>
          <w:u w:val="none"/>
        </w:rPr>
        <w:t>表2.4-</w:t>
      </w:r>
      <w:r>
        <w:rPr>
          <w:rFonts w:hint="eastAsia" w:ascii="Times New Roman" w:hAnsi="Times New Roman" w:cs="Times New Roman"/>
          <w:b/>
          <w:snapToGrid w:val="0"/>
          <w:u w:val="none"/>
        </w:rPr>
        <w:t>1</w:t>
      </w:r>
      <w:r>
        <w:rPr>
          <w:rFonts w:ascii="Times New Roman" w:hAnsi="Times New Roman" w:cs="Times New Roman"/>
          <w:b/>
          <w:snapToGrid w:val="0"/>
          <w:u w:val="none"/>
        </w:rPr>
        <w:t xml:space="preserve"> </w:t>
      </w:r>
      <w:r>
        <w:rPr>
          <w:rFonts w:ascii="Times New Roman" w:hAnsi="Times New Roman" w:cs="Times New Roman"/>
          <w:snapToGrid w:val="0"/>
          <w:u w:val="none"/>
        </w:rPr>
        <w:t xml:space="preserve"> </w:t>
      </w:r>
      <w:r>
        <w:rPr>
          <w:rFonts w:ascii="Times New Roman" w:hAnsi="Times New Roman" w:cs="Times New Roman"/>
          <w:b/>
          <w:bCs/>
          <w:snapToGrid w:val="0"/>
          <w:color w:val="000000" w:themeColor="text1"/>
          <w:u w:val="none"/>
          <w14:textFill>
            <w14:solidFill>
              <w14:schemeClr w14:val="tx1"/>
            </w14:solidFill>
          </w14:textFill>
        </w:rPr>
        <w:t>水文要素影响型建设项目评价等级判定依据及结果</w:t>
      </w:r>
    </w:p>
    <w:tbl>
      <w:tblPr>
        <w:tblStyle w:val="89"/>
        <w:tblpPr w:leftFromText="180" w:rightFromText="180" w:vertAnchor="text" w:horzAnchor="page" w:tblpX="1545" w:tblpY="468"/>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581"/>
        <w:gridCol w:w="993"/>
        <w:gridCol w:w="1123"/>
        <w:gridCol w:w="845"/>
        <w:gridCol w:w="1565"/>
        <w:gridCol w:w="1743"/>
        <w:gridCol w:w="14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1" w:hRule="atLeast"/>
        </w:trPr>
        <w:tc>
          <w:tcPr>
            <w:tcW w:w="351" w:type="pct"/>
            <w:vMerge w:val="restar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评价等级</w:t>
            </w:r>
          </w:p>
        </w:tc>
        <w:tc>
          <w:tcPr>
            <w:tcW w:w="581" w:type="pc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水温</w:t>
            </w:r>
          </w:p>
        </w:tc>
        <w:tc>
          <w:tcPr>
            <w:tcW w:w="1185" w:type="pct"/>
            <w:gridSpan w:val="2"/>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径流</w:t>
            </w:r>
          </w:p>
        </w:tc>
        <w:tc>
          <w:tcPr>
            <w:tcW w:w="2882" w:type="pct"/>
            <w:gridSpan w:val="3"/>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受影响地表水域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73" w:hRule="atLeast"/>
        </w:trPr>
        <w:tc>
          <w:tcPr>
            <w:tcW w:w="351" w:type="pct"/>
            <w:vMerge w:val="continue"/>
            <w:vAlign w:val="center"/>
          </w:tcPr>
          <w:p>
            <w:pPr>
              <w:autoSpaceDE/>
              <w:autoSpaceDN/>
              <w:adjustRightInd w:val="0"/>
              <w:snapToGrid w:val="0"/>
              <w:jc w:val="center"/>
              <w:rPr>
                <w:rFonts w:ascii="Times New Roman" w:hAnsi="Times New Roman" w:cs="Times New Roman"/>
                <w:snapToGrid w:val="0"/>
                <w:color w:val="000000" w:themeColor="text1"/>
                <w:sz w:val="21"/>
                <w:szCs w:val="21"/>
                <w:u w:val="none"/>
                <w14:textFill>
                  <w14:solidFill>
                    <w14:schemeClr w14:val="tx1"/>
                  </w14:solidFill>
                </w14:textFill>
              </w:rPr>
            </w:pPr>
          </w:p>
        </w:tc>
        <w:tc>
          <w:tcPr>
            <w:tcW w:w="581" w:type="pct"/>
            <w:vMerge w:val="restar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年径流量与总库容百分比α/%</w:t>
            </w:r>
          </w:p>
        </w:tc>
        <w:tc>
          <w:tcPr>
            <w:tcW w:w="676" w:type="pct"/>
            <w:vMerge w:val="restar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兴利库容与年径流量百分比β/%</w:t>
            </w:r>
          </w:p>
        </w:tc>
        <w:tc>
          <w:tcPr>
            <w:tcW w:w="509" w:type="pct"/>
            <w:vMerge w:val="restar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取水量占多年平均径流量百分比γ/%</w:t>
            </w:r>
          </w:p>
        </w:tc>
        <w:tc>
          <w:tcPr>
            <w:tcW w:w="1989" w:type="pct"/>
            <w:gridSpan w:val="2"/>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pacing w:val="-3"/>
                <w:position w:val="1"/>
                <w:sz w:val="21"/>
                <w:szCs w:val="21"/>
                <w:u w:val="none"/>
                <w14:textFill>
                  <w14:solidFill>
                    <w14:schemeClr w14:val="tx1"/>
                  </w14:solidFill>
                </w14:textFill>
              </w:rPr>
              <w:t>工程垂直投影面积及外扩范围</w:t>
            </w:r>
            <w:r>
              <w:rPr>
                <w:rFonts w:ascii="Times New Roman" w:hAnsi="Times New Roman" w:cs="Times New Roman"/>
                <w:snapToGrid w:val="0"/>
                <w:color w:val="000000" w:themeColor="text1"/>
                <w:position w:val="1"/>
                <w:sz w:val="21"/>
                <w:szCs w:val="21"/>
                <w:u w:val="none"/>
                <w14:textFill>
                  <w14:solidFill>
                    <w14:schemeClr w14:val="tx1"/>
                  </w14:solidFill>
                </w14:textFill>
              </w:rPr>
              <w:t>A</w:t>
            </w:r>
            <w:r>
              <w:rPr>
                <w:rFonts w:ascii="Times New Roman" w:hAnsi="Times New Roman" w:cs="Times New Roman"/>
                <w:snapToGrid w:val="0"/>
                <w:color w:val="000000" w:themeColor="text1"/>
                <w:position w:val="1"/>
                <w:sz w:val="21"/>
                <w:szCs w:val="21"/>
                <w:u w:val="none"/>
                <w:vertAlign w:val="subscript"/>
                <w14:textFill>
                  <w14:solidFill>
                    <w14:schemeClr w14:val="tx1"/>
                  </w14:solidFill>
                </w14:textFill>
              </w:rPr>
              <w:t>1</w:t>
            </w:r>
            <w:r>
              <w:rPr>
                <w:rFonts w:ascii="Times New Roman" w:hAnsi="Times New Roman" w:cs="Times New Roman"/>
                <w:snapToGrid w:val="0"/>
                <w:color w:val="000000" w:themeColor="text1"/>
                <w:position w:val="1"/>
                <w:sz w:val="21"/>
                <w:szCs w:val="21"/>
                <w:u w:val="none"/>
                <w14:textFill>
                  <w14:solidFill>
                    <w14:schemeClr w14:val="tx1"/>
                  </w14:solidFill>
                </w14:textFill>
              </w:rPr>
              <w:t>/km</w:t>
            </w:r>
            <w:r>
              <w:rPr>
                <w:rFonts w:ascii="Times New Roman" w:hAnsi="Times New Roman" w:cs="Times New Roman"/>
                <w:snapToGrid w:val="0"/>
                <w:color w:val="000000" w:themeColor="text1"/>
                <w:sz w:val="21"/>
                <w:szCs w:val="21"/>
                <w:u w:val="none"/>
                <w:vertAlign w:val="superscript"/>
                <w14:textFill>
                  <w14:solidFill>
                    <w14:schemeClr w14:val="tx1"/>
                  </w14:solidFill>
                </w14:textFill>
              </w:rPr>
              <w:t>2</w:t>
            </w:r>
            <w:r>
              <w:rPr>
                <w:rFonts w:ascii="Times New Roman" w:hAnsi="Times New Roman" w:cs="Times New Roman"/>
                <w:snapToGrid w:val="0"/>
                <w:color w:val="000000" w:themeColor="text1"/>
                <w:sz w:val="21"/>
                <w:szCs w:val="21"/>
                <w:u w:val="none"/>
                <w14:textFill>
                  <w14:solidFill>
                    <w14:schemeClr w14:val="tx1"/>
                  </w14:solidFill>
                </w14:textFill>
              </w:rPr>
              <w:t>；</w:t>
            </w:r>
            <w:r>
              <w:rPr>
                <w:rFonts w:ascii="Times New Roman" w:hAnsi="Times New Roman" w:cs="Times New Roman"/>
                <w:snapToGrid w:val="0"/>
                <w:color w:val="000000" w:themeColor="text1"/>
                <w:spacing w:val="-3"/>
                <w:sz w:val="21"/>
                <w:szCs w:val="21"/>
                <w:u w:val="none"/>
                <w14:textFill>
                  <w14:solidFill>
                    <w14:schemeClr w14:val="tx1"/>
                  </w14:solidFill>
                </w14:textFill>
              </w:rPr>
              <w:t>工程扰动水底面积</w:t>
            </w:r>
            <w:r>
              <w:rPr>
                <w:rFonts w:ascii="Times New Roman" w:hAnsi="Times New Roman" w:cs="Times New Roman"/>
                <w:snapToGrid w:val="0"/>
                <w:color w:val="000000" w:themeColor="text1"/>
                <w:sz w:val="21"/>
                <w:szCs w:val="21"/>
                <w:u w:val="none"/>
                <w14:textFill>
                  <w14:solidFill>
                    <w14:schemeClr w14:val="tx1"/>
                  </w14:solidFill>
                </w14:textFill>
              </w:rPr>
              <w:t>A</w:t>
            </w:r>
            <w:r>
              <w:rPr>
                <w:rFonts w:ascii="Times New Roman" w:hAnsi="Times New Roman" w:cs="Times New Roman"/>
                <w:snapToGrid w:val="0"/>
                <w:color w:val="000000" w:themeColor="text1"/>
                <w:sz w:val="21"/>
                <w:szCs w:val="21"/>
                <w:u w:val="none"/>
                <w:vertAlign w:val="subscript"/>
                <w14:textFill>
                  <w14:solidFill>
                    <w14:schemeClr w14:val="tx1"/>
                  </w14:solidFill>
                </w14:textFill>
              </w:rPr>
              <w:t>2</w:t>
            </w:r>
            <w:r>
              <w:rPr>
                <w:rFonts w:ascii="Times New Roman" w:hAnsi="Times New Roman" w:cs="Times New Roman"/>
                <w:snapToGrid w:val="0"/>
                <w:color w:val="000000" w:themeColor="text1"/>
                <w:sz w:val="21"/>
                <w:szCs w:val="21"/>
                <w:u w:val="none"/>
                <w14:textFill>
                  <w14:solidFill>
                    <w14:schemeClr w14:val="tx1"/>
                  </w14:solidFill>
                </w14:textFill>
              </w:rPr>
              <w:t>/km</w:t>
            </w:r>
            <w:r>
              <w:rPr>
                <w:rFonts w:ascii="Times New Roman" w:hAnsi="Times New Roman" w:cs="Times New Roman"/>
                <w:snapToGrid w:val="0"/>
                <w:color w:val="000000" w:themeColor="text1"/>
                <w:sz w:val="21"/>
                <w:szCs w:val="21"/>
                <w:u w:val="none"/>
                <w:vertAlign w:val="superscript"/>
                <w14:textFill>
                  <w14:solidFill>
                    <w14:schemeClr w14:val="tx1"/>
                  </w14:solidFill>
                </w14:textFill>
              </w:rPr>
              <w:t>2</w:t>
            </w:r>
            <w:r>
              <w:rPr>
                <w:rFonts w:ascii="Times New Roman" w:hAnsi="Times New Roman" w:cs="Times New Roman"/>
                <w:snapToGrid w:val="0"/>
                <w:color w:val="000000" w:themeColor="text1"/>
                <w:sz w:val="21"/>
                <w:szCs w:val="21"/>
                <w:u w:val="none"/>
                <w14:textFill>
                  <w14:solidFill>
                    <w14:schemeClr w14:val="tx1"/>
                  </w14:solidFill>
                </w14:textFill>
              </w:rPr>
              <w:t>；</w:t>
            </w:r>
          </w:p>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过水断面宽度占用比例或占用水域</w:t>
            </w:r>
          </w:p>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面积比例 R/%</w:t>
            </w:r>
          </w:p>
        </w:tc>
        <w:tc>
          <w:tcPr>
            <w:tcW w:w="894" w:type="pct"/>
            <w:vAlign w:val="center"/>
          </w:tcPr>
          <w:p>
            <w:pPr>
              <w:pStyle w:val="124"/>
              <w:autoSpaceDE/>
              <w:autoSpaceDN/>
              <w:adjustRightInd w:val="0"/>
              <w:snapToGrid w:val="0"/>
              <w:rPr>
                <w:rFonts w:ascii="Times New Roman" w:hAnsi="Times New Roman" w:cs="Times New Roman"/>
                <w:snapToGrid w:val="0"/>
                <w:color w:val="000000" w:themeColor="text1"/>
                <w:spacing w:val="-3"/>
                <w:position w:val="1"/>
                <w:sz w:val="21"/>
                <w:szCs w:val="21"/>
                <w:u w:val="none"/>
                <w14:textFill>
                  <w14:solidFill>
                    <w14:schemeClr w14:val="tx1"/>
                  </w14:solidFill>
                </w14:textFill>
              </w:rPr>
            </w:pPr>
            <w:r>
              <w:rPr>
                <w:rFonts w:ascii="Times New Roman" w:hAnsi="Times New Roman" w:cs="Times New Roman"/>
                <w:snapToGrid w:val="0"/>
                <w:color w:val="000000" w:themeColor="text1"/>
                <w:spacing w:val="-3"/>
                <w:position w:val="1"/>
                <w:sz w:val="21"/>
                <w:szCs w:val="21"/>
                <w:u w:val="none"/>
                <w14:textFill>
                  <w14:solidFill>
                    <w14:schemeClr w14:val="tx1"/>
                  </w14:solidFill>
                </w14:textFill>
              </w:rPr>
              <w:t>工程垂直投影及外扩范围A</w:t>
            </w:r>
            <w:r>
              <w:rPr>
                <w:rFonts w:ascii="Times New Roman" w:hAnsi="Times New Roman" w:cs="Times New Roman"/>
                <w:snapToGrid w:val="0"/>
                <w:color w:val="000000" w:themeColor="text1"/>
                <w:spacing w:val="-3"/>
                <w:position w:val="1"/>
                <w:sz w:val="21"/>
                <w:szCs w:val="21"/>
                <w:u w:val="none"/>
                <w:vertAlign w:val="subscript"/>
                <w14:textFill>
                  <w14:solidFill>
                    <w14:schemeClr w14:val="tx1"/>
                  </w14:solidFill>
                </w14:textFill>
              </w:rPr>
              <w:t>1</w:t>
            </w:r>
            <w:r>
              <w:rPr>
                <w:rFonts w:ascii="Times New Roman" w:hAnsi="Times New Roman" w:cs="Times New Roman"/>
                <w:snapToGrid w:val="0"/>
                <w:color w:val="000000" w:themeColor="text1"/>
                <w:spacing w:val="-3"/>
                <w:position w:val="1"/>
                <w:sz w:val="21"/>
                <w:szCs w:val="21"/>
                <w:u w:val="none"/>
                <w14:textFill>
                  <w14:solidFill>
                    <w14:schemeClr w14:val="tx1"/>
                  </w14:solidFill>
                </w14:textFill>
              </w:rPr>
              <w:t>/km</w:t>
            </w:r>
            <w:r>
              <w:rPr>
                <w:rFonts w:ascii="Times New Roman" w:hAnsi="Times New Roman" w:cs="Times New Roman"/>
                <w:snapToGrid w:val="0"/>
                <w:color w:val="000000" w:themeColor="text1"/>
                <w:spacing w:val="-3"/>
                <w:position w:val="1"/>
                <w:sz w:val="21"/>
                <w:szCs w:val="21"/>
                <w:u w:val="none"/>
                <w:vertAlign w:val="superscript"/>
                <w14:textFill>
                  <w14:solidFill>
                    <w14:schemeClr w14:val="tx1"/>
                  </w14:solidFill>
                </w14:textFill>
              </w:rPr>
              <w:t>2</w:t>
            </w:r>
            <w:r>
              <w:rPr>
                <w:rFonts w:ascii="Times New Roman" w:hAnsi="Times New Roman" w:cs="Times New Roman"/>
                <w:snapToGrid w:val="0"/>
                <w:color w:val="000000" w:themeColor="text1"/>
                <w:spacing w:val="-3"/>
                <w:position w:val="1"/>
                <w:sz w:val="21"/>
                <w:szCs w:val="21"/>
                <w:u w:val="none"/>
                <w14:textFill>
                  <w14:solidFill>
                    <w14:schemeClr w14:val="tx1"/>
                  </w14:solidFill>
                </w14:textFill>
              </w:rPr>
              <w:t>；工程扰动水底面积A</w:t>
            </w:r>
            <w:r>
              <w:rPr>
                <w:rFonts w:ascii="Times New Roman" w:hAnsi="Times New Roman" w:cs="Times New Roman"/>
                <w:snapToGrid w:val="0"/>
                <w:color w:val="000000" w:themeColor="text1"/>
                <w:spacing w:val="-3"/>
                <w:position w:val="1"/>
                <w:sz w:val="21"/>
                <w:szCs w:val="21"/>
                <w:u w:val="none"/>
                <w:vertAlign w:val="subscript"/>
                <w14:textFill>
                  <w14:solidFill>
                    <w14:schemeClr w14:val="tx1"/>
                  </w14:solidFill>
                </w14:textFill>
              </w:rPr>
              <w:t>2</w:t>
            </w:r>
            <w:r>
              <w:rPr>
                <w:rFonts w:ascii="Times New Roman" w:hAnsi="Times New Roman" w:cs="Times New Roman"/>
                <w:snapToGrid w:val="0"/>
                <w:color w:val="000000" w:themeColor="text1"/>
                <w:spacing w:val="-3"/>
                <w:position w:val="1"/>
                <w:sz w:val="21"/>
                <w:szCs w:val="21"/>
                <w:u w:val="none"/>
                <w14:textFill>
                  <w14:solidFill>
                    <w14:schemeClr w14:val="tx1"/>
                  </w14:solidFill>
                </w14:textFill>
              </w:rPr>
              <w:t>/km</w:t>
            </w:r>
            <w:r>
              <w:rPr>
                <w:rFonts w:ascii="Times New Roman" w:hAnsi="Times New Roman" w:cs="Times New Roman"/>
                <w:snapToGrid w:val="0"/>
                <w:color w:val="000000" w:themeColor="text1"/>
                <w:spacing w:val="-3"/>
                <w:position w:val="1"/>
                <w:sz w:val="21"/>
                <w:szCs w:val="21"/>
                <w:u w:val="none"/>
                <w:vertAlign w:val="superscript"/>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atLeast"/>
        </w:trPr>
        <w:tc>
          <w:tcPr>
            <w:tcW w:w="351" w:type="pct"/>
            <w:vMerge w:val="continue"/>
            <w:vAlign w:val="center"/>
          </w:tcPr>
          <w:p>
            <w:pPr>
              <w:autoSpaceDE/>
              <w:autoSpaceDN/>
              <w:adjustRightInd w:val="0"/>
              <w:snapToGrid w:val="0"/>
              <w:jc w:val="center"/>
              <w:rPr>
                <w:rFonts w:ascii="Times New Roman" w:hAnsi="Times New Roman" w:cs="Times New Roman"/>
                <w:snapToGrid w:val="0"/>
                <w:color w:val="000000" w:themeColor="text1"/>
                <w:sz w:val="21"/>
                <w:szCs w:val="21"/>
                <w:u w:val="none"/>
                <w14:textFill>
                  <w14:solidFill>
                    <w14:schemeClr w14:val="tx1"/>
                  </w14:solidFill>
                </w14:textFill>
              </w:rPr>
            </w:pPr>
          </w:p>
        </w:tc>
        <w:tc>
          <w:tcPr>
            <w:tcW w:w="581" w:type="pct"/>
            <w:vMerge w:val="continue"/>
            <w:vAlign w:val="center"/>
          </w:tcPr>
          <w:p>
            <w:pPr>
              <w:autoSpaceDE/>
              <w:autoSpaceDN/>
              <w:adjustRightInd w:val="0"/>
              <w:snapToGrid w:val="0"/>
              <w:jc w:val="center"/>
              <w:rPr>
                <w:rFonts w:ascii="Times New Roman" w:hAnsi="Times New Roman" w:cs="Times New Roman"/>
                <w:snapToGrid w:val="0"/>
                <w:color w:val="000000" w:themeColor="text1"/>
                <w:sz w:val="21"/>
                <w:szCs w:val="21"/>
                <w:u w:val="none"/>
                <w14:textFill>
                  <w14:solidFill>
                    <w14:schemeClr w14:val="tx1"/>
                  </w14:solidFill>
                </w14:textFill>
              </w:rPr>
            </w:pPr>
          </w:p>
        </w:tc>
        <w:tc>
          <w:tcPr>
            <w:tcW w:w="676" w:type="pct"/>
            <w:vMerge w:val="continue"/>
            <w:vAlign w:val="center"/>
          </w:tcPr>
          <w:p>
            <w:pPr>
              <w:autoSpaceDE/>
              <w:autoSpaceDN/>
              <w:adjustRightInd w:val="0"/>
              <w:snapToGrid w:val="0"/>
              <w:jc w:val="center"/>
              <w:rPr>
                <w:rFonts w:ascii="Times New Roman" w:hAnsi="Times New Roman" w:cs="Times New Roman"/>
                <w:snapToGrid w:val="0"/>
                <w:color w:val="000000" w:themeColor="text1"/>
                <w:sz w:val="21"/>
                <w:szCs w:val="21"/>
                <w:u w:val="none"/>
                <w14:textFill>
                  <w14:solidFill>
                    <w14:schemeClr w14:val="tx1"/>
                  </w14:solidFill>
                </w14:textFill>
              </w:rPr>
            </w:pPr>
          </w:p>
        </w:tc>
        <w:tc>
          <w:tcPr>
            <w:tcW w:w="509" w:type="pct"/>
            <w:vMerge w:val="continue"/>
            <w:vAlign w:val="center"/>
          </w:tcPr>
          <w:p>
            <w:pPr>
              <w:autoSpaceDE/>
              <w:autoSpaceDN/>
              <w:adjustRightInd w:val="0"/>
              <w:snapToGrid w:val="0"/>
              <w:jc w:val="center"/>
              <w:rPr>
                <w:rFonts w:ascii="Times New Roman" w:hAnsi="Times New Roman" w:cs="Times New Roman"/>
                <w:snapToGrid w:val="0"/>
                <w:color w:val="000000" w:themeColor="text1"/>
                <w:sz w:val="21"/>
                <w:szCs w:val="21"/>
                <w:u w:val="none"/>
                <w14:textFill>
                  <w14:solidFill>
                    <w14:schemeClr w14:val="tx1"/>
                  </w14:solidFill>
                </w14:textFill>
              </w:rPr>
            </w:pPr>
          </w:p>
        </w:tc>
        <w:tc>
          <w:tcPr>
            <w:tcW w:w="941" w:type="pc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河流</w:t>
            </w:r>
          </w:p>
        </w:tc>
        <w:tc>
          <w:tcPr>
            <w:tcW w:w="1048" w:type="pc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湖库</w:t>
            </w:r>
          </w:p>
        </w:tc>
        <w:tc>
          <w:tcPr>
            <w:tcW w:w="894" w:type="pc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入海河口、近岸海域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67" w:hRule="atLeast"/>
        </w:trPr>
        <w:tc>
          <w:tcPr>
            <w:tcW w:w="351" w:type="pc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一级</w:t>
            </w:r>
          </w:p>
        </w:tc>
        <w:tc>
          <w:tcPr>
            <w:tcW w:w="581" w:type="pc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α≤10； 或稳定分层</w:t>
            </w:r>
          </w:p>
        </w:tc>
        <w:tc>
          <w:tcPr>
            <w:tcW w:w="676" w:type="pc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β≥20；或完全年调节与多年调节</w:t>
            </w:r>
          </w:p>
        </w:tc>
        <w:tc>
          <w:tcPr>
            <w:tcW w:w="509" w:type="pc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γ≥30</w:t>
            </w:r>
          </w:p>
        </w:tc>
        <w:tc>
          <w:tcPr>
            <w:tcW w:w="941" w:type="pc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lang w:val="en-US"/>
                <w14:textFill>
                  <w14:solidFill>
                    <w14:schemeClr w14:val="tx1"/>
                  </w14:solidFill>
                </w14:textFill>
              </w:rPr>
            </w:pPr>
            <w:r>
              <w:rPr>
                <w:rFonts w:ascii="Times New Roman" w:hAnsi="Times New Roman" w:cs="Times New Roman"/>
                <w:snapToGrid w:val="0"/>
                <w:color w:val="000000" w:themeColor="text1"/>
                <w:sz w:val="21"/>
                <w:szCs w:val="21"/>
                <w:u w:val="none"/>
                <w:lang w:val="en-US"/>
                <w14:textFill>
                  <w14:solidFill>
                    <w14:schemeClr w14:val="tx1"/>
                  </w14:solidFill>
                </w14:textFill>
              </w:rPr>
              <w:t>A</w:t>
            </w:r>
            <w:r>
              <w:rPr>
                <w:rFonts w:ascii="Times New Roman" w:hAnsi="Times New Roman" w:cs="Times New Roman"/>
                <w:snapToGrid w:val="0"/>
                <w:color w:val="000000" w:themeColor="text1"/>
                <w:sz w:val="21"/>
                <w:szCs w:val="21"/>
                <w:u w:val="none"/>
                <w:vertAlign w:val="subscript"/>
                <w:lang w:val="en-US"/>
                <w14:textFill>
                  <w14:solidFill>
                    <w14:schemeClr w14:val="tx1"/>
                  </w14:solidFill>
                </w14:textFill>
              </w:rPr>
              <w:t>1</w:t>
            </w:r>
            <w:r>
              <w:rPr>
                <w:rFonts w:ascii="Times New Roman" w:hAnsi="Times New Roman" w:cs="Times New Roman"/>
                <w:snapToGrid w:val="0"/>
                <w:color w:val="000000" w:themeColor="text1"/>
                <w:sz w:val="21"/>
                <w:szCs w:val="21"/>
                <w:u w:val="none"/>
                <w:lang w:val="en-US"/>
                <w14:textFill>
                  <w14:solidFill>
                    <w14:schemeClr w14:val="tx1"/>
                  </w14:solidFill>
                </w14:textFill>
              </w:rPr>
              <w:t>≥0.3；</w:t>
            </w:r>
            <w:r>
              <w:rPr>
                <w:rFonts w:ascii="Times New Roman" w:hAnsi="Times New Roman" w:cs="Times New Roman"/>
                <w:snapToGrid w:val="0"/>
                <w:color w:val="000000" w:themeColor="text1"/>
                <w:sz w:val="21"/>
                <w:szCs w:val="21"/>
                <w:u w:val="none"/>
                <w14:textFill>
                  <w14:solidFill>
                    <w14:schemeClr w14:val="tx1"/>
                  </w14:solidFill>
                </w14:textFill>
              </w:rPr>
              <w:t>或</w:t>
            </w:r>
            <w:r>
              <w:rPr>
                <w:rFonts w:ascii="Times New Roman" w:hAnsi="Times New Roman" w:cs="Times New Roman"/>
                <w:snapToGrid w:val="0"/>
                <w:color w:val="000000" w:themeColor="text1"/>
                <w:sz w:val="21"/>
                <w:szCs w:val="21"/>
                <w:u w:val="none"/>
                <w:lang w:val="en-US"/>
                <w14:textFill>
                  <w14:solidFill>
                    <w14:schemeClr w14:val="tx1"/>
                  </w14:solidFill>
                </w14:textFill>
              </w:rPr>
              <w:t>A</w:t>
            </w:r>
            <w:r>
              <w:rPr>
                <w:rFonts w:ascii="Times New Roman" w:hAnsi="Times New Roman" w:cs="Times New Roman"/>
                <w:snapToGrid w:val="0"/>
                <w:color w:val="000000" w:themeColor="text1"/>
                <w:sz w:val="21"/>
                <w:szCs w:val="21"/>
                <w:u w:val="none"/>
                <w:vertAlign w:val="subscript"/>
                <w:lang w:val="en-US"/>
                <w14:textFill>
                  <w14:solidFill>
                    <w14:schemeClr w14:val="tx1"/>
                  </w14:solidFill>
                </w14:textFill>
              </w:rPr>
              <w:t>2</w:t>
            </w:r>
            <w:r>
              <w:rPr>
                <w:rFonts w:ascii="Times New Roman" w:hAnsi="Times New Roman" w:cs="Times New Roman"/>
                <w:snapToGrid w:val="0"/>
                <w:color w:val="000000" w:themeColor="text1"/>
                <w:sz w:val="21"/>
                <w:szCs w:val="21"/>
                <w:u w:val="none"/>
                <w:lang w:val="en-US"/>
                <w14:textFill>
                  <w14:solidFill>
                    <w14:schemeClr w14:val="tx1"/>
                  </w14:solidFill>
                </w14:textFill>
              </w:rPr>
              <w:t>≥1.5；</w:t>
            </w:r>
            <w:r>
              <w:rPr>
                <w:rFonts w:ascii="Times New Roman" w:hAnsi="Times New Roman" w:cs="Times New Roman"/>
                <w:snapToGrid w:val="0"/>
                <w:color w:val="000000" w:themeColor="text1"/>
                <w:sz w:val="21"/>
                <w:szCs w:val="21"/>
                <w:u w:val="none"/>
                <w14:textFill>
                  <w14:solidFill>
                    <w14:schemeClr w14:val="tx1"/>
                  </w14:solidFill>
                </w14:textFill>
              </w:rPr>
              <w:t>或</w:t>
            </w:r>
            <w:r>
              <w:rPr>
                <w:rFonts w:ascii="Times New Roman" w:hAnsi="Times New Roman" w:cs="Times New Roman"/>
                <w:snapToGrid w:val="0"/>
                <w:color w:val="000000" w:themeColor="text1"/>
                <w:sz w:val="21"/>
                <w:szCs w:val="21"/>
                <w:u w:val="none"/>
                <w:lang w:val="en-US"/>
                <w14:textFill>
                  <w14:solidFill>
                    <w14:schemeClr w14:val="tx1"/>
                  </w14:solidFill>
                </w14:textFill>
              </w:rPr>
              <w:t xml:space="preserve"> R≥10</w:t>
            </w:r>
          </w:p>
        </w:tc>
        <w:tc>
          <w:tcPr>
            <w:tcW w:w="1048" w:type="pc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lang w:val="en-US"/>
                <w14:textFill>
                  <w14:solidFill>
                    <w14:schemeClr w14:val="tx1"/>
                  </w14:solidFill>
                </w14:textFill>
              </w:rPr>
            </w:pPr>
            <w:r>
              <w:rPr>
                <w:rFonts w:ascii="Times New Roman" w:hAnsi="Times New Roman" w:cs="Times New Roman"/>
                <w:snapToGrid w:val="0"/>
                <w:color w:val="000000" w:themeColor="text1"/>
                <w:sz w:val="21"/>
                <w:szCs w:val="21"/>
                <w:u w:val="none"/>
                <w:lang w:val="en-US"/>
                <w14:textFill>
                  <w14:solidFill>
                    <w14:schemeClr w14:val="tx1"/>
                  </w14:solidFill>
                </w14:textFill>
              </w:rPr>
              <w:t>A</w:t>
            </w:r>
            <w:r>
              <w:rPr>
                <w:rFonts w:ascii="Times New Roman" w:hAnsi="Times New Roman" w:cs="Times New Roman"/>
                <w:snapToGrid w:val="0"/>
                <w:color w:val="000000" w:themeColor="text1"/>
                <w:sz w:val="21"/>
                <w:szCs w:val="21"/>
                <w:u w:val="none"/>
                <w:vertAlign w:val="subscript"/>
                <w:lang w:val="en-US"/>
                <w14:textFill>
                  <w14:solidFill>
                    <w14:schemeClr w14:val="tx1"/>
                  </w14:solidFill>
                </w14:textFill>
              </w:rPr>
              <w:t>1</w:t>
            </w:r>
            <w:r>
              <w:rPr>
                <w:rFonts w:ascii="Times New Roman" w:hAnsi="Times New Roman" w:cs="Times New Roman"/>
                <w:snapToGrid w:val="0"/>
                <w:color w:val="000000" w:themeColor="text1"/>
                <w:sz w:val="21"/>
                <w:szCs w:val="21"/>
                <w:u w:val="none"/>
                <w:lang w:val="en-US"/>
                <w14:textFill>
                  <w14:solidFill>
                    <w14:schemeClr w14:val="tx1"/>
                  </w14:solidFill>
                </w14:textFill>
              </w:rPr>
              <w:t>≥0.3</w:t>
            </w:r>
            <w:r>
              <w:rPr>
                <w:rFonts w:ascii="Times New Roman" w:hAnsi="Times New Roman" w:cs="Times New Roman"/>
                <w:snapToGrid w:val="0"/>
                <w:color w:val="000000" w:themeColor="text1"/>
                <w:spacing w:val="-2"/>
                <w:sz w:val="21"/>
                <w:szCs w:val="21"/>
                <w:u w:val="none"/>
                <w:lang w:val="en-US"/>
                <w14:textFill>
                  <w14:solidFill>
                    <w14:schemeClr w14:val="tx1"/>
                  </w14:solidFill>
                </w14:textFill>
              </w:rPr>
              <w:t>；</w:t>
            </w:r>
            <w:r>
              <w:rPr>
                <w:rFonts w:ascii="Times New Roman" w:hAnsi="Times New Roman" w:cs="Times New Roman"/>
                <w:snapToGrid w:val="0"/>
                <w:color w:val="000000" w:themeColor="text1"/>
                <w:spacing w:val="-2"/>
                <w:sz w:val="21"/>
                <w:szCs w:val="21"/>
                <w:u w:val="none"/>
                <w14:textFill>
                  <w14:solidFill>
                    <w14:schemeClr w14:val="tx1"/>
                  </w14:solidFill>
                </w14:textFill>
              </w:rPr>
              <w:t>或</w:t>
            </w:r>
            <w:r>
              <w:rPr>
                <w:rFonts w:ascii="Times New Roman" w:hAnsi="Times New Roman" w:cs="Times New Roman"/>
                <w:snapToGrid w:val="0"/>
                <w:color w:val="000000" w:themeColor="text1"/>
                <w:sz w:val="21"/>
                <w:szCs w:val="21"/>
                <w:u w:val="none"/>
                <w:lang w:val="en-US"/>
                <w14:textFill>
                  <w14:solidFill>
                    <w14:schemeClr w14:val="tx1"/>
                  </w14:solidFill>
                </w14:textFill>
              </w:rPr>
              <w:t>A</w:t>
            </w:r>
            <w:r>
              <w:rPr>
                <w:rFonts w:ascii="Times New Roman" w:hAnsi="Times New Roman" w:cs="Times New Roman"/>
                <w:snapToGrid w:val="0"/>
                <w:color w:val="000000" w:themeColor="text1"/>
                <w:sz w:val="21"/>
                <w:szCs w:val="21"/>
                <w:u w:val="none"/>
                <w:vertAlign w:val="subscript"/>
                <w:lang w:val="en-US"/>
                <w14:textFill>
                  <w14:solidFill>
                    <w14:schemeClr w14:val="tx1"/>
                  </w14:solidFill>
                </w14:textFill>
              </w:rPr>
              <w:t>2</w:t>
            </w:r>
            <w:r>
              <w:rPr>
                <w:rFonts w:ascii="Times New Roman" w:hAnsi="Times New Roman" w:cs="Times New Roman"/>
                <w:snapToGrid w:val="0"/>
                <w:color w:val="000000" w:themeColor="text1"/>
                <w:spacing w:val="-1"/>
                <w:sz w:val="21"/>
                <w:szCs w:val="21"/>
                <w:u w:val="none"/>
                <w:lang w:val="en-US"/>
                <w14:textFill>
                  <w14:solidFill>
                    <w14:schemeClr w14:val="tx1"/>
                  </w14:solidFill>
                </w14:textFill>
              </w:rPr>
              <w:t>≥1.2；</w:t>
            </w:r>
            <w:r>
              <w:rPr>
                <w:rFonts w:ascii="Times New Roman" w:hAnsi="Times New Roman" w:cs="Times New Roman"/>
                <w:snapToGrid w:val="0"/>
                <w:color w:val="000000" w:themeColor="text1"/>
                <w:spacing w:val="-1"/>
                <w:sz w:val="21"/>
                <w:szCs w:val="21"/>
                <w:u w:val="none"/>
                <w14:textFill>
                  <w14:solidFill>
                    <w14:schemeClr w14:val="tx1"/>
                  </w14:solidFill>
                </w14:textFill>
              </w:rPr>
              <w:t>或</w:t>
            </w:r>
            <w:r>
              <w:rPr>
                <w:rFonts w:ascii="Times New Roman" w:hAnsi="Times New Roman" w:cs="Times New Roman"/>
                <w:snapToGrid w:val="0"/>
                <w:color w:val="000000" w:themeColor="text1"/>
                <w:spacing w:val="-1"/>
                <w:sz w:val="21"/>
                <w:szCs w:val="21"/>
                <w:u w:val="none"/>
                <w:lang w:val="en-US"/>
                <w14:textFill>
                  <w14:solidFill>
                    <w14:schemeClr w14:val="tx1"/>
                  </w14:solidFill>
                </w14:textFill>
              </w:rPr>
              <w:t>R≥20</w:t>
            </w:r>
          </w:p>
        </w:tc>
        <w:tc>
          <w:tcPr>
            <w:tcW w:w="894" w:type="pc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lang w:val="en-US"/>
                <w14:textFill>
                  <w14:solidFill>
                    <w14:schemeClr w14:val="tx1"/>
                  </w14:solidFill>
                </w14:textFill>
              </w:rPr>
            </w:pPr>
            <w:r>
              <w:rPr>
                <w:rFonts w:ascii="Times New Roman" w:hAnsi="Times New Roman" w:cs="Times New Roman"/>
                <w:snapToGrid w:val="0"/>
                <w:color w:val="000000" w:themeColor="text1"/>
                <w:sz w:val="21"/>
                <w:szCs w:val="21"/>
                <w:u w:val="none"/>
                <w:lang w:val="en-US"/>
                <w14:textFill>
                  <w14:solidFill>
                    <w14:schemeClr w14:val="tx1"/>
                  </w14:solidFill>
                </w14:textFill>
              </w:rPr>
              <w:t>A</w:t>
            </w:r>
            <w:r>
              <w:rPr>
                <w:rFonts w:ascii="Times New Roman" w:hAnsi="Times New Roman" w:cs="Times New Roman"/>
                <w:snapToGrid w:val="0"/>
                <w:color w:val="000000" w:themeColor="text1"/>
                <w:sz w:val="21"/>
                <w:szCs w:val="21"/>
                <w:u w:val="none"/>
                <w:vertAlign w:val="subscript"/>
                <w:lang w:val="en-US"/>
                <w14:textFill>
                  <w14:solidFill>
                    <w14:schemeClr w14:val="tx1"/>
                  </w14:solidFill>
                </w14:textFill>
              </w:rPr>
              <w:t>1</w:t>
            </w:r>
            <w:r>
              <w:rPr>
                <w:rFonts w:ascii="Times New Roman" w:hAnsi="Times New Roman" w:cs="Times New Roman"/>
                <w:snapToGrid w:val="0"/>
                <w:color w:val="000000" w:themeColor="text1"/>
                <w:sz w:val="21"/>
                <w:szCs w:val="21"/>
                <w:u w:val="none"/>
                <w:lang w:val="en-US"/>
                <w14:textFill>
                  <w14:solidFill>
                    <w14:schemeClr w14:val="tx1"/>
                  </w14:solidFill>
                </w14:textFill>
              </w:rPr>
              <w:t>≥0.5；或A</w:t>
            </w:r>
            <w:r>
              <w:rPr>
                <w:rFonts w:ascii="Times New Roman" w:hAnsi="Times New Roman" w:cs="Times New Roman"/>
                <w:snapToGrid w:val="0"/>
                <w:color w:val="000000" w:themeColor="text1"/>
                <w:sz w:val="21"/>
                <w:szCs w:val="21"/>
                <w:u w:val="none"/>
                <w:vertAlign w:val="subscript"/>
                <w:lang w:val="en-US"/>
                <w14:textFill>
                  <w14:solidFill>
                    <w14:schemeClr w14:val="tx1"/>
                  </w14:solidFill>
                </w14:textFill>
              </w:rPr>
              <w:t>2</w:t>
            </w:r>
            <w:r>
              <w:rPr>
                <w:rFonts w:ascii="Times New Roman" w:hAnsi="Times New Roman" w:cs="Times New Roman"/>
                <w:snapToGrid w:val="0"/>
                <w:color w:val="000000" w:themeColor="text1"/>
                <w:sz w:val="21"/>
                <w:szCs w:val="21"/>
                <w:u w:val="none"/>
                <w:lang w:val="en-US"/>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331" w:hRule="atLeast"/>
        </w:trPr>
        <w:tc>
          <w:tcPr>
            <w:tcW w:w="351" w:type="pc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二级</w:t>
            </w:r>
          </w:p>
        </w:tc>
        <w:tc>
          <w:tcPr>
            <w:tcW w:w="581" w:type="pc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20&gt;α&gt;10；或不稳定分层</w:t>
            </w:r>
          </w:p>
        </w:tc>
        <w:tc>
          <w:tcPr>
            <w:tcW w:w="676" w:type="pct"/>
            <w:vAlign w:val="center"/>
          </w:tcPr>
          <w:p>
            <w:pPr>
              <w:pStyle w:val="124"/>
              <w:autoSpaceDE/>
              <w:autoSpaceDN/>
              <w:adjustRightInd w:val="0"/>
              <w:snapToGrid w:val="0"/>
              <w:rPr>
                <w:rFonts w:ascii="Times New Roman" w:hAnsi="Times New Roman" w:cs="Times New Roman"/>
                <w:b/>
                <w:snapToGrid w:val="0"/>
                <w:color w:val="000000" w:themeColor="text1"/>
                <w:sz w:val="21"/>
                <w:szCs w:val="21"/>
                <w:u w:val="none"/>
                <w14:textFill>
                  <w14:solidFill>
                    <w14:schemeClr w14:val="tx1"/>
                  </w14:solidFill>
                </w14:textFill>
              </w:rPr>
            </w:pPr>
          </w:p>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20&gt;β&gt;2；或季调节与不完全年调节</w:t>
            </w:r>
          </w:p>
        </w:tc>
        <w:tc>
          <w:tcPr>
            <w:tcW w:w="509" w:type="pc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30&gt;γ&gt;10</w:t>
            </w:r>
          </w:p>
        </w:tc>
        <w:tc>
          <w:tcPr>
            <w:tcW w:w="941" w:type="pc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0.3&gt;A</w:t>
            </w:r>
            <w:r>
              <w:rPr>
                <w:rFonts w:ascii="Times New Roman" w:hAnsi="Times New Roman" w:cs="Times New Roman"/>
                <w:snapToGrid w:val="0"/>
                <w:color w:val="000000" w:themeColor="text1"/>
                <w:sz w:val="21"/>
                <w:szCs w:val="21"/>
                <w:u w:val="none"/>
                <w:vertAlign w:val="subscript"/>
                <w14:textFill>
                  <w14:solidFill>
                    <w14:schemeClr w14:val="tx1"/>
                  </w14:solidFill>
                </w14:textFill>
              </w:rPr>
              <w:t>1</w:t>
            </w:r>
            <w:r>
              <w:rPr>
                <w:rFonts w:ascii="Times New Roman" w:hAnsi="Times New Roman" w:cs="Times New Roman"/>
                <w:snapToGrid w:val="0"/>
                <w:color w:val="000000" w:themeColor="text1"/>
                <w:sz w:val="21"/>
                <w:szCs w:val="21"/>
                <w:u w:val="none"/>
                <w14:textFill>
                  <w14:solidFill>
                    <w14:schemeClr w14:val="tx1"/>
                  </w14:solidFill>
                </w14:textFill>
              </w:rPr>
              <w:t>&gt;0.05；或1.5&gt;A</w:t>
            </w:r>
            <w:r>
              <w:rPr>
                <w:rFonts w:ascii="Times New Roman" w:hAnsi="Times New Roman" w:cs="Times New Roman"/>
                <w:snapToGrid w:val="0"/>
                <w:color w:val="000000" w:themeColor="text1"/>
                <w:sz w:val="21"/>
                <w:szCs w:val="21"/>
                <w:u w:val="none"/>
                <w:vertAlign w:val="subscript"/>
                <w14:textFill>
                  <w14:solidFill>
                    <w14:schemeClr w14:val="tx1"/>
                  </w14:solidFill>
                </w14:textFill>
              </w:rPr>
              <w:t>2</w:t>
            </w:r>
            <w:r>
              <w:rPr>
                <w:rFonts w:ascii="Times New Roman" w:hAnsi="Times New Roman" w:cs="Times New Roman"/>
                <w:snapToGrid w:val="0"/>
                <w:color w:val="000000" w:themeColor="text1"/>
                <w:sz w:val="21"/>
                <w:szCs w:val="21"/>
                <w:u w:val="none"/>
                <w14:textFill>
                  <w14:solidFill>
                    <w14:schemeClr w14:val="tx1"/>
                  </w14:solidFill>
                </w14:textFill>
              </w:rPr>
              <w:t>&gt;0.2；或10&gt;R&gt;5</w:t>
            </w:r>
          </w:p>
        </w:tc>
        <w:tc>
          <w:tcPr>
            <w:tcW w:w="1048" w:type="pc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0.3&gt;A</w:t>
            </w:r>
            <w:r>
              <w:rPr>
                <w:rFonts w:ascii="Times New Roman" w:hAnsi="Times New Roman" w:cs="Times New Roman"/>
                <w:snapToGrid w:val="0"/>
                <w:color w:val="000000" w:themeColor="text1"/>
                <w:sz w:val="21"/>
                <w:szCs w:val="21"/>
                <w:u w:val="none"/>
                <w:vertAlign w:val="subscript"/>
                <w14:textFill>
                  <w14:solidFill>
                    <w14:schemeClr w14:val="tx1"/>
                  </w14:solidFill>
                </w14:textFill>
              </w:rPr>
              <w:t>1</w:t>
            </w:r>
            <w:r>
              <w:rPr>
                <w:rFonts w:ascii="Times New Roman" w:hAnsi="Times New Roman" w:cs="Times New Roman"/>
                <w:snapToGrid w:val="0"/>
                <w:color w:val="000000" w:themeColor="text1"/>
                <w:sz w:val="21"/>
                <w:szCs w:val="21"/>
                <w:u w:val="none"/>
                <w14:textFill>
                  <w14:solidFill>
                    <w14:schemeClr w14:val="tx1"/>
                  </w14:solidFill>
                </w14:textFill>
              </w:rPr>
              <w:t>&gt;0.05；或</w:t>
            </w:r>
          </w:p>
          <w:p>
            <w:pPr>
              <w:pStyle w:val="124"/>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1.5&gt;A</w:t>
            </w:r>
            <w:r>
              <w:rPr>
                <w:rFonts w:ascii="Times New Roman" w:hAnsi="Times New Roman" w:cs="Times New Roman"/>
                <w:snapToGrid w:val="0"/>
                <w:color w:val="000000" w:themeColor="text1"/>
                <w:sz w:val="21"/>
                <w:szCs w:val="21"/>
                <w:u w:val="none"/>
                <w:vertAlign w:val="subscript"/>
                <w14:textFill>
                  <w14:solidFill>
                    <w14:schemeClr w14:val="tx1"/>
                  </w14:solidFill>
                </w14:textFill>
              </w:rPr>
              <w:t>2</w:t>
            </w:r>
            <w:r>
              <w:rPr>
                <w:rFonts w:ascii="Times New Roman" w:hAnsi="Times New Roman" w:cs="Times New Roman"/>
                <w:snapToGrid w:val="0"/>
                <w:color w:val="000000" w:themeColor="text1"/>
                <w:sz w:val="21"/>
                <w:szCs w:val="21"/>
                <w:u w:val="none"/>
                <w14:textFill>
                  <w14:solidFill>
                    <w14:schemeClr w14:val="tx1"/>
                  </w14:solidFill>
                </w14:textFill>
              </w:rPr>
              <w:t>&gt;0.2；或20&gt;R&gt;5</w:t>
            </w:r>
          </w:p>
        </w:tc>
        <w:tc>
          <w:tcPr>
            <w:tcW w:w="894" w:type="pc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0.5&gt;A</w:t>
            </w:r>
            <w:r>
              <w:rPr>
                <w:rFonts w:ascii="Times New Roman" w:hAnsi="Times New Roman" w:cs="Times New Roman"/>
                <w:snapToGrid w:val="0"/>
                <w:color w:val="000000" w:themeColor="text1"/>
                <w:sz w:val="21"/>
                <w:szCs w:val="21"/>
                <w:u w:val="none"/>
                <w:vertAlign w:val="subscript"/>
                <w14:textFill>
                  <w14:solidFill>
                    <w14:schemeClr w14:val="tx1"/>
                  </w14:solidFill>
                </w14:textFill>
              </w:rPr>
              <w:t>1</w:t>
            </w:r>
            <w:r>
              <w:rPr>
                <w:rFonts w:ascii="Times New Roman" w:hAnsi="Times New Roman" w:cs="Times New Roman"/>
                <w:snapToGrid w:val="0"/>
                <w:color w:val="000000" w:themeColor="text1"/>
                <w:sz w:val="21"/>
                <w:szCs w:val="21"/>
                <w:u w:val="none"/>
                <w14:textFill>
                  <w14:solidFill>
                    <w14:schemeClr w14:val="tx1"/>
                  </w14:solidFill>
                </w14:textFill>
              </w:rPr>
              <w:t>&gt;0.15；或3&gt;A</w:t>
            </w:r>
            <w:r>
              <w:rPr>
                <w:rFonts w:ascii="Times New Roman" w:hAnsi="Times New Roman" w:cs="Times New Roman"/>
                <w:snapToGrid w:val="0"/>
                <w:color w:val="000000" w:themeColor="text1"/>
                <w:sz w:val="21"/>
                <w:szCs w:val="21"/>
                <w:u w:val="none"/>
                <w:vertAlign w:val="subscript"/>
                <w14:textFill>
                  <w14:solidFill>
                    <w14:schemeClr w14:val="tx1"/>
                  </w14:solidFill>
                </w14:textFill>
              </w:rPr>
              <w:t>2</w:t>
            </w:r>
            <w:r>
              <w:rPr>
                <w:rFonts w:ascii="Times New Roman" w:hAnsi="Times New Roman" w:cs="Times New Roman"/>
                <w:snapToGrid w:val="0"/>
                <w:color w:val="000000" w:themeColor="text1"/>
                <w:sz w:val="21"/>
                <w:szCs w:val="21"/>
                <w:u w:val="none"/>
                <w14:textFill>
                  <w14:solidFill>
                    <w14:schemeClr w14:val="tx1"/>
                  </w14:solidFill>
                </w14:textFill>
              </w:rPr>
              <w:t>&gt;0.5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8" w:hRule="atLeast"/>
        </w:trPr>
        <w:tc>
          <w:tcPr>
            <w:tcW w:w="351" w:type="pc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三级</w:t>
            </w:r>
          </w:p>
        </w:tc>
        <w:tc>
          <w:tcPr>
            <w:tcW w:w="581" w:type="pc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α≥20；或混合型</w:t>
            </w:r>
          </w:p>
        </w:tc>
        <w:tc>
          <w:tcPr>
            <w:tcW w:w="676" w:type="pc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β≤2；或无调节</w:t>
            </w:r>
          </w:p>
        </w:tc>
        <w:tc>
          <w:tcPr>
            <w:tcW w:w="509" w:type="pc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14:textFill>
                  <w14:solidFill>
                    <w14:schemeClr w14:val="tx1"/>
                  </w14:solidFill>
                </w14:textFill>
              </w:rPr>
            </w:pPr>
            <w:r>
              <w:rPr>
                <w:rFonts w:ascii="Times New Roman" w:hAnsi="Times New Roman" w:cs="Times New Roman"/>
                <w:snapToGrid w:val="0"/>
                <w:color w:val="000000" w:themeColor="text1"/>
                <w:sz w:val="21"/>
                <w:szCs w:val="21"/>
                <w:u w:val="none"/>
                <w14:textFill>
                  <w14:solidFill>
                    <w14:schemeClr w14:val="tx1"/>
                  </w14:solidFill>
                </w14:textFill>
              </w:rPr>
              <w:t>γ≤10</w:t>
            </w:r>
          </w:p>
        </w:tc>
        <w:tc>
          <w:tcPr>
            <w:tcW w:w="941" w:type="pc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lang w:val="en-US"/>
                <w14:textFill>
                  <w14:solidFill>
                    <w14:schemeClr w14:val="tx1"/>
                  </w14:solidFill>
                </w14:textFill>
              </w:rPr>
            </w:pPr>
            <w:r>
              <w:rPr>
                <w:rFonts w:ascii="Times New Roman" w:hAnsi="Times New Roman" w:cs="Times New Roman"/>
                <w:snapToGrid w:val="0"/>
                <w:color w:val="000000" w:themeColor="text1"/>
                <w:sz w:val="21"/>
                <w:szCs w:val="21"/>
                <w:u w:val="none"/>
                <w:lang w:val="en-US"/>
                <w14:textFill>
                  <w14:solidFill>
                    <w14:schemeClr w14:val="tx1"/>
                  </w14:solidFill>
                </w14:textFill>
              </w:rPr>
              <w:t>A</w:t>
            </w:r>
            <w:r>
              <w:rPr>
                <w:rFonts w:ascii="Times New Roman" w:hAnsi="Times New Roman" w:cs="Times New Roman"/>
                <w:snapToGrid w:val="0"/>
                <w:color w:val="000000" w:themeColor="text1"/>
                <w:sz w:val="21"/>
                <w:szCs w:val="21"/>
                <w:u w:val="none"/>
                <w:vertAlign w:val="subscript"/>
                <w:lang w:val="en-US"/>
                <w14:textFill>
                  <w14:solidFill>
                    <w14:schemeClr w14:val="tx1"/>
                  </w14:solidFill>
                </w14:textFill>
              </w:rPr>
              <w:t>1</w:t>
            </w:r>
            <w:r>
              <w:rPr>
                <w:rFonts w:ascii="Times New Roman" w:hAnsi="Times New Roman" w:cs="Times New Roman"/>
                <w:snapToGrid w:val="0"/>
                <w:color w:val="000000" w:themeColor="text1"/>
                <w:sz w:val="21"/>
                <w:szCs w:val="21"/>
                <w:u w:val="none"/>
                <w:lang w:val="en-US"/>
                <w14:textFill>
                  <w14:solidFill>
                    <w14:schemeClr w14:val="tx1"/>
                  </w14:solidFill>
                </w14:textFill>
              </w:rPr>
              <w:t>≤0.05；</w:t>
            </w:r>
            <w:r>
              <w:rPr>
                <w:rFonts w:ascii="Times New Roman" w:hAnsi="Times New Roman" w:cs="Times New Roman"/>
                <w:snapToGrid w:val="0"/>
                <w:color w:val="000000" w:themeColor="text1"/>
                <w:sz w:val="21"/>
                <w:szCs w:val="21"/>
                <w:u w:val="none"/>
                <w14:textFill>
                  <w14:solidFill>
                    <w14:schemeClr w14:val="tx1"/>
                  </w14:solidFill>
                </w14:textFill>
              </w:rPr>
              <w:t>或</w:t>
            </w:r>
            <w:r>
              <w:rPr>
                <w:rFonts w:ascii="Times New Roman" w:hAnsi="Times New Roman" w:cs="Times New Roman"/>
                <w:snapToGrid w:val="0"/>
                <w:color w:val="000000" w:themeColor="text1"/>
                <w:sz w:val="21"/>
                <w:szCs w:val="21"/>
                <w:u w:val="none"/>
                <w:lang w:val="en-US"/>
                <w14:textFill>
                  <w14:solidFill>
                    <w14:schemeClr w14:val="tx1"/>
                  </w14:solidFill>
                </w14:textFill>
              </w:rPr>
              <w:t>A</w:t>
            </w:r>
            <w:r>
              <w:rPr>
                <w:rFonts w:ascii="Times New Roman" w:hAnsi="Times New Roman" w:cs="Times New Roman"/>
                <w:snapToGrid w:val="0"/>
                <w:color w:val="000000" w:themeColor="text1"/>
                <w:sz w:val="21"/>
                <w:szCs w:val="21"/>
                <w:u w:val="none"/>
                <w:vertAlign w:val="subscript"/>
                <w:lang w:val="en-US"/>
                <w14:textFill>
                  <w14:solidFill>
                    <w14:schemeClr w14:val="tx1"/>
                  </w14:solidFill>
                </w14:textFill>
              </w:rPr>
              <w:t>2</w:t>
            </w:r>
            <w:r>
              <w:rPr>
                <w:rFonts w:ascii="Times New Roman" w:hAnsi="Times New Roman" w:cs="Times New Roman"/>
                <w:snapToGrid w:val="0"/>
                <w:color w:val="000000" w:themeColor="text1"/>
                <w:sz w:val="21"/>
                <w:szCs w:val="21"/>
                <w:u w:val="none"/>
                <w:lang w:val="en-US"/>
                <w14:textFill>
                  <w14:solidFill>
                    <w14:schemeClr w14:val="tx1"/>
                  </w14:solidFill>
                </w14:textFill>
              </w:rPr>
              <w:t>≤0.2；</w:t>
            </w:r>
            <w:r>
              <w:rPr>
                <w:rFonts w:ascii="Times New Roman" w:hAnsi="Times New Roman" w:cs="Times New Roman"/>
                <w:snapToGrid w:val="0"/>
                <w:color w:val="000000" w:themeColor="text1"/>
                <w:sz w:val="21"/>
                <w:szCs w:val="21"/>
                <w:u w:val="none"/>
                <w14:textFill>
                  <w14:solidFill>
                    <w14:schemeClr w14:val="tx1"/>
                  </w14:solidFill>
                </w14:textFill>
              </w:rPr>
              <w:t>或</w:t>
            </w:r>
            <w:r>
              <w:rPr>
                <w:rFonts w:ascii="Times New Roman" w:hAnsi="Times New Roman" w:cs="Times New Roman"/>
                <w:snapToGrid w:val="0"/>
                <w:color w:val="000000" w:themeColor="text1"/>
                <w:sz w:val="21"/>
                <w:szCs w:val="21"/>
                <w:u w:val="none"/>
                <w:lang w:val="en-US"/>
                <w14:textFill>
                  <w14:solidFill>
                    <w14:schemeClr w14:val="tx1"/>
                  </w14:solidFill>
                </w14:textFill>
              </w:rPr>
              <w:t>R≤5</w:t>
            </w:r>
          </w:p>
        </w:tc>
        <w:tc>
          <w:tcPr>
            <w:tcW w:w="1048" w:type="pc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lang w:val="en-US"/>
                <w14:textFill>
                  <w14:solidFill>
                    <w14:schemeClr w14:val="tx1"/>
                  </w14:solidFill>
                </w14:textFill>
              </w:rPr>
            </w:pPr>
            <w:r>
              <w:rPr>
                <w:rFonts w:ascii="Times New Roman" w:hAnsi="Times New Roman" w:cs="Times New Roman"/>
                <w:snapToGrid w:val="0"/>
                <w:color w:val="000000" w:themeColor="text1"/>
                <w:sz w:val="21"/>
                <w:szCs w:val="21"/>
                <w:u w:val="none"/>
                <w:lang w:val="en-US"/>
                <w14:textFill>
                  <w14:solidFill>
                    <w14:schemeClr w14:val="tx1"/>
                  </w14:solidFill>
                </w14:textFill>
              </w:rPr>
              <w:t>A</w:t>
            </w:r>
            <w:r>
              <w:rPr>
                <w:rFonts w:ascii="Times New Roman" w:hAnsi="Times New Roman" w:cs="Times New Roman"/>
                <w:snapToGrid w:val="0"/>
                <w:color w:val="000000" w:themeColor="text1"/>
                <w:sz w:val="21"/>
                <w:szCs w:val="21"/>
                <w:u w:val="none"/>
                <w:vertAlign w:val="subscript"/>
                <w:lang w:val="en-US"/>
                <w14:textFill>
                  <w14:solidFill>
                    <w14:schemeClr w14:val="tx1"/>
                  </w14:solidFill>
                </w14:textFill>
              </w:rPr>
              <w:t>1</w:t>
            </w:r>
            <w:r>
              <w:rPr>
                <w:rFonts w:ascii="Times New Roman" w:hAnsi="Times New Roman" w:cs="Times New Roman"/>
                <w:snapToGrid w:val="0"/>
                <w:color w:val="000000" w:themeColor="text1"/>
                <w:sz w:val="21"/>
                <w:szCs w:val="21"/>
                <w:u w:val="none"/>
                <w:lang w:val="en-US"/>
                <w14:textFill>
                  <w14:solidFill>
                    <w14:schemeClr w14:val="tx1"/>
                  </w14:solidFill>
                </w14:textFill>
              </w:rPr>
              <w:t>≤0.05；</w:t>
            </w:r>
            <w:r>
              <w:rPr>
                <w:rFonts w:ascii="Times New Roman" w:hAnsi="Times New Roman" w:cs="Times New Roman"/>
                <w:snapToGrid w:val="0"/>
                <w:color w:val="000000" w:themeColor="text1"/>
                <w:sz w:val="21"/>
                <w:szCs w:val="21"/>
                <w:u w:val="none"/>
                <w14:textFill>
                  <w14:solidFill>
                    <w14:schemeClr w14:val="tx1"/>
                  </w14:solidFill>
                </w14:textFill>
              </w:rPr>
              <w:t>或</w:t>
            </w:r>
            <w:r>
              <w:rPr>
                <w:rFonts w:ascii="Times New Roman" w:hAnsi="Times New Roman" w:cs="Times New Roman"/>
                <w:snapToGrid w:val="0"/>
                <w:color w:val="000000" w:themeColor="text1"/>
                <w:sz w:val="21"/>
                <w:szCs w:val="21"/>
                <w:u w:val="none"/>
                <w:lang w:val="en-US"/>
                <w14:textFill>
                  <w14:solidFill>
                    <w14:schemeClr w14:val="tx1"/>
                  </w14:solidFill>
                </w14:textFill>
              </w:rPr>
              <w:t>A</w:t>
            </w:r>
            <w:r>
              <w:rPr>
                <w:rFonts w:ascii="Times New Roman" w:hAnsi="Times New Roman" w:cs="Times New Roman"/>
                <w:snapToGrid w:val="0"/>
                <w:color w:val="000000" w:themeColor="text1"/>
                <w:sz w:val="21"/>
                <w:szCs w:val="21"/>
                <w:u w:val="none"/>
                <w:vertAlign w:val="subscript"/>
                <w:lang w:val="en-US"/>
                <w14:textFill>
                  <w14:solidFill>
                    <w14:schemeClr w14:val="tx1"/>
                  </w14:solidFill>
                </w14:textFill>
              </w:rPr>
              <w:t>2</w:t>
            </w:r>
            <w:r>
              <w:rPr>
                <w:rFonts w:ascii="Times New Roman" w:hAnsi="Times New Roman" w:cs="Times New Roman"/>
                <w:snapToGrid w:val="0"/>
                <w:color w:val="000000" w:themeColor="text1"/>
                <w:sz w:val="21"/>
                <w:szCs w:val="21"/>
                <w:u w:val="none"/>
                <w:lang w:val="en-US"/>
                <w14:textFill>
                  <w14:solidFill>
                    <w14:schemeClr w14:val="tx1"/>
                  </w14:solidFill>
                </w14:textFill>
              </w:rPr>
              <w:t>≤0.2；</w:t>
            </w:r>
            <w:r>
              <w:rPr>
                <w:rFonts w:ascii="Times New Roman" w:hAnsi="Times New Roman" w:cs="Times New Roman"/>
                <w:snapToGrid w:val="0"/>
                <w:color w:val="000000" w:themeColor="text1"/>
                <w:sz w:val="21"/>
                <w:szCs w:val="21"/>
                <w:u w:val="none"/>
                <w14:textFill>
                  <w14:solidFill>
                    <w14:schemeClr w14:val="tx1"/>
                  </w14:solidFill>
                </w14:textFill>
              </w:rPr>
              <w:t>或</w:t>
            </w:r>
            <w:r>
              <w:rPr>
                <w:rFonts w:ascii="Times New Roman" w:hAnsi="Times New Roman" w:cs="Times New Roman"/>
                <w:snapToGrid w:val="0"/>
                <w:color w:val="000000" w:themeColor="text1"/>
                <w:sz w:val="21"/>
                <w:szCs w:val="21"/>
                <w:u w:val="none"/>
                <w:lang w:val="en-US"/>
                <w14:textFill>
                  <w14:solidFill>
                    <w14:schemeClr w14:val="tx1"/>
                  </w14:solidFill>
                </w14:textFill>
              </w:rPr>
              <w:t>R≤5</w:t>
            </w:r>
          </w:p>
        </w:tc>
        <w:tc>
          <w:tcPr>
            <w:tcW w:w="894" w:type="pct"/>
            <w:vAlign w:val="center"/>
          </w:tcPr>
          <w:p>
            <w:pPr>
              <w:pStyle w:val="124"/>
              <w:autoSpaceDE/>
              <w:autoSpaceDN/>
              <w:adjustRightInd w:val="0"/>
              <w:snapToGrid w:val="0"/>
              <w:rPr>
                <w:rFonts w:ascii="Times New Roman" w:hAnsi="Times New Roman" w:cs="Times New Roman"/>
                <w:snapToGrid w:val="0"/>
                <w:color w:val="000000" w:themeColor="text1"/>
                <w:sz w:val="21"/>
                <w:szCs w:val="21"/>
                <w:u w:val="none"/>
                <w:lang w:val="en-US"/>
                <w14:textFill>
                  <w14:solidFill>
                    <w14:schemeClr w14:val="tx1"/>
                  </w14:solidFill>
                </w14:textFill>
              </w:rPr>
            </w:pPr>
            <w:r>
              <w:rPr>
                <w:rFonts w:ascii="Times New Roman" w:hAnsi="Times New Roman" w:cs="Times New Roman"/>
                <w:snapToGrid w:val="0"/>
                <w:color w:val="000000" w:themeColor="text1"/>
                <w:sz w:val="21"/>
                <w:szCs w:val="21"/>
                <w:u w:val="none"/>
                <w:lang w:val="en-US"/>
                <w14:textFill>
                  <w14:solidFill>
                    <w14:schemeClr w14:val="tx1"/>
                  </w14:solidFill>
                </w14:textFill>
              </w:rPr>
              <w:t>A</w:t>
            </w:r>
            <w:r>
              <w:rPr>
                <w:rFonts w:ascii="Times New Roman" w:hAnsi="Times New Roman" w:cs="Times New Roman"/>
                <w:snapToGrid w:val="0"/>
                <w:color w:val="000000" w:themeColor="text1"/>
                <w:sz w:val="21"/>
                <w:szCs w:val="21"/>
                <w:u w:val="none"/>
                <w:vertAlign w:val="subscript"/>
                <w:lang w:val="en-US"/>
                <w14:textFill>
                  <w14:solidFill>
                    <w14:schemeClr w14:val="tx1"/>
                  </w14:solidFill>
                </w14:textFill>
              </w:rPr>
              <w:t>1</w:t>
            </w:r>
            <w:r>
              <w:rPr>
                <w:rFonts w:ascii="Times New Roman" w:hAnsi="Times New Roman" w:cs="Times New Roman"/>
                <w:snapToGrid w:val="0"/>
                <w:color w:val="000000" w:themeColor="text1"/>
                <w:sz w:val="21"/>
                <w:szCs w:val="21"/>
                <w:u w:val="none"/>
                <w:lang w:val="en-US"/>
                <w14:textFill>
                  <w14:solidFill>
                    <w14:schemeClr w14:val="tx1"/>
                  </w14:solidFill>
                </w14:textFill>
              </w:rPr>
              <w:t>≤0.15；或A</w:t>
            </w:r>
            <w:r>
              <w:rPr>
                <w:rFonts w:ascii="Times New Roman" w:hAnsi="Times New Roman" w:cs="Times New Roman"/>
                <w:snapToGrid w:val="0"/>
                <w:color w:val="000000" w:themeColor="text1"/>
                <w:sz w:val="21"/>
                <w:szCs w:val="21"/>
                <w:u w:val="none"/>
                <w:vertAlign w:val="subscript"/>
                <w:lang w:val="en-US"/>
                <w14:textFill>
                  <w14:solidFill>
                    <w14:schemeClr w14:val="tx1"/>
                  </w14:solidFill>
                </w14:textFill>
              </w:rPr>
              <w:t>2</w:t>
            </w:r>
            <w:r>
              <w:rPr>
                <w:rFonts w:ascii="Times New Roman" w:hAnsi="Times New Roman" w:cs="Times New Roman"/>
                <w:snapToGrid w:val="0"/>
                <w:color w:val="000000" w:themeColor="text1"/>
                <w:sz w:val="21"/>
                <w:szCs w:val="21"/>
                <w:u w:val="none"/>
                <w:lang w:val="en-US"/>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8" w:hRule="atLeast"/>
        </w:trPr>
        <w:tc>
          <w:tcPr>
            <w:tcW w:w="5000" w:type="pct"/>
            <w:gridSpan w:val="7"/>
            <w:vAlign w:val="center"/>
          </w:tcPr>
          <w:p>
            <w:pPr>
              <w:autoSpaceDE/>
              <w:autoSpaceDN/>
              <w:adjustRightInd w:val="0"/>
              <w:snapToGrid w:val="0"/>
              <w:jc w:val="both"/>
              <w:rPr>
                <w:rFonts w:ascii="Times New Roman" w:hAnsi="Times New Roman" w:cs="Times New Roman"/>
                <w:snapToGrid w:val="0"/>
                <w:color w:val="000000" w:themeColor="text1"/>
                <w:sz w:val="21"/>
                <w:u w:val="none"/>
                <w14:textFill>
                  <w14:solidFill>
                    <w14:schemeClr w14:val="tx1"/>
                  </w14:solidFill>
                </w14:textFill>
              </w:rPr>
            </w:pPr>
            <w:r>
              <w:rPr>
                <w:rFonts w:ascii="Times New Roman" w:hAnsi="Times New Roman" w:cs="Times New Roman"/>
                <w:snapToGrid w:val="0"/>
                <w:color w:val="000000" w:themeColor="text1"/>
                <w:sz w:val="21"/>
                <w:u w:val="none"/>
                <w14:textFill>
                  <w14:solidFill>
                    <w14:schemeClr w14:val="tx1"/>
                  </w14:solidFill>
                </w14:textFill>
              </w:rPr>
              <w:t>注 1：影响范围涉及饮用水水源保护区、重点保护与珍稀水生生物的栖息地、重要水生生物的自然产卵场、自然保护区等保护目标，评价等级应不低于二级。</w:t>
            </w:r>
          </w:p>
          <w:p>
            <w:pPr>
              <w:autoSpaceDE/>
              <w:autoSpaceDN/>
              <w:adjustRightInd w:val="0"/>
              <w:snapToGrid w:val="0"/>
              <w:jc w:val="both"/>
              <w:rPr>
                <w:rFonts w:ascii="Times New Roman" w:hAnsi="Times New Roman" w:cs="Times New Roman"/>
                <w:snapToGrid w:val="0"/>
                <w:color w:val="000000" w:themeColor="text1"/>
                <w:sz w:val="21"/>
                <w:u w:val="none"/>
                <w14:textFill>
                  <w14:solidFill>
                    <w14:schemeClr w14:val="tx1"/>
                  </w14:solidFill>
                </w14:textFill>
              </w:rPr>
            </w:pPr>
            <w:r>
              <w:rPr>
                <w:rFonts w:ascii="Times New Roman" w:hAnsi="Times New Roman" w:cs="Times New Roman"/>
                <w:snapToGrid w:val="0"/>
                <w:color w:val="000000" w:themeColor="text1"/>
                <w:sz w:val="21"/>
                <w:u w:val="none"/>
                <w14:textFill>
                  <w14:solidFill>
                    <w14:schemeClr w14:val="tx1"/>
                  </w14:solidFill>
                </w14:textFill>
              </w:rPr>
              <w:t>2：跨流域调水、引水式电站、可能受到河流感潮河段影响，评价等级不低于二级。</w:t>
            </w:r>
          </w:p>
          <w:p>
            <w:pPr>
              <w:autoSpaceDE/>
              <w:autoSpaceDN/>
              <w:adjustRightInd w:val="0"/>
              <w:snapToGrid w:val="0"/>
              <w:jc w:val="both"/>
              <w:rPr>
                <w:rFonts w:ascii="Times New Roman" w:hAnsi="Times New Roman" w:cs="Times New Roman"/>
                <w:snapToGrid w:val="0"/>
                <w:color w:val="000000" w:themeColor="text1"/>
                <w:sz w:val="21"/>
                <w:u w:val="none"/>
                <w14:textFill>
                  <w14:solidFill>
                    <w14:schemeClr w14:val="tx1"/>
                  </w14:solidFill>
                </w14:textFill>
              </w:rPr>
            </w:pPr>
            <w:r>
              <w:rPr>
                <w:rFonts w:ascii="Times New Roman" w:hAnsi="Times New Roman" w:cs="Times New Roman"/>
                <w:snapToGrid w:val="0"/>
                <w:color w:val="000000" w:themeColor="text1"/>
                <w:sz w:val="21"/>
                <w:u w:val="none"/>
                <w14:textFill>
                  <w14:solidFill>
                    <w14:schemeClr w14:val="tx1"/>
                  </w14:solidFill>
                </w14:textFill>
              </w:rPr>
              <w:t>3：造成入海河口(湾口)宽度束窄(束窄尺度达到原宽度的5%以上)，评价等级应不低于二级。</w:t>
            </w:r>
          </w:p>
          <w:p>
            <w:pPr>
              <w:autoSpaceDE/>
              <w:autoSpaceDN/>
              <w:adjustRightInd w:val="0"/>
              <w:snapToGrid w:val="0"/>
              <w:jc w:val="both"/>
              <w:rPr>
                <w:rFonts w:ascii="Times New Roman" w:hAnsi="Times New Roman" w:cs="Times New Roman"/>
                <w:snapToGrid w:val="0"/>
                <w:color w:val="000000" w:themeColor="text1"/>
                <w:sz w:val="21"/>
                <w:u w:val="none"/>
                <w14:textFill>
                  <w14:solidFill>
                    <w14:schemeClr w14:val="tx1"/>
                  </w14:solidFill>
                </w14:textFill>
              </w:rPr>
            </w:pPr>
            <w:r>
              <w:rPr>
                <w:rFonts w:ascii="Times New Roman" w:hAnsi="Times New Roman" w:cs="Times New Roman"/>
                <w:snapToGrid w:val="0"/>
                <w:color w:val="000000" w:themeColor="text1"/>
                <w:sz w:val="21"/>
                <w:u w:val="none"/>
                <w14:textFill>
                  <w14:solidFill>
                    <w14:schemeClr w14:val="tx1"/>
                  </w14:solidFill>
                </w14:textFill>
              </w:rPr>
              <w:t>4：对不透水的单方向建筑尺度较长的水工建筑物(如防波堤、导流堤等)，其与潮流或水流主流向切线垂直方向投影长度大于 2 km 时，评价等级应不低于二级。</w:t>
            </w:r>
          </w:p>
          <w:p>
            <w:pPr>
              <w:autoSpaceDE/>
              <w:autoSpaceDN/>
              <w:adjustRightInd w:val="0"/>
              <w:snapToGrid w:val="0"/>
              <w:jc w:val="both"/>
              <w:rPr>
                <w:rFonts w:ascii="Times New Roman" w:hAnsi="Times New Roman" w:cs="Times New Roman"/>
                <w:snapToGrid w:val="0"/>
                <w:color w:val="000000" w:themeColor="text1"/>
                <w:sz w:val="21"/>
                <w:u w:val="none"/>
                <w14:textFill>
                  <w14:solidFill>
                    <w14:schemeClr w14:val="tx1"/>
                  </w14:solidFill>
                </w14:textFill>
              </w:rPr>
            </w:pPr>
            <w:r>
              <w:rPr>
                <w:rFonts w:ascii="Times New Roman" w:hAnsi="Times New Roman" w:cs="Times New Roman"/>
                <w:snapToGrid w:val="0"/>
                <w:color w:val="000000" w:themeColor="text1"/>
                <w:sz w:val="21"/>
                <w:u w:val="none"/>
                <w14:textFill>
                  <w14:solidFill>
                    <w14:schemeClr w14:val="tx1"/>
                  </w14:solidFill>
                </w14:textFill>
              </w:rPr>
              <w:t>5：允许在一类海域建设的项目，评价等级为一级。</w:t>
            </w:r>
          </w:p>
          <w:p>
            <w:pPr>
              <w:autoSpaceDE/>
              <w:autoSpaceDN/>
              <w:adjustRightInd w:val="0"/>
              <w:snapToGrid w:val="0"/>
              <w:jc w:val="both"/>
              <w:rPr>
                <w:rFonts w:ascii="Times New Roman" w:hAnsi="Times New Roman" w:cs="Times New Roman"/>
                <w:snapToGrid w:val="0"/>
                <w:color w:val="000000" w:themeColor="text1"/>
                <w:sz w:val="21"/>
                <w:u w:val="none"/>
                <w14:textFill>
                  <w14:solidFill>
                    <w14:schemeClr w14:val="tx1"/>
                  </w14:solidFill>
                </w14:textFill>
              </w:rPr>
            </w:pPr>
            <w:r>
              <w:rPr>
                <w:rFonts w:ascii="Times New Roman" w:hAnsi="Times New Roman" w:cs="Times New Roman"/>
                <w:snapToGrid w:val="0"/>
                <w:color w:val="000000" w:themeColor="text1"/>
                <w:sz w:val="21"/>
                <w:u w:val="none"/>
                <w14:textFill>
                  <w14:solidFill>
                    <w14:schemeClr w14:val="tx1"/>
                  </w14:solidFill>
                </w14:textFill>
              </w:rPr>
              <w:t>6：同时存在多个水文要素影响的建设项目，分别判定各水文要素影响评价等级，并取其中最高等级作为水文要素影响型建设项目评价等级。</w:t>
            </w:r>
          </w:p>
        </w:tc>
      </w:tr>
    </w:tbl>
    <w:p>
      <w:pPr>
        <w:tabs>
          <w:tab w:val="left" w:pos="1322"/>
        </w:tabs>
        <w:autoSpaceDE/>
        <w:autoSpaceDN/>
        <w:adjustRightInd w:val="0"/>
        <w:snapToGrid w:val="0"/>
        <w:spacing w:line="360" w:lineRule="auto"/>
        <w:ind w:firstLine="480" w:firstLineChars="200"/>
        <w:jc w:val="both"/>
        <w:rPr>
          <w:rFonts w:ascii="Times New Roman" w:hAnsi="Times New Roman" w:cs="Times New Roman"/>
          <w:snapToGrid w:val="0"/>
          <w:sz w:val="24"/>
        </w:rPr>
      </w:pPr>
      <w:r>
        <w:rPr>
          <w:rFonts w:ascii="Times New Roman" w:hAnsi="Times New Roman" w:cs="Times New Roman"/>
          <w:snapToGrid w:val="0"/>
          <w:sz w:val="24"/>
        </w:rPr>
        <w:t>（3）地下水环境</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根据《环境影响评价技术导则 地下水环境》（HJ610-2016），地下水环境评价工作等级的划分应依据建设项目行业分类和地下水环境敏感程度分级进行判定。</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hint="eastAsia"/>
          <w:snapToGrid w:val="0"/>
        </w:rPr>
        <w:t>①</w:t>
      </w:r>
      <w:r>
        <w:rPr>
          <w:rFonts w:ascii="Times New Roman" w:hAnsi="Times New Roman" w:cs="Times New Roman"/>
          <w:snapToGrid w:val="0"/>
        </w:rPr>
        <w:t>、建设项目行业分类</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根据附录A—地下水环境影响评价行业分类表，本项目属于河湖整治工程，涉及</w:t>
      </w:r>
      <w:r>
        <w:rPr>
          <w:rFonts w:hint="eastAsia" w:ascii="Times New Roman" w:hAnsi="Times New Roman" w:cs="Times New Roman"/>
          <w:snapToGrid w:val="0"/>
          <w:lang w:eastAsia="zh-CN"/>
        </w:rPr>
        <w:t>饮用水源保护区</w:t>
      </w:r>
      <w:r>
        <w:rPr>
          <w:rFonts w:ascii="Times New Roman" w:hAnsi="Times New Roman" w:cs="Times New Roman"/>
          <w:snapToGrid w:val="0"/>
        </w:rPr>
        <w:t>，地下水环境影响评价项目类别为Ⅲ类。</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hint="eastAsia"/>
          <w:snapToGrid w:val="0"/>
        </w:rPr>
        <w:t>②</w:t>
      </w:r>
      <w:r>
        <w:rPr>
          <w:rFonts w:ascii="Times New Roman" w:hAnsi="Times New Roman" w:cs="Times New Roman"/>
          <w:snapToGrid w:val="0"/>
        </w:rPr>
        <w:t>、地下水环境敏感程度分级</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项目</w:t>
      </w:r>
      <w:r>
        <w:rPr>
          <w:rFonts w:hint="eastAsia" w:ascii="Times New Roman" w:hAnsi="Times New Roman" w:cs="Times New Roman"/>
          <w:snapToGrid w:val="0"/>
          <w:lang w:eastAsia="zh-CN"/>
        </w:rPr>
        <w:t>涉及</w:t>
      </w:r>
      <w:r>
        <w:rPr>
          <w:rFonts w:ascii="Times New Roman" w:hAnsi="Times New Roman" w:cs="Times New Roman"/>
          <w:snapToGrid w:val="0"/>
        </w:rPr>
        <w:t>集中式饮用水水源（包括已建成的在用、备用、应急水源，在建和规划的饮用水水源）准保护区。</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因此，本项目地下水环境敏感程度为敏感。</w:t>
      </w:r>
    </w:p>
    <w:p>
      <w:pPr>
        <w:pStyle w:val="714"/>
        <w:rPr>
          <w:rFonts w:ascii="Times New Roman" w:hAnsi="Times New Roman" w:cs="Times New Roman"/>
        </w:rPr>
      </w:pPr>
      <w:r>
        <w:rPr>
          <w:rFonts w:ascii="Times New Roman" w:hAnsi="Times New Roman" w:cs="Times New Roman"/>
        </w:rPr>
        <w:t>建设项目地下水环境影响评价工作等级划分见</w:t>
      </w:r>
      <w:r>
        <w:rPr>
          <w:rFonts w:ascii="Times New Roman" w:hAnsi="Times New Roman" w:cs="Times New Roman"/>
          <w:snapToGrid w:val="0"/>
        </w:rPr>
        <w:t>表2.4-2</w:t>
      </w:r>
      <w:r>
        <w:rPr>
          <w:rFonts w:ascii="Times New Roman" w:hAnsi="Times New Roman" w:cs="Times New Roman"/>
        </w:rPr>
        <w:t>。</w:t>
      </w:r>
    </w:p>
    <w:p>
      <w:pPr>
        <w:pStyle w:val="2"/>
        <w:autoSpaceDE/>
        <w:autoSpaceDN/>
        <w:adjustRightInd w:val="0"/>
        <w:snapToGrid w:val="0"/>
        <w:spacing w:before="0" w:line="360" w:lineRule="auto"/>
        <w:ind w:left="0"/>
        <w:jc w:val="center"/>
        <w:rPr>
          <w:rFonts w:ascii="Times New Roman" w:hAnsi="Times New Roman" w:cs="Times New Roman"/>
          <w:b/>
          <w:snapToGrid w:val="0"/>
        </w:rPr>
      </w:pPr>
      <w:r>
        <w:rPr>
          <w:rFonts w:ascii="Times New Roman" w:hAnsi="Times New Roman" w:cs="Times New Roman"/>
          <w:b/>
          <w:snapToGrid w:val="0"/>
        </w:rPr>
        <w:t>表2.4-2   评价工作等级分级表</w:t>
      </w:r>
    </w:p>
    <w:tbl>
      <w:tblPr>
        <w:tblStyle w:val="89"/>
        <w:tblW w:w="86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2089"/>
        <w:gridCol w:w="2145"/>
        <w:gridCol w:w="21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1" w:type="dxa"/>
            <w:tcBorders>
              <w:tl2br w:val="single" w:color="auto" w:sz="4" w:space="0"/>
            </w:tcBorders>
            <w:vAlign w:val="center"/>
          </w:tcPr>
          <w:p>
            <w:pPr>
              <w:pStyle w:val="2958"/>
              <w:rPr>
                <w:lang w:eastAsia="zh-CN"/>
              </w:rPr>
            </w:pPr>
            <w:r>
              <w:rPr>
                <w:lang w:eastAsia="zh-CN"/>
              </w:rPr>
              <w:t xml:space="preserve">          项目类别</w:t>
            </w:r>
          </w:p>
          <w:p>
            <w:pPr>
              <w:pStyle w:val="2958"/>
              <w:jc w:val="both"/>
              <w:rPr>
                <w:lang w:eastAsia="zh-CN"/>
              </w:rPr>
            </w:pPr>
            <w:r>
              <w:rPr>
                <w:lang w:eastAsia="zh-CN"/>
              </w:rPr>
              <w:t>环境敏感程度</w:t>
            </w:r>
          </w:p>
        </w:tc>
        <w:tc>
          <w:tcPr>
            <w:tcW w:w="2089" w:type="dxa"/>
            <w:vAlign w:val="center"/>
          </w:tcPr>
          <w:p>
            <w:pPr>
              <w:pStyle w:val="2958"/>
            </w:pPr>
            <w:r>
              <w:t>Ⅰ类项目</w:t>
            </w:r>
          </w:p>
        </w:tc>
        <w:tc>
          <w:tcPr>
            <w:tcW w:w="2145" w:type="dxa"/>
            <w:vAlign w:val="center"/>
          </w:tcPr>
          <w:p>
            <w:pPr>
              <w:pStyle w:val="2958"/>
            </w:pPr>
            <w:r>
              <w:t>Ⅱ类项目</w:t>
            </w:r>
          </w:p>
        </w:tc>
        <w:tc>
          <w:tcPr>
            <w:tcW w:w="2145" w:type="dxa"/>
            <w:vAlign w:val="center"/>
          </w:tcPr>
          <w:p>
            <w:pPr>
              <w:pStyle w:val="2958"/>
            </w:pPr>
            <w:r>
              <w:t>Ⅲ类项目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1" w:type="dxa"/>
            <w:vAlign w:val="center"/>
          </w:tcPr>
          <w:p>
            <w:pPr>
              <w:pStyle w:val="2958"/>
            </w:pPr>
            <w:r>
              <w:t>敏感</w:t>
            </w:r>
          </w:p>
        </w:tc>
        <w:tc>
          <w:tcPr>
            <w:tcW w:w="2089" w:type="dxa"/>
            <w:vAlign w:val="center"/>
          </w:tcPr>
          <w:p>
            <w:pPr>
              <w:pStyle w:val="2958"/>
            </w:pPr>
            <w:r>
              <w:t>一</w:t>
            </w:r>
          </w:p>
        </w:tc>
        <w:tc>
          <w:tcPr>
            <w:tcW w:w="2145" w:type="dxa"/>
            <w:vAlign w:val="center"/>
          </w:tcPr>
          <w:p>
            <w:pPr>
              <w:pStyle w:val="2958"/>
            </w:pPr>
            <w:r>
              <w:t>一</w:t>
            </w:r>
          </w:p>
        </w:tc>
        <w:tc>
          <w:tcPr>
            <w:tcW w:w="2145" w:type="dxa"/>
            <w:vAlign w:val="center"/>
          </w:tcPr>
          <w:p>
            <w:pPr>
              <w:pStyle w:val="2958"/>
            </w:pPr>
            <w:r>
              <w:t>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1" w:type="dxa"/>
            <w:vAlign w:val="center"/>
          </w:tcPr>
          <w:p>
            <w:pPr>
              <w:pStyle w:val="2958"/>
            </w:pPr>
            <w:r>
              <w:t>较敏感</w:t>
            </w:r>
          </w:p>
        </w:tc>
        <w:tc>
          <w:tcPr>
            <w:tcW w:w="2089" w:type="dxa"/>
            <w:tcBorders>
              <w:bottom w:val="single" w:color="auto" w:sz="4" w:space="0"/>
            </w:tcBorders>
            <w:vAlign w:val="center"/>
          </w:tcPr>
          <w:p>
            <w:pPr>
              <w:pStyle w:val="2958"/>
            </w:pPr>
            <w:r>
              <w:t>一</w:t>
            </w:r>
          </w:p>
        </w:tc>
        <w:tc>
          <w:tcPr>
            <w:tcW w:w="2145" w:type="dxa"/>
            <w:vAlign w:val="center"/>
          </w:tcPr>
          <w:p>
            <w:pPr>
              <w:pStyle w:val="2958"/>
            </w:pPr>
            <w:r>
              <w:t>二</w:t>
            </w:r>
          </w:p>
        </w:tc>
        <w:tc>
          <w:tcPr>
            <w:tcW w:w="2145" w:type="dxa"/>
            <w:vAlign w:val="center"/>
          </w:tcPr>
          <w:p>
            <w:pPr>
              <w:pStyle w:val="2958"/>
            </w:pPr>
            <w:r>
              <w:t>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1" w:type="dxa"/>
            <w:vAlign w:val="center"/>
          </w:tcPr>
          <w:p>
            <w:pPr>
              <w:pStyle w:val="2958"/>
            </w:pPr>
            <w:r>
              <w:t>不敏感</w:t>
            </w:r>
          </w:p>
        </w:tc>
        <w:tc>
          <w:tcPr>
            <w:tcW w:w="2089" w:type="dxa"/>
            <w:tcBorders>
              <w:top w:val="single" w:color="auto" w:sz="4" w:space="0"/>
              <w:bottom w:val="single" w:color="auto" w:sz="12" w:space="0"/>
            </w:tcBorders>
            <w:shd w:val="clear" w:color="auto" w:fill="auto"/>
            <w:vAlign w:val="center"/>
          </w:tcPr>
          <w:p>
            <w:pPr>
              <w:pStyle w:val="2958"/>
            </w:pPr>
            <w:r>
              <w:t>二</w:t>
            </w:r>
          </w:p>
        </w:tc>
        <w:tc>
          <w:tcPr>
            <w:tcW w:w="2145" w:type="dxa"/>
            <w:vAlign w:val="center"/>
          </w:tcPr>
          <w:p>
            <w:pPr>
              <w:pStyle w:val="2958"/>
            </w:pPr>
            <w:r>
              <w:t>三</w:t>
            </w:r>
          </w:p>
        </w:tc>
        <w:tc>
          <w:tcPr>
            <w:tcW w:w="2145" w:type="dxa"/>
            <w:vAlign w:val="center"/>
          </w:tcPr>
          <w:p>
            <w:pPr>
              <w:pStyle w:val="2958"/>
            </w:pPr>
            <w:r>
              <w:t>三</w:t>
            </w:r>
          </w:p>
        </w:tc>
      </w:tr>
    </w:tbl>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rPr>
        <w:t>由上表可知，本项目地下水环境影响评价工作等级为</w:t>
      </w:r>
      <w:r>
        <w:rPr>
          <w:rFonts w:hint="eastAsia" w:ascii="Times New Roman" w:hAnsi="Times New Roman" w:cs="Times New Roman"/>
          <w:lang w:eastAsia="zh-CN"/>
        </w:rPr>
        <w:t>二</w:t>
      </w:r>
      <w:r>
        <w:rPr>
          <w:rFonts w:ascii="Times New Roman" w:hAnsi="Times New Roman" w:cs="Times New Roman"/>
        </w:rPr>
        <w:t>级。</w:t>
      </w:r>
    </w:p>
    <w:p>
      <w:pPr>
        <w:tabs>
          <w:tab w:val="left" w:pos="1322"/>
        </w:tabs>
        <w:autoSpaceDE/>
        <w:autoSpaceDN/>
        <w:adjustRightInd w:val="0"/>
        <w:snapToGrid w:val="0"/>
        <w:spacing w:line="360" w:lineRule="auto"/>
        <w:ind w:firstLine="480" w:firstLineChars="200"/>
        <w:jc w:val="both"/>
        <w:rPr>
          <w:rFonts w:ascii="Times New Roman" w:hAnsi="Times New Roman" w:cs="Times New Roman"/>
          <w:snapToGrid w:val="0"/>
          <w:sz w:val="24"/>
        </w:rPr>
      </w:pPr>
      <w:r>
        <w:rPr>
          <w:rFonts w:ascii="Times New Roman" w:hAnsi="Times New Roman" w:cs="Times New Roman"/>
          <w:snapToGrid w:val="0"/>
          <w:sz w:val="24"/>
        </w:rPr>
        <w:t>（4）声环境</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根据《环境影响评价技术导则  声环境》（HJ2.4-2021），声环境影响评价工作级别划分的主要依据是：建设项目所在区域的声环境功能区类别；建设项目建设前后所在区域的声环境质量变化程度；受建设项目影响人口的数量。</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评价范围内有适用于 GB 3096 规定的 0 类声环境功能区域，或建设项目建设前后评价范围内声环境保护目标噪声级增量达 5 dB(A)以上（不含 5 dB(A)），或受影响人口数量显著增加时，按一级评价。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建设项目所处的声环境功能区为 GB 3096 规定的 1 类、2 类地区，或建设项目建设前后评价范围内声环境保护目标噪声级增量达 3 dB(A)～5 dB(A)，或受噪声影响人口数量增加较多时，按二级评价。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建设项目所处的声环境功能区为 GB 3096 规定的 3 类、4 类地区，或建设项目建设前后评价范围内声环境保护目标噪声级增量在 3 dB(A)以下（不含 3 dB(A)），且受影响人口数量变化不大时，按三级评价。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本项目所处的声环境功能区为2类区，工程噪声主要来自施工期的施工机械、施工交通运输噪声，噪声大约在70~95dB（A）之间，且受影响人口数量变化不大，综合考虑本次评价中声环境影响评价工作等级确定为二级。</w:t>
      </w:r>
    </w:p>
    <w:p>
      <w:pPr>
        <w:tabs>
          <w:tab w:val="left" w:pos="1322"/>
        </w:tabs>
        <w:autoSpaceDE/>
        <w:autoSpaceDN/>
        <w:adjustRightInd w:val="0"/>
        <w:snapToGrid w:val="0"/>
        <w:spacing w:line="360" w:lineRule="auto"/>
        <w:ind w:firstLine="480" w:firstLineChars="200"/>
        <w:jc w:val="both"/>
        <w:rPr>
          <w:rFonts w:ascii="Times New Roman" w:hAnsi="Times New Roman" w:cs="Times New Roman"/>
          <w:snapToGrid w:val="0"/>
          <w:sz w:val="24"/>
        </w:rPr>
      </w:pPr>
      <w:r>
        <w:rPr>
          <w:rFonts w:ascii="Times New Roman" w:hAnsi="Times New Roman" w:cs="Times New Roman"/>
          <w:snapToGrid w:val="0"/>
          <w:sz w:val="24"/>
        </w:rPr>
        <w:t>（5）生态环境</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根据《环境影响评价技术导则  生态影响》（HJ19-20</w:t>
      </w:r>
      <w:r>
        <w:rPr>
          <w:rFonts w:hint="eastAsia" w:ascii="Times New Roman" w:hAnsi="Times New Roman" w:cs="Times New Roman"/>
          <w:snapToGrid w:val="0"/>
        </w:rPr>
        <w:t>22</w:t>
      </w:r>
      <w:r>
        <w:rPr>
          <w:rFonts w:ascii="Times New Roman" w:hAnsi="Times New Roman" w:cs="Times New Roman"/>
          <w:snapToGrid w:val="0"/>
        </w:rPr>
        <w:t>），评价等级依据建设项目影响区域的生态敏感性和影响程度，等级划分为一级、二级和三级。</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按以下原则确定评价等级：</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a）</w:t>
      </w:r>
      <w:r>
        <w:rPr>
          <w:rFonts w:ascii="Times New Roman" w:hAnsi="Times New Roman" w:cs="Times New Roman"/>
          <w:snapToGrid w:val="0"/>
        </w:rPr>
        <w:tab/>
      </w:r>
      <w:r>
        <w:rPr>
          <w:rFonts w:ascii="Times New Roman" w:hAnsi="Times New Roman" w:cs="Times New Roman"/>
          <w:snapToGrid w:val="0"/>
        </w:rPr>
        <w:t>涉及国家公园、自然保护区、世界自然遗产、重要生境时，评价等级为一级；</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b）</w:t>
      </w:r>
      <w:r>
        <w:rPr>
          <w:rFonts w:ascii="Times New Roman" w:hAnsi="Times New Roman" w:cs="Times New Roman"/>
          <w:snapToGrid w:val="0"/>
        </w:rPr>
        <w:tab/>
      </w:r>
      <w:r>
        <w:rPr>
          <w:rFonts w:ascii="Times New Roman" w:hAnsi="Times New Roman" w:cs="Times New Roman"/>
          <w:snapToGrid w:val="0"/>
        </w:rPr>
        <w:t>涉及自然公园时，评价等级为二级；</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c）</w:t>
      </w:r>
      <w:r>
        <w:rPr>
          <w:rFonts w:ascii="Times New Roman" w:hAnsi="Times New Roman" w:cs="Times New Roman"/>
          <w:snapToGrid w:val="0"/>
        </w:rPr>
        <w:tab/>
      </w:r>
      <w:r>
        <w:rPr>
          <w:rFonts w:ascii="Times New Roman" w:hAnsi="Times New Roman" w:cs="Times New Roman"/>
          <w:snapToGrid w:val="0"/>
        </w:rPr>
        <w:t>涉及生态保护红线时，评价等级不低于二级；</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d）</w:t>
      </w:r>
      <w:r>
        <w:rPr>
          <w:rFonts w:ascii="Times New Roman" w:hAnsi="Times New Roman" w:cs="Times New Roman"/>
          <w:snapToGrid w:val="0"/>
        </w:rPr>
        <w:tab/>
      </w:r>
      <w:r>
        <w:rPr>
          <w:rFonts w:ascii="Times New Roman" w:hAnsi="Times New Roman" w:cs="Times New Roman"/>
          <w:snapToGrid w:val="0"/>
        </w:rPr>
        <w:t>根据HJ2.3判断属于水文要素影响型且地表水评价等级不低于二级的建设项目，生态影响评价等级不低于二级；</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e）</w:t>
      </w:r>
      <w:r>
        <w:rPr>
          <w:rFonts w:ascii="Times New Roman" w:hAnsi="Times New Roman" w:cs="Times New Roman"/>
          <w:snapToGrid w:val="0"/>
        </w:rPr>
        <w:tab/>
      </w:r>
      <w:r>
        <w:rPr>
          <w:rFonts w:ascii="Times New Roman" w:hAnsi="Times New Roman" w:cs="Times New Roman"/>
          <w:snapToGrid w:val="0"/>
        </w:rPr>
        <w:t>根据HJ610、HJ964判断地下水水位或土壤影响范围内分布有天然林、公益林、湿地等生态保护目标的建设项目，生态影响评价等级不低于二级；</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f）</w:t>
      </w:r>
      <w:r>
        <w:rPr>
          <w:rFonts w:ascii="Times New Roman" w:hAnsi="Times New Roman" w:cs="Times New Roman"/>
          <w:snapToGrid w:val="0"/>
        </w:rPr>
        <w:tab/>
      </w:r>
      <w:r>
        <w:rPr>
          <w:rFonts w:ascii="Times New Roman" w:hAnsi="Times New Roman" w:cs="Times New Roman"/>
          <w:snapToGrid w:val="0"/>
        </w:rPr>
        <w:t>当工程占地规模大于20km</w:t>
      </w:r>
      <w:r>
        <w:rPr>
          <w:rFonts w:ascii="Times New Roman" w:hAnsi="Times New Roman" w:cs="Times New Roman"/>
          <w:snapToGrid w:val="0"/>
          <w:vertAlign w:val="superscript"/>
        </w:rPr>
        <w:t>2</w:t>
      </w:r>
      <w:r>
        <w:rPr>
          <w:rFonts w:ascii="Times New Roman" w:hAnsi="Times New Roman" w:cs="Times New Roman"/>
          <w:snapToGrid w:val="0"/>
        </w:rPr>
        <w:t>时（包括永久和临时占用陆域和水域），评价等级不低于二级；改扩建项目的占地范围以新增占地（包括陆域和水域）确定；</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g）</w:t>
      </w:r>
      <w:r>
        <w:rPr>
          <w:rFonts w:ascii="Times New Roman" w:hAnsi="Times New Roman" w:cs="Times New Roman"/>
          <w:snapToGrid w:val="0"/>
        </w:rPr>
        <w:tab/>
      </w:r>
      <w:r>
        <w:rPr>
          <w:rFonts w:ascii="Times New Roman" w:hAnsi="Times New Roman" w:cs="Times New Roman"/>
          <w:snapToGrid w:val="0"/>
        </w:rPr>
        <w:t>除本条a）、b）、c）、d）、e）、f）以外的情况，评价等级为三级；</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h）</w:t>
      </w:r>
      <w:r>
        <w:rPr>
          <w:rFonts w:ascii="Times New Roman" w:hAnsi="Times New Roman" w:cs="Times New Roman"/>
          <w:snapToGrid w:val="0"/>
        </w:rPr>
        <w:tab/>
      </w:r>
      <w:r>
        <w:rPr>
          <w:rFonts w:ascii="Times New Roman" w:hAnsi="Times New Roman" w:cs="Times New Roman"/>
          <w:snapToGrid w:val="0"/>
        </w:rPr>
        <w:t>当评价等级判定同时符合上述多种情况时，应采用其中最高的评价等级。</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color w:val="FF0000"/>
          <w:u w:val="single"/>
        </w:rPr>
      </w:pPr>
      <w:r>
        <w:rPr>
          <w:rFonts w:ascii="Times New Roman" w:hAnsi="Times New Roman" w:cs="Times New Roman"/>
          <w:snapToGrid w:val="0"/>
          <w:color w:val="auto"/>
          <w:u w:val="none"/>
        </w:rPr>
        <w:t>本项目</w:t>
      </w:r>
      <w:r>
        <w:rPr>
          <w:rFonts w:hint="eastAsia" w:ascii="Times New Roman" w:hAnsi="Times New Roman" w:cs="Times New Roman"/>
          <w:snapToGrid w:val="0"/>
          <w:color w:val="auto"/>
          <w:u w:val="none"/>
          <w:lang w:val="en-US" w:eastAsia="zh-CN"/>
        </w:rPr>
        <w:t>不</w:t>
      </w:r>
      <w:r>
        <w:rPr>
          <w:rFonts w:hint="eastAsia" w:ascii="Times New Roman" w:hAnsi="Times New Roman" w:cs="Times New Roman"/>
          <w:snapToGrid w:val="0"/>
          <w:color w:val="auto"/>
          <w:u w:val="none"/>
          <w:lang w:val="en-US" w:eastAsia="zh-CN"/>
        </w:rPr>
        <w:tab/>
      </w:r>
      <w:r>
        <w:rPr>
          <w:rFonts w:hint="eastAsia" w:ascii="Times New Roman" w:hAnsi="Times New Roman" w:cs="Times New Roman"/>
          <w:snapToGrid w:val="0"/>
          <w:color w:val="auto"/>
          <w:u w:val="none"/>
          <w:lang w:val="en-US" w:eastAsia="zh-CN"/>
        </w:rPr>
        <w:t>涉及国家公园、自然保护区、世界自然遗产、重要生境</w:t>
      </w:r>
      <w:r>
        <w:rPr>
          <w:rFonts w:ascii="Times New Roman" w:hAnsi="Times New Roman" w:cs="Times New Roman"/>
          <w:snapToGrid w:val="0"/>
          <w:color w:val="auto"/>
          <w:u w:val="none"/>
        </w:rPr>
        <w:t>，</w:t>
      </w:r>
      <w:r>
        <w:rPr>
          <w:rFonts w:hint="eastAsia" w:ascii="Times New Roman" w:hAnsi="Times New Roman" w:cs="Times New Roman"/>
          <w:snapToGrid w:val="0"/>
          <w:color w:val="auto"/>
          <w:u w:val="none"/>
          <w:lang w:val="en-US" w:eastAsia="zh-CN"/>
        </w:rPr>
        <w:t>不</w:t>
      </w:r>
      <w:r>
        <w:rPr>
          <w:rFonts w:hint="eastAsia" w:ascii="Times New Roman" w:hAnsi="Times New Roman" w:eastAsia="宋体" w:cs="Times New Roman"/>
          <w:snapToGrid w:val="0"/>
          <w:color w:val="auto"/>
          <w:u w:val="none"/>
          <w:lang w:val="en-US" w:eastAsia="zh-CN"/>
        </w:rPr>
        <w:t>涉及生态保护红线，</w:t>
      </w:r>
      <w:r>
        <w:rPr>
          <w:rFonts w:ascii="Times New Roman" w:hAnsi="Times New Roman" w:cs="Times New Roman"/>
          <w:snapToGrid w:val="0"/>
          <w:color w:val="auto"/>
          <w:u w:val="none"/>
        </w:rPr>
        <w:t>项目符合评价原则</w:t>
      </w:r>
      <w:r>
        <w:rPr>
          <w:rFonts w:hint="eastAsia" w:ascii="Times New Roman" w:hAnsi="Times New Roman" w:cs="Times New Roman"/>
          <w:snapToGrid w:val="0"/>
          <w:color w:val="auto"/>
          <w:u w:val="none"/>
          <w:lang w:val="en-US" w:eastAsia="zh-CN"/>
        </w:rPr>
        <w:t>d</w:t>
      </w:r>
      <w:r>
        <w:rPr>
          <w:rFonts w:ascii="Times New Roman" w:hAnsi="Times New Roman" w:cs="Times New Roman"/>
          <w:snapToGrid w:val="0"/>
          <w:color w:val="auto"/>
          <w:u w:val="none"/>
        </w:rPr>
        <w:t>，综合评价等级为二级。</w:t>
      </w:r>
    </w:p>
    <w:p>
      <w:pPr>
        <w:tabs>
          <w:tab w:val="left" w:pos="1322"/>
        </w:tabs>
        <w:autoSpaceDE/>
        <w:autoSpaceDN/>
        <w:adjustRightInd w:val="0"/>
        <w:snapToGrid w:val="0"/>
        <w:spacing w:line="360" w:lineRule="auto"/>
        <w:ind w:firstLine="480" w:firstLineChars="200"/>
        <w:jc w:val="both"/>
        <w:rPr>
          <w:rFonts w:ascii="Times New Roman" w:hAnsi="Times New Roman" w:cs="Times New Roman"/>
          <w:snapToGrid w:val="0"/>
        </w:rPr>
      </w:pPr>
      <w:r>
        <w:rPr>
          <w:rFonts w:ascii="Times New Roman" w:hAnsi="Times New Roman" w:cs="Times New Roman"/>
          <w:snapToGrid w:val="0"/>
          <w:sz w:val="24"/>
        </w:rPr>
        <w:t>（6）土壤环境</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《环境影响评价技术导则土壤影响（试行）》（HJ964-2018）中，建设项目所在地周边的土壤敏感程度判别依据见表</w:t>
      </w:r>
      <w:r>
        <w:rPr>
          <w:rFonts w:ascii="Times New Roman" w:hAnsi="Times New Roman" w:eastAsia="Times New Roman" w:cs="Times New Roman"/>
          <w:snapToGrid w:val="0"/>
        </w:rPr>
        <w:t>2.4-</w:t>
      </w:r>
      <w:r>
        <w:rPr>
          <w:rFonts w:ascii="Times New Roman" w:hAnsi="Times New Roman" w:cs="Times New Roman" w:eastAsiaTheme="minorEastAsia"/>
          <w:snapToGrid w:val="0"/>
        </w:rPr>
        <w:t>3</w:t>
      </w:r>
      <w:r>
        <w:rPr>
          <w:rFonts w:ascii="Times New Roman" w:hAnsi="Times New Roman" w:cs="Times New Roman"/>
          <w:snapToGrid w:val="0"/>
        </w:rPr>
        <w:t>，评价工作等级划分表见</w:t>
      </w:r>
      <w:r>
        <w:rPr>
          <w:rFonts w:ascii="Times New Roman" w:hAnsi="Times New Roman" w:eastAsia="Times New Roman" w:cs="Times New Roman"/>
          <w:snapToGrid w:val="0"/>
        </w:rPr>
        <w:t>2.4-</w:t>
      </w:r>
      <w:r>
        <w:rPr>
          <w:rFonts w:ascii="Times New Roman" w:hAnsi="Times New Roman" w:cs="Times New Roman" w:eastAsiaTheme="minorEastAsia"/>
          <w:snapToGrid w:val="0"/>
        </w:rPr>
        <w:t>4</w:t>
      </w:r>
      <w:r>
        <w:rPr>
          <w:rFonts w:ascii="Times New Roman" w:hAnsi="Times New Roman" w:cs="Times New Roman"/>
          <w:snapToGrid w:val="0"/>
        </w:rPr>
        <w:t>。</w:t>
      </w:r>
    </w:p>
    <w:p>
      <w:pPr>
        <w:autoSpaceDE/>
        <w:autoSpaceDN/>
        <w:adjustRightInd w:val="0"/>
        <w:snapToGrid w:val="0"/>
        <w:spacing w:line="360" w:lineRule="auto"/>
        <w:jc w:val="center"/>
        <w:rPr>
          <w:rFonts w:ascii="Times New Roman" w:hAnsi="Times New Roman" w:cs="Times New Roman"/>
          <w:b/>
          <w:snapToGrid w:val="0"/>
          <w:sz w:val="24"/>
          <w:szCs w:val="24"/>
        </w:rPr>
      </w:pPr>
      <w:r>
        <w:rPr>
          <w:rFonts w:ascii="Times New Roman" w:hAnsi="Times New Roman" w:cs="Times New Roman"/>
          <w:b/>
          <w:snapToGrid w:val="0"/>
          <w:sz w:val="24"/>
          <w:szCs w:val="24"/>
        </w:rPr>
        <w:t>表2.4-3  生态影响型敏感程度分级表</w:t>
      </w:r>
    </w:p>
    <w:tbl>
      <w:tblPr>
        <w:tblStyle w:val="8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027"/>
        <w:gridCol w:w="4762"/>
        <w:gridCol w:w="1320"/>
        <w:gridCol w:w="12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1" w:hRule="atLeast"/>
        </w:trPr>
        <w:tc>
          <w:tcPr>
            <w:tcW w:w="616" w:type="pct"/>
            <w:vMerge w:val="restart"/>
            <w:vAlign w:val="center"/>
          </w:tcPr>
          <w:p>
            <w:pPr>
              <w:pStyle w:val="124"/>
              <w:autoSpaceDE/>
              <w:autoSpaceDN/>
              <w:adjustRightInd w:val="0"/>
              <w:snapToGrid w:val="0"/>
              <w:rPr>
                <w:rFonts w:ascii="Times New Roman" w:hAnsi="Times New Roman" w:cs="Times New Roman"/>
                <w:snapToGrid w:val="0"/>
                <w:sz w:val="21"/>
              </w:rPr>
            </w:pPr>
            <w:r>
              <w:rPr>
                <w:rFonts w:ascii="Times New Roman" w:hAnsi="Times New Roman" w:cs="Times New Roman"/>
                <w:snapToGrid w:val="0"/>
                <w:sz w:val="21"/>
              </w:rPr>
              <w:t>敏感程度</w:t>
            </w:r>
          </w:p>
        </w:tc>
        <w:tc>
          <w:tcPr>
            <w:tcW w:w="4384" w:type="pct"/>
            <w:gridSpan w:val="3"/>
            <w:vAlign w:val="center"/>
          </w:tcPr>
          <w:p>
            <w:pPr>
              <w:pStyle w:val="124"/>
              <w:autoSpaceDE/>
              <w:autoSpaceDN/>
              <w:adjustRightInd w:val="0"/>
              <w:snapToGrid w:val="0"/>
              <w:rPr>
                <w:rFonts w:ascii="Times New Roman" w:hAnsi="Times New Roman" w:cs="Times New Roman"/>
                <w:snapToGrid w:val="0"/>
                <w:sz w:val="21"/>
              </w:rPr>
            </w:pPr>
            <w:r>
              <w:rPr>
                <w:rFonts w:ascii="Times New Roman" w:hAnsi="Times New Roman" w:cs="Times New Roman"/>
                <w:snapToGrid w:val="0"/>
                <w:sz w:val="21"/>
              </w:rPr>
              <w:t>判别依据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3" w:hRule="atLeast"/>
        </w:trPr>
        <w:tc>
          <w:tcPr>
            <w:tcW w:w="616" w:type="pct"/>
            <w:vMerge w:val="continue"/>
            <w:vAlign w:val="center"/>
          </w:tcPr>
          <w:p>
            <w:pPr>
              <w:autoSpaceDE/>
              <w:autoSpaceDN/>
              <w:adjustRightInd w:val="0"/>
              <w:snapToGrid w:val="0"/>
              <w:jc w:val="center"/>
              <w:rPr>
                <w:rFonts w:ascii="Times New Roman" w:hAnsi="Times New Roman" w:cs="Times New Roman"/>
                <w:snapToGrid w:val="0"/>
                <w:sz w:val="2"/>
                <w:szCs w:val="2"/>
              </w:rPr>
            </w:pPr>
          </w:p>
        </w:tc>
        <w:tc>
          <w:tcPr>
            <w:tcW w:w="2856" w:type="pct"/>
            <w:vAlign w:val="center"/>
          </w:tcPr>
          <w:p>
            <w:pPr>
              <w:pStyle w:val="124"/>
              <w:autoSpaceDE/>
              <w:autoSpaceDN/>
              <w:adjustRightInd w:val="0"/>
              <w:snapToGrid w:val="0"/>
              <w:rPr>
                <w:rFonts w:ascii="Times New Roman" w:hAnsi="Times New Roman" w:cs="Times New Roman"/>
                <w:snapToGrid w:val="0"/>
                <w:sz w:val="21"/>
              </w:rPr>
            </w:pPr>
            <w:r>
              <w:rPr>
                <w:rFonts w:ascii="Times New Roman" w:hAnsi="Times New Roman" w:cs="Times New Roman"/>
                <w:snapToGrid w:val="0"/>
                <w:sz w:val="21"/>
              </w:rPr>
              <w:t>盐化</w:t>
            </w:r>
          </w:p>
        </w:tc>
        <w:tc>
          <w:tcPr>
            <w:tcW w:w="792" w:type="pct"/>
            <w:vAlign w:val="center"/>
          </w:tcPr>
          <w:p>
            <w:pPr>
              <w:pStyle w:val="124"/>
              <w:autoSpaceDE/>
              <w:autoSpaceDN/>
              <w:adjustRightInd w:val="0"/>
              <w:snapToGrid w:val="0"/>
              <w:rPr>
                <w:rFonts w:ascii="Times New Roman" w:hAnsi="Times New Roman" w:cs="Times New Roman"/>
                <w:snapToGrid w:val="0"/>
                <w:sz w:val="21"/>
              </w:rPr>
            </w:pPr>
            <w:r>
              <w:rPr>
                <w:rFonts w:ascii="Times New Roman" w:hAnsi="Times New Roman" w:cs="Times New Roman"/>
                <w:snapToGrid w:val="0"/>
                <w:sz w:val="21"/>
              </w:rPr>
              <w:t>酸化</w:t>
            </w:r>
          </w:p>
        </w:tc>
        <w:tc>
          <w:tcPr>
            <w:tcW w:w="736" w:type="pct"/>
            <w:vAlign w:val="center"/>
          </w:tcPr>
          <w:p>
            <w:pPr>
              <w:pStyle w:val="124"/>
              <w:autoSpaceDE/>
              <w:autoSpaceDN/>
              <w:adjustRightInd w:val="0"/>
              <w:snapToGrid w:val="0"/>
              <w:rPr>
                <w:rFonts w:ascii="Times New Roman" w:hAnsi="Times New Roman" w:cs="Times New Roman"/>
                <w:snapToGrid w:val="0"/>
                <w:sz w:val="21"/>
              </w:rPr>
            </w:pPr>
            <w:r>
              <w:rPr>
                <w:rFonts w:ascii="Times New Roman" w:hAnsi="Times New Roman" w:cs="Times New Roman"/>
                <w:snapToGrid w:val="0"/>
                <w:sz w:val="21"/>
              </w:rPr>
              <w:t>碱化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90" w:hRule="atLeast"/>
        </w:trPr>
        <w:tc>
          <w:tcPr>
            <w:tcW w:w="616" w:type="pct"/>
            <w:vAlign w:val="center"/>
          </w:tcPr>
          <w:p>
            <w:pPr>
              <w:pStyle w:val="124"/>
              <w:autoSpaceDE/>
              <w:autoSpaceDN/>
              <w:adjustRightInd w:val="0"/>
              <w:snapToGrid w:val="0"/>
              <w:rPr>
                <w:rFonts w:ascii="Times New Roman" w:hAnsi="Times New Roman" w:cs="Times New Roman"/>
                <w:snapToGrid w:val="0"/>
                <w:sz w:val="21"/>
              </w:rPr>
            </w:pPr>
            <w:r>
              <w:rPr>
                <w:rFonts w:ascii="Times New Roman" w:hAnsi="Times New Roman" w:cs="Times New Roman"/>
                <w:snapToGrid w:val="0"/>
                <w:sz w:val="21"/>
              </w:rPr>
              <w:t>敏感</w:t>
            </w:r>
          </w:p>
        </w:tc>
        <w:tc>
          <w:tcPr>
            <w:tcW w:w="2856" w:type="pct"/>
            <w:vAlign w:val="center"/>
          </w:tcPr>
          <w:p>
            <w:pPr>
              <w:pStyle w:val="124"/>
              <w:autoSpaceDE/>
              <w:autoSpaceDN/>
              <w:adjustRightInd w:val="0"/>
              <w:snapToGrid w:val="0"/>
              <w:rPr>
                <w:rFonts w:ascii="Times New Roman" w:hAnsi="Times New Roman" w:cs="Times New Roman"/>
                <w:snapToGrid w:val="0"/>
                <w:sz w:val="21"/>
              </w:rPr>
            </w:pPr>
            <w:r>
              <w:rPr>
                <w:rFonts w:ascii="Times New Roman" w:hAnsi="Times New Roman" w:cs="Times New Roman"/>
                <w:snapToGrid w:val="0"/>
                <w:sz w:val="21"/>
              </w:rPr>
              <w:t xml:space="preserve">建设项目所在地干燥度 </w:t>
            </w:r>
            <w:r>
              <w:rPr>
                <w:rFonts w:ascii="Times New Roman" w:hAnsi="Times New Roman" w:eastAsia="Times New Roman" w:cs="Times New Roman"/>
                <w:snapToGrid w:val="0"/>
                <w:sz w:val="21"/>
              </w:rPr>
              <w:t>a</w:t>
            </w:r>
            <w:r>
              <w:rPr>
                <w:rFonts w:ascii="Times New Roman" w:hAnsi="Times New Roman" w:cs="Times New Roman"/>
                <w:snapToGrid w:val="0"/>
                <w:sz w:val="21"/>
              </w:rPr>
              <w:t>＞</w:t>
            </w:r>
            <w:r>
              <w:rPr>
                <w:rFonts w:ascii="Times New Roman" w:hAnsi="Times New Roman" w:eastAsia="Times New Roman" w:cs="Times New Roman"/>
                <w:snapToGrid w:val="0"/>
                <w:sz w:val="21"/>
              </w:rPr>
              <w:t xml:space="preserve">2.5 </w:t>
            </w:r>
            <w:r>
              <w:rPr>
                <w:rFonts w:ascii="Times New Roman" w:hAnsi="Times New Roman" w:cs="Times New Roman"/>
                <w:snapToGrid w:val="0"/>
                <w:sz w:val="21"/>
              </w:rPr>
              <w:t>且常年地下水位平均埋深＜</w:t>
            </w:r>
            <w:r>
              <w:rPr>
                <w:rFonts w:ascii="Times New Roman" w:hAnsi="Times New Roman" w:eastAsia="Times New Roman" w:cs="Times New Roman"/>
                <w:snapToGrid w:val="0"/>
                <w:sz w:val="21"/>
              </w:rPr>
              <w:t xml:space="preserve">1.5m </w:t>
            </w:r>
            <w:r>
              <w:rPr>
                <w:rFonts w:ascii="Times New Roman" w:hAnsi="Times New Roman" w:cs="Times New Roman"/>
                <w:snapToGrid w:val="0"/>
                <w:sz w:val="21"/>
              </w:rPr>
              <w:t>的地势平坦区域；或土壤含盐量＞</w:t>
            </w:r>
            <w:r>
              <w:rPr>
                <w:rFonts w:ascii="Times New Roman" w:hAnsi="Times New Roman" w:eastAsia="Times New Roman" w:cs="Times New Roman"/>
                <w:snapToGrid w:val="0"/>
                <w:sz w:val="21"/>
              </w:rPr>
              <w:t xml:space="preserve">4g/kg  </w:t>
            </w:r>
            <w:r>
              <w:rPr>
                <w:rFonts w:ascii="Times New Roman" w:hAnsi="Times New Roman" w:cs="Times New Roman"/>
                <w:snapToGrid w:val="0"/>
                <w:sz w:val="21"/>
              </w:rPr>
              <w:t>的区域</w:t>
            </w:r>
          </w:p>
        </w:tc>
        <w:tc>
          <w:tcPr>
            <w:tcW w:w="792" w:type="pct"/>
            <w:vAlign w:val="center"/>
          </w:tcPr>
          <w:p>
            <w:pPr>
              <w:pStyle w:val="124"/>
              <w:autoSpaceDE/>
              <w:autoSpaceDN/>
              <w:adjustRightInd w:val="0"/>
              <w:snapToGrid w:val="0"/>
              <w:rPr>
                <w:rFonts w:ascii="Times New Roman" w:hAnsi="Times New Roman" w:cs="Times New Roman"/>
                <w:snapToGrid w:val="0"/>
                <w:sz w:val="21"/>
              </w:rPr>
            </w:pPr>
            <w:r>
              <w:rPr>
                <w:rFonts w:ascii="Times New Roman" w:hAnsi="Times New Roman" w:cs="Times New Roman"/>
                <w:snapToGrid w:val="0"/>
                <w:sz w:val="21"/>
              </w:rPr>
              <w:t>pH≤4.5</w:t>
            </w:r>
          </w:p>
        </w:tc>
        <w:tc>
          <w:tcPr>
            <w:tcW w:w="736" w:type="pct"/>
            <w:vAlign w:val="center"/>
          </w:tcPr>
          <w:p>
            <w:pPr>
              <w:pStyle w:val="124"/>
              <w:autoSpaceDE/>
              <w:autoSpaceDN/>
              <w:adjustRightInd w:val="0"/>
              <w:snapToGrid w:val="0"/>
              <w:rPr>
                <w:rFonts w:ascii="Times New Roman" w:hAnsi="Times New Roman" w:cs="Times New Roman"/>
                <w:snapToGrid w:val="0"/>
                <w:sz w:val="21"/>
              </w:rPr>
            </w:pPr>
            <w:r>
              <w:rPr>
                <w:rFonts w:ascii="Times New Roman" w:hAnsi="Times New Roman" w:cs="Times New Roman"/>
                <w:snapToGrid w:val="0"/>
                <w:sz w:val="21"/>
              </w:rPr>
              <w:t>pH≥9.0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000" w:hRule="atLeast"/>
        </w:trPr>
        <w:tc>
          <w:tcPr>
            <w:tcW w:w="616" w:type="pct"/>
            <w:vAlign w:val="center"/>
          </w:tcPr>
          <w:p>
            <w:pPr>
              <w:pStyle w:val="124"/>
              <w:autoSpaceDE/>
              <w:autoSpaceDN/>
              <w:adjustRightInd w:val="0"/>
              <w:snapToGrid w:val="0"/>
              <w:rPr>
                <w:rFonts w:ascii="Times New Roman" w:hAnsi="Times New Roman" w:cs="Times New Roman"/>
                <w:snapToGrid w:val="0"/>
                <w:sz w:val="21"/>
              </w:rPr>
            </w:pPr>
            <w:r>
              <w:rPr>
                <w:rFonts w:ascii="Times New Roman" w:hAnsi="Times New Roman" w:cs="Times New Roman"/>
                <w:snapToGrid w:val="0"/>
                <w:sz w:val="21"/>
              </w:rPr>
              <w:t>较敏感</w:t>
            </w:r>
          </w:p>
        </w:tc>
        <w:tc>
          <w:tcPr>
            <w:tcW w:w="2856" w:type="pct"/>
            <w:vAlign w:val="center"/>
          </w:tcPr>
          <w:p>
            <w:pPr>
              <w:pStyle w:val="124"/>
              <w:autoSpaceDE/>
              <w:autoSpaceDN/>
              <w:adjustRightInd w:val="0"/>
              <w:snapToGrid w:val="0"/>
              <w:rPr>
                <w:rFonts w:ascii="Times New Roman" w:hAnsi="Times New Roman" w:cs="Times New Roman"/>
                <w:snapToGrid w:val="0"/>
                <w:sz w:val="21"/>
              </w:rPr>
            </w:pPr>
            <w:r>
              <w:rPr>
                <w:rFonts w:ascii="Times New Roman" w:hAnsi="Times New Roman" w:cs="Times New Roman"/>
                <w:snapToGrid w:val="0"/>
                <w:sz w:val="21"/>
              </w:rPr>
              <w:t>建设项目所在地干燥度＞</w:t>
            </w:r>
            <w:r>
              <w:rPr>
                <w:rFonts w:ascii="Times New Roman" w:hAnsi="Times New Roman" w:eastAsia="Times New Roman" w:cs="Times New Roman"/>
                <w:snapToGrid w:val="0"/>
                <w:sz w:val="21"/>
              </w:rPr>
              <w:t xml:space="preserve">2.5  </w:t>
            </w:r>
            <w:r>
              <w:rPr>
                <w:rFonts w:ascii="Times New Roman" w:hAnsi="Times New Roman" w:cs="Times New Roman"/>
                <w:snapToGrid w:val="0"/>
                <w:sz w:val="21"/>
              </w:rPr>
              <w:t>且常年地下水位平均埋深＜</w:t>
            </w:r>
            <w:r>
              <w:rPr>
                <w:rFonts w:ascii="Times New Roman" w:hAnsi="Times New Roman" w:eastAsia="Times New Roman" w:cs="Times New Roman"/>
                <w:snapToGrid w:val="0"/>
                <w:sz w:val="21"/>
              </w:rPr>
              <w:t xml:space="preserve">1.5m </w:t>
            </w:r>
            <w:r>
              <w:rPr>
                <w:rFonts w:ascii="Times New Roman" w:hAnsi="Times New Roman" w:cs="Times New Roman"/>
                <w:snapToGrid w:val="0"/>
                <w:sz w:val="21"/>
              </w:rPr>
              <w:t>的，或</w:t>
            </w:r>
            <w:r>
              <w:rPr>
                <w:rFonts w:ascii="Times New Roman" w:hAnsi="Times New Roman" w:eastAsia="Times New Roman" w:cs="Times New Roman"/>
                <w:snapToGrid w:val="0"/>
                <w:sz w:val="21"/>
              </w:rPr>
              <w:t>1.8</w:t>
            </w:r>
            <w:r>
              <w:rPr>
                <w:rFonts w:ascii="Times New Roman" w:hAnsi="Times New Roman" w:cs="Times New Roman"/>
                <w:snapToGrid w:val="0"/>
                <w:sz w:val="21"/>
              </w:rPr>
              <w:t>＜干燥度</w:t>
            </w:r>
            <w:r>
              <w:rPr>
                <w:rFonts w:ascii="Times New Roman" w:hAnsi="Times New Roman" w:eastAsia="Times New Roman" w:cs="Times New Roman"/>
                <w:snapToGrid w:val="0"/>
                <w:sz w:val="21"/>
              </w:rPr>
              <w:t xml:space="preserve">≤2.5 </w:t>
            </w:r>
            <w:r>
              <w:rPr>
                <w:rFonts w:ascii="Times New Roman" w:hAnsi="Times New Roman" w:cs="Times New Roman"/>
                <w:snapToGrid w:val="0"/>
                <w:sz w:val="21"/>
              </w:rPr>
              <w:t>且常年地下水位平均埋深＜</w:t>
            </w:r>
            <w:r>
              <w:rPr>
                <w:rFonts w:ascii="Times New Roman" w:hAnsi="Times New Roman" w:eastAsia="Times New Roman" w:cs="Times New Roman"/>
                <w:snapToGrid w:val="0"/>
                <w:sz w:val="21"/>
              </w:rPr>
              <w:t xml:space="preserve">1.8m </w:t>
            </w:r>
            <w:r>
              <w:rPr>
                <w:rFonts w:ascii="Times New Roman" w:hAnsi="Times New Roman" w:cs="Times New Roman"/>
                <w:snapToGrid w:val="0"/>
                <w:sz w:val="21"/>
              </w:rPr>
              <w:t>的地势平坦区域；建设项目所在地干燥度＞</w:t>
            </w:r>
            <w:r>
              <w:rPr>
                <w:rFonts w:ascii="Times New Roman" w:hAnsi="Times New Roman" w:eastAsia="Times New Roman" w:cs="Times New Roman"/>
                <w:snapToGrid w:val="0"/>
                <w:sz w:val="21"/>
              </w:rPr>
              <w:t xml:space="preserve">2.5 </w:t>
            </w:r>
            <w:r>
              <w:rPr>
                <w:rFonts w:ascii="Times New Roman" w:hAnsi="Times New Roman" w:cs="Times New Roman"/>
                <w:snapToGrid w:val="0"/>
                <w:sz w:val="21"/>
              </w:rPr>
              <w:t>且常年地下水位平均埋深＜</w:t>
            </w:r>
            <w:r>
              <w:rPr>
                <w:rFonts w:ascii="Times New Roman" w:hAnsi="Times New Roman" w:eastAsia="Times New Roman" w:cs="Times New Roman"/>
                <w:snapToGrid w:val="0"/>
                <w:sz w:val="21"/>
              </w:rPr>
              <w:t xml:space="preserve">1.5m </w:t>
            </w:r>
            <w:r>
              <w:rPr>
                <w:rFonts w:ascii="Times New Roman" w:hAnsi="Times New Roman" w:cs="Times New Roman"/>
                <w:snapToGrid w:val="0"/>
                <w:sz w:val="21"/>
              </w:rPr>
              <w:t xml:space="preserve">的平原区；或 </w:t>
            </w:r>
            <w:r>
              <w:rPr>
                <w:rFonts w:ascii="Times New Roman" w:hAnsi="Times New Roman" w:eastAsia="Times New Roman" w:cs="Times New Roman"/>
                <w:snapToGrid w:val="0"/>
                <w:sz w:val="21"/>
              </w:rPr>
              <w:t>2g/kg</w:t>
            </w:r>
            <w:r>
              <w:rPr>
                <w:rFonts w:ascii="Times New Roman" w:hAnsi="Times New Roman" w:cs="Times New Roman"/>
                <w:snapToGrid w:val="0"/>
                <w:sz w:val="21"/>
              </w:rPr>
              <w:t>＜土壤含盐量</w:t>
            </w:r>
            <w:r>
              <w:rPr>
                <w:rFonts w:ascii="Times New Roman" w:hAnsi="Times New Roman" w:eastAsia="Times New Roman" w:cs="Times New Roman"/>
                <w:snapToGrid w:val="0"/>
                <w:sz w:val="21"/>
              </w:rPr>
              <w:t xml:space="preserve">≤4g/kg </w:t>
            </w:r>
            <w:r>
              <w:rPr>
                <w:rFonts w:ascii="Times New Roman" w:hAnsi="Times New Roman" w:cs="Times New Roman"/>
                <w:snapToGrid w:val="0"/>
                <w:sz w:val="21"/>
              </w:rPr>
              <w:t>的区域</w:t>
            </w:r>
          </w:p>
        </w:tc>
        <w:tc>
          <w:tcPr>
            <w:tcW w:w="792" w:type="pct"/>
            <w:vAlign w:val="center"/>
          </w:tcPr>
          <w:p>
            <w:pPr>
              <w:pStyle w:val="124"/>
              <w:autoSpaceDE/>
              <w:autoSpaceDN/>
              <w:adjustRightInd w:val="0"/>
              <w:snapToGrid w:val="0"/>
              <w:rPr>
                <w:rFonts w:ascii="Times New Roman" w:hAnsi="Times New Roman" w:eastAsia="Times New Roman" w:cs="Times New Roman"/>
                <w:snapToGrid w:val="0"/>
                <w:sz w:val="21"/>
              </w:rPr>
            </w:pPr>
            <w:r>
              <w:rPr>
                <w:rFonts w:ascii="Times New Roman" w:hAnsi="Times New Roman" w:eastAsia="Times New Roman" w:cs="Times New Roman"/>
                <w:snapToGrid w:val="0"/>
                <w:sz w:val="21"/>
              </w:rPr>
              <w:t>4.5</w:t>
            </w:r>
            <w:r>
              <w:rPr>
                <w:rFonts w:ascii="Times New Roman" w:hAnsi="Times New Roman" w:cs="Times New Roman"/>
                <w:snapToGrid w:val="0"/>
                <w:sz w:val="21"/>
              </w:rPr>
              <w:t>＜</w:t>
            </w:r>
            <w:r>
              <w:rPr>
                <w:rFonts w:ascii="Times New Roman" w:hAnsi="Times New Roman" w:eastAsia="Times New Roman" w:cs="Times New Roman"/>
                <w:snapToGrid w:val="0"/>
                <w:sz w:val="21"/>
              </w:rPr>
              <w:t>pH≤4.5</w:t>
            </w:r>
          </w:p>
        </w:tc>
        <w:tc>
          <w:tcPr>
            <w:tcW w:w="736" w:type="pct"/>
            <w:vAlign w:val="center"/>
          </w:tcPr>
          <w:p>
            <w:pPr>
              <w:pStyle w:val="124"/>
              <w:autoSpaceDE/>
              <w:autoSpaceDN/>
              <w:adjustRightInd w:val="0"/>
              <w:snapToGrid w:val="0"/>
              <w:rPr>
                <w:rFonts w:ascii="Times New Roman" w:hAnsi="Times New Roman" w:eastAsia="Times New Roman" w:cs="Times New Roman"/>
                <w:snapToGrid w:val="0"/>
                <w:sz w:val="21"/>
              </w:rPr>
            </w:pPr>
            <w:r>
              <w:rPr>
                <w:rFonts w:ascii="Times New Roman" w:hAnsi="Times New Roman" w:eastAsia="Times New Roman" w:cs="Times New Roman"/>
                <w:snapToGrid w:val="0"/>
                <w:sz w:val="21"/>
              </w:rPr>
              <w:t>8.5</w:t>
            </w:r>
            <w:r>
              <w:rPr>
                <w:rFonts w:ascii="Times New Roman" w:hAnsi="Times New Roman" w:cs="Times New Roman"/>
                <w:snapToGrid w:val="0"/>
                <w:sz w:val="21"/>
              </w:rPr>
              <w:t>＜</w:t>
            </w:r>
            <w:r>
              <w:rPr>
                <w:rFonts w:ascii="Times New Roman" w:hAnsi="Times New Roman" w:eastAsia="Times New Roman" w:cs="Times New Roman"/>
                <w:snapToGrid w:val="0"/>
                <w:sz w:val="21"/>
              </w:rPr>
              <w:t>pH≤9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3" w:hRule="atLeast"/>
        </w:trPr>
        <w:tc>
          <w:tcPr>
            <w:tcW w:w="616" w:type="pct"/>
            <w:vAlign w:val="center"/>
          </w:tcPr>
          <w:p>
            <w:pPr>
              <w:pStyle w:val="124"/>
              <w:autoSpaceDE/>
              <w:autoSpaceDN/>
              <w:adjustRightInd w:val="0"/>
              <w:snapToGrid w:val="0"/>
              <w:rPr>
                <w:rFonts w:ascii="Times New Roman" w:hAnsi="Times New Roman" w:cs="Times New Roman"/>
                <w:snapToGrid w:val="0"/>
                <w:sz w:val="21"/>
              </w:rPr>
            </w:pPr>
            <w:r>
              <w:rPr>
                <w:rFonts w:ascii="Times New Roman" w:hAnsi="Times New Roman" w:cs="Times New Roman"/>
                <w:snapToGrid w:val="0"/>
                <w:sz w:val="21"/>
              </w:rPr>
              <w:t>不敏感</w:t>
            </w:r>
          </w:p>
        </w:tc>
        <w:tc>
          <w:tcPr>
            <w:tcW w:w="2856" w:type="pct"/>
            <w:vAlign w:val="center"/>
          </w:tcPr>
          <w:p>
            <w:pPr>
              <w:pStyle w:val="124"/>
              <w:autoSpaceDE/>
              <w:autoSpaceDN/>
              <w:adjustRightInd w:val="0"/>
              <w:snapToGrid w:val="0"/>
              <w:rPr>
                <w:rFonts w:ascii="Times New Roman" w:hAnsi="Times New Roman" w:cs="Times New Roman"/>
                <w:snapToGrid w:val="0"/>
                <w:sz w:val="21"/>
              </w:rPr>
            </w:pPr>
            <w:r>
              <w:rPr>
                <w:rFonts w:ascii="Times New Roman" w:hAnsi="Times New Roman" w:cs="Times New Roman"/>
                <w:snapToGrid w:val="0"/>
                <w:sz w:val="21"/>
              </w:rPr>
              <w:t>其他</w:t>
            </w:r>
          </w:p>
        </w:tc>
        <w:tc>
          <w:tcPr>
            <w:tcW w:w="1528" w:type="pct"/>
            <w:gridSpan w:val="2"/>
            <w:vAlign w:val="center"/>
          </w:tcPr>
          <w:p>
            <w:pPr>
              <w:pStyle w:val="124"/>
              <w:autoSpaceDE/>
              <w:autoSpaceDN/>
              <w:adjustRightInd w:val="0"/>
              <w:snapToGrid w:val="0"/>
              <w:rPr>
                <w:rFonts w:ascii="Times New Roman" w:hAnsi="Times New Roman" w:eastAsia="Times New Roman" w:cs="Times New Roman"/>
                <w:snapToGrid w:val="0"/>
                <w:sz w:val="21"/>
              </w:rPr>
            </w:pPr>
            <w:r>
              <w:rPr>
                <w:rFonts w:ascii="Times New Roman" w:hAnsi="Times New Roman" w:eastAsia="Times New Roman" w:cs="Times New Roman"/>
                <w:snapToGrid w:val="0"/>
                <w:sz w:val="21"/>
              </w:rPr>
              <w:t>4.5</w:t>
            </w:r>
            <w:r>
              <w:rPr>
                <w:rFonts w:ascii="Times New Roman" w:hAnsi="Times New Roman" w:cs="Times New Roman"/>
                <w:snapToGrid w:val="0"/>
                <w:sz w:val="21"/>
              </w:rPr>
              <w:t>＜</w:t>
            </w:r>
            <w:r>
              <w:rPr>
                <w:rFonts w:ascii="Times New Roman" w:hAnsi="Times New Roman" w:eastAsia="Times New Roman" w:cs="Times New Roman"/>
                <w:snapToGrid w:val="0"/>
                <w:sz w:val="21"/>
              </w:rPr>
              <w:t>pH</w:t>
            </w:r>
            <w:r>
              <w:rPr>
                <w:rFonts w:ascii="Times New Roman" w:hAnsi="Times New Roman" w:cs="Times New Roman"/>
                <w:snapToGrid w:val="0"/>
                <w:sz w:val="21"/>
              </w:rPr>
              <w:t>＜</w:t>
            </w:r>
            <w:r>
              <w:rPr>
                <w:rFonts w:ascii="Times New Roman" w:hAnsi="Times New Roman" w:eastAsia="Times New Roman" w:cs="Times New Roman"/>
                <w:snapToGrid w:val="0"/>
                <w:sz w:val="21"/>
              </w:rPr>
              <w:t>8.5</w:t>
            </w:r>
          </w:p>
        </w:tc>
      </w:tr>
    </w:tbl>
    <w:p>
      <w:pPr>
        <w:autoSpaceDE/>
        <w:autoSpaceDN/>
        <w:adjustRightInd w:val="0"/>
        <w:snapToGrid w:val="0"/>
        <w:spacing w:line="360" w:lineRule="auto"/>
        <w:jc w:val="center"/>
        <w:rPr>
          <w:rFonts w:ascii="Times New Roman" w:hAnsi="Times New Roman" w:cs="Times New Roman"/>
          <w:b/>
          <w:snapToGrid w:val="0"/>
          <w:sz w:val="24"/>
          <w:szCs w:val="24"/>
        </w:rPr>
      </w:pPr>
      <w:r>
        <w:rPr>
          <w:rFonts w:ascii="Times New Roman" w:hAnsi="Times New Roman" w:cs="Times New Roman"/>
          <w:b/>
          <w:snapToGrid w:val="0"/>
          <w:sz w:val="24"/>
          <w:szCs w:val="24"/>
        </w:rPr>
        <w:t>表 2.4-4  土壤影响型评价工作等级划分表</w:t>
      </w:r>
    </w:p>
    <w:tbl>
      <w:tblPr>
        <w:tblStyle w:val="8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144"/>
        <w:gridCol w:w="1924"/>
        <w:gridCol w:w="2129"/>
        <w:gridCol w:w="21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23" w:hRule="atLeast"/>
        </w:trPr>
        <w:tc>
          <w:tcPr>
            <w:tcW w:w="1286" w:type="pct"/>
            <w:vAlign w:val="center"/>
          </w:tcPr>
          <w:p>
            <w:pPr>
              <w:pStyle w:val="124"/>
              <w:tabs>
                <w:tab w:val="left" w:pos="1051"/>
              </w:tabs>
              <w:autoSpaceDE/>
              <w:autoSpaceDN/>
              <w:adjustRightInd w:val="0"/>
              <w:snapToGrid w:val="0"/>
              <w:jc w:val="right"/>
              <w:rPr>
                <w:rFonts w:ascii="Times New Roman" w:hAnsi="Times New Roman" w:cs="Times New Roman"/>
                <w:sz w:val="21"/>
              </w:rPr>
            </w:pPr>
            <w:r>
              <w:rPr>
                <w:rFonts w:ascii="Times New Roman" w:hAnsi="Times New Roman" w:cs="Times New Roman"/>
                <w:snapToGrid w:val="0"/>
                <w:sz w:val="24"/>
                <w:szCs w:val="24"/>
                <w:lang w:val="en-US" w:bidi="ar-SA"/>
              </w:rPr>
              <mc:AlternateContent>
                <mc:Choice Requires="wps">
                  <w:drawing>
                    <wp:anchor distT="0" distB="0" distL="114300" distR="114300" simplePos="0" relativeHeight="251659264" behindDoc="1" locked="0" layoutInCell="1" allowOverlap="1">
                      <wp:simplePos x="0" y="0"/>
                      <wp:positionH relativeFrom="page">
                        <wp:posOffset>6985</wp:posOffset>
                      </wp:positionH>
                      <wp:positionV relativeFrom="paragraph">
                        <wp:posOffset>-3175</wp:posOffset>
                      </wp:positionV>
                      <wp:extent cx="1411605" cy="394335"/>
                      <wp:effectExtent l="0" t="0" r="17145" b="24765"/>
                      <wp:wrapNone/>
                      <wp:docPr id="16" name="AutoShape 25"/>
                      <wp:cNvGraphicFramePr/>
                      <a:graphic xmlns:a="http://schemas.openxmlformats.org/drawingml/2006/main">
                        <a:graphicData uri="http://schemas.microsoft.com/office/word/2010/wordprocessingShape">
                          <wps:wsp>
                            <wps:cNvSpPr>
                              <a:spLocks noChangeArrowheads="1"/>
                            </wps:cNvSpPr>
                            <wps:spPr bwMode="auto">
                              <a:xfrm>
                                <a:off x="0" y="0"/>
                                <a:ext cx="1411605" cy="394335"/>
                              </a:xfrm>
                              <a:custGeom>
                                <a:avLst/>
                                <a:gdLst>
                                  <a:gd name="T0" fmla="*/ 658495 w 2128"/>
                                  <a:gd name="T1" fmla="*/ 0 h 564"/>
                                  <a:gd name="T2" fmla="*/ 1347470 w 2128"/>
                                  <a:gd name="T3" fmla="*/ 342900 h 564"/>
                                  <a:gd name="T4" fmla="*/ 0 w 2128"/>
                                  <a:gd name="T5" fmla="*/ 116840 h 564"/>
                                  <a:gd name="T6" fmla="*/ 1351280 w 2128"/>
                                  <a:gd name="T7" fmla="*/ 358140 h 56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28" h="564">
                                    <a:moveTo>
                                      <a:pt x="1037" y="0"/>
                                    </a:moveTo>
                                    <a:lnTo>
                                      <a:pt x="2122" y="540"/>
                                    </a:lnTo>
                                    <a:moveTo>
                                      <a:pt x="0" y="184"/>
                                    </a:moveTo>
                                    <a:lnTo>
                                      <a:pt x="2128" y="564"/>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AutoShape 25" o:spid="_x0000_s1026" o:spt="100" style="position:absolute;left:0pt;margin-left:0.55pt;margin-top:-0.25pt;height:31.05pt;width:111.15pt;mso-position-horizontal-relative:page;z-index:-251657216;mso-width-relative:page;mso-height-relative:page;" filled="f" stroked="t" coordsize="2128,564" o:gfxdata="UEsDBAoAAAAAAIdO4kAAAAAAAAAAAAAAAAAEAAAAZHJzL1BLAwQUAAAACACHTuJArGkJpNcAAAAG&#10;AQAADwAAAGRycy9kb3ducmV2LnhtbE2OwUrDQBRF94L/MDzBXTtJ1BBiJgVFUUQKbaTibpJ5JqmZ&#10;NyEzaevf+1zp8nIv555idbKDOODke0cK4mUEAqlxpqdWwVv1uMhA+KDJ6MERKvhGD6vy/KzQuXFH&#10;2uBhG1rBEPK5VtCFMOZS+qZDq/3SjUjcfbrJ6sBxaqWZ9JHhdpBJFKXS6p74odMj3nfYfG1nq+Ah&#10;e3/Nnuq73cuHreb9826/3syVUpcXcXQLIuAp/I3hV5/VoWSn2s1kvBg4xzxUsLgBwW2SXF2DqBWk&#10;cQqyLOR//fIHUEsDBBQAAAAIAIdO4kDerg4MQgMAAAEIAAAOAAAAZHJzL2Uyb0RvYy54bWytVV1v&#10;mzAUfZ+0/2D5cdIKBMiXSqqqVadJ3Vap2Q9wwAQ0sJnthHS/fseGJCRdqj6MB3SNj4997rlcX9/s&#10;6opsudKlFAkNrnxKuEhlVop1Qn8uHz5PKdGGiYxVUvCEvnBNbxYfP1y3zZyPZCGrjCsCEqHnbZPQ&#10;wphm7nk6LXjN9JVsuMBkLlXNDIZq7WWKtWCvK2/k+2OvlSprlEy51vh6303SnlG9h1DmeZnye5lu&#10;ai5Mx6p4xQwk6aJsNF240+Y5T82PPNfckCqhUGrcG5sgXtm3t7hm87ViTVGm/RHYe45wpqlmpcCm&#10;B6p7ZhjZqPIVVV2mSmqZm6tU1l4nxGUEKgL/LDfPBWu404JU6+aQdP3/aNPv2ydFygyVMKZEsBqO&#10;326MdFuTUWwT1DZ6Dtxz86SsRN08yvSXJkLeFUys+a1Ssi04y3CswOK9kwV2oLGUrNpvMgM9A73L&#10;1S5XtSVEFsjOWfJysITvDEnxMYiCYOzHlKSYC2dRGLojeWy+X51utPnCpWNi20dtOkszRM6QrFe1&#10;hOV5XcHdTx4Zx9NoFpOWjILRtC+CAzAYAH1SkHgcnUNGA0gQRpNo4l8gCwfIMBrN/AuM0QB3iQtp&#10;OChAWqbRBS44ecSFMSReYpwMkGE8DS4xoiccGH0y9vEgh3E4Pk/M7L3AYGjHm5TBqR9nm6MS1nuv&#10;WbG3P92J3n9EBFWa0OXUFV0jtS02Ww2oqGVXsGwOmK2WI3p2gobfFh268v4HGmrs8j05zLTwfam+&#10;IoekIRx+WfhkyA5dWNaLUOhj5x1MuQ626gxomLHaHSlC0ibUVTYpEmrL107UcsuX0kGMTUHgh7Af&#10;G7suiP2OgEoMgWDq9MfRHroHHJc0jrPLajB1P8zblCgp7N3/W4B2lAisFjSRLnCiEA//ciEfyqpy&#10;v3klrNRZjEZlhWlZlZmddAO1Xt1VimyZ7f3u6RN8AlNyIzLbtewR+uZl+1XX91Yye0HvUrK7OXBv&#10;Iiik+kNJi1sjofr3hilOSfVVoP/Nggg5IsYNongywkANZ1bDGSZSUCXUUJSoDe9MdzVtGlWuC+zU&#10;1YmQtiXnpW1trrl2p+oHuBnc6ftbzF49w7FDHW/ux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Cs&#10;aQmk1wAAAAYBAAAPAAAAAAAAAAEAIAAAACIAAABkcnMvZG93bnJldi54bWxQSwECFAAUAAAACACH&#10;TuJA3q4ODEIDAAABCAAADgAAAAAAAAABACAAAAAmAQAAZHJzL2Uyb0RvYy54bWxQSwUGAAAAAAYA&#10;BgBZAQAA2gYAAAAA&#10;" path="m1037,0l2122,540m0,184l2128,564e">
                      <v:path o:connectlocs="436811482,0;893841818,239747289;0,81691669;896369175,250402725" o:connectangles="0,0,0,0"/>
                      <v:fill on="f" focussize="0,0"/>
                      <v:stroke color="#000000" joinstyle="round"/>
                      <v:imagedata o:title=""/>
                      <o:lock v:ext="edit" aspectratio="f"/>
                    </v:shape>
                  </w:pict>
                </mc:Fallback>
              </mc:AlternateContent>
            </w:r>
            <w:r>
              <w:rPr>
                <w:rFonts w:ascii="Times New Roman" w:hAnsi="Times New Roman" w:cs="Times New Roman"/>
                <w:sz w:val="21"/>
              </w:rPr>
              <w:t>评价</w:t>
            </w:r>
            <w:r>
              <w:rPr>
                <w:rFonts w:ascii="Times New Roman" w:hAnsi="Times New Roman" w:cs="Times New Roman"/>
                <w:spacing w:val="-3"/>
                <w:sz w:val="21"/>
              </w:rPr>
              <w:t>等</w:t>
            </w:r>
            <w:r>
              <w:rPr>
                <w:rFonts w:ascii="Times New Roman" w:hAnsi="Times New Roman" w:cs="Times New Roman"/>
                <w:sz w:val="21"/>
              </w:rPr>
              <w:t>级  项目类别</w:t>
            </w:r>
          </w:p>
          <w:p>
            <w:pPr>
              <w:pStyle w:val="124"/>
              <w:autoSpaceDE/>
              <w:autoSpaceDN/>
              <w:adjustRightInd w:val="0"/>
              <w:snapToGrid w:val="0"/>
              <w:jc w:val="left"/>
              <w:rPr>
                <w:rFonts w:ascii="Times New Roman" w:hAnsi="Times New Roman" w:cs="Times New Roman"/>
                <w:sz w:val="21"/>
              </w:rPr>
            </w:pPr>
            <w:r>
              <w:rPr>
                <w:rFonts w:ascii="Times New Roman" w:hAnsi="Times New Roman" w:cs="Times New Roman"/>
                <w:sz w:val="21"/>
              </w:rPr>
              <w:t>敏感程度</w:t>
            </w:r>
          </w:p>
        </w:tc>
        <w:tc>
          <w:tcPr>
            <w:tcW w:w="1154"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eastAsia="Times New Roman" w:cs="Times New Roman"/>
                <w:sz w:val="21"/>
              </w:rPr>
              <w:t xml:space="preserve">I </w:t>
            </w:r>
            <w:r>
              <w:rPr>
                <w:rFonts w:ascii="Times New Roman" w:hAnsi="Times New Roman" w:cs="Times New Roman"/>
                <w:sz w:val="21"/>
              </w:rPr>
              <w:t>类</w:t>
            </w:r>
          </w:p>
        </w:tc>
        <w:tc>
          <w:tcPr>
            <w:tcW w:w="1277"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eastAsia="Times New Roman" w:cs="Times New Roman"/>
                <w:sz w:val="21"/>
              </w:rPr>
              <w:t xml:space="preserve">II </w:t>
            </w:r>
            <w:r>
              <w:rPr>
                <w:rFonts w:ascii="Times New Roman" w:hAnsi="Times New Roman" w:cs="Times New Roman"/>
                <w:sz w:val="21"/>
              </w:rPr>
              <w:t>类</w:t>
            </w:r>
          </w:p>
        </w:tc>
        <w:tc>
          <w:tcPr>
            <w:tcW w:w="1283"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eastAsia="Times New Roman" w:cs="Times New Roman"/>
                <w:sz w:val="21"/>
              </w:rPr>
              <w:t xml:space="preserve">III </w:t>
            </w:r>
            <w:r>
              <w:rPr>
                <w:rFonts w:ascii="Times New Roman" w:hAnsi="Times New Roman" w:cs="Times New Roman"/>
                <w:sz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3" w:hRule="atLeast"/>
        </w:trPr>
        <w:tc>
          <w:tcPr>
            <w:tcW w:w="1286"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敏感</w:t>
            </w:r>
          </w:p>
        </w:tc>
        <w:tc>
          <w:tcPr>
            <w:tcW w:w="1154"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一级</w:t>
            </w:r>
          </w:p>
        </w:tc>
        <w:tc>
          <w:tcPr>
            <w:tcW w:w="1277"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二级</w:t>
            </w:r>
          </w:p>
        </w:tc>
        <w:tc>
          <w:tcPr>
            <w:tcW w:w="1283"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atLeast"/>
        </w:trPr>
        <w:tc>
          <w:tcPr>
            <w:tcW w:w="1286"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较敏感</w:t>
            </w:r>
          </w:p>
        </w:tc>
        <w:tc>
          <w:tcPr>
            <w:tcW w:w="1154"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二级</w:t>
            </w:r>
          </w:p>
        </w:tc>
        <w:tc>
          <w:tcPr>
            <w:tcW w:w="1277"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二级</w:t>
            </w:r>
          </w:p>
        </w:tc>
        <w:tc>
          <w:tcPr>
            <w:tcW w:w="1283"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1" w:hRule="atLeast"/>
        </w:trPr>
        <w:tc>
          <w:tcPr>
            <w:tcW w:w="1286"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不敏感</w:t>
            </w:r>
          </w:p>
        </w:tc>
        <w:tc>
          <w:tcPr>
            <w:tcW w:w="1154"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二级</w:t>
            </w:r>
          </w:p>
        </w:tc>
        <w:tc>
          <w:tcPr>
            <w:tcW w:w="1277"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三级</w:t>
            </w:r>
          </w:p>
        </w:tc>
        <w:tc>
          <w:tcPr>
            <w:tcW w:w="1283"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1" w:hRule="atLeast"/>
        </w:trPr>
        <w:tc>
          <w:tcPr>
            <w:tcW w:w="5000" w:type="pct"/>
            <w:gridSpan w:val="4"/>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注：</w:t>
            </w:r>
            <w:r>
              <w:rPr>
                <w:rFonts w:ascii="Times New Roman" w:hAnsi="Times New Roman" w:eastAsia="Times New Roman" w:cs="Times New Roman"/>
                <w:sz w:val="21"/>
              </w:rPr>
              <w:t>“—”</w:t>
            </w:r>
            <w:r>
              <w:rPr>
                <w:rFonts w:ascii="Times New Roman" w:hAnsi="Times New Roman" w:cs="Times New Roman"/>
                <w:sz w:val="21"/>
              </w:rPr>
              <w:t>表示可不开展土壤环境影响评价工作。</w:t>
            </w:r>
          </w:p>
        </w:tc>
      </w:tr>
    </w:tbl>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本项目属于生态影响型，根据《环境影响评价技术导则土壤影响（试行）》（HJ964-2018）附录A，本项目属于</w:t>
      </w:r>
      <w:r>
        <w:rPr>
          <w:rFonts w:hint="eastAsia" w:ascii="Times New Roman" w:hAnsi="Times New Roman" w:cs="Times New Roman"/>
          <w:snapToGrid w:val="0"/>
        </w:rPr>
        <w:t>Ⅲ类</w:t>
      </w:r>
      <w:r>
        <w:rPr>
          <w:rFonts w:ascii="Times New Roman" w:hAnsi="Times New Roman" w:cs="Times New Roman"/>
          <w:snapToGrid w:val="0"/>
        </w:rPr>
        <w:t>项目。项目不属于酸化、碱化土地，区域属于不敏感区域。因此，按照《环境影响评价技术导则土壤影响（试行）》（HJ964-2018）的工作等级划分表，本项目可不开展土壤环境影响评价。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（7）环境风险评价</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本项目为河湖整治项目，</w:t>
      </w:r>
      <w:bookmarkStart w:id="102" w:name="_Toc66206029"/>
      <w:r>
        <w:rPr>
          <w:rFonts w:ascii="Times New Roman" w:hAnsi="Times New Roman" w:cs="Times New Roman"/>
          <w:snapToGrid w:val="0"/>
        </w:rPr>
        <w:t>项目环评风险主要为</w:t>
      </w:r>
      <w:r>
        <w:rPr>
          <w:rFonts w:hint="eastAsia" w:ascii="Times New Roman" w:hAnsi="Times New Roman" w:cs="Times New Roman"/>
          <w:snapToGrid w:val="0"/>
          <w:lang w:eastAsia="zh-CN"/>
        </w:rPr>
        <w:t>施工机械的燃油泄漏</w:t>
      </w:r>
      <w:r>
        <w:rPr>
          <w:rFonts w:ascii="Times New Roman" w:hAnsi="Times New Roman" w:cs="Times New Roman"/>
          <w:snapToGrid w:val="0"/>
        </w:rPr>
        <w:t>环境风险，</w:t>
      </w:r>
      <w:r>
        <w:rPr>
          <w:rFonts w:hint="eastAsia" w:ascii="Times New Roman" w:hAnsi="Times New Roman" w:cs="Times New Roman"/>
          <w:snapToGrid w:val="0"/>
        </w:rPr>
        <w:t>项目Q值&lt;1，可直接判定项目环境风险潜势为I，根据《建设项目环境风险评价技术导则》（HJ169-2018）评价工作等级划分要求，确定本项目环境风险评价等级为简单分析</w:t>
      </w:r>
      <w:r>
        <w:rPr>
          <w:rFonts w:ascii="Times New Roman" w:hAnsi="Times New Roman" w:cs="Times New Roman"/>
          <w:snapToGrid w:val="0"/>
        </w:rPr>
        <w:t>。</w:t>
      </w:r>
    </w:p>
    <w:p>
      <w:pPr>
        <w:autoSpaceDE/>
        <w:autoSpaceDN/>
        <w:adjustRightInd w:val="0"/>
        <w:snapToGrid w:val="0"/>
        <w:spacing w:line="360" w:lineRule="auto"/>
        <w:jc w:val="both"/>
        <w:outlineLvl w:val="2"/>
        <w:rPr>
          <w:rFonts w:ascii="Times New Roman" w:hAnsi="Times New Roman" w:cs="Times New Roman"/>
          <w:b/>
          <w:sz w:val="28"/>
          <w:szCs w:val="24"/>
        </w:rPr>
      </w:pPr>
      <w:bookmarkStart w:id="103" w:name="_Toc69284555"/>
      <w:bookmarkStart w:id="104" w:name="_Toc82593088"/>
      <w:bookmarkStart w:id="105" w:name="_Toc30980"/>
      <w:r>
        <w:rPr>
          <w:rFonts w:ascii="Times New Roman" w:hAnsi="Times New Roman" w:cs="Times New Roman"/>
          <w:b/>
          <w:sz w:val="28"/>
          <w:szCs w:val="24"/>
        </w:rPr>
        <w:t>2.4.2评价范围</w:t>
      </w:r>
      <w:bookmarkEnd w:id="102"/>
      <w:bookmarkEnd w:id="103"/>
      <w:bookmarkEnd w:id="104"/>
      <w:bookmarkEnd w:id="105"/>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根据项目实施对环境的影响特点和项目所在地的自然环境特点，确定本项目的环境影响评价范围如下表。</w:t>
      </w:r>
    </w:p>
    <w:p>
      <w:pPr>
        <w:autoSpaceDE/>
        <w:autoSpaceDN/>
        <w:adjustRightInd w:val="0"/>
        <w:snapToGrid w:val="0"/>
        <w:spacing w:line="360" w:lineRule="auto"/>
        <w:jc w:val="center"/>
        <w:rPr>
          <w:rFonts w:ascii="Times New Roman" w:hAnsi="Times New Roman" w:cs="Times New Roman"/>
          <w:b/>
          <w:snapToGrid w:val="0"/>
          <w:sz w:val="24"/>
          <w:szCs w:val="24"/>
        </w:rPr>
      </w:pPr>
      <w:r>
        <w:rPr>
          <w:rFonts w:ascii="Times New Roman" w:hAnsi="Times New Roman" w:cs="Times New Roman"/>
          <w:b/>
          <w:snapToGrid w:val="0"/>
          <w:sz w:val="24"/>
          <w:szCs w:val="24"/>
        </w:rPr>
        <w:t>表2.4-5</w:t>
      </w:r>
      <w:r>
        <w:rPr>
          <w:rFonts w:hint="eastAsia" w:ascii="Times New Roman" w:hAnsi="Times New Roman" w:cs="Times New Roman"/>
          <w:b/>
          <w:snapToGrid w:val="0"/>
          <w:sz w:val="24"/>
          <w:szCs w:val="24"/>
        </w:rPr>
        <w:t xml:space="preserve"> </w:t>
      </w:r>
      <w:r>
        <w:rPr>
          <w:rFonts w:ascii="Times New Roman" w:hAnsi="Times New Roman" w:cs="Times New Roman"/>
          <w:b/>
          <w:snapToGrid w:val="0"/>
          <w:sz w:val="24"/>
          <w:szCs w:val="24"/>
        </w:rPr>
        <w:t xml:space="preserve"> 评价等级和评价范围汇总表</w:t>
      </w:r>
    </w:p>
    <w:tbl>
      <w:tblPr>
        <w:tblStyle w:val="89"/>
        <w:tblW w:w="501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511"/>
        <w:gridCol w:w="977"/>
        <w:gridCol w:w="733"/>
        <w:gridCol w:w="61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05"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序号</w:t>
            </w:r>
          </w:p>
        </w:tc>
        <w:tc>
          <w:tcPr>
            <w:tcW w:w="584"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环境要素</w:t>
            </w:r>
          </w:p>
        </w:tc>
        <w:tc>
          <w:tcPr>
            <w:tcW w:w="438"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评价等级</w:t>
            </w:r>
          </w:p>
        </w:tc>
        <w:tc>
          <w:tcPr>
            <w:tcW w:w="3671"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评价范围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05"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1</w:t>
            </w:r>
          </w:p>
        </w:tc>
        <w:tc>
          <w:tcPr>
            <w:tcW w:w="584"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环境空气</w:t>
            </w:r>
          </w:p>
        </w:tc>
        <w:tc>
          <w:tcPr>
            <w:tcW w:w="438"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三级</w:t>
            </w:r>
          </w:p>
        </w:tc>
        <w:tc>
          <w:tcPr>
            <w:tcW w:w="3671"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hint="eastAsia" w:ascii="Times New Roman" w:hAnsi="Times New Roman" w:cs="Times New Roman"/>
                <w:snapToGrid w:val="0"/>
                <w:color w:val="auto"/>
                <w:sz w:val="21"/>
                <w:szCs w:val="21"/>
                <w:u w:val="none"/>
              </w:rPr>
              <w:t>治理河段全线两侧及施工场地边界外200m以内区域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05"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2</w:t>
            </w:r>
          </w:p>
        </w:tc>
        <w:tc>
          <w:tcPr>
            <w:tcW w:w="584"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地表水</w:t>
            </w:r>
          </w:p>
        </w:tc>
        <w:tc>
          <w:tcPr>
            <w:tcW w:w="438"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二级</w:t>
            </w:r>
          </w:p>
        </w:tc>
        <w:tc>
          <w:tcPr>
            <w:tcW w:w="3671" w:type="pct"/>
            <w:vAlign w:val="center"/>
          </w:tcPr>
          <w:p>
            <w:pPr>
              <w:pStyle w:val="124"/>
              <w:autoSpaceDE/>
              <w:autoSpaceDN/>
              <w:adjustRightInd w:val="0"/>
              <w:snapToGrid w:val="0"/>
              <w:rPr>
                <w:rFonts w:hint="default" w:ascii="Times New Roman" w:hAnsi="Times New Roman" w:cs="Times New Roman"/>
                <w:snapToGrid w:val="0"/>
                <w:color w:val="auto"/>
                <w:sz w:val="21"/>
                <w:szCs w:val="21"/>
                <w:u w:val="none"/>
                <w:lang w:val="en-US"/>
              </w:rPr>
            </w:pPr>
            <w:r>
              <w:rPr>
                <w:rFonts w:hint="eastAsia" w:ascii="Times New Roman" w:hAnsi="Times New Roman" w:cs="Times New Roman"/>
                <w:snapToGrid w:val="0"/>
                <w:color w:val="auto"/>
                <w:sz w:val="21"/>
                <w:szCs w:val="21"/>
                <w:u w:val="none"/>
                <w:lang w:eastAsia="zh-CN"/>
              </w:rPr>
              <w:t>本项目治理河段全线至下游城连圩乡饮用水水源保护区边界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05"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3</w:t>
            </w:r>
          </w:p>
        </w:tc>
        <w:tc>
          <w:tcPr>
            <w:tcW w:w="584"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地下水</w:t>
            </w:r>
          </w:p>
        </w:tc>
        <w:tc>
          <w:tcPr>
            <w:tcW w:w="438"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hint="eastAsia" w:ascii="Times New Roman" w:hAnsi="Times New Roman" w:cs="Times New Roman"/>
                <w:snapToGrid w:val="0"/>
                <w:color w:val="auto"/>
                <w:sz w:val="21"/>
                <w:szCs w:val="21"/>
                <w:u w:val="none"/>
                <w:lang w:eastAsia="zh-CN"/>
              </w:rPr>
              <w:t>二</w:t>
            </w:r>
            <w:r>
              <w:rPr>
                <w:rFonts w:ascii="Times New Roman" w:hAnsi="Times New Roman" w:cs="Times New Roman"/>
                <w:snapToGrid w:val="0"/>
                <w:color w:val="auto"/>
                <w:sz w:val="21"/>
                <w:szCs w:val="21"/>
                <w:u w:val="none"/>
              </w:rPr>
              <w:t>级</w:t>
            </w:r>
          </w:p>
        </w:tc>
        <w:tc>
          <w:tcPr>
            <w:tcW w:w="3671" w:type="pct"/>
            <w:vAlign w:val="center"/>
          </w:tcPr>
          <w:p>
            <w:pPr>
              <w:pStyle w:val="124"/>
              <w:autoSpaceDE/>
              <w:autoSpaceDN/>
              <w:adjustRightInd w:val="0"/>
              <w:snapToGrid w:val="0"/>
              <w:rPr>
                <w:rFonts w:hint="default" w:ascii="Times New Roman" w:hAnsi="Times New Roman" w:eastAsia="宋体" w:cs="Times New Roman"/>
                <w:snapToGrid w:val="0"/>
                <w:color w:val="auto"/>
                <w:sz w:val="21"/>
                <w:szCs w:val="21"/>
                <w:u w:val="none"/>
                <w:lang w:val="en-US" w:eastAsia="zh-CN"/>
              </w:rPr>
            </w:pPr>
            <w:r>
              <w:rPr>
                <w:rFonts w:ascii="Times New Roman" w:hAnsi="Times New Roman" w:cs="Times New Roman"/>
                <w:snapToGrid w:val="0"/>
                <w:color w:val="auto"/>
                <w:sz w:val="21"/>
                <w:szCs w:val="21"/>
                <w:u w:val="none"/>
              </w:rPr>
              <w:t>项目所在区域的水文地质单元</w:t>
            </w:r>
            <w:r>
              <w:rPr>
                <w:rFonts w:hint="eastAsia" w:ascii="Times New Roman" w:hAnsi="Times New Roman" w:cs="Times New Roman"/>
                <w:snapToGrid w:val="0"/>
                <w:color w:val="auto"/>
                <w:sz w:val="21"/>
                <w:szCs w:val="21"/>
                <w:u w:val="none"/>
                <w:lang w:val="en-US" w:eastAsia="zh-CN"/>
              </w:rPr>
              <w:t>项目周边6km</w:t>
            </w:r>
            <w:r>
              <w:rPr>
                <w:rFonts w:hint="eastAsia" w:ascii="Times New Roman" w:hAnsi="Times New Roman" w:cs="Times New Roman"/>
                <w:snapToGrid w:val="0"/>
                <w:color w:val="auto"/>
                <w:sz w:val="21"/>
                <w:szCs w:val="21"/>
                <w:u w:val="none"/>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05"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4</w:t>
            </w:r>
          </w:p>
        </w:tc>
        <w:tc>
          <w:tcPr>
            <w:tcW w:w="584"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声环境</w:t>
            </w:r>
          </w:p>
        </w:tc>
        <w:tc>
          <w:tcPr>
            <w:tcW w:w="438"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二级</w:t>
            </w:r>
          </w:p>
        </w:tc>
        <w:tc>
          <w:tcPr>
            <w:tcW w:w="3671"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工程施工范围外200m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05"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5</w:t>
            </w:r>
          </w:p>
        </w:tc>
        <w:tc>
          <w:tcPr>
            <w:tcW w:w="584"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生态环境</w:t>
            </w:r>
          </w:p>
        </w:tc>
        <w:tc>
          <w:tcPr>
            <w:tcW w:w="438"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二级</w:t>
            </w:r>
          </w:p>
        </w:tc>
        <w:tc>
          <w:tcPr>
            <w:tcW w:w="3671" w:type="pct"/>
            <w:vAlign w:val="center"/>
          </w:tcPr>
          <w:p>
            <w:pPr>
              <w:pStyle w:val="124"/>
              <w:numPr>
                <w:ilvl w:val="0"/>
                <w:numId w:val="9"/>
              </w:numPr>
              <w:autoSpaceDE/>
              <w:autoSpaceDN/>
              <w:adjustRightInd w:val="0"/>
              <w:snapToGrid w:val="0"/>
              <w:jc w:val="both"/>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水生生态：</w:t>
            </w:r>
            <w:r>
              <w:rPr>
                <w:rFonts w:hint="eastAsia" w:ascii="Times New Roman" w:hAnsi="Times New Roman" w:cs="Times New Roman"/>
                <w:snapToGrid w:val="0"/>
                <w:color w:val="auto"/>
                <w:sz w:val="21"/>
                <w:szCs w:val="21"/>
                <w:u w:val="none"/>
                <w:lang w:eastAsia="zh-CN"/>
              </w:rPr>
              <w:t>治理河段全线至下游城连圩乡饮用水水源保护区边界</w:t>
            </w:r>
          </w:p>
          <w:p>
            <w:pPr>
              <w:pStyle w:val="124"/>
              <w:numPr>
                <w:ilvl w:val="0"/>
                <w:numId w:val="9"/>
              </w:numPr>
              <w:autoSpaceDE/>
              <w:autoSpaceDN/>
              <w:adjustRightInd w:val="0"/>
              <w:snapToGrid w:val="0"/>
              <w:jc w:val="both"/>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陆生生态：</w:t>
            </w:r>
            <w:r>
              <w:rPr>
                <w:rFonts w:hint="eastAsia" w:ascii="Times New Roman" w:hAnsi="Times New Roman" w:cs="Times New Roman"/>
                <w:snapToGrid w:val="0"/>
                <w:color w:val="auto"/>
                <w:sz w:val="21"/>
                <w:szCs w:val="21"/>
                <w:u w:val="none"/>
                <w:lang w:eastAsia="zh-CN"/>
              </w:rPr>
              <w:t>祁水</w:t>
            </w:r>
            <w:r>
              <w:rPr>
                <w:rFonts w:ascii="Times New Roman" w:hAnsi="Times New Roman" w:cs="Times New Roman"/>
                <w:snapToGrid w:val="0"/>
                <w:color w:val="auto"/>
                <w:sz w:val="21"/>
                <w:szCs w:val="21"/>
                <w:u w:val="none"/>
              </w:rPr>
              <w:t>护岸岸边、临时工程、施工场地</w:t>
            </w:r>
            <w:r>
              <w:rPr>
                <w:rFonts w:hint="eastAsia" w:ascii="Times New Roman" w:hAnsi="Times New Roman" w:cs="Times New Roman"/>
                <w:snapToGrid w:val="0"/>
                <w:color w:val="auto"/>
                <w:sz w:val="21"/>
                <w:szCs w:val="21"/>
                <w:u w:val="none"/>
                <w:lang w:val="en-US" w:eastAsia="zh-CN"/>
              </w:rPr>
              <w:t>两侧外延300m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05" w:type="pct"/>
            <w:vAlign w:val="center"/>
          </w:tcPr>
          <w:p>
            <w:pPr>
              <w:pStyle w:val="124"/>
              <w:autoSpaceDE/>
              <w:autoSpaceDN/>
              <w:adjustRightInd w:val="0"/>
              <w:snapToGrid w:val="0"/>
              <w:rPr>
                <w:rFonts w:ascii="Times New Roman" w:hAnsi="Times New Roman" w:cs="Times New Roman"/>
                <w:b/>
                <w:snapToGrid w:val="0"/>
                <w:color w:val="auto"/>
                <w:sz w:val="21"/>
                <w:szCs w:val="21"/>
                <w:u w:val="none"/>
              </w:rPr>
            </w:pPr>
            <w:r>
              <w:rPr>
                <w:rFonts w:ascii="Times New Roman" w:hAnsi="Times New Roman" w:cs="Times New Roman"/>
                <w:snapToGrid w:val="0"/>
                <w:color w:val="auto"/>
                <w:sz w:val="21"/>
                <w:szCs w:val="21"/>
                <w:u w:val="none"/>
              </w:rPr>
              <w:t>6</w:t>
            </w:r>
          </w:p>
        </w:tc>
        <w:tc>
          <w:tcPr>
            <w:tcW w:w="584"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土壤环境</w:t>
            </w:r>
          </w:p>
        </w:tc>
        <w:tc>
          <w:tcPr>
            <w:tcW w:w="438"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w:t>
            </w:r>
          </w:p>
        </w:tc>
        <w:tc>
          <w:tcPr>
            <w:tcW w:w="3671"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可不开展土壤环境影响评价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05"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7</w:t>
            </w:r>
          </w:p>
        </w:tc>
        <w:tc>
          <w:tcPr>
            <w:tcW w:w="584"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环境风险</w:t>
            </w:r>
          </w:p>
        </w:tc>
        <w:tc>
          <w:tcPr>
            <w:tcW w:w="438"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ascii="Times New Roman" w:hAnsi="Times New Roman" w:cs="Times New Roman"/>
                <w:snapToGrid w:val="0"/>
                <w:color w:val="auto"/>
                <w:sz w:val="21"/>
                <w:szCs w:val="21"/>
                <w:u w:val="none"/>
              </w:rPr>
              <w:t>简单分析</w:t>
            </w:r>
          </w:p>
        </w:tc>
        <w:tc>
          <w:tcPr>
            <w:tcW w:w="3671" w:type="pct"/>
            <w:vAlign w:val="center"/>
          </w:tcPr>
          <w:p>
            <w:pPr>
              <w:pStyle w:val="124"/>
              <w:autoSpaceDE/>
              <w:autoSpaceDN/>
              <w:adjustRightInd w:val="0"/>
              <w:snapToGrid w:val="0"/>
              <w:rPr>
                <w:rFonts w:ascii="Times New Roman" w:hAnsi="Times New Roman" w:cs="Times New Roman"/>
                <w:snapToGrid w:val="0"/>
                <w:color w:val="auto"/>
                <w:sz w:val="21"/>
                <w:szCs w:val="21"/>
                <w:u w:val="none"/>
              </w:rPr>
            </w:pPr>
            <w:r>
              <w:rPr>
                <w:rFonts w:hint="eastAsia" w:ascii="Times New Roman" w:hAnsi="Times New Roman" w:cs="Times New Roman"/>
                <w:snapToGrid w:val="0"/>
                <w:color w:val="auto"/>
                <w:sz w:val="21"/>
                <w:szCs w:val="21"/>
                <w:u w:val="none"/>
                <w:lang w:eastAsia="zh-CN"/>
              </w:rPr>
              <w:t>治理河段全线至下游城连圩乡饮用水水源保护区边界</w:t>
            </w:r>
          </w:p>
        </w:tc>
      </w:tr>
    </w:tbl>
    <w:p>
      <w:pPr>
        <w:autoSpaceDE/>
        <w:autoSpaceDN/>
        <w:adjustRightInd w:val="0"/>
        <w:snapToGrid w:val="0"/>
        <w:spacing w:line="360" w:lineRule="auto"/>
        <w:jc w:val="both"/>
        <w:outlineLvl w:val="2"/>
        <w:rPr>
          <w:rFonts w:ascii="Times New Roman" w:hAnsi="Times New Roman" w:cs="Times New Roman"/>
          <w:b/>
          <w:sz w:val="28"/>
          <w:szCs w:val="24"/>
        </w:rPr>
      </w:pPr>
      <w:bookmarkStart w:id="106" w:name="_bookmark13"/>
      <w:bookmarkEnd w:id="106"/>
      <w:bookmarkStart w:id="107" w:name="_Toc69284556"/>
      <w:bookmarkStart w:id="108" w:name="_Toc17690"/>
      <w:bookmarkStart w:id="109" w:name="_Toc66206030"/>
      <w:bookmarkStart w:id="110" w:name="_Toc82593089"/>
      <w:r>
        <w:rPr>
          <w:rFonts w:ascii="Times New Roman" w:hAnsi="Times New Roman" w:cs="Times New Roman"/>
          <w:b/>
          <w:sz w:val="28"/>
          <w:szCs w:val="24"/>
        </w:rPr>
        <w:t>2.4.3环境功能区划</w:t>
      </w:r>
      <w:bookmarkEnd w:id="107"/>
      <w:bookmarkEnd w:id="108"/>
      <w:bookmarkEnd w:id="109"/>
      <w:bookmarkEnd w:id="110"/>
    </w:p>
    <w:p>
      <w:pPr>
        <w:autoSpaceDE/>
        <w:autoSpaceDN/>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表2.4-6  项目所属环境功能区一览表</w:t>
      </w:r>
    </w:p>
    <w:tbl>
      <w:tblPr>
        <w:tblStyle w:val="90"/>
        <w:tblW w:w="5000" w:type="pct"/>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637"/>
        <w:gridCol w:w="2678"/>
        <w:gridCol w:w="520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374"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编号</w:t>
            </w:r>
          </w:p>
        </w:tc>
        <w:tc>
          <w:tcPr>
            <w:tcW w:w="1571"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环境要素</w:t>
            </w:r>
          </w:p>
        </w:tc>
        <w:tc>
          <w:tcPr>
            <w:tcW w:w="3055"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环境功能属性</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374"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c>
          <w:tcPr>
            <w:tcW w:w="1571"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环境空气</w:t>
            </w:r>
          </w:p>
        </w:tc>
        <w:tc>
          <w:tcPr>
            <w:tcW w:w="3055" w:type="pct"/>
            <w:vAlign w:val="center"/>
          </w:tcPr>
          <w:p>
            <w:pPr>
              <w:autoSpaceDE/>
              <w:autoSpaceDN/>
              <w:adjustRightInd w:val="0"/>
              <w:snapToGrid w:val="0"/>
              <w:jc w:val="both"/>
              <w:rPr>
                <w:rFonts w:ascii="Times New Roman" w:hAnsi="Times New Roman" w:cs="Times New Roman"/>
                <w:sz w:val="21"/>
                <w:szCs w:val="21"/>
              </w:rPr>
            </w:pPr>
            <w:r>
              <w:rPr>
                <w:rFonts w:ascii="Times New Roman" w:hAnsi="Times New Roman" w:cs="Times New Roman"/>
                <w:sz w:val="21"/>
                <w:szCs w:val="21"/>
              </w:rPr>
              <w:t>二类区，执行（GB3095-2012）二级标准</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374"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1571"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地表水</w:t>
            </w:r>
          </w:p>
        </w:tc>
        <w:tc>
          <w:tcPr>
            <w:tcW w:w="3055" w:type="pct"/>
            <w:vAlign w:val="center"/>
          </w:tcPr>
          <w:p>
            <w:pPr>
              <w:autoSpaceDE/>
              <w:autoSpaceDN/>
              <w:adjustRightInd w:val="0"/>
              <w:snapToGrid w:val="0"/>
              <w:jc w:val="both"/>
              <w:rPr>
                <w:rFonts w:ascii="Times New Roman" w:hAnsi="Times New Roman" w:cs="Times New Roman"/>
                <w:sz w:val="21"/>
                <w:szCs w:val="21"/>
              </w:rPr>
            </w:pPr>
            <w:r>
              <w:rPr>
                <w:rFonts w:ascii="Times New Roman" w:hAnsi="Times New Roman" w:cs="Times New Roman"/>
                <w:sz w:val="21"/>
                <w:szCs w:val="21"/>
              </w:rPr>
              <w:t>执行《地表水环境质量标准》（</w:t>
            </w:r>
            <w:r>
              <w:rPr>
                <w:rFonts w:ascii="Times New Roman" w:hAnsi="Times New Roman" w:eastAsia="Times New Roman" w:cs="Times New Roman"/>
                <w:sz w:val="21"/>
                <w:szCs w:val="21"/>
              </w:rPr>
              <w:t>GB3838-2002</w:t>
            </w:r>
            <w:r>
              <w:rPr>
                <w:rFonts w:ascii="Times New Roman" w:hAnsi="Times New Roman" w:cs="Times New Roman"/>
                <w:sz w:val="21"/>
                <w:szCs w:val="21"/>
              </w:rPr>
              <w:t>）中</w:t>
            </w:r>
            <w:r>
              <w:rPr>
                <w:rFonts w:hint="eastAsia" w:ascii="宋体" w:hAnsi="宋体" w:eastAsia="宋体" w:cs="宋体"/>
                <w:sz w:val="21"/>
                <w:szCs w:val="21"/>
              </w:rPr>
              <w:t>Ⅱ</w:t>
            </w:r>
            <w:r>
              <w:rPr>
                <w:rFonts w:ascii="Times New Roman" w:hAnsi="Times New Roman" w:cs="Times New Roman"/>
                <w:sz w:val="21"/>
                <w:szCs w:val="21"/>
              </w:rPr>
              <w:t>类</w:t>
            </w:r>
            <w:r>
              <w:rPr>
                <w:rFonts w:hint="eastAsia" w:ascii="Times New Roman" w:hAnsi="Times New Roman" w:cs="Times New Roman"/>
                <w:sz w:val="21"/>
                <w:szCs w:val="21"/>
                <w:lang w:eastAsia="zh-CN"/>
              </w:rPr>
              <w:t>、</w:t>
            </w:r>
            <w:r>
              <w:rPr>
                <w:rFonts w:hint="eastAsia" w:ascii="宋体" w:hAnsi="宋体" w:eastAsia="宋体" w:cs="宋体"/>
                <w:sz w:val="21"/>
                <w:szCs w:val="21"/>
                <w:lang w:eastAsia="zh-CN"/>
              </w:rPr>
              <w:t>Ⅲ</w:t>
            </w:r>
            <w:r>
              <w:rPr>
                <w:rFonts w:hint="eastAsia" w:ascii="Times New Roman" w:hAnsi="Times New Roman" w:cs="Times New Roman"/>
                <w:sz w:val="21"/>
                <w:szCs w:val="21"/>
                <w:lang w:eastAsia="zh-CN"/>
              </w:rPr>
              <w:t>类</w:t>
            </w:r>
            <w:r>
              <w:rPr>
                <w:rFonts w:ascii="Times New Roman" w:hAnsi="Times New Roman" w:cs="Times New Roman"/>
                <w:sz w:val="21"/>
                <w:szCs w:val="21"/>
              </w:rPr>
              <w:t>标准</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374"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p>
        </w:tc>
        <w:tc>
          <w:tcPr>
            <w:tcW w:w="1571"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地下水</w:t>
            </w:r>
          </w:p>
        </w:tc>
        <w:tc>
          <w:tcPr>
            <w:tcW w:w="3055" w:type="pct"/>
            <w:vAlign w:val="center"/>
          </w:tcPr>
          <w:p>
            <w:pPr>
              <w:autoSpaceDE/>
              <w:autoSpaceDN/>
              <w:adjustRightInd w:val="0"/>
              <w:snapToGrid w:val="0"/>
              <w:jc w:val="both"/>
              <w:rPr>
                <w:rFonts w:ascii="Times New Roman" w:hAnsi="Times New Roman" w:cs="Times New Roman"/>
                <w:sz w:val="21"/>
                <w:szCs w:val="21"/>
              </w:rPr>
            </w:pPr>
            <w:r>
              <w:rPr>
                <w:rFonts w:ascii="Times New Roman" w:hAnsi="Times New Roman" w:cs="Times New Roman"/>
                <w:sz w:val="21"/>
                <w:szCs w:val="21"/>
              </w:rPr>
              <w:t>《地下水质量标准》（GB/T 14848-2017）中的Ⅲ类标准</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374"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4</w:t>
            </w:r>
          </w:p>
        </w:tc>
        <w:tc>
          <w:tcPr>
            <w:tcW w:w="1571"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声环境</w:t>
            </w:r>
          </w:p>
        </w:tc>
        <w:tc>
          <w:tcPr>
            <w:tcW w:w="3055" w:type="pct"/>
            <w:vAlign w:val="center"/>
          </w:tcPr>
          <w:p>
            <w:pPr>
              <w:autoSpaceDE/>
              <w:autoSpaceDN/>
              <w:adjustRightInd w:val="0"/>
              <w:snapToGrid w:val="0"/>
              <w:jc w:val="both"/>
              <w:rPr>
                <w:rFonts w:ascii="Times New Roman" w:hAnsi="Times New Roman" w:cs="Times New Roman"/>
                <w:sz w:val="21"/>
                <w:szCs w:val="21"/>
              </w:rPr>
            </w:pPr>
            <w:r>
              <w:rPr>
                <w:rFonts w:ascii="Times New Roman" w:hAnsi="Times New Roman" w:cs="Times New Roman"/>
                <w:sz w:val="21"/>
                <w:szCs w:val="21"/>
              </w:rPr>
              <w:t>执行（GB3096-2008）2类标准</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374"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p>
        </w:tc>
        <w:tc>
          <w:tcPr>
            <w:tcW w:w="1571"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是否基本农田保护区</w:t>
            </w:r>
          </w:p>
        </w:tc>
        <w:tc>
          <w:tcPr>
            <w:tcW w:w="3055" w:type="pct"/>
            <w:vAlign w:val="center"/>
          </w:tcPr>
          <w:p>
            <w:pPr>
              <w:autoSpaceDE/>
              <w:autoSpaceDN/>
              <w:adjustRightInd w:val="0"/>
              <w:snapToGrid w:val="0"/>
              <w:jc w:val="both"/>
              <w:rPr>
                <w:rFonts w:ascii="Times New Roman" w:hAnsi="Times New Roman" w:cs="Times New Roman"/>
                <w:sz w:val="21"/>
                <w:szCs w:val="21"/>
              </w:rPr>
            </w:pPr>
            <w:r>
              <w:rPr>
                <w:rFonts w:ascii="Times New Roman" w:hAnsi="Times New Roman" w:cs="Times New Roman"/>
                <w:sz w:val="21"/>
                <w:szCs w:val="21"/>
              </w:rPr>
              <w:t>否</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374"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6</w:t>
            </w:r>
          </w:p>
        </w:tc>
        <w:tc>
          <w:tcPr>
            <w:tcW w:w="1571"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是否森林公园</w:t>
            </w:r>
          </w:p>
        </w:tc>
        <w:tc>
          <w:tcPr>
            <w:tcW w:w="3055" w:type="pct"/>
            <w:vAlign w:val="center"/>
          </w:tcPr>
          <w:p>
            <w:pPr>
              <w:autoSpaceDE/>
              <w:autoSpaceDN/>
              <w:adjustRightInd w:val="0"/>
              <w:snapToGrid w:val="0"/>
              <w:jc w:val="both"/>
              <w:rPr>
                <w:rFonts w:ascii="Times New Roman" w:hAnsi="Times New Roman" w:cs="Times New Roman"/>
                <w:sz w:val="21"/>
                <w:szCs w:val="21"/>
              </w:rPr>
            </w:pPr>
            <w:r>
              <w:rPr>
                <w:rFonts w:ascii="Times New Roman" w:hAnsi="Times New Roman" w:cs="Times New Roman"/>
                <w:sz w:val="21"/>
                <w:szCs w:val="21"/>
              </w:rPr>
              <w:t>否</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374"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7</w:t>
            </w:r>
          </w:p>
        </w:tc>
        <w:tc>
          <w:tcPr>
            <w:tcW w:w="1571"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是否生态功能保护区</w:t>
            </w:r>
          </w:p>
        </w:tc>
        <w:tc>
          <w:tcPr>
            <w:tcW w:w="3055" w:type="pct"/>
            <w:vAlign w:val="center"/>
          </w:tcPr>
          <w:p>
            <w:pPr>
              <w:autoSpaceDE/>
              <w:autoSpaceDN/>
              <w:adjustRightInd w:val="0"/>
              <w:snapToGrid w:val="0"/>
              <w:jc w:val="both"/>
              <w:rPr>
                <w:rFonts w:ascii="Times New Roman" w:hAnsi="Times New Roman" w:cs="Times New Roman"/>
                <w:sz w:val="21"/>
                <w:szCs w:val="21"/>
              </w:rPr>
            </w:pPr>
            <w:r>
              <w:rPr>
                <w:rFonts w:ascii="Times New Roman" w:hAnsi="Times New Roman" w:cs="Times New Roman"/>
                <w:sz w:val="21"/>
                <w:szCs w:val="21"/>
              </w:rPr>
              <w:t>是</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374"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8</w:t>
            </w:r>
          </w:p>
        </w:tc>
        <w:tc>
          <w:tcPr>
            <w:tcW w:w="1571"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是否水土流失重点防治区</w:t>
            </w:r>
          </w:p>
        </w:tc>
        <w:tc>
          <w:tcPr>
            <w:tcW w:w="3055" w:type="pct"/>
            <w:vAlign w:val="center"/>
          </w:tcPr>
          <w:p>
            <w:pPr>
              <w:autoSpaceDE/>
              <w:autoSpaceDN/>
              <w:adjustRightInd w:val="0"/>
              <w:snapToGrid w:val="0"/>
              <w:jc w:val="both"/>
              <w:rPr>
                <w:rFonts w:ascii="Times New Roman" w:hAnsi="Times New Roman" w:cs="Times New Roman"/>
                <w:sz w:val="21"/>
                <w:szCs w:val="21"/>
              </w:rPr>
            </w:pPr>
            <w:r>
              <w:rPr>
                <w:rFonts w:ascii="Times New Roman" w:hAnsi="Times New Roman" w:cs="Times New Roman"/>
                <w:sz w:val="21"/>
                <w:szCs w:val="21"/>
              </w:rPr>
              <w:t>否</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374"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9</w:t>
            </w:r>
          </w:p>
        </w:tc>
        <w:tc>
          <w:tcPr>
            <w:tcW w:w="1571"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是否人口密集区</w:t>
            </w:r>
          </w:p>
        </w:tc>
        <w:tc>
          <w:tcPr>
            <w:tcW w:w="3055" w:type="pct"/>
            <w:vAlign w:val="center"/>
          </w:tcPr>
          <w:p>
            <w:pPr>
              <w:autoSpaceDE/>
              <w:autoSpaceDN/>
              <w:adjustRightInd w:val="0"/>
              <w:snapToGrid w:val="0"/>
              <w:jc w:val="both"/>
              <w:rPr>
                <w:rFonts w:ascii="Times New Roman" w:hAnsi="Times New Roman" w:cs="Times New Roman"/>
                <w:sz w:val="21"/>
                <w:szCs w:val="21"/>
              </w:rPr>
            </w:pPr>
            <w:r>
              <w:rPr>
                <w:rFonts w:ascii="Times New Roman" w:hAnsi="Times New Roman" w:cs="Times New Roman"/>
                <w:sz w:val="21"/>
                <w:szCs w:val="21"/>
              </w:rPr>
              <w:t>否</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374"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10</w:t>
            </w:r>
          </w:p>
        </w:tc>
        <w:tc>
          <w:tcPr>
            <w:tcW w:w="1571"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是否重点文物保护单位</w:t>
            </w:r>
          </w:p>
        </w:tc>
        <w:tc>
          <w:tcPr>
            <w:tcW w:w="3055" w:type="pct"/>
            <w:vAlign w:val="center"/>
          </w:tcPr>
          <w:p>
            <w:pPr>
              <w:autoSpaceDE/>
              <w:autoSpaceDN/>
              <w:adjustRightInd w:val="0"/>
              <w:snapToGrid w:val="0"/>
              <w:jc w:val="both"/>
              <w:rPr>
                <w:rFonts w:ascii="Times New Roman" w:hAnsi="Times New Roman" w:cs="Times New Roman"/>
                <w:sz w:val="21"/>
                <w:szCs w:val="21"/>
              </w:rPr>
            </w:pPr>
            <w:r>
              <w:rPr>
                <w:rFonts w:ascii="Times New Roman" w:hAnsi="Times New Roman" w:cs="Times New Roman"/>
                <w:sz w:val="21"/>
                <w:szCs w:val="21"/>
              </w:rPr>
              <w:t>否</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374"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11</w:t>
            </w:r>
          </w:p>
        </w:tc>
        <w:tc>
          <w:tcPr>
            <w:tcW w:w="1571"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是否水库库区</w:t>
            </w:r>
          </w:p>
        </w:tc>
        <w:tc>
          <w:tcPr>
            <w:tcW w:w="3055" w:type="pct"/>
            <w:vAlign w:val="center"/>
          </w:tcPr>
          <w:p>
            <w:pPr>
              <w:autoSpaceDE/>
              <w:autoSpaceDN/>
              <w:adjustRightInd w:val="0"/>
              <w:snapToGrid w:val="0"/>
              <w:jc w:val="both"/>
              <w:rPr>
                <w:rFonts w:ascii="Times New Roman" w:hAnsi="Times New Roman" w:cs="Times New Roman"/>
                <w:sz w:val="21"/>
                <w:szCs w:val="21"/>
              </w:rPr>
            </w:pPr>
            <w:r>
              <w:rPr>
                <w:rFonts w:ascii="Times New Roman" w:hAnsi="Times New Roman" w:cs="Times New Roman"/>
                <w:sz w:val="21"/>
                <w:szCs w:val="21"/>
              </w:rPr>
              <w:t>否</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374"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12</w:t>
            </w:r>
          </w:p>
        </w:tc>
        <w:tc>
          <w:tcPr>
            <w:tcW w:w="1571"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是否污水处理厂集水范围</w:t>
            </w:r>
          </w:p>
        </w:tc>
        <w:tc>
          <w:tcPr>
            <w:tcW w:w="3055" w:type="pct"/>
            <w:vAlign w:val="center"/>
          </w:tcPr>
          <w:p>
            <w:pPr>
              <w:autoSpaceDE/>
              <w:autoSpaceDN/>
              <w:adjustRightInd w:val="0"/>
              <w:snapToGrid w:val="0"/>
              <w:jc w:val="both"/>
              <w:rPr>
                <w:rFonts w:ascii="Times New Roman" w:hAnsi="Times New Roman" w:cs="Times New Roman"/>
                <w:sz w:val="21"/>
                <w:szCs w:val="21"/>
              </w:rPr>
            </w:pPr>
            <w:r>
              <w:rPr>
                <w:rFonts w:ascii="Times New Roman" w:hAnsi="Times New Roman" w:cs="Times New Roman"/>
                <w:sz w:val="21"/>
                <w:szCs w:val="21"/>
              </w:rPr>
              <w:t>否</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374"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13</w:t>
            </w:r>
          </w:p>
        </w:tc>
        <w:tc>
          <w:tcPr>
            <w:tcW w:w="1571" w:type="pct"/>
            <w:vAlign w:val="center"/>
          </w:tcPr>
          <w:p>
            <w:pPr>
              <w:autoSpaceDE/>
              <w:autoSpaceDN/>
              <w:adjustRightInd w:val="0"/>
              <w:snapToGrid w:val="0"/>
              <w:jc w:val="center"/>
              <w:rPr>
                <w:rFonts w:ascii="Times New Roman" w:hAnsi="Times New Roman" w:cs="Times New Roman"/>
                <w:sz w:val="21"/>
                <w:szCs w:val="21"/>
              </w:rPr>
            </w:pPr>
            <w:r>
              <w:rPr>
                <w:rFonts w:ascii="Times New Roman" w:hAnsi="Times New Roman" w:cs="Times New Roman"/>
                <w:sz w:val="21"/>
                <w:szCs w:val="21"/>
              </w:rPr>
              <w:t>是否属于生态敏感与脆弱区</w:t>
            </w:r>
          </w:p>
        </w:tc>
        <w:tc>
          <w:tcPr>
            <w:tcW w:w="3055" w:type="pct"/>
            <w:vAlign w:val="center"/>
          </w:tcPr>
          <w:p>
            <w:pPr>
              <w:autoSpaceDE/>
              <w:autoSpaceDN/>
              <w:adjustRightInd w:val="0"/>
              <w:snapToGrid w:val="0"/>
              <w:jc w:val="both"/>
              <w:rPr>
                <w:rFonts w:ascii="Times New Roman" w:hAnsi="Times New Roman" w:cs="Times New Roman"/>
                <w:sz w:val="21"/>
                <w:szCs w:val="21"/>
              </w:rPr>
            </w:pPr>
            <w:r>
              <w:rPr>
                <w:rFonts w:ascii="Times New Roman" w:hAnsi="Times New Roman" w:cs="Times New Roman"/>
                <w:sz w:val="21"/>
                <w:szCs w:val="21"/>
              </w:rPr>
              <w:t>生态敏感区（</w:t>
            </w:r>
            <w:r>
              <w:rPr>
                <w:rFonts w:hint="eastAsia" w:ascii="Times New Roman" w:hAnsi="Times New Roman" w:cs="Times New Roman"/>
                <w:sz w:val="21"/>
                <w:szCs w:val="21"/>
                <w:lang w:eastAsia="zh-CN"/>
              </w:rPr>
              <w:t>饮用水源保护区</w:t>
            </w:r>
            <w:r>
              <w:rPr>
                <w:rFonts w:ascii="Times New Roman" w:hAnsi="Times New Roman" w:cs="Times New Roman"/>
                <w:sz w:val="21"/>
                <w:szCs w:val="21"/>
              </w:rPr>
              <w:t>）</w:t>
            </w:r>
          </w:p>
        </w:tc>
      </w:tr>
    </w:tbl>
    <w:p>
      <w:pPr>
        <w:pStyle w:val="123"/>
        <w:tabs>
          <w:tab w:val="left" w:pos="692"/>
        </w:tabs>
        <w:autoSpaceDE/>
        <w:autoSpaceDN/>
        <w:adjustRightInd w:val="0"/>
        <w:snapToGrid w:val="0"/>
        <w:spacing w:before="0" w:line="360" w:lineRule="auto"/>
        <w:ind w:left="0" w:firstLine="0"/>
        <w:jc w:val="both"/>
        <w:outlineLvl w:val="1"/>
        <w:rPr>
          <w:rFonts w:ascii="Times New Roman" w:hAnsi="Times New Roman" w:cs="Times New Roman"/>
          <w:b/>
          <w:sz w:val="30"/>
        </w:rPr>
      </w:pPr>
      <w:bookmarkStart w:id="111" w:name="_Toc17574"/>
      <w:r>
        <w:rPr>
          <w:rFonts w:ascii="Times New Roman" w:hAnsi="Times New Roman" w:cs="Times New Roman"/>
          <w:b/>
          <w:sz w:val="30"/>
        </w:rPr>
        <w:t>2.5评价标准</w:t>
      </w:r>
      <w:bookmarkEnd w:id="111"/>
    </w:p>
    <w:p>
      <w:pPr>
        <w:autoSpaceDE/>
        <w:autoSpaceDN/>
        <w:adjustRightInd w:val="0"/>
        <w:snapToGrid w:val="0"/>
        <w:spacing w:line="360" w:lineRule="auto"/>
        <w:jc w:val="both"/>
        <w:outlineLvl w:val="2"/>
        <w:rPr>
          <w:rFonts w:ascii="Times New Roman" w:hAnsi="Times New Roman" w:cs="Times New Roman"/>
          <w:b/>
          <w:sz w:val="28"/>
          <w:szCs w:val="24"/>
        </w:rPr>
      </w:pPr>
      <w:bookmarkStart w:id="112" w:name="_Toc69284558"/>
      <w:bookmarkStart w:id="113" w:name="_Toc82593091"/>
      <w:bookmarkStart w:id="114" w:name="_Toc28490"/>
      <w:bookmarkStart w:id="115" w:name="_Toc66206032"/>
      <w:r>
        <w:rPr>
          <w:rFonts w:ascii="Times New Roman" w:hAnsi="Times New Roman" w:cs="Times New Roman"/>
          <w:b/>
          <w:sz w:val="28"/>
          <w:szCs w:val="24"/>
        </w:rPr>
        <w:t>2.5.1环境质量标准</w:t>
      </w:r>
      <w:bookmarkEnd w:id="112"/>
      <w:bookmarkEnd w:id="113"/>
      <w:bookmarkEnd w:id="114"/>
      <w:bookmarkEnd w:id="115"/>
    </w:p>
    <w:p>
      <w:pPr>
        <w:tabs>
          <w:tab w:val="left" w:pos="1322"/>
        </w:tabs>
        <w:autoSpaceDE/>
        <w:autoSpaceDN/>
        <w:adjustRightInd w:val="0"/>
        <w:snapToGrid w:val="0"/>
        <w:spacing w:line="360" w:lineRule="auto"/>
        <w:ind w:firstLine="480" w:firstLineChars="200"/>
        <w:jc w:val="both"/>
        <w:rPr>
          <w:rFonts w:ascii="Times New Roman" w:hAnsi="Times New Roman" w:cs="Times New Roman"/>
          <w:sz w:val="24"/>
        </w:rPr>
      </w:pPr>
      <w:r>
        <w:rPr>
          <w:rFonts w:ascii="Times New Roman" w:hAnsi="Times New Roman" w:cs="Times New Roman"/>
          <w:sz w:val="24"/>
        </w:rPr>
        <w:t>（1）环境空气质量标准</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项目属于二类区，所以项目区域环境空气质量执行《环境空气质量标准》（</w:t>
      </w:r>
      <w:r>
        <w:rPr>
          <w:rFonts w:ascii="Times New Roman" w:hAnsi="Times New Roman" w:eastAsia="Times New Roman" w:cs="Times New Roman"/>
        </w:rPr>
        <w:t>GB3095-2012</w:t>
      </w:r>
      <w:r>
        <w:rPr>
          <w:rFonts w:ascii="Times New Roman" w:hAnsi="Times New Roman" w:cs="Times New Roman"/>
        </w:rPr>
        <w:t>）二级标准，相关污染物标准限值详见下表。</w:t>
      </w:r>
    </w:p>
    <w:p>
      <w:pPr>
        <w:autoSpaceDE/>
        <w:autoSpaceDN/>
        <w:adjustRightInd w:val="0"/>
        <w:snapToGrid w:val="0"/>
        <w:spacing w:line="360" w:lineRule="auto"/>
        <w:jc w:val="center"/>
        <w:rPr>
          <w:rFonts w:ascii="Times New Roman" w:hAnsi="Times New Roman" w:cs="Times New Roman"/>
          <w:b/>
          <w:snapToGrid w:val="0"/>
          <w:sz w:val="24"/>
          <w:szCs w:val="24"/>
        </w:rPr>
      </w:pPr>
      <w:r>
        <w:rPr>
          <w:rFonts w:ascii="Times New Roman" w:hAnsi="Times New Roman" w:cs="Times New Roman"/>
          <w:b/>
          <w:snapToGrid w:val="0"/>
          <w:sz w:val="24"/>
          <w:szCs w:val="24"/>
        </w:rPr>
        <w:t>表2.5-1 《环境空气质量标准》（GB3095-2012）摘录</w:t>
      </w:r>
    </w:p>
    <w:p>
      <w:pPr>
        <w:autoSpaceDE/>
        <w:autoSpaceDN/>
        <w:adjustRightInd w:val="0"/>
        <w:snapToGrid w:val="0"/>
        <w:jc w:val="right"/>
        <w:rPr>
          <w:rFonts w:ascii="Times New Roman" w:hAnsi="Times New Roman" w:cs="Times New Roman"/>
          <w:b/>
          <w:snapToGrid w:val="0"/>
          <w:sz w:val="24"/>
          <w:szCs w:val="24"/>
        </w:rPr>
      </w:pPr>
      <w:r>
        <w:rPr>
          <w:rFonts w:ascii="Times New Roman" w:hAnsi="Times New Roman" w:cs="Times New Roman"/>
          <w:b/>
          <w:snapToGrid w:val="0"/>
          <w:sz w:val="24"/>
          <w:szCs w:val="24"/>
        </w:rPr>
        <w:t>单位：μg/m</w:t>
      </w:r>
      <w:r>
        <w:rPr>
          <w:rFonts w:ascii="Times New Roman" w:hAnsi="Times New Roman" w:cs="Times New Roman"/>
          <w:b/>
          <w:snapToGrid w:val="0"/>
          <w:sz w:val="24"/>
          <w:szCs w:val="24"/>
          <w:vertAlign w:val="superscript"/>
        </w:rPr>
        <w:t>3</w:t>
      </w:r>
      <w:r>
        <w:rPr>
          <w:rFonts w:ascii="Times New Roman" w:hAnsi="Times New Roman" w:cs="Times New Roman"/>
          <w:b/>
          <w:snapToGrid w:val="0"/>
          <w:sz w:val="24"/>
          <w:szCs w:val="24"/>
        </w:rPr>
        <w:t>，CO为mg/m</w:t>
      </w:r>
      <w:r>
        <w:rPr>
          <w:rFonts w:ascii="Times New Roman" w:hAnsi="Times New Roman" w:cs="Times New Roman"/>
          <w:b/>
          <w:snapToGrid w:val="0"/>
          <w:sz w:val="24"/>
          <w:szCs w:val="24"/>
          <w:vertAlign w:val="superscript"/>
        </w:rPr>
        <w:t>3</w:t>
      </w:r>
    </w:p>
    <w:tbl>
      <w:tblPr>
        <w:tblStyle w:val="89"/>
        <w:tblW w:w="487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5"/>
        <w:gridCol w:w="1049"/>
        <w:gridCol w:w="1840"/>
        <w:gridCol w:w="1712"/>
        <w:gridCol w:w="1330"/>
        <w:gridCol w:w="18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tcBorders>
              <w:tl2br w:val="nil"/>
              <w:tr2bl w:val="nil"/>
            </w:tcBorders>
            <w:vAlign w:val="center"/>
          </w:tcPr>
          <w:p>
            <w:pPr>
              <w:pStyle w:val="2978"/>
              <w:rPr>
                <w:color w:val="auto"/>
                <w:u w:val="none" w:color="auto"/>
              </w:rPr>
            </w:pPr>
            <w:r>
              <w:rPr>
                <w:color w:val="auto"/>
                <w:u w:val="none" w:color="auto"/>
              </w:rPr>
              <w:t>序号</w:t>
            </w:r>
          </w:p>
        </w:tc>
        <w:tc>
          <w:tcPr>
            <w:tcW w:w="631" w:type="pct"/>
            <w:tcBorders>
              <w:tl2br w:val="nil"/>
              <w:tr2bl w:val="nil"/>
            </w:tcBorders>
            <w:vAlign w:val="center"/>
          </w:tcPr>
          <w:p>
            <w:pPr>
              <w:pStyle w:val="2978"/>
              <w:rPr>
                <w:color w:val="auto"/>
                <w:u w:val="none" w:color="auto"/>
              </w:rPr>
            </w:pPr>
            <w:r>
              <w:rPr>
                <w:color w:val="auto"/>
                <w:u w:val="none" w:color="auto"/>
              </w:rPr>
              <w:t>污染物项目</w:t>
            </w:r>
          </w:p>
        </w:tc>
        <w:tc>
          <w:tcPr>
            <w:tcW w:w="1107" w:type="pct"/>
            <w:tcBorders>
              <w:tl2br w:val="nil"/>
              <w:tr2bl w:val="nil"/>
            </w:tcBorders>
            <w:vAlign w:val="center"/>
          </w:tcPr>
          <w:p>
            <w:pPr>
              <w:pStyle w:val="2978"/>
              <w:rPr>
                <w:color w:val="auto"/>
                <w:u w:val="none" w:color="auto"/>
              </w:rPr>
            </w:pPr>
            <w:r>
              <w:rPr>
                <w:color w:val="auto"/>
                <w:u w:val="none" w:color="auto"/>
              </w:rPr>
              <w:t>平均时间</w:t>
            </w:r>
          </w:p>
        </w:tc>
        <w:tc>
          <w:tcPr>
            <w:tcW w:w="1030" w:type="pct"/>
            <w:tcBorders>
              <w:tl2br w:val="nil"/>
              <w:tr2bl w:val="nil"/>
            </w:tcBorders>
            <w:vAlign w:val="center"/>
          </w:tcPr>
          <w:p>
            <w:pPr>
              <w:pStyle w:val="2978"/>
              <w:rPr>
                <w:color w:val="auto"/>
                <w:u w:val="none" w:color="auto"/>
              </w:rPr>
            </w:pPr>
            <w:r>
              <w:rPr>
                <w:color w:val="auto"/>
                <w:u w:val="none" w:color="auto"/>
              </w:rPr>
              <w:t>二级浓度限值</w:t>
            </w:r>
          </w:p>
        </w:tc>
        <w:tc>
          <w:tcPr>
            <w:tcW w:w="800" w:type="pct"/>
            <w:tcBorders>
              <w:tl2br w:val="nil"/>
              <w:tr2bl w:val="nil"/>
            </w:tcBorders>
            <w:vAlign w:val="center"/>
          </w:tcPr>
          <w:p>
            <w:pPr>
              <w:pStyle w:val="2978"/>
              <w:rPr>
                <w:color w:val="auto"/>
                <w:u w:val="none" w:color="auto"/>
              </w:rPr>
            </w:pPr>
            <w:r>
              <w:rPr>
                <w:color w:val="auto"/>
                <w:u w:val="none" w:color="auto"/>
              </w:rPr>
              <w:t>单位</w:t>
            </w:r>
          </w:p>
        </w:tc>
        <w:tc>
          <w:tcPr>
            <w:tcW w:w="1113" w:type="pct"/>
            <w:tcBorders>
              <w:tl2br w:val="nil"/>
              <w:tr2bl w:val="nil"/>
            </w:tcBorders>
            <w:vAlign w:val="center"/>
          </w:tcPr>
          <w:p>
            <w:pPr>
              <w:pStyle w:val="2978"/>
              <w:rPr>
                <w:color w:val="auto"/>
                <w:u w:val="none" w:color="auto"/>
              </w:rPr>
            </w:pPr>
            <w:r>
              <w:rPr>
                <w:color w:val="auto"/>
                <w:u w:val="none" w:color="auto"/>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Merge w:val="restart"/>
            <w:tcBorders>
              <w:tl2br w:val="nil"/>
              <w:tr2bl w:val="nil"/>
            </w:tcBorders>
            <w:vAlign w:val="center"/>
          </w:tcPr>
          <w:p>
            <w:pPr>
              <w:pStyle w:val="2978"/>
              <w:rPr>
                <w:color w:val="auto"/>
                <w:u w:val="none" w:color="auto"/>
              </w:rPr>
            </w:pPr>
            <w:r>
              <w:rPr>
                <w:color w:val="auto"/>
                <w:u w:val="none" w:color="auto"/>
              </w:rPr>
              <w:t>1</w:t>
            </w:r>
          </w:p>
        </w:tc>
        <w:tc>
          <w:tcPr>
            <w:tcW w:w="631" w:type="pct"/>
            <w:vMerge w:val="restart"/>
            <w:tcBorders>
              <w:tl2br w:val="nil"/>
              <w:tr2bl w:val="nil"/>
            </w:tcBorders>
            <w:vAlign w:val="center"/>
          </w:tcPr>
          <w:p>
            <w:pPr>
              <w:pStyle w:val="2978"/>
              <w:rPr>
                <w:color w:val="auto"/>
                <w:u w:val="none" w:color="auto"/>
              </w:rPr>
            </w:pPr>
            <w:r>
              <w:rPr>
                <w:color w:val="auto"/>
                <w:u w:val="none" w:color="auto"/>
              </w:rPr>
              <w:t>SO</w:t>
            </w:r>
            <w:r>
              <w:rPr>
                <w:color w:val="auto"/>
                <w:u w:val="none" w:color="auto"/>
                <w:vertAlign w:val="subscript"/>
              </w:rPr>
              <w:t>2</w:t>
            </w:r>
          </w:p>
        </w:tc>
        <w:tc>
          <w:tcPr>
            <w:tcW w:w="1107" w:type="pct"/>
            <w:tcBorders>
              <w:tl2br w:val="nil"/>
              <w:tr2bl w:val="nil"/>
            </w:tcBorders>
            <w:vAlign w:val="center"/>
          </w:tcPr>
          <w:p>
            <w:pPr>
              <w:pStyle w:val="2978"/>
              <w:rPr>
                <w:color w:val="auto"/>
                <w:u w:val="none" w:color="auto"/>
              </w:rPr>
            </w:pPr>
            <w:r>
              <w:rPr>
                <w:color w:val="auto"/>
                <w:u w:val="none" w:color="auto"/>
              </w:rPr>
              <w:t>1小时平均</w:t>
            </w:r>
          </w:p>
        </w:tc>
        <w:tc>
          <w:tcPr>
            <w:tcW w:w="1030" w:type="pct"/>
            <w:tcBorders>
              <w:tl2br w:val="nil"/>
              <w:tr2bl w:val="nil"/>
            </w:tcBorders>
            <w:vAlign w:val="center"/>
          </w:tcPr>
          <w:p>
            <w:pPr>
              <w:pStyle w:val="2978"/>
              <w:rPr>
                <w:color w:val="auto"/>
                <w:u w:val="none" w:color="auto"/>
              </w:rPr>
            </w:pPr>
            <w:r>
              <w:rPr>
                <w:color w:val="auto"/>
                <w:u w:val="none" w:color="auto"/>
              </w:rPr>
              <w:t>500</w:t>
            </w:r>
          </w:p>
        </w:tc>
        <w:tc>
          <w:tcPr>
            <w:tcW w:w="800" w:type="pct"/>
            <w:tcBorders>
              <w:tl2br w:val="nil"/>
              <w:tr2bl w:val="nil"/>
            </w:tcBorders>
            <w:vAlign w:val="center"/>
          </w:tcPr>
          <w:p>
            <w:pPr>
              <w:pStyle w:val="2978"/>
              <w:rPr>
                <w:color w:val="auto"/>
                <w:u w:val="none" w:color="auto"/>
              </w:rPr>
            </w:pPr>
            <w:r>
              <w:rPr>
                <w:color w:val="auto"/>
                <w:u w:val="none" w:color="auto"/>
              </w:rPr>
              <w:t>μg/m</w:t>
            </w:r>
            <w:r>
              <w:rPr>
                <w:color w:val="auto"/>
                <w:u w:val="none" w:color="auto"/>
                <w:vertAlign w:val="superscript"/>
              </w:rPr>
              <w:t>3</w:t>
            </w:r>
          </w:p>
        </w:tc>
        <w:tc>
          <w:tcPr>
            <w:tcW w:w="1113" w:type="pct"/>
            <w:vMerge w:val="restart"/>
            <w:tcBorders>
              <w:tl2br w:val="nil"/>
              <w:tr2bl w:val="nil"/>
            </w:tcBorders>
            <w:vAlign w:val="center"/>
          </w:tcPr>
          <w:p>
            <w:pPr>
              <w:pStyle w:val="2978"/>
              <w:rPr>
                <w:color w:val="auto"/>
                <w:u w:val="none" w:color="auto"/>
              </w:rPr>
            </w:pPr>
            <w:r>
              <w:rPr>
                <w:color w:val="auto"/>
                <w:u w:val="none" w:color="auto"/>
              </w:rPr>
              <w:t>《环境空气质量标准》（GB3095-2012）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Merge w:val="continue"/>
            <w:tcBorders>
              <w:tl2br w:val="nil"/>
              <w:tr2bl w:val="nil"/>
            </w:tcBorders>
            <w:vAlign w:val="center"/>
          </w:tcPr>
          <w:p>
            <w:pPr>
              <w:pStyle w:val="2978"/>
              <w:rPr>
                <w:color w:val="auto"/>
                <w:u w:val="none" w:color="auto"/>
              </w:rPr>
            </w:pPr>
          </w:p>
        </w:tc>
        <w:tc>
          <w:tcPr>
            <w:tcW w:w="631" w:type="pct"/>
            <w:vMerge w:val="continue"/>
            <w:tcBorders>
              <w:tl2br w:val="nil"/>
              <w:tr2bl w:val="nil"/>
            </w:tcBorders>
            <w:vAlign w:val="center"/>
          </w:tcPr>
          <w:p>
            <w:pPr>
              <w:pStyle w:val="2978"/>
              <w:rPr>
                <w:color w:val="auto"/>
                <w:u w:val="none" w:color="auto"/>
              </w:rPr>
            </w:pPr>
          </w:p>
        </w:tc>
        <w:tc>
          <w:tcPr>
            <w:tcW w:w="1107" w:type="pct"/>
            <w:tcBorders>
              <w:tl2br w:val="nil"/>
              <w:tr2bl w:val="nil"/>
            </w:tcBorders>
            <w:vAlign w:val="center"/>
          </w:tcPr>
          <w:p>
            <w:pPr>
              <w:pStyle w:val="2978"/>
              <w:rPr>
                <w:color w:val="auto"/>
                <w:u w:val="none" w:color="auto"/>
              </w:rPr>
            </w:pPr>
            <w:r>
              <w:rPr>
                <w:color w:val="auto"/>
                <w:u w:val="none" w:color="auto"/>
              </w:rPr>
              <w:t>24小时平均</w:t>
            </w:r>
          </w:p>
        </w:tc>
        <w:tc>
          <w:tcPr>
            <w:tcW w:w="1030" w:type="pct"/>
            <w:tcBorders>
              <w:tl2br w:val="nil"/>
              <w:tr2bl w:val="nil"/>
            </w:tcBorders>
            <w:vAlign w:val="center"/>
          </w:tcPr>
          <w:p>
            <w:pPr>
              <w:pStyle w:val="2978"/>
              <w:rPr>
                <w:color w:val="auto"/>
                <w:u w:val="none" w:color="auto"/>
              </w:rPr>
            </w:pPr>
            <w:r>
              <w:rPr>
                <w:color w:val="auto"/>
                <w:u w:val="none" w:color="auto"/>
              </w:rPr>
              <w:t>150</w:t>
            </w:r>
          </w:p>
        </w:tc>
        <w:tc>
          <w:tcPr>
            <w:tcW w:w="800" w:type="pct"/>
            <w:tcBorders>
              <w:tl2br w:val="nil"/>
              <w:tr2bl w:val="nil"/>
            </w:tcBorders>
            <w:vAlign w:val="center"/>
          </w:tcPr>
          <w:p>
            <w:pPr>
              <w:pStyle w:val="2978"/>
              <w:rPr>
                <w:color w:val="auto"/>
                <w:u w:val="none" w:color="auto"/>
              </w:rPr>
            </w:pPr>
            <w:r>
              <w:rPr>
                <w:color w:val="auto"/>
                <w:u w:val="none" w:color="auto"/>
              </w:rPr>
              <w:t>μg/m</w:t>
            </w:r>
            <w:r>
              <w:rPr>
                <w:color w:val="auto"/>
                <w:u w:val="none" w:color="auto"/>
                <w:vertAlign w:val="superscript"/>
              </w:rPr>
              <w:t>3</w:t>
            </w:r>
          </w:p>
        </w:tc>
        <w:tc>
          <w:tcPr>
            <w:tcW w:w="1113" w:type="pct"/>
            <w:vMerge w:val="continue"/>
            <w:tcBorders>
              <w:tl2br w:val="nil"/>
              <w:tr2bl w:val="nil"/>
            </w:tcBorders>
            <w:vAlign w:val="center"/>
          </w:tcPr>
          <w:p>
            <w:pPr>
              <w:pStyle w:val="2978"/>
              <w:rPr>
                <w:color w:val="auto"/>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Merge w:val="continue"/>
            <w:tcBorders>
              <w:tl2br w:val="nil"/>
              <w:tr2bl w:val="nil"/>
            </w:tcBorders>
            <w:vAlign w:val="center"/>
          </w:tcPr>
          <w:p>
            <w:pPr>
              <w:pStyle w:val="2978"/>
              <w:rPr>
                <w:color w:val="auto"/>
                <w:u w:val="none" w:color="auto"/>
              </w:rPr>
            </w:pPr>
          </w:p>
        </w:tc>
        <w:tc>
          <w:tcPr>
            <w:tcW w:w="631" w:type="pct"/>
            <w:vMerge w:val="continue"/>
            <w:tcBorders>
              <w:tl2br w:val="nil"/>
              <w:tr2bl w:val="nil"/>
            </w:tcBorders>
            <w:vAlign w:val="center"/>
          </w:tcPr>
          <w:p>
            <w:pPr>
              <w:pStyle w:val="2978"/>
              <w:rPr>
                <w:color w:val="auto"/>
                <w:u w:val="none" w:color="auto"/>
              </w:rPr>
            </w:pPr>
          </w:p>
        </w:tc>
        <w:tc>
          <w:tcPr>
            <w:tcW w:w="1107" w:type="pct"/>
            <w:tcBorders>
              <w:tl2br w:val="nil"/>
              <w:tr2bl w:val="nil"/>
            </w:tcBorders>
            <w:vAlign w:val="center"/>
          </w:tcPr>
          <w:p>
            <w:pPr>
              <w:pStyle w:val="2978"/>
              <w:rPr>
                <w:color w:val="auto"/>
                <w:u w:val="none" w:color="auto"/>
              </w:rPr>
            </w:pPr>
            <w:r>
              <w:rPr>
                <w:color w:val="auto"/>
                <w:u w:val="none" w:color="auto"/>
              </w:rPr>
              <w:t>年平均</w:t>
            </w:r>
          </w:p>
        </w:tc>
        <w:tc>
          <w:tcPr>
            <w:tcW w:w="1030" w:type="pct"/>
            <w:tcBorders>
              <w:tl2br w:val="nil"/>
              <w:tr2bl w:val="nil"/>
            </w:tcBorders>
            <w:vAlign w:val="center"/>
          </w:tcPr>
          <w:p>
            <w:pPr>
              <w:pStyle w:val="2978"/>
              <w:rPr>
                <w:color w:val="auto"/>
                <w:u w:val="none" w:color="auto"/>
              </w:rPr>
            </w:pPr>
            <w:r>
              <w:rPr>
                <w:color w:val="auto"/>
                <w:u w:val="none" w:color="auto"/>
              </w:rPr>
              <w:t>60</w:t>
            </w:r>
          </w:p>
        </w:tc>
        <w:tc>
          <w:tcPr>
            <w:tcW w:w="800" w:type="pct"/>
            <w:tcBorders>
              <w:tl2br w:val="nil"/>
              <w:tr2bl w:val="nil"/>
            </w:tcBorders>
            <w:vAlign w:val="center"/>
          </w:tcPr>
          <w:p>
            <w:pPr>
              <w:pStyle w:val="2978"/>
              <w:rPr>
                <w:color w:val="auto"/>
                <w:u w:val="none" w:color="auto"/>
              </w:rPr>
            </w:pPr>
            <w:r>
              <w:rPr>
                <w:color w:val="auto"/>
                <w:u w:val="none" w:color="auto"/>
              </w:rPr>
              <w:t>μg/m</w:t>
            </w:r>
            <w:r>
              <w:rPr>
                <w:color w:val="auto"/>
                <w:u w:val="none" w:color="auto"/>
                <w:vertAlign w:val="superscript"/>
              </w:rPr>
              <w:t>3</w:t>
            </w:r>
          </w:p>
        </w:tc>
        <w:tc>
          <w:tcPr>
            <w:tcW w:w="1113" w:type="pct"/>
            <w:vMerge w:val="continue"/>
            <w:tcBorders>
              <w:tl2br w:val="nil"/>
              <w:tr2bl w:val="nil"/>
            </w:tcBorders>
            <w:vAlign w:val="center"/>
          </w:tcPr>
          <w:p>
            <w:pPr>
              <w:pStyle w:val="2978"/>
              <w:rPr>
                <w:color w:val="auto"/>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Merge w:val="restart"/>
            <w:tcBorders>
              <w:tl2br w:val="nil"/>
              <w:tr2bl w:val="nil"/>
            </w:tcBorders>
            <w:vAlign w:val="center"/>
          </w:tcPr>
          <w:p>
            <w:pPr>
              <w:pStyle w:val="2978"/>
              <w:rPr>
                <w:color w:val="auto"/>
                <w:u w:val="none" w:color="auto"/>
              </w:rPr>
            </w:pPr>
            <w:r>
              <w:rPr>
                <w:color w:val="auto"/>
                <w:u w:val="none" w:color="auto"/>
              </w:rPr>
              <w:t>2</w:t>
            </w:r>
          </w:p>
        </w:tc>
        <w:tc>
          <w:tcPr>
            <w:tcW w:w="631" w:type="pct"/>
            <w:vMerge w:val="restart"/>
            <w:tcBorders>
              <w:tl2br w:val="nil"/>
              <w:tr2bl w:val="nil"/>
            </w:tcBorders>
            <w:vAlign w:val="center"/>
          </w:tcPr>
          <w:p>
            <w:pPr>
              <w:pStyle w:val="2978"/>
              <w:rPr>
                <w:color w:val="auto"/>
                <w:u w:val="none" w:color="auto"/>
              </w:rPr>
            </w:pPr>
            <w:r>
              <w:rPr>
                <w:color w:val="auto"/>
                <w:u w:val="none" w:color="auto"/>
              </w:rPr>
              <w:t>NO</w:t>
            </w:r>
            <w:r>
              <w:rPr>
                <w:color w:val="auto"/>
                <w:u w:val="none" w:color="auto"/>
                <w:vertAlign w:val="subscript"/>
              </w:rPr>
              <w:t>2</w:t>
            </w:r>
          </w:p>
        </w:tc>
        <w:tc>
          <w:tcPr>
            <w:tcW w:w="1107" w:type="pct"/>
            <w:tcBorders>
              <w:tl2br w:val="nil"/>
              <w:tr2bl w:val="nil"/>
            </w:tcBorders>
            <w:vAlign w:val="center"/>
          </w:tcPr>
          <w:p>
            <w:pPr>
              <w:pStyle w:val="2978"/>
              <w:rPr>
                <w:color w:val="auto"/>
                <w:u w:val="none" w:color="auto"/>
              </w:rPr>
            </w:pPr>
            <w:r>
              <w:rPr>
                <w:color w:val="auto"/>
                <w:u w:val="none" w:color="auto"/>
              </w:rPr>
              <w:t>1小时平均</w:t>
            </w:r>
          </w:p>
        </w:tc>
        <w:tc>
          <w:tcPr>
            <w:tcW w:w="1030" w:type="pct"/>
            <w:tcBorders>
              <w:tl2br w:val="nil"/>
              <w:tr2bl w:val="nil"/>
            </w:tcBorders>
            <w:vAlign w:val="center"/>
          </w:tcPr>
          <w:p>
            <w:pPr>
              <w:pStyle w:val="2978"/>
              <w:rPr>
                <w:color w:val="auto"/>
                <w:u w:val="none" w:color="auto"/>
              </w:rPr>
            </w:pPr>
            <w:r>
              <w:rPr>
                <w:color w:val="auto"/>
                <w:u w:val="none" w:color="auto"/>
              </w:rPr>
              <w:t>200</w:t>
            </w:r>
          </w:p>
        </w:tc>
        <w:tc>
          <w:tcPr>
            <w:tcW w:w="800" w:type="pct"/>
            <w:tcBorders>
              <w:tl2br w:val="nil"/>
              <w:tr2bl w:val="nil"/>
            </w:tcBorders>
            <w:vAlign w:val="center"/>
          </w:tcPr>
          <w:p>
            <w:pPr>
              <w:pStyle w:val="2978"/>
              <w:rPr>
                <w:color w:val="auto"/>
                <w:u w:val="none" w:color="auto"/>
              </w:rPr>
            </w:pPr>
            <w:r>
              <w:rPr>
                <w:color w:val="auto"/>
                <w:u w:val="none" w:color="auto"/>
              </w:rPr>
              <w:t>μg/m</w:t>
            </w:r>
            <w:r>
              <w:rPr>
                <w:color w:val="auto"/>
                <w:u w:val="none" w:color="auto"/>
                <w:vertAlign w:val="superscript"/>
              </w:rPr>
              <w:t>3</w:t>
            </w:r>
          </w:p>
        </w:tc>
        <w:tc>
          <w:tcPr>
            <w:tcW w:w="1113" w:type="pct"/>
            <w:vMerge w:val="continue"/>
            <w:tcBorders>
              <w:tl2br w:val="nil"/>
              <w:tr2bl w:val="nil"/>
            </w:tcBorders>
            <w:vAlign w:val="center"/>
          </w:tcPr>
          <w:p>
            <w:pPr>
              <w:pStyle w:val="2978"/>
              <w:rPr>
                <w:color w:val="auto"/>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Merge w:val="continue"/>
            <w:tcBorders>
              <w:tl2br w:val="nil"/>
              <w:tr2bl w:val="nil"/>
            </w:tcBorders>
            <w:vAlign w:val="center"/>
          </w:tcPr>
          <w:p>
            <w:pPr>
              <w:pStyle w:val="2978"/>
              <w:rPr>
                <w:color w:val="auto"/>
                <w:u w:val="none" w:color="auto"/>
              </w:rPr>
            </w:pPr>
          </w:p>
        </w:tc>
        <w:tc>
          <w:tcPr>
            <w:tcW w:w="631" w:type="pct"/>
            <w:vMerge w:val="continue"/>
            <w:tcBorders>
              <w:tl2br w:val="nil"/>
              <w:tr2bl w:val="nil"/>
            </w:tcBorders>
            <w:vAlign w:val="center"/>
          </w:tcPr>
          <w:p>
            <w:pPr>
              <w:pStyle w:val="2978"/>
              <w:rPr>
                <w:color w:val="auto"/>
                <w:u w:val="none" w:color="auto"/>
              </w:rPr>
            </w:pPr>
          </w:p>
        </w:tc>
        <w:tc>
          <w:tcPr>
            <w:tcW w:w="1107" w:type="pct"/>
            <w:tcBorders>
              <w:tl2br w:val="nil"/>
              <w:tr2bl w:val="nil"/>
            </w:tcBorders>
            <w:vAlign w:val="center"/>
          </w:tcPr>
          <w:p>
            <w:pPr>
              <w:pStyle w:val="2978"/>
              <w:rPr>
                <w:color w:val="auto"/>
                <w:u w:val="none" w:color="auto"/>
              </w:rPr>
            </w:pPr>
            <w:r>
              <w:rPr>
                <w:color w:val="auto"/>
                <w:u w:val="none" w:color="auto"/>
              </w:rPr>
              <w:t>24小时平均</w:t>
            </w:r>
          </w:p>
        </w:tc>
        <w:tc>
          <w:tcPr>
            <w:tcW w:w="1030" w:type="pct"/>
            <w:tcBorders>
              <w:tl2br w:val="nil"/>
              <w:tr2bl w:val="nil"/>
            </w:tcBorders>
            <w:vAlign w:val="center"/>
          </w:tcPr>
          <w:p>
            <w:pPr>
              <w:pStyle w:val="2978"/>
              <w:rPr>
                <w:color w:val="auto"/>
                <w:u w:val="none" w:color="auto"/>
              </w:rPr>
            </w:pPr>
            <w:r>
              <w:rPr>
                <w:color w:val="auto"/>
                <w:u w:val="none" w:color="auto"/>
              </w:rPr>
              <w:t>80</w:t>
            </w:r>
          </w:p>
        </w:tc>
        <w:tc>
          <w:tcPr>
            <w:tcW w:w="800" w:type="pct"/>
            <w:tcBorders>
              <w:tl2br w:val="nil"/>
              <w:tr2bl w:val="nil"/>
            </w:tcBorders>
            <w:vAlign w:val="center"/>
          </w:tcPr>
          <w:p>
            <w:pPr>
              <w:pStyle w:val="2978"/>
              <w:rPr>
                <w:color w:val="auto"/>
                <w:u w:val="none" w:color="auto"/>
              </w:rPr>
            </w:pPr>
            <w:r>
              <w:rPr>
                <w:color w:val="auto"/>
                <w:u w:val="none" w:color="auto"/>
              </w:rPr>
              <w:t>μg/m</w:t>
            </w:r>
            <w:r>
              <w:rPr>
                <w:color w:val="auto"/>
                <w:u w:val="none" w:color="auto"/>
                <w:vertAlign w:val="superscript"/>
              </w:rPr>
              <w:t>3</w:t>
            </w:r>
          </w:p>
        </w:tc>
        <w:tc>
          <w:tcPr>
            <w:tcW w:w="1113" w:type="pct"/>
            <w:vMerge w:val="continue"/>
            <w:tcBorders>
              <w:tl2br w:val="nil"/>
              <w:tr2bl w:val="nil"/>
            </w:tcBorders>
            <w:vAlign w:val="center"/>
          </w:tcPr>
          <w:p>
            <w:pPr>
              <w:pStyle w:val="2978"/>
              <w:rPr>
                <w:color w:val="auto"/>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Merge w:val="continue"/>
            <w:tcBorders>
              <w:tl2br w:val="nil"/>
              <w:tr2bl w:val="nil"/>
            </w:tcBorders>
            <w:vAlign w:val="center"/>
          </w:tcPr>
          <w:p>
            <w:pPr>
              <w:pStyle w:val="2978"/>
              <w:rPr>
                <w:color w:val="auto"/>
                <w:u w:val="none" w:color="auto"/>
              </w:rPr>
            </w:pPr>
          </w:p>
        </w:tc>
        <w:tc>
          <w:tcPr>
            <w:tcW w:w="631" w:type="pct"/>
            <w:vMerge w:val="continue"/>
            <w:tcBorders>
              <w:tl2br w:val="nil"/>
              <w:tr2bl w:val="nil"/>
            </w:tcBorders>
            <w:vAlign w:val="center"/>
          </w:tcPr>
          <w:p>
            <w:pPr>
              <w:pStyle w:val="2978"/>
              <w:rPr>
                <w:color w:val="auto"/>
                <w:u w:val="none" w:color="auto"/>
              </w:rPr>
            </w:pPr>
          </w:p>
        </w:tc>
        <w:tc>
          <w:tcPr>
            <w:tcW w:w="1107" w:type="pct"/>
            <w:tcBorders>
              <w:tl2br w:val="nil"/>
              <w:tr2bl w:val="nil"/>
            </w:tcBorders>
            <w:vAlign w:val="center"/>
          </w:tcPr>
          <w:p>
            <w:pPr>
              <w:pStyle w:val="2978"/>
              <w:rPr>
                <w:color w:val="auto"/>
                <w:u w:val="none" w:color="auto"/>
              </w:rPr>
            </w:pPr>
            <w:r>
              <w:rPr>
                <w:color w:val="auto"/>
                <w:u w:val="none" w:color="auto"/>
              </w:rPr>
              <w:t>年平均</w:t>
            </w:r>
          </w:p>
        </w:tc>
        <w:tc>
          <w:tcPr>
            <w:tcW w:w="1030" w:type="pct"/>
            <w:tcBorders>
              <w:tl2br w:val="nil"/>
              <w:tr2bl w:val="nil"/>
            </w:tcBorders>
            <w:vAlign w:val="center"/>
          </w:tcPr>
          <w:p>
            <w:pPr>
              <w:pStyle w:val="2978"/>
              <w:rPr>
                <w:color w:val="auto"/>
                <w:u w:val="none" w:color="auto"/>
              </w:rPr>
            </w:pPr>
            <w:r>
              <w:rPr>
                <w:color w:val="auto"/>
                <w:u w:val="none" w:color="auto"/>
              </w:rPr>
              <w:t>40</w:t>
            </w:r>
          </w:p>
        </w:tc>
        <w:tc>
          <w:tcPr>
            <w:tcW w:w="800" w:type="pct"/>
            <w:tcBorders>
              <w:tl2br w:val="nil"/>
              <w:tr2bl w:val="nil"/>
            </w:tcBorders>
            <w:vAlign w:val="center"/>
          </w:tcPr>
          <w:p>
            <w:pPr>
              <w:pStyle w:val="2978"/>
              <w:rPr>
                <w:color w:val="auto"/>
                <w:u w:val="none" w:color="auto"/>
              </w:rPr>
            </w:pPr>
            <w:r>
              <w:rPr>
                <w:color w:val="auto"/>
                <w:u w:val="none" w:color="auto"/>
              </w:rPr>
              <w:t>μg/m</w:t>
            </w:r>
            <w:r>
              <w:rPr>
                <w:color w:val="auto"/>
                <w:u w:val="none" w:color="auto"/>
                <w:vertAlign w:val="superscript"/>
              </w:rPr>
              <w:t>3</w:t>
            </w:r>
          </w:p>
        </w:tc>
        <w:tc>
          <w:tcPr>
            <w:tcW w:w="1113" w:type="pct"/>
            <w:vMerge w:val="continue"/>
            <w:tcBorders>
              <w:tl2br w:val="nil"/>
              <w:tr2bl w:val="nil"/>
            </w:tcBorders>
            <w:vAlign w:val="center"/>
          </w:tcPr>
          <w:p>
            <w:pPr>
              <w:pStyle w:val="2978"/>
              <w:rPr>
                <w:color w:val="auto"/>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Merge w:val="restart"/>
            <w:tcBorders>
              <w:tl2br w:val="nil"/>
              <w:tr2bl w:val="nil"/>
            </w:tcBorders>
            <w:vAlign w:val="center"/>
          </w:tcPr>
          <w:p>
            <w:pPr>
              <w:pStyle w:val="2978"/>
              <w:rPr>
                <w:color w:val="auto"/>
                <w:u w:val="none" w:color="auto"/>
              </w:rPr>
            </w:pPr>
            <w:r>
              <w:rPr>
                <w:color w:val="auto"/>
                <w:u w:val="none" w:color="auto"/>
              </w:rPr>
              <w:t>3</w:t>
            </w:r>
          </w:p>
        </w:tc>
        <w:tc>
          <w:tcPr>
            <w:tcW w:w="631" w:type="pct"/>
            <w:vMerge w:val="restart"/>
            <w:tcBorders>
              <w:tl2br w:val="nil"/>
              <w:tr2bl w:val="nil"/>
            </w:tcBorders>
            <w:vAlign w:val="center"/>
          </w:tcPr>
          <w:p>
            <w:pPr>
              <w:pStyle w:val="2978"/>
              <w:rPr>
                <w:color w:val="auto"/>
                <w:u w:val="none" w:color="auto"/>
              </w:rPr>
            </w:pPr>
            <w:r>
              <w:rPr>
                <w:color w:val="auto"/>
                <w:u w:val="none" w:color="auto"/>
              </w:rPr>
              <w:t>PM</w:t>
            </w:r>
            <w:r>
              <w:rPr>
                <w:color w:val="auto"/>
                <w:u w:val="none" w:color="auto"/>
                <w:vertAlign w:val="subscript"/>
              </w:rPr>
              <w:t>10</w:t>
            </w:r>
          </w:p>
        </w:tc>
        <w:tc>
          <w:tcPr>
            <w:tcW w:w="1107" w:type="pct"/>
            <w:tcBorders>
              <w:tl2br w:val="nil"/>
              <w:tr2bl w:val="nil"/>
            </w:tcBorders>
            <w:vAlign w:val="center"/>
          </w:tcPr>
          <w:p>
            <w:pPr>
              <w:pStyle w:val="2978"/>
              <w:rPr>
                <w:color w:val="auto"/>
                <w:u w:val="none" w:color="auto"/>
              </w:rPr>
            </w:pPr>
            <w:r>
              <w:rPr>
                <w:color w:val="auto"/>
                <w:u w:val="none" w:color="auto"/>
              </w:rPr>
              <w:t>24小时平均</w:t>
            </w:r>
          </w:p>
        </w:tc>
        <w:tc>
          <w:tcPr>
            <w:tcW w:w="1030" w:type="pct"/>
            <w:tcBorders>
              <w:tl2br w:val="nil"/>
              <w:tr2bl w:val="nil"/>
            </w:tcBorders>
            <w:vAlign w:val="center"/>
          </w:tcPr>
          <w:p>
            <w:pPr>
              <w:pStyle w:val="2978"/>
              <w:rPr>
                <w:color w:val="auto"/>
                <w:u w:val="none" w:color="auto"/>
              </w:rPr>
            </w:pPr>
            <w:r>
              <w:rPr>
                <w:color w:val="auto"/>
                <w:u w:val="none" w:color="auto"/>
              </w:rPr>
              <w:t>150</w:t>
            </w:r>
          </w:p>
        </w:tc>
        <w:tc>
          <w:tcPr>
            <w:tcW w:w="800" w:type="pct"/>
            <w:tcBorders>
              <w:tl2br w:val="nil"/>
              <w:tr2bl w:val="nil"/>
            </w:tcBorders>
            <w:vAlign w:val="center"/>
          </w:tcPr>
          <w:p>
            <w:pPr>
              <w:pStyle w:val="2978"/>
              <w:rPr>
                <w:color w:val="auto"/>
                <w:u w:val="none" w:color="auto"/>
              </w:rPr>
            </w:pPr>
            <w:r>
              <w:rPr>
                <w:color w:val="auto"/>
                <w:u w:val="none" w:color="auto"/>
              </w:rPr>
              <w:t>μg/m</w:t>
            </w:r>
            <w:r>
              <w:rPr>
                <w:color w:val="auto"/>
                <w:u w:val="none" w:color="auto"/>
                <w:vertAlign w:val="superscript"/>
              </w:rPr>
              <w:t>3</w:t>
            </w:r>
          </w:p>
        </w:tc>
        <w:tc>
          <w:tcPr>
            <w:tcW w:w="1113" w:type="pct"/>
            <w:vMerge w:val="continue"/>
            <w:tcBorders>
              <w:tl2br w:val="nil"/>
              <w:tr2bl w:val="nil"/>
            </w:tcBorders>
            <w:vAlign w:val="center"/>
          </w:tcPr>
          <w:p>
            <w:pPr>
              <w:pStyle w:val="2978"/>
              <w:rPr>
                <w:color w:val="auto"/>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Merge w:val="continue"/>
            <w:tcBorders>
              <w:tl2br w:val="nil"/>
              <w:tr2bl w:val="nil"/>
            </w:tcBorders>
            <w:vAlign w:val="center"/>
          </w:tcPr>
          <w:p>
            <w:pPr>
              <w:pStyle w:val="2978"/>
              <w:rPr>
                <w:color w:val="auto"/>
                <w:u w:val="none" w:color="auto"/>
              </w:rPr>
            </w:pPr>
          </w:p>
        </w:tc>
        <w:tc>
          <w:tcPr>
            <w:tcW w:w="631" w:type="pct"/>
            <w:vMerge w:val="continue"/>
            <w:tcBorders>
              <w:tl2br w:val="nil"/>
              <w:tr2bl w:val="nil"/>
            </w:tcBorders>
            <w:vAlign w:val="center"/>
          </w:tcPr>
          <w:p>
            <w:pPr>
              <w:pStyle w:val="2978"/>
              <w:rPr>
                <w:color w:val="auto"/>
                <w:u w:val="none" w:color="auto"/>
              </w:rPr>
            </w:pPr>
          </w:p>
        </w:tc>
        <w:tc>
          <w:tcPr>
            <w:tcW w:w="1107" w:type="pct"/>
            <w:tcBorders>
              <w:tl2br w:val="nil"/>
              <w:tr2bl w:val="nil"/>
            </w:tcBorders>
            <w:vAlign w:val="center"/>
          </w:tcPr>
          <w:p>
            <w:pPr>
              <w:pStyle w:val="2978"/>
              <w:rPr>
                <w:color w:val="auto"/>
                <w:u w:val="none" w:color="auto"/>
              </w:rPr>
            </w:pPr>
            <w:r>
              <w:rPr>
                <w:color w:val="auto"/>
                <w:u w:val="none" w:color="auto"/>
              </w:rPr>
              <w:t>年平均</w:t>
            </w:r>
          </w:p>
        </w:tc>
        <w:tc>
          <w:tcPr>
            <w:tcW w:w="1030" w:type="pct"/>
            <w:tcBorders>
              <w:tl2br w:val="nil"/>
              <w:tr2bl w:val="nil"/>
            </w:tcBorders>
            <w:vAlign w:val="center"/>
          </w:tcPr>
          <w:p>
            <w:pPr>
              <w:pStyle w:val="2978"/>
              <w:rPr>
                <w:color w:val="auto"/>
                <w:u w:val="none" w:color="auto"/>
              </w:rPr>
            </w:pPr>
            <w:r>
              <w:rPr>
                <w:color w:val="auto"/>
                <w:u w:val="none" w:color="auto"/>
              </w:rPr>
              <w:t>70</w:t>
            </w:r>
          </w:p>
        </w:tc>
        <w:tc>
          <w:tcPr>
            <w:tcW w:w="800" w:type="pct"/>
            <w:tcBorders>
              <w:tl2br w:val="nil"/>
              <w:tr2bl w:val="nil"/>
            </w:tcBorders>
            <w:vAlign w:val="center"/>
          </w:tcPr>
          <w:p>
            <w:pPr>
              <w:pStyle w:val="2978"/>
              <w:rPr>
                <w:color w:val="auto"/>
                <w:u w:val="none" w:color="auto"/>
              </w:rPr>
            </w:pPr>
            <w:r>
              <w:rPr>
                <w:color w:val="auto"/>
                <w:u w:val="none" w:color="auto"/>
              </w:rPr>
              <w:t>μg/m</w:t>
            </w:r>
            <w:r>
              <w:rPr>
                <w:color w:val="auto"/>
                <w:u w:val="none" w:color="auto"/>
                <w:vertAlign w:val="superscript"/>
              </w:rPr>
              <w:t>3</w:t>
            </w:r>
          </w:p>
        </w:tc>
        <w:tc>
          <w:tcPr>
            <w:tcW w:w="1113" w:type="pct"/>
            <w:vMerge w:val="continue"/>
            <w:tcBorders>
              <w:tl2br w:val="nil"/>
              <w:tr2bl w:val="nil"/>
            </w:tcBorders>
            <w:vAlign w:val="center"/>
          </w:tcPr>
          <w:p>
            <w:pPr>
              <w:pStyle w:val="2978"/>
              <w:rPr>
                <w:color w:val="auto"/>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Merge w:val="restart"/>
            <w:tcBorders>
              <w:tl2br w:val="nil"/>
              <w:tr2bl w:val="nil"/>
            </w:tcBorders>
            <w:vAlign w:val="center"/>
          </w:tcPr>
          <w:p>
            <w:pPr>
              <w:pStyle w:val="2978"/>
              <w:rPr>
                <w:color w:val="auto"/>
                <w:u w:val="none" w:color="auto"/>
              </w:rPr>
            </w:pPr>
            <w:r>
              <w:rPr>
                <w:color w:val="auto"/>
                <w:u w:val="none" w:color="auto"/>
              </w:rPr>
              <w:t>4</w:t>
            </w:r>
          </w:p>
        </w:tc>
        <w:tc>
          <w:tcPr>
            <w:tcW w:w="631" w:type="pct"/>
            <w:vMerge w:val="restart"/>
            <w:tcBorders>
              <w:tl2br w:val="nil"/>
              <w:tr2bl w:val="nil"/>
            </w:tcBorders>
            <w:vAlign w:val="center"/>
          </w:tcPr>
          <w:p>
            <w:pPr>
              <w:pStyle w:val="2978"/>
              <w:rPr>
                <w:color w:val="auto"/>
                <w:u w:val="none" w:color="auto"/>
              </w:rPr>
            </w:pPr>
            <w:r>
              <w:rPr>
                <w:color w:val="auto"/>
                <w:u w:val="none" w:color="auto"/>
              </w:rPr>
              <w:t>PM</w:t>
            </w:r>
            <w:r>
              <w:rPr>
                <w:color w:val="auto"/>
                <w:u w:val="none" w:color="auto"/>
                <w:vertAlign w:val="subscript"/>
              </w:rPr>
              <w:t>2.5</w:t>
            </w:r>
          </w:p>
        </w:tc>
        <w:tc>
          <w:tcPr>
            <w:tcW w:w="1107" w:type="pct"/>
            <w:tcBorders>
              <w:tl2br w:val="nil"/>
              <w:tr2bl w:val="nil"/>
            </w:tcBorders>
            <w:vAlign w:val="center"/>
          </w:tcPr>
          <w:p>
            <w:pPr>
              <w:pStyle w:val="2978"/>
              <w:rPr>
                <w:color w:val="auto"/>
                <w:u w:val="none" w:color="auto"/>
              </w:rPr>
            </w:pPr>
            <w:r>
              <w:rPr>
                <w:color w:val="auto"/>
                <w:u w:val="none" w:color="auto"/>
              </w:rPr>
              <w:t>24小时平均</w:t>
            </w:r>
          </w:p>
        </w:tc>
        <w:tc>
          <w:tcPr>
            <w:tcW w:w="1030" w:type="pct"/>
            <w:tcBorders>
              <w:tl2br w:val="nil"/>
              <w:tr2bl w:val="nil"/>
            </w:tcBorders>
            <w:vAlign w:val="center"/>
          </w:tcPr>
          <w:p>
            <w:pPr>
              <w:pStyle w:val="2978"/>
              <w:rPr>
                <w:color w:val="auto"/>
                <w:u w:val="none" w:color="auto"/>
              </w:rPr>
            </w:pPr>
            <w:r>
              <w:rPr>
                <w:color w:val="auto"/>
                <w:u w:val="none" w:color="auto"/>
              </w:rPr>
              <w:t>75</w:t>
            </w:r>
          </w:p>
        </w:tc>
        <w:tc>
          <w:tcPr>
            <w:tcW w:w="800" w:type="pct"/>
            <w:tcBorders>
              <w:tl2br w:val="nil"/>
              <w:tr2bl w:val="nil"/>
            </w:tcBorders>
            <w:vAlign w:val="center"/>
          </w:tcPr>
          <w:p>
            <w:pPr>
              <w:pStyle w:val="2978"/>
              <w:rPr>
                <w:color w:val="auto"/>
                <w:u w:val="none" w:color="auto"/>
              </w:rPr>
            </w:pPr>
            <w:r>
              <w:rPr>
                <w:color w:val="auto"/>
                <w:u w:val="none" w:color="auto"/>
              </w:rPr>
              <w:t>μg/m</w:t>
            </w:r>
            <w:r>
              <w:rPr>
                <w:color w:val="auto"/>
                <w:u w:val="none" w:color="auto"/>
                <w:vertAlign w:val="superscript"/>
              </w:rPr>
              <w:t>3</w:t>
            </w:r>
          </w:p>
        </w:tc>
        <w:tc>
          <w:tcPr>
            <w:tcW w:w="1113" w:type="pct"/>
            <w:vMerge w:val="continue"/>
            <w:tcBorders>
              <w:tl2br w:val="nil"/>
              <w:tr2bl w:val="nil"/>
            </w:tcBorders>
            <w:vAlign w:val="center"/>
          </w:tcPr>
          <w:p>
            <w:pPr>
              <w:pStyle w:val="2978"/>
              <w:rPr>
                <w:color w:val="auto"/>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Merge w:val="continue"/>
            <w:tcBorders>
              <w:tl2br w:val="nil"/>
              <w:tr2bl w:val="nil"/>
            </w:tcBorders>
            <w:vAlign w:val="center"/>
          </w:tcPr>
          <w:p>
            <w:pPr>
              <w:pStyle w:val="2978"/>
              <w:rPr>
                <w:color w:val="auto"/>
                <w:u w:val="none" w:color="auto"/>
              </w:rPr>
            </w:pPr>
          </w:p>
        </w:tc>
        <w:tc>
          <w:tcPr>
            <w:tcW w:w="631" w:type="pct"/>
            <w:vMerge w:val="continue"/>
            <w:tcBorders>
              <w:tl2br w:val="nil"/>
              <w:tr2bl w:val="nil"/>
            </w:tcBorders>
            <w:vAlign w:val="center"/>
          </w:tcPr>
          <w:p>
            <w:pPr>
              <w:pStyle w:val="2978"/>
              <w:rPr>
                <w:color w:val="auto"/>
                <w:u w:val="none" w:color="auto"/>
              </w:rPr>
            </w:pPr>
          </w:p>
        </w:tc>
        <w:tc>
          <w:tcPr>
            <w:tcW w:w="1107" w:type="pct"/>
            <w:tcBorders>
              <w:tl2br w:val="nil"/>
              <w:tr2bl w:val="nil"/>
            </w:tcBorders>
            <w:vAlign w:val="center"/>
          </w:tcPr>
          <w:p>
            <w:pPr>
              <w:pStyle w:val="2978"/>
              <w:rPr>
                <w:color w:val="auto"/>
                <w:u w:val="none" w:color="auto"/>
              </w:rPr>
            </w:pPr>
            <w:r>
              <w:rPr>
                <w:color w:val="auto"/>
                <w:u w:val="none" w:color="auto"/>
              </w:rPr>
              <w:t>年平均</w:t>
            </w:r>
          </w:p>
        </w:tc>
        <w:tc>
          <w:tcPr>
            <w:tcW w:w="1030" w:type="pct"/>
            <w:tcBorders>
              <w:tl2br w:val="nil"/>
              <w:tr2bl w:val="nil"/>
            </w:tcBorders>
            <w:vAlign w:val="center"/>
          </w:tcPr>
          <w:p>
            <w:pPr>
              <w:pStyle w:val="2978"/>
              <w:rPr>
                <w:color w:val="auto"/>
                <w:u w:val="none" w:color="auto"/>
              </w:rPr>
            </w:pPr>
            <w:r>
              <w:rPr>
                <w:color w:val="auto"/>
                <w:u w:val="none" w:color="auto"/>
              </w:rPr>
              <w:t>35</w:t>
            </w:r>
          </w:p>
        </w:tc>
        <w:tc>
          <w:tcPr>
            <w:tcW w:w="800" w:type="pct"/>
            <w:tcBorders>
              <w:tl2br w:val="nil"/>
              <w:tr2bl w:val="nil"/>
            </w:tcBorders>
            <w:vAlign w:val="center"/>
          </w:tcPr>
          <w:p>
            <w:pPr>
              <w:pStyle w:val="2978"/>
              <w:rPr>
                <w:color w:val="auto"/>
                <w:u w:val="none" w:color="auto"/>
              </w:rPr>
            </w:pPr>
            <w:r>
              <w:rPr>
                <w:color w:val="auto"/>
                <w:u w:val="none" w:color="auto"/>
              </w:rPr>
              <w:t>μg/m</w:t>
            </w:r>
            <w:r>
              <w:rPr>
                <w:color w:val="auto"/>
                <w:u w:val="none" w:color="auto"/>
                <w:vertAlign w:val="superscript"/>
              </w:rPr>
              <w:t>3</w:t>
            </w:r>
          </w:p>
        </w:tc>
        <w:tc>
          <w:tcPr>
            <w:tcW w:w="1113" w:type="pct"/>
            <w:vMerge w:val="continue"/>
            <w:tcBorders>
              <w:tl2br w:val="nil"/>
              <w:tr2bl w:val="nil"/>
            </w:tcBorders>
            <w:vAlign w:val="center"/>
          </w:tcPr>
          <w:p>
            <w:pPr>
              <w:pStyle w:val="2978"/>
              <w:rPr>
                <w:color w:val="auto"/>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Merge w:val="restart"/>
            <w:tcBorders>
              <w:tl2br w:val="nil"/>
              <w:tr2bl w:val="nil"/>
            </w:tcBorders>
            <w:vAlign w:val="center"/>
          </w:tcPr>
          <w:p>
            <w:pPr>
              <w:pStyle w:val="2978"/>
              <w:rPr>
                <w:color w:val="auto"/>
                <w:u w:val="none" w:color="auto"/>
              </w:rPr>
            </w:pPr>
            <w:r>
              <w:rPr>
                <w:color w:val="auto"/>
                <w:u w:val="none" w:color="auto"/>
              </w:rPr>
              <w:t>5</w:t>
            </w:r>
          </w:p>
        </w:tc>
        <w:tc>
          <w:tcPr>
            <w:tcW w:w="631" w:type="pct"/>
            <w:vMerge w:val="restart"/>
            <w:tcBorders>
              <w:tl2br w:val="nil"/>
              <w:tr2bl w:val="nil"/>
            </w:tcBorders>
            <w:vAlign w:val="center"/>
          </w:tcPr>
          <w:p>
            <w:pPr>
              <w:pStyle w:val="2978"/>
              <w:rPr>
                <w:color w:val="auto"/>
                <w:u w:val="none" w:color="auto"/>
              </w:rPr>
            </w:pPr>
            <w:r>
              <w:rPr>
                <w:color w:val="auto"/>
                <w:u w:val="none" w:color="auto"/>
              </w:rPr>
              <w:t>CO</w:t>
            </w:r>
          </w:p>
        </w:tc>
        <w:tc>
          <w:tcPr>
            <w:tcW w:w="1107" w:type="pct"/>
            <w:tcBorders>
              <w:tl2br w:val="nil"/>
              <w:tr2bl w:val="nil"/>
            </w:tcBorders>
            <w:vAlign w:val="center"/>
          </w:tcPr>
          <w:p>
            <w:pPr>
              <w:pStyle w:val="2978"/>
              <w:rPr>
                <w:color w:val="auto"/>
                <w:u w:val="none" w:color="auto"/>
              </w:rPr>
            </w:pPr>
            <w:r>
              <w:rPr>
                <w:color w:val="auto"/>
                <w:szCs w:val="21"/>
                <w:u w:val="none" w:color="auto"/>
              </w:rPr>
              <w:t>1小时平均</w:t>
            </w:r>
          </w:p>
        </w:tc>
        <w:tc>
          <w:tcPr>
            <w:tcW w:w="1030" w:type="pct"/>
            <w:tcBorders>
              <w:tl2br w:val="nil"/>
              <w:tr2bl w:val="nil"/>
            </w:tcBorders>
            <w:vAlign w:val="center"/>
          </w:tcPr>
          <w:p>
            <w:pPr>
              <w:pStyle w:val="2978"/>
              <w:rPr>
                <w:color w:val="auto"/>
                <w:u w:val="none" w:color="auto"/>
              </w:rPr>
            </w:pPr>
            <w:r>
              <w:rPr>
                <w:color w:val="auto"/>
                <w:u w:val="none" w:color="auto"/>
              </w:rPr>
              <w:t>10</w:t>
            </w:r>
          </w:p>
        </w:tc>
        <w:tc>
          <w:tcPr>
            <w:tcW w:w="800" w:type="pct"/>
            <w:tcBorders>
              <w:tl2br w:val="nil"/>
              <w:tr2bl w:val="nil"/>
            </w:tcBorders>
            <w:vAlign w:val="center"/>
          </w:tcPr>
          <w:p>
            <w:pPr>
              <w:pStyle w:val="2978"/>
              <w:rPr>
                <w:color w:val="auto"/>
                <w:u w:val="none" w:color="auto"/>
              </w:rPr>
            </w:pPr>
            <w:r>
              <w:rPr>
                <w:color w:val="auto"/>
                <w:u w:val="none" w:color="auto"/>
              </w:rPr>
              <w:t>mg/m</w:t>
            </w:r>
            <w:r>
              <w:rPr>
                <w:color w:val="auto"/>
                <w:u w:val="none" w:color="auto"/>
                <w:vertAlign w:val="superscript"/>
              </w:rPr>
              <w:t>3</w:t>
            </w:r>
          </w:p>
        </w:tc>
        <w:tc>
          <w:tcPr>
            <w:tcW w:w="1113" w:type="pct"/>
            <w:vMerge w:val="continue"/>
            <w:tcBorders>
              <w:tl2br w:val="nil"/>
              <w:tr2bl w:val="nil"/>
            </w:tcBorders>
            <w:vAlign w:val="center"/>
          </w:tcPr>
          <w:p>
            <w:pPr>
              <w:pStyle w:val="2978"/>
              <w:rPr>
                <w:color w:val="auto"/>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Merge w:val="continue"/>
            <w:tcBorders>
              <w:tl2br w:val="nil"/>
              <w:tr2bl w:val="nil"/>
            </w:tcBorders>
            <w:vAlign w:val="center"/>
          </w:tcPr>
          <w:p>
            <w:pPr>
              <w:pStyle w:val="2978"/>
              <w:rPr>
                <w:color w:val="auto"/>
                <w:u w:val="none" w:color="auto"/>
              </w:rPr>
            </w:pPr>
          </w:p>
        </w:tc>
        <w:tc>
          <w:tcPr>
            <w:tcW w:w="631" w:type="pct"/>
            <w:vMerge w:val="continue"/>
            <w:tcBorders>
              <w:tl2br w:val="nil"/>
              <w:tr2bl w:val="nil"/>
            </w:tcBorders>
            <w:vAlign w:val="center"/>
          </w:tcPr>
          <w:p>
            <w:pPr>
              <w:pStyle w:val="2978"/>
              <w:rPr>
                <w:color w:val="auto"/>
                <w:u w:val="none" w:color="auto"/>
              </w:rPr>
            </w:pPr>
          </w:p>
        </w:tc>
        <w:tc>
          <w:tcPr>
            <w:tcW w:w="1107" w:type="pct"/>
            <w:tcBorders>
              <w:tl2br w:val="nil"/>
              <w:tr2bl w:val="nil"/>
            </w:tcBorders>
            <w:vAlign w:val="center"/>
          </w:tcPr>
          <w:p>
            <w:pPr>
              <w:pStyle w:val="2978"/>
              <w:rPr>
                <w:color w:val="auto"/>
                <w:u w:val="none" w:color="auto"/>
              </w:rPr>
            </w:pPr>
            <w:r>
              <w:rPr>
                <w:color w:val="auto"/>
                <w:szCs w:val="21"/>
                <w:u w:val="none" w:color="auto"/>
              </w:rPr>
              <w:t>24小时平均</w:t>
            </w:r>
          </w:p>
        </w:tc>
        <w:tc>
          <w:tcPr>
            <w:tcW w:w="1030" w:type="pct"/>
            <w:tcBorders>
              <w:tl2br w:val="nil"/>
              <w:tr2bl w:val="nil"/>
            </w:tcBorders>
            <w:vAlign w:val="center"/>
          </w:tcPr>
          <w:p>
            <w:pPr>
              <w:pStyle w:val="2978"/>
              <w:rPr>
                <w:color w:val="auto"/>
                <w:u w:val="none" w:color="auto"/>
              </w:rPr>
            </w:pPr>
            <w:r>
              <w:rPr>
                <w:color w:val="auto"/>
                <w:u w:val="none" w:color="auto"/>
              </w:rPr>
              <w:t>4</w:t>
            </w:r>
          </w:p>
        </w:tc>
        <w:tc>
          <w:tcPr>
            <w:tcW w:w="800" w:type="pct"/>
            <w:tcBorders>
              <w:tl2br w:val="nil"/>
              <w:tr2bl w:val="nil"/>
            </w:tcBorders>
            <w:vAlign w:val="center"/>
          </w:tcPr>
          <w:p>
            <w:pPr>
              <w:pStyle w:val="2978"/>
              <w:rPr>
                <w:color w:val="auto"/>
                <w:u w:val="none" w:color="auto"/>
              </w:rPr>
            </w:pPr>
            <w:r>
              <w:rPr>
                <w:color w:val="auto"/>
                <w:u w:val="none" w:color="auto"/>
              </w:rPr>
              <w:t>mg/m</w:t>
            </w:r>
            <w:r>
              <w:rPr>
                <w:color w:val="auto"/>
                <w:u w:val="none" w:color="auto"/>
                <w:vertAlign w:val="superscript"/>
              </w:rPr>
              <w:t>3</w:t>
            </w:r>
          </w:p>
        </w:tc>
        <w:tc>
          <w:tcPr>
            <w:tcW w:w="1113" w:type="pct"/>
            <w:vMerge w:val="continue"/>
            <w:tcBorders>
              <w:tl2br w:val="nil"/>
              <w:tr2bl w:val="nil"/>
            </w:tcBorders>
            <w:vAlign w:val="center"/>
          </w:tcPr>
          <w:p>
            <w:pPr>
              <w:pStyle w:val="2978"/>
              <w:rPr>
                <w:color w:val="auto"/>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Merge w:val="restart"/>
            <w:tcBorders>
              <w:tl2br w:val="nil"/>
              <w:tr2bl w:val="nil"/>
            </w:tcBorders>
            <w:vAlign w:val="center"/>
          </w:tcPr>
          <w:p>
            <w:pPr>
              <w:pStyle w:val="2978"/>
              <w:rPr>
                <w:color w:val="auto"/>
                <w:u w:val="none" w:color="auto"/>
              </w:rPr>
            </w:pPr>
            <w:r>
              <w:rPr>
                <w:color w:val="auto"/>
                <w:u w:val="none" w:color="auto"/>
              </w:rPr>
              <w:t>6</w:t>
            </w:r>
          </w:p>
        </w:tc>
        <w:tc>
          <w:tcPr>
            <w:tcW w:w="631" w:type="pct"/>
            <w:vMerge w:val="restart"/>
            <w:tcBorders>
              <w:tl2br w:val="nil"/>
              <w:tr2bl w:val="nil"/>
            </w:tcBorders>
            <w:vAlign w:val="center"/>
          </w:tcPr>
          <w:p>
            <w:pPr>
              <w:pStyle w:val="2978"/>
              <w:rPr>
                <w:color w:val="auto"/>
                <w:u w:val="none" w:color="auto"/>
              </w:rPr>
            </w:pPr>
            <w:r>
              <w:rPr>
                <w:color w:val="auto"/>
                <w:u w:val="none" w:color="auto"/>
              </w:rPr>
              <w:t>O</w:t>
            </w:r>
            <w:r>
              <w:rPr>
                <w:color w:val="auto"/>
                <w:u w:val="none" w:color="auto"/>
                <w:vertAlign w:val="subscript"/>
              </w:rPr>
              <w:t>3</w:t>
            </w:r>
          </w:p>
        </w:tc>
        <w:tc>
          <w:tcPr>
            <w:tcW w:w="1107" w:type="pct"/>
            <w:tcBorders>
              <w:tl2br w:val="nil"/>
              <w:tr2bl w:val="nil"/>
            </w:tcBorders>
            <w:vAlign w:val="center"/>
          </w:tcPr>
          <w:p>
            <w:pPr>
              <w:pStyle w:val="2978"/>
              <w:rPr>
                <w:color w:val="auto"/>
                <w:u w:val="none" w:color="auto"/>
              </w:rPr>
            </w:pPr>
            <w:r>
              <w:rPr>
                <w:color w:val="auto"/>
                <w:szCs w:val="21"/>
                <w:u w:val="none" w:color="auto"/>
              </w:rPr>
              <w:t>1小时平均</w:t>
            </w:r>
          </w:p>
        </w:tc>
        <w:tc>
          <w:tcPr>
            <w:tcW w:w="1030" w:type="pct"/>
            <w:tcBorders>
              <w:tl2br w:val="nil"/>
              <w:tr2bl w:val="nil"/>
            </w:tcBorders>
            <w:vAlign w:val="center"/>
          </w:tcPr>
          <w:p>
            <w:pPr>
              <w:pStyle w:val="2978"/>
              <w:rPr>
                <w:color w:val="auto"/>
                <w:u w:val="none" w:color="auto"/>
              </w:rPr>
            </w:pPr>
            <w:r>
              <w:rPr>
                <w:color w:val="auto"/>
                <w:u w:val="none" w:color="auto"/>
              </w:rPr>
              <w:t>200</w:t>
            </w:r>
          </w:p>
        </w:tc>
        <w:tc>
          <w:tcPr>
            <w:tcW w:w="800" w:type="pct"/>
            <w:tcBorders>
              <w:tl2br w:val="nil"/>
              <w:tr2bl w:val="nil"/>
            </w:tcBorders>
            <w:vAlign w:val="center"/>
          </w:tcPr>
          <w:p>
            <w:pPr>
              <w:pStyle w:val="2978"/>
              <w:rPr>
                <w:color w:val="auto"/>
                <w:u w:val="none" w:color="auto"/>
              </w:rPr>
            </w:pPr>
            <w:r>
              <w:rPr>
                <w:color w:val="auto"/>
                <w:u w:val="none" w:color="auto"/>
              </w:rPr>
              <w:t>μg/m</w:t>
            </w:r>
            <w:r>
              <w:rPr>
                <w:color w:val="auto"/>
                <w:u w:val="none" w:color="auto"/>
                <w:vertAlign w:val="superscript"/>
              </w:rPr>
              <w:t>3</w:t>
            </w:r>
          </w:p>
        </w:tc>
        <w:tc>
          <w:tcPr>
            <w:tcW w:w="1113" w:type="pct"/>
            <w:vMerge w:val="continue"/>
            <w:tcBorders>
              <w:tl2br w:val="nil"/>
              <w:tr2bl w:val="nil"/>
            </w:tcBorders>
            <w:vAlign w:val="center"/>
          </w:tcPr>
          <w:p>
            <w:pPr>
              <w:pStyle w:val="2978"/>
              <w:rPr>
                <w:color w:val="auto"/>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Merge w:val="continue"/>
            <w:tcBorders>
              <w:tl2br w:val="nil"/>
              <w:tr2bl w:val="nil"/>
            </w:tcBorders>
            <w:vAlign w:val="center"/>
          </w:tcPr>
          <w:p>
            <w:pPr>
              <w:pStyle w:val="2978"/>
              <w:rPr>
                <w:color w:val="auto"/>
                <w:u w:val="none" w:color="auto"/>
              </w:rPr>
            </w:pPr>
          </w:p>
        </w:tc>
        <w:tc>
          <w:tcPr>
            <w:tcW w:w="631" w:type="pct"/>
            <w:vMerge w:val="continue"/>
            <w:tcBorders>
              <w:tl2br w:val="nil"/>
              <w:tr2bl w:val="nil"/>
            </w:tcBorders>
            <w:vAlign w:val="center"/>
          </w:tcPr>
          <w:p>
            <w:pPr>
              <w:pStyle w:val="2978"/>
              <w:rPr>
                <w:color w:val="auto"/>
                <w:u w:val="none" w:color="auto"/>
              </w:rPr>
            </w:pPr>
          </w:p>
        </w:tc>
        <w:tc>
          <w:tcPr>
            <w:tcW w:w="1107" w:type="pct"/>
            <w:tcBorders>
              <w:tl2br w:val="nil"/>
              <w:tr2bl w:val="nil"/>
            </w:tcBorders>
            <w:vAlign w:val="center"/>
          </w:tcPr>
          <w:p>
            <w:pPr>
              <w:pStyle w:val="2978"/>
              <w:rPr>
                <w:color w:val="auto"/>
                <w:u w:val="none" w:color="auto"/>
              </w:rPr>
            </w:pPr>
            <w:r>
              <w:rPr>
                <w:color w:val="auto"/>
                <w:szCs w:val="21"/>
                <w:u w:val="none" w:color="auto"/>
              </w:rPr>
              <w:t>日最大8小时平均</w:t>
            </w:r>
          </w:p>
        </w:tc>
        <w:tc>
          <w:tcPr>
            <w:tcW w:w="1030" w:type="pct"/>
            <w:tcBorders>
              <w:tl2br w:val="nil"/>
              <w:tr2bl w:val="nil"/>
            </w:tcBorders>
            <w:vAlign w:val="center"/>
          </w:tcPr>
          <w:p>
            <w:pPr>
              <w:pStyle w:val="2978"/>
              <w:rPr>
                <w:color w:val="auto"/>
                <w:u w:val="none" w:color="auto"/>
              </w:rPr>
            </w:pPr>
            <w:r>
              <w:rPr>
                <w:color w:val="auto"/>
                <w:u w:val="none" w:color="auto"/>
              </w:rPr>
              <w:t>160</w:t>
            </w:r>
          </w:p>
        </w:tc>
        <w:tc>
          <w:tcPr>
            <w:tcW w:w="800" w:type="pct"/>
            <w:tcBorders>
              <w:tl2br w:val="nil"/>
              <w:tr2bl w:val="nil"/>
            </w:tcBorders>
            <w:vAlign w:val="center"/>
          </w:tcPr>
          <w:p>
            <w:pPr>
              <w:pStyle w:val="2978"/>
              <w:rPr>
                <w:color w:val="auto"/>
                <w:u w:val="none" w:color="auto"/>
              </w:rPr>
            </w:pPr>
            <w:r>
              <w:rPr>
                <w:color w:val="auto"/>
                <w:u w:val="none" w:color="auto"/>
              </w:rPr>
              <w:t>μg/m</w:t>
            </w:r>
            <w:r>
              <w:rPr>
                <w:color w:val="auto"/>
                <w:u w:val="none" w:color="auto"/>
                <w:vertAlign w:val="superscript"/>
              </w:rPr>
              <w:t>3</w:t>
            </w:r>
          </w:p>
        </w:tc>
        <w:tc>
          <w:tcPr>
            <w:tcW w:w="1113" w:type="pct"/>
            <w:vMerge w:val="continue"/>
            <w:tcBorders>
              <w:tl2br w:val="nil"/>
              <w:tr2bl w:val="nil"/>
            </w:tcBorders>
            <w:vAlign w:val="center"/>
          </w:tcPr>
          <w:p>
            <w:pPr>
              <w:pStyle w:val="2978"/>
              <w:rPr>
                <w:color w:val="auto"/>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tcBorders>
              <w:tl2br w:val="nil"/>
              <w:tr2bl w:val="nil"/>
            </w:tcBorders>
            <w:vAlign w:val="center"/>
          </w:tcPr>
          <w:p>
            <w:pPr>
              <w:pStyle w:val="2978"/>
              <w:rPr>
                <w:color w:val="auto"/>
                <w:u w:val="none" w:color="auto"/>
              </w:rPr>
            </w:pPr>
            <w:r>
              <w:rPr>
                <w:color w:val="auto"/>
                <w:u w:val="none" w:color="auto"/>
              </w:rPr>
              <w:t>7</w:t>
            </w:r>
          </w:p>
        </w:tc>
        <w:tc>
          <w:tcPr>
            <w:tcW w:w="631" w:type="pct"/>
            <w:tcBorders>
              <w:tl2br w:val="nil"/>
              <w:tr2bl w:val="nil"/>
            </w:tcBorders>
            <w:vAlign w:val="center"/>
          </w:tcPr>
          <w:p>
            <w:pPr>
              <w:pStyle w:val="2978"/>
              <w:rPr>
                <w:color w:val="auto"/>
                <w:u w:val="none" w:color="auto"/>
              </w:rPr>
            </w:pPr>
            <w:r>
              <w:rPr>
                <w:color w:val="auto"/>
                <w:u w:val="none" w:color="auto"/>
              </w:rPr>
              <w:t>TSP</w:t>
            </w:r>
          </w:p>
        </w:tc>
        <w:tc>
          <w:tcPr>
            <w:tcW w:w="1107" w:type="pct"/>
            <w:tcBorders>
              <w:tl2br w:val="nil"/>
              <w:tr2bl w:val="nil"/>
            </w:tcBorders>
            <w:vAlign w:val="center"/>
          </w:tcPr>
          <w:p>
            <w:pPr>
              <w:pStyle w:val="2978"/>
              <w:rPr>
                <w:color w:val="auto"/>
                <w:u w:val="none" w:color="auto"/>
              </w:rPr>
            </w:pPr>
            <w:r>
              <w:rPr>
                <w:color w:val="auto"/>
                <w:u w:val="none" w:color="auto"/>
              </w:rPr>
              <w:t>24小时平均</w:t>
            </w:r>
          </w:p>
        </w:tc>
        <w:tc>
          <w:tcPr>
            <w:tcW w:w="1030" w:type="pct"/>
            <w:tcBorders>
              <w:tl2br w:val="nil"/>
              <w:tr2bl w:val="nil"/>
            </w:tcBorders>
            <w:vAlign w:val="center"/>
          </w:tcPr>
          <w:p>
            <w:pPr>
              <w:pStyle w:val="2978"/>
              <w:rPr>
                <w:color w:val="auto"/>
                <w:u w:val="none" w:color="auto"/>
              </w:rPr>
            </w:pPr>
            <w:r>
              <w:rPr>
                <w:color w:val="auto"/>
                <w:u w:val="none" w:color="auto"/>
              </w:rPr>
              <w:t>300</w:t>
            </w:r>
          </w:p>
        </w:tc>
        <w:tc>
          <w:tcPr>
            <w:tcW w:w="800" w:type="pct"/>
            <w:tcBorders>
              <w:tl2br w:val="nil"/>
              <w:tr2bl w:val="nil"/>
            </w:tcBorders>
            <w:vAlign w:val="center"/>
          </w:tcPr>
          <w:p>
            <w:pPr>
              <w:pStyle w:val="2978"/>
              <w:rPr>
                <w:color w:val="auto"/>
                <w:u w:val="none" w:color="auto"/>
              </w:rPr>
            </w:pPr>
            <w:r>
              <w:rPr>
                <w:color w:val="auto"/>
                <w:u w:val="none" w:color="auto"/>
              </w:rPr>
              <w:t>μg/m</w:t>
            </w:r>
            <w:r>
              <w:rPr>
                <w:color w:val="auto"/>
                <w:u w:val="none" w:color="auto"/>
                <w:vertAlign w:val="superscript"/>
              </w:rPr>
              <w:t>3</w:t>
            </w:r>
          </w:p>
        </w:tc>
        <w:tc>
          <w:tcPr>
            <w:tcW w:w="1113" w:type="pct"/>
            <w:vMerge w:val="continue"/>
            <w:tcBorders>
              <w:tl2br w:val="nil"/>
              <w:tr2bl w:val="nil"/>
            </w:tcBorders>
            <w:vAlign w:val="center"/>
          </w:tcPr>
          <w:p>
            <w:pPr>
              <w:pStyle w:val="2978"/>
              <w:rPr>
                <w:color w:val="auto"/>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316" w:type="pct"/>
            <w:tcBorders>
              <w:tl2br w:val="nil"/>
              <w:tr2bl w:val="nil"/>
            </w:tcBorders>
            <w:vAlign w:val="center"/>
          </w:tcPr>
          <w:p>
            <w:pPr>
              <w:pStyle w:val="2978"/>
              <w:rPr>
                <w:color w:val="auto"/>
                <w:u w:val="none" w:color="auto"/>
              </w:rPr>
            </w:pPr>
            <w:r>
              <w:rPr>
                <w:color w:val="auto"/>
                <w:u w:val="none" w:color="auto"/>
              </w:rPr>
              <w:t>8</w:t>
            </w:r>
          </w:p>
        </w:tc>
        <w:tc>
          <w:tcPr>
            <w:tcW w:w="631" w:type="pct"/>
            <w:tcBorders>
              <w:tl2br w:val="nil"/>
              <w:tr2bl w:val="nil"/>
            </w:tcBorders>
            <w:vAlign w:val="center"/>
          </w:tcPr>
          <w:p>
            <w:pPr>
              <w:pStyle w:val="2978"/>
              <w:rPr>
                <w:color w:val="auto"/>
                <w:u w:val="none" w:color="auto"/>
              </w:rPr>
            </w:pPr>
            <w:r>
              <w:rPr>
                <w:color w:val="auto"/>
                <w:u w:val="none" w:color="auto"/>
              </w:rPr>
              <w:t>NH</w:t>
            </w:r>
            <w:r>
              <w:rPr>
                <w:color w:val="auto"/>
                <w:u w:val="none" w:color="auto"/>
                <w:vertAlign w:val="subscript"/>
              </w:rPr>
              <w:t>3</w:t>
            </w:r>
          </w:p>
        </w:tc>
        <w:tc>
          <w:tcPr>
            <w:tcW w:w="1107" w:type="pct"/>
            <w:tcBorders>
              <w:tl2br w:val="nil"/>
              <w:tr2bl w:val="nil"/>
            </w:tcBorders>
            <w:vAlign w:val="center"/>
          </w:tcPr>
          <w:p>
            <w:pPr>
              <w:pStyle w:val="2978"/>
              <w:rPr>
                <w:color w:val="auto"/>
                <w:u w:val="none" w:color="auto"/>
              </w:rPr>
            </w:pPr>
            <w:r>
              <w:rPr>
                <w:color w:val="auto"/>
                <w:szCs w:val="21"/>
                <w:u w:val="none" w:color="auto"/>
              </w:rPr>
              <w:t>1小时平均</w:t>
            </w:r>
          </w:p>
        </w:tc>
        <w:tc>
          <w:tcPr>
            <w:tcW w:w="1030" w:type="pct"/>
            <w:tcBorders>
              <w:tl2br w:val="nil"/>
              <w:tr2bl w:val="nil"/>
            </w:tcBorders>
            <w:vAlign w:val="center"/>
          </w:tcPr>
          <w:p>
            <w:pPr>
              <w:pStyle w:val="2978"/>
              <w:rPr>
                <w:color w:val="auto"/>
                <w:u w:val="none" w:color="auto"/>
              </w:rPr>
            </w:pPr>
            <w:r>
              <w:rPr>
                <w:color w:val="auto"/>
                <w:u w:val="none" w:color="auto"/>
              </w:rPr>
              <w:t>200</w:t>
            </w:r>
          </w:p>
        </w:tc>
        <w:tc>
          <w:tcPr>
            <w:tcW w:w="800" w:type="pct"/>
            <w:tcBorders>
              <w:tl2br w:val="nil"/>
              <w:tr2bl w:val="nil"/>
            </w:tcBorders>
            <w:vAlign w:val="center"/>
          </w:tcPr>
          <w:p>
            <w:pPr>
              <w:pStyle w:val="2978"/>
              <w:rPr>
                <w:color w:val="auto"/>
                <w:u w:val="none" w:color="auto"/>
              </w:rPr>
            </w:pPr>
            <w:r>
              <w:rPr>
                <w:color w:val="auto"/>
                <w:u w:val="none" w:color="auto"/>
              </w:rPr>
              <w:t>μg/m</w:t>
            </w:r>
            <w:r>
              <w:rPr>
                <w:color w:val="auto"/>
                <w:u w:val="none" w:color="auto"/>
                <w:vertAlign w:val="superscript"/>
              </w:rPr>
              <w:t>3</w:t>
            </w:r>
          </w:p>
        </w:tc>
        <w:tc>
          <w:tcPr>
            <w:tcW w:w="1113" w:type="pct"/>
            <w:vMerge w:val="restart"/>
            <w:tcBorders>
              <w:tl2br w:val="nil"/>
              <w:tr2bl w:val="nil"/>
            </w:tcBorders>
            <w:vAlign w:val="center"/>
          </w:tcPr>
          <w:p>
            <w:pPr>
              <w:pStyle w:val="2978"/>
              <w:rPr>
                <w:color w:val="auto"/>
                <w:u w:val="none" w:color="auto"/>
              </w:rPr>
            </w:pPr>
            <w:r>
              <w:rPr>
                <w:color w:val="auto"/>
                <w:u w:val="none" w:color="auto"/>
              </w:rPr>
              <w:t>《环境影响评价技术导则大气环境》(HJ 2.2-2018)附录D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16" w:type="pct"/>
            <w:tcBorders>
              <w:tl2br w:val="nil"/>
              <w:tr2bl w:val="nil"/>
            </w:tcBorders>
            <w:vAlign w:val="center"/>
          </w:tcPr>
          <w:p>
            <w:pPr>
              <w:pStyle w:val="2978"/>
              <w:rPr>
                <w:color w:val="auto"/>
                <w:u w:val="none" w:color="auto"/>
              </w:rPr>
            </w:pPr>
            <w:r>
              <w:rPr>
                <w:color w:val="auto"/>
                <w:u w:val="none" w:color="auto"/>
              </w:rPr>
              <w:t>9</w:t>
            </w:r>
          </w:p>
        </w:tc>
        <w:tc>
          <w:tcPr>
            <w:tcW w:w="631" w:type="pct"/>
            <w:tcBorders>
              <w:tl2br w:val="nil"/>
              <w:tr2bl w:val="nil"/>
            </w:tcBorders>
            <w:vAlign w:val="center"/>
          </w:tcPr>
          <w:p>
            <w:pPr>
              <w:pStyle w:val="2978"/>
              <w:rPr>
                <w:color w:val="auto"/>
                <w:u w:val="none" w:color="auto"/>
              </w:rPr>
            </w:pPr>
            <w:r>
              <w:rPr>
                <w:color w:val="auto"/>
                <w:u w:val="none" w:color="auto"/>
              </w:rPr>
              <w:t>H</w:t>
            </w:r>
            <w:r>
              <w:rPr>
                <w:color w:val="auto"/>
                <w:u w:val="none" w:color="auto"/>
                <w:vertAlign w:val="subscript"/>
              </w:rPr>
              <w:t>2</w:t>
            </w:r>
            <w:r>
              <w:rPr>
                <w:color w:val="auto"/>
                <w:u w:val="none" w:color="auto"/>
              </w:rPr>
              <w:t>S</w:t>
            </w:r>
          </w:p>
        </w:tc>
        <w:tc>
          <w:tcPr>
            <w:tcW w:w="1107" w:type="pct"/>
            <w:tcBorders>
              <w:tl2br w:val="nil"/>
              <w:tr2bl w:val="nil"/>
            </w:tcBorders>
            <w:vAlign w:val="center"/>
          </w:tcPr>
          <w:p>
            <w:pPr>
              <w:pStyle w:val="2978"/>
              <w:rPr>
                <w:color w:val="auto"/>
                <w:u w:val="none" w:color="auto"/>
              </w:rPr>
            </w:pPr>
            <w:r>
              <w:rPr>
                <w:color w:val="auto"/>
                <w:szCs w:val="21"/>
                <w:u w:val="none" w:color="auto"/>
              </w:rPr>
              <w:t>1小时平均</w:t>
            </w:r>
          </w:p>
        </w:tc>
        <w:tc>
          <w:tcPr>
            <w:tcW w:w="1030" w:type="pct"/>
            <w:tcBorders>
              <w:tl2br w:val="nil"/>
              <w:tr2bl w:val="nil"/>
            </w:tcBorders>
            <w:vAlign w:val="center"/>
          </w:tcPr>
          <w:p>
            <w:pPr>
              <w:pStyle w:val="2978"/>
              <w:rPr>
                <w:color w:val="auto"/>
                <w:u w:val="none" w:color="auto"/>
              </w:rPr>
            </w:pPr>
            <w:r>
              <w:rPr>
                <w:color w:val="auto"/>
                <w:u w:val="none" w:color="auto"/>
              </w:rPr>
              <w:t>10</w:t>
            </w:r>
          </w:p>
        </w:tc>
        <w:tc>
          <w:tcPr>
            <w:tcW w:w="800" w:type="pct"/>
            <w:tcBorders>
              <w:tl2br w:val="nil"/>
              <w:tr2bl w:val="nil"/>
            </w:tcBorders>
            <w:vAlign w:val="center"/>
          </w:tcPr>
          <w:p>
            <w:pPr>
              <w:pStyle w:val="2978"/>
              <w:rPr>
                <w:color w:val="auto"/>
                <w:u w:val="none" w:color="auto"/>
              </w:rPr>
            </w:pPr>
            <w:r>
              <w:rPr>
                <w:color w:val="auto"/>
                <w:u w:val="none" w:color="auto"/>
              </w:rPr>
              <w:t>μg/m</w:t>
            </w:r>
            <w:r>
              <w:rPr>
                <w:color w:val="auto"/>
                <w:u w:val="none" w:color="auto"/>
                <w:vertAlign w:val="superscript"/>
              </w:rPr>
              <w:t>3</w:t>
            </w:r>
          </w:p>
        </w:tc>
        <w:tc>
          <w:tcPr>
            <w:tcW w:w="1113" w:type="pct"/>
            <w:vMerge w:val="continue"/>
            <w:tcBorders>
              <w:tl2br w:val="nil"/>
              <w:tr2bl w:val="nil"/>
            </w:tcBorders>
            <w:vAlign w:val="center"/>
          </w:tcPr>
          <w:p>
            <w:pPr>
              <w:pStyle w:val="2978"/>
              <w:rPr>
                <w:color w:val="auto"/>
                <w:u w:val="none" w:color="auto"/>
              </w:rPr>
            </w:pPr>
          </w:p>
        </w:tc>
      </w:tr>
    </w:tbl>
    <w:p>
      <w:pPr>
        <w:tabs>
          <w:tab w:val="left" w:pos="1322"/>
        </w:tabs>
        <w:autoSpaceDE/>
        <w:autoSpaceDN/>
        <w:adjustRightInd w:val="0"/>
        <w:snapToGrid w:val="0"/>
        <w:spacing w:line="360" w:lineRule="auto"/>
        <w:ind w:firstLine="480" w:firstLineChars="200"/>
        <w:jc w:val="both"/>
        <w:rPr>
          <w:rFonts w:ascii="Times New Roman" w:hAnsi="Times New Roman" w:cs="Times New Roman"/>
          <w:sz w:val="24"/>
        </w:rPr>
      </w:pPr>
      <w:r>
        <w:rPr>
          <w:rFonts w:ascii="Times New Roman" w:hAnsi="Times New Roman" w:cs="Times New Roman"/>
          <w:sz w:val="24"/>
        </w:rPr>
        <w:t>（2）水环境质量评价标准</w:t>
      </w:r>
    </w:p>
    <w:p>
      <w:pPr>
        <w:pStyle w:val="2"/>
        <w:autoSpaceDE/>
        <w:autoSpaceDN/>
        <w:adjustRightInd w:val="0"/>
        <w:snapToGrid w:val="0"/>
        <w:spacing w:before="0" w:line="360" w:lineRule="auto"/>
        <w:ind w:left="0" w:firstLine="480" w:firstLineChars="200"/>
        <w:jc w:val="both"/>
        <w:rPr>
          <w:rFonts w:ascii="Times New Roman" w:hAnsi="Times New Roman" w:cs="Times New Roman"/>
          <w:u w:val="none"/>
        </w:rPr>
      </w:pPr>
      <w:r>
        <w:rPr>
          <w:rFonts w:hint="eastAsia" w:ascii="Times New Roman" w:hAnsi="Times New Roman" w:cs="Times New Roman"/>
          <w:u w:val="none"/>
          <w:lang w:eastAsia="zh-CN"/>
        </w:rPr>
        <w:t>项目涉及饮用水源保护区中的一级保护区及二级保护区相应执行</w:t>
      </w:r>
      <w:r>
        <w:rPr>
          <w:rFonts w:ascii="Times New Roman" w:hAnsi="Times New Roman" w:cs="Times New Roman"/>
          <w:b w:val="0"/>
          <w:bCs/>
          <w:snapToGrid w:val="0"/>
          <w:sz w:val="24"/>
          <w:szCs w:val="24"/>
        </w:rPr>
        <w:t>地表水环境质量标准（GB3838-2002）</w:t>
      </w:r>
      <w:r>
        <w:rPr>
          <w:rFonts w:hint="eastAsia" w:ascii="Times New Roman" w:hAnsi="Times New Roman" w:cs="Times New Roman"/>
          <w:b w:val="0"/>
          <w:bCs/>
          <w:snapToGrid w:val="0"/>
          <w:sz w:val="24"/>
          <w:szCs w:val="24"/>
          <w:lang w:eastAsia="zh-CN"/>
        </w:rPr>
        <w:t>中</w:t>
      </w:r>
      <w:r>
        <w:rPr>
          <w:rFonts w:ascii="Times New Roman" w:hAnsi="Times New Roman" w:cs="Times New Roman"/>
          <w:color w:val="auto"/>
          <w:szCs w:val="21"/>
          <w:u w:val="none" w:color="auto"/>
        </w:rPr>
        <w:t>Ⅱ类</w:t>
      </w:r>
      <w:r>
        <w:rPr>
          <w:rFonts w:hint="eastAsia" w:ascii="Times New Roman" w:hAnsi="Times New Roman" w:cs="Times New Roman"/>
          <w:color w:val="auto"/>
          <w:szCs w:val="21"/>
          <w:u w:val="none" w:color="auto"/>
          <w:lang w:eastAsia="zh-CN"/>
        </w:rPr>
        <w:t>和</w:t>
      </w:r>
      <w:r>
        <w:rPr>
          <w:rFonts w:ascii="Times New Roman" w:hAnsi="Times New Roman" w:cs="Times New Roman"/>
          <w:color w:val="auto"/>
          <w:szCs w:val="21"/>
          <w:u w:val="none" w:color="auto"/>
        </w:rPr>
        <w:t>Ⅲ类</w:t>
      </w:r>
      <w:r>
        <w:rPr>
          <w:rFonts w:hint="eastAsia" w:ascii="Times New Roman" w:hAnsi="Times New Roman" w:cs="Times New Roman"/>
          <w:color w:val="auto"/>
          <w:szCs w:val="21"/>
          <w:u w:val="none" w:color="auto"/>
          <w:lang w:eastAsia="zh-CN"/>
        </w:rPr>
        <w:t>标准</w:t>
      </w:r>
      <w:r>
        <w:rPr>
          <w:rFonts w:hint="eastAsia" w:ascii="Times New Roman" w:hAnsi="Times New Roman" w:cs="Times New Roman"/>
          <w:u w:val="none"/>
        </w:rPr>
        <w:t>，</w:t>
      </w:r>
      <w:r>
        <w:rPr>
          <w:rFonts w:ascii="Times New Roman" w:hAnsi="Times New Roman" w:cs="Times New Roman"/>
          <w:u w:val="none"/>
        </w:rPr>
        <w:t>相关标准值见下表。</w:t>
      </w:r>
    </w:p>
    <w:p>
      <w:pPr>
        <w:autoSpaceDE/>
        <w:autoSpaceDN/>
        <w:adjustRightInd w:val="0"/>
        <w:snapToGrid w:val="0"/>
        <w:spacing w:line="360" w:lineRule="auto"/>
        <w:jc w:val="center"/>
        <w:rPr>
          <w:rFonts w:ascii="Times New Roman" w:hAnsi="Times New Roman" w:cs="Times New Roman"/>
          <w:b/>
          <w:snapToGrid w:val="0"/>
          <w:sz w:val="24"/>
          <w:szCs w:val="24"/>
        </w:rPr>
      </w:pPr>
      <w:r>
        <w:rPr>
          <w:rFonts w:ascii="Times New Roman" w:hAnsi="Times New Roman" w:cs="Times New Roman"/>
          <w:b/>
          <w:snapToGrid w:val="0"/>
          <w:sz w:val="24"/>
          <w:szCs w:val="24"/>
        </w:rPr>
        <w:t>表2.5-2  地表水环境质量标准（GB3838-2002）（摘录）</w:t>
      </w:r>
    </w:p>
    <w:tbl>
      <w:tblPr>
        <w:tblStyle w:val="8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20"/>
        <w:gridCol w:w="2834"/>
        <w:gridCol w:w="2339"/>
        <w:gridCol w:w="23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bookmarkStart w:id="116" w:name="_Hlk509587420"/>
            <w:r>
              <w:rPr>
                <w:rFonts w:ascii="Times New Roman" w:hAnsi="Times New Roman" w:cs="Times New Roman"/>
                <w:color w:val="auto"/>
                <w:szCs w:val="21"/>
                <w:u w:val="none" w:color="auto"/>
              </w:rPr>
              <w:t>序号</w:t>
            </w:r>
          </w:p>
        </w:tc>
        <w:tc>
          <w:tcPr>
            <w:tcW w:w="1700"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项目</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Ⅲ类</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Ⅱ类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1</w:t>
            </w:r>
          </w:p>
        </w:tc>
        <w:tc>
          <w:tcPr>
            <w:tcW w:w="1700"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pH</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6～9</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2</w:t>
            </w:r>
          </w:p>
        </w:tc>
        <w:tc>
          <w:tcPr>
            <w:tcW w:w="1700"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DO</w:t>
            </w:r>
          </w:p>
        </w:tc>
        <w:tc>
          <w:tcPr>
            <w:tcW w:w="1403" w:type="pct"/>
            <w:tcBorders>
              <w:tl2br w:val="nil"/>
              <w:tr2bl w:val="nil"/>
            </w:tcBorders>
            <w:vAlign w:val="center"/>
          </w:tcPr>
          <w:p>
            <w:pPr>
              <w:jc w:val="center"/>
              <w:rPr>
                <w:rFonts w:eastAsia="Arial Unicode MS"/>
                <w:color w:val="auto"/>
                <w:szCs w:val="21"/>
                <w:u w:val="none" w:color="auto"/>
              </w:rPr>
            </w:pPr>
            <w:r>
              <w:rPr>
                <w:rFonts w:ascii="Times New Roman" w:hAnsi="Times New Roman" w:cs="Times New Roman"/>
                <w:color w:val="auto"/>
                <w:szCs w:val="21"/>
                <w:u w:val="none" w:color="auto"/>
              </w:rPr>
              <w:t>≥5</w:t>
            </w:r>
          </w:p>
        </w:tc>
        <w:tc>
          <w:tcPr>
            <w:tcW w:w="1403" w:type="pct"/>
            <w:tcBorders>
              <w:tl2br w:val="nil"/>
              <w:tr2bl w:val="nil"/>
            </w:tcBorders>
            <w:vAlign w:val="center"/>
          </w:tcPr>
          <w:p>
            <w:pPr>
              <w:jc w:val="center"/>
              <w:rPr>
                <w:rFonts w:eastAsia="Arial Unicode MS"/>
                <w:color w:val="auto"/>
                <w:szCs w:val="21"/>
                <w:u w:val="none" w:color="auto"/>
              </w:rPr>
            </w:pPr>
            <w:r>
              <w:rPr>
                <w:rFonts w:ascii="Times New Roman" w:hAnsi="Times New Roman" w:cs="Times New Roman"/>
                <w:color w:val="auto"/>
                <w:szCs w:val="21"/>
                <w:u w:val="none" w:color="auto"/>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3</w:t>
            </w:r>
          </w:p>
        </w:tc>
        <w:tc>
          <w:tcPr>
            <w:tcW w:w="1700"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化学需氧量</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≤20</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4</w:t>
            </w:r>
          </w:p>
        </w:tc>
        <w:tc>
          <w:tcPr>
            <w:tcW w:w="1700"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五日生化需氧量</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≤4</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5</w:t>
            </w:r>
          </w:p>
        </w:tc>
        <w:tc>
          <w:tcPr>
            <w:tcW w:w="1700"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氨氮</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≤1.0</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6</w:t>
            </w:r>
          </w:p>
        </w:tc>
        <w:tc>
          <w:tcPr>
            <w:tcW w:w="1700"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石油类</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≤0.05</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7</w:t>
            </w:r>
          </w:p>
        </w:tc>
        <w:tc>
          <w:tcPr>
            <w:tcW w:w="1700"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SS*</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w:t>
            </w:r>
            <w:r>
              <w:rPr>
                <w:rFonts w:hint="eastAsia" w:ascii="Times New Roman" w:hAnsi="Times New Roman" w:cs="Times New Roman"/>
                <w:color w:val="auto"/>
                <w:szCs w:val="21"/>
                <w:u w:val="none" w:color="auto"/>
                <w:lang w:val="en-US" w:eastAsia="zh-CN"/>
              </w:rPr>
              <w:t>7</w:t>
            </w:r>
            <w:r>
              <w:rPr>
                <w:rFonts w:hint="eastAsia" w:ascii="Times New Roman" w:hAnsi="Times New Roman" w:cs="Times New Roman"/>
                <w:color w:val="auto"/>
                <w:szCs w:val="21"/>
                <w:u w:val="none" w:color="auto"/>
              </w:rPr>
              <w:t>0</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w:t>
            </w:r>
            <w:r>
              <w:rPr>
                <w:rFonts w:hint="eastAsia" w:ascii="Times New Roman" w:hAnsi="Times New Roman" w:cs="Times New Roman"/>
                <w:color w:val="auto"/>
                <w:szCs w:val="21"/>
                <w:u w:val="none" w:color="auto"/>
                <w:lang w:val="en-US" w:eastAsia="zh-CN"/>
              </w:rPr>
              <w:t>7</w:t>
            </w:r>
            <w:r>
              <w:rPr>
                <w:rFonts w:hint="eastAsia" w:ascii="Times New Roman" w:hAnsi="Times New Roman" w:cs="Times New Roman"/>
                <w:color w:val="auto"/>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8</w:t>
            </w:r>
          </w:p>
        </w:tc>
        <w:tc>
          <w:tcPr>
            <w:tcW w:w="1700" w:type="pct"/>
            <w:tcBorders>
              <w:tl2br w:val="nil"/>
              <w:tr2bl w:val="nil"/>
            </w:tcBorders>
            <w:vAlign w:val="center"/>
          </w:tcPr>
          <w:p>
            <w:pPr>
              <w:jc w:val="center"/>
              <w:rPr>
                <w:color w:val="auto"/>
                <w:szCs w:val="21"/>
                <w:u w:val="none" w:color="auto"/>
              </w:rPr>
            </w:pPr>
            <w:r>
              <w:rPr>
                <w:rFonts w:ascii="Times New Roman" w:hAnsi="Times New Roman" w:cs="Times New Roman"/>
                <w:color w:val="auto"/>
                <w:kern w:val="0"/>
                <w:szCs w:val="21"/>
                <w:u w:val="none" w:color="auto"/>
              </w:rPr>
              <w:t>总磷</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≤0.2</w:t>
            </w:r>
            <w:r>
              <w:rPr>
                <w:rFonts w:hint="eastAsia" w:ascii="Times New Roman" w:hAnsi="Times New Roman" w:cs="Times New Roman"/>
                <w:color w:val="auto"/>
                <w:szCs w:val="21"/>
                <w:u w:val="none" w:color="auto"/>
              </w:rPr>
              <w:t>（湖库0.05）</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9</w:t>
            </w:r>
          </w:p>
        </w:tc>
        <w:tc>
          <w:tcPr>
            <w:tcW w:w="1700" w:type="pct"/>
            <w:tcBorders>
              <w:tl2br w:val="nil"/>
              <w:tr2bl w:val="nil"/>
            </w:tcBorders>
            <w:vAlign w:val="center"/>
          </w:tcPr>
          <w:p>
            <w:pPr>
              <w:jc w:val="center"/>
              <w:rPr>
                <w:color w:val="auto"/>
                <w:szCs w:val="21"/>
                <w:u w:val="none" w:color="auto"/>
              </w:rPr>
            </w:pPr>
            <w:r>
              <w:rPr>
                <w:rFonts w:ascii="Times New Roman" w:hAnsi="Times New Roman" w:cs="Times New Roman"/>
                <w:color w:val="auto"/>
                <w:kern w:val="0"/>
                <w:szCs w:val="21"/>
                <w:u w:val="none" w:color="auto"/>
              </w:rPr>
              <w:t>总氮</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≤1.0</w:t>
            </w:r>
          </w:p>
        </w:tc>
        <w:tc>
          <w:tcPr>
            <w:tcW w:w="1403" w:type="pct"/>
            <w:tcBorders>
              <w:tl2br w:val="nil"/>
              <w:tr2bl w:val="nil"/>
            </w:tcBorders>
            <w:vAlign w:val="center"/>
          </w:tcPr>
          <w:p>
            <w:pPr>
              <w:jc w:val="center"/>
              <w:rPr>
                <w:rFonts w:eastAsia="Arial Unicode MS"/>
                <w:color w:val="auto"/>
                <w:szCs w:val="21"/>
                <w:u w:val="none" w:color="auto"/>
              </w:rPr>
            </w:pPr>
            <w:r>
              <w:rPr>
                <w:rFonts w:ascii="Times New Roman" w:hAnsi="Times New Roman" w:cs="Times New Roman"/>
                <w:color w:val="auto"/>
                <w:szCs w:val="21"/>
                <w:u w:val="none" w:color="auto"/>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10</w:t>
            </w:r>
          </w:p>
        </w:tc>
        <w:tc>
          <w:tcPr>
            <w:tcW w:w="1700" w:type="pct"/>
            <w:tcBorders>
              <w:tl2br w:val="nil"/>
              <w:tr2bl w:val="nil"/>
            </w:tcBorders>
            <w:vAlign w:val="center"/>
          </w:tcPr>
          <w:p>
            <w:pPr>
              <w:jc w:val="center"/>
              <w:rPr>
                <w:rFonts w:eastAsia="Arial Unicode MS"/>
                <w:color w:val="auto"/>
                <w:kern w:val="0"/>
                <w:szCs w:val="21"/>
                <w:u w:val="none" w:color="auto"/>
              </w:rPr>
            </w:pPr>
            <w:r>
              <w:rPr>
                <w:rFonts w:ascii="Times New Roman" w:hAnsi="Times New Roman" w:cs="Times New Roman"/>
                <w:color w:val="auto"/>
                <w:kern w:val="0"/>
                <w:szCs w:val="21"/>
                <w:u w:val="none" w:color="auto"/>
              </w:rPr>
              <w:t>阴离子表面活性剂</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≤0.2</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11</w:t>
            </w:r>
          </w:p>
        </w:tc>
        <w:tc>
          <w:tcPr>
            <w:tcW w:w="1700" w:type="pct"/>
            <w:tcBorders>
              <w:tl2br w:val="nil"/>
              <w:tr2bl w:val="nil"/>
            </w:tcBorders>
            <w:vAlign w:val="center"/>
          </w:tcPr>
          <w:p>
            <w:pPr>
              <w:jc w:val="center"/>
              <w:rPr>
                <w:color w:val="auto"/>
                <w:kern w:val="0"/>
                <w:szCs w:val="21"/>
                <w:u w:val="none" w:color="auto"/>
              </w:rPr>
            </w:pPr>
            <w:r>
              <w:rPr>
                <w:rFonts w:ascii="Times New Roman" w:hAnsi="Times New Roman" w:cs="Times New Roman"/>
                <w:color w:val="auto"/>
                <w:kern w:val="0"/>
                <w:szCs w:val="21"/>
                <w:u w:val="none" w:color="auto"/>
              </w:rPr>
              <w:t>铜</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≤1.0</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12</w:t>
            </w:r>
          </w:p>
        </w:tc>
        <w:tc>
          <w:tcPr>
            <w:tcW w:w="1700"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粪大肠菌群</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≤10000个/L</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rFonts w:eastAsia="Arial Unicode MS"/>
                <w:color w:val="auto"/>
                <w:szCs w:val="21"/>
                <w:u w:val="none" w:color="auto"/>
              </w:rPr>
            </w:pPr>
            <w:r>
              <w:rPr>
                <w:rFonts w:ascii="Times New Roman" w:hAnsi="Times New Roman" w:cs="Times New Roman"/>
                <w:color w:val="auto"/>
                <w:szCs w:val="21"/>
                <w:u w:val="none" w:color="auto"/>
              </w:rPr>
              <w:t>13</w:t>
            </w:r>
          </w:p>
        </w:tc>
        <w:tc>
          <w:tcPr>
            <w:tcW w:w="1700"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锌</w:t>
            </w:r>
          </w:p>
        </w:tc>
        <w:tc>
          <w:tcPr>
            <w:tcW w:w="1403" w:type="pct"/>
            <w:tcBorders>
              <w:tl2br w:val="nil"/>
              <w:tr2bl w:val="nil"/>
            </w:tcBorders>
            <w:vAlign w:val="center"/>
          </w:tcPr>
          <w:p>
            <w:pPr>
              <w:jc w:val="center"/>
              <w:rPr>
                <w:rFonts w:eastAsia="Arial Unicode MS"/>
                <w:color w:val="auto"/>
                <w:szCs w:val="21"/>
                <w:u w:val="none" w:color="auto"/>
              </w:rPr>
            </w:pPr>
            <w:r>
              <w:rPr>
                <w:rFonts w:ascii="Times New Roman" w:hAnsi="Times New Roman" w:cs="Times New Roman"/>
                <w:color w:val="auto"/>
                <w:szCs w:val="21"/>
                <w:u w:val="none" w:color="auto"/>
              </w:rPr>
              <w:t>≤1.0</w:t>
            </w:r>
          </w:p>
        </w:tc>
        <w:tc>
          <w:tcPr>
            <w:tcW w:w="1403" w:type="pct"/>
            <w:tcBorders>
              <w:tl2br w:val="nil"/>
              <w:tr2bl w:val="nil"/>
            </w:tcBorders>
            <w:vAlign w:val="center"/>
          </w:tcPr>
          <w:p>
            <w:pPr>
              <w:jc w:val="center"/>
              <w:rPr>
                <w:rFonts w:eastAsia="Arial Unicode MS"/>
                <w:color w:val="auto"/>
                <w:szCs w:val="21"/>
                <w:u w:val="none" w:color="auto"/>
              </w:rPr>
            </w:pPr>
            <w:r>
              <w:rPr>
                <w:rFonts w:ascii="Times New Roman" w:hAnsi="Times New Roman" w:cs="Times New Roman"/>
                <w:color w:val="auto"/>
                <w:szCs w:val="21"/>
                <w:u w:val="none" w:color="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rFonts w:eastAsia="Arial Unicode MS"/>
                <w:color w:val="auto"/>
                <w:szCs w:val="21"/>
                <w:u w:val="none" w:color="auto"/>
              </w:rPr>
            </w:pPr>
            <w:r>
              <w:rPr>
                <w:rFonts w:ascii="Times New Roman" w:hAnsi="Times New Roman" w:cs="Times New Roman"/>
                <w:color w:val="auto"/>
                <w:szCs w:val="21"/>
                <w:u w:val="none" w:color="auto"/>
              </w:rPr>
              <w:t>14</w:t>
            </w:r>
          </w:p>
        </w:tc>
        <w:tc>
          <w:tcPr>
            <w:tcW w:w="1700"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铅</w:t>
            </w:r>
          </w:p>
        </w:tc>
        <w:tc>
          <w:tcPr>
            <w:tcW w:w="1403" w:type="pct"/>
            <w:tcBorders>
              <w:tl2br w:val="nil"/>
              <w:tr2bl w:val="nil"/>
            </w:tcBorders>
            <w:vAlign w:val="center"/>
          </w:tcPr>
          <w:p>
            <w:pPr>
              <w:jc w:val="center"/>
              <w:rPr>
                <w:rFonts w:eastAsia="Arial Unicode MS"/>
                <w:color w:val="auto"/>
                <w:szCs w:val="21"/>
                <w:u w:val="none" w:color="auto"/>
              </w:rPr>
            </w:pPr>
            <w:r>
              <w:rPr>
                <w:rFonts w:ascii="Times New Roman" w:hAnsi="Times New Roman" w:cs="Times New Roman"/>
                <w:color w:val="auto"/>
                <w:szCs w:val="21"/>
                <w:u w:val="none" w:color="auto"/>
              </w:rPr>
              <w:t>≤0.05</w:t>
            </w:r>
          </w:p>
        </w:tc>
        <w:tc>
          <w:tcPr>
            <w:tcW w:w="1403" w:type="pct"/>
            <w:tcBorders>
              <w:tl2br w:val="nil"/>
              <w:tr2bl w:val="nil"/>
            </w:tcBorders>
            <w:vAlign w:val="center"/>
          </w:tcPr>
          <w:p>
            <w:pPr>
              <w:jc w:val="center"/>
              <w:rPr>
                <w:rFonts w:eastAsia="Arial Unicode MS"/>
                <w:color w:val="auto"/>
                <w:szCs w:val="21"/>
                <w:u w:val="none" w:color="auto"/>
              </w:rPr>
            </w:pPr>
            <w:r>
              <w:rPr>
                <w:rFonts w:ascii="Times New Roman" w:hAnsi="Times New Roman" w:cs="Times New Roman"/>
                <w:color w:val="auto"/>
                <w:szCs w:val="21"/>
                <w:u w:val="none" w:color="auto"/>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rFonts w:eastAsia="Arial Unicode MS"/>
                <w:color w:val="auto"/>
                <w:szCs w:val="21"/>
                <w:u w:val="none" w:color="auto"/>
              </w:rPr>
            </w:pPr>
            <w:r>
              <w:rPr>
                <w:rFonts w:ascii="Times New Roman" w:hAnsi="Times New Roman" w:cs="Times New Roman"/>
                <w:color w:val="auto"/>
                <w:szCs w:val="21"/>
                <w:u w:val="none" w:color="auto"/>
              </w:rPr>
              <w:t>15</w:t>
            </w:r>
          </w:p>
        </w:tc>
        <w:tc>
          <w:tcPr>
            <w:tcW w:w="1700"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镉</w:t>
            </w:r>
          </w:p>
        </w:tc>
        <w:tc>
          <w:tcPr>
            <w:tcW w:w="1403" w:type="pct"/>
            <w:tcBorders>
              <w:tl2br w:val="nil"/>
              <w:tr2bl w:val="nil"/>
            </w:tcBorders>
            <w:vAlign w:val="center"/>
          </w:tcPr>
          <w:p>
            <w:pPr>
              <w:jc w:val="center"/>
              <w:rPr>
                <w:rFonts w:eastAsia="Arial Unicode MS"/>
                <w:color w:val="auto"/>
                <w:szCs w:val="21"/>
                <w:u w:val="none" w:color="auto"/>
              </w:rPr>
            </w:pPr>
            <w:r>
              <w:rPr>
                <w:rFonts w:ascii="Times New Roman" w:hAnsi="Times New Roman" w:cs="Times New Roman"/>
                <w:color w:val="auto"/>
                <w:szCs w:val="21"/>
                <w:u w:val="none" w:color="auto"/>
              </w:rPr>
              <w:t>≤0.005</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16</w:t>
            </w:r>
          </w:p>
        </w:tc>
        <w:tc>
          <w:tcPr>
            <w:tcW w:w="1700"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高锰酸盐指数</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≤6</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17</w:t>
            </w:r>
          </w:p>
        </w:tc>
        <w:tc>
          <w:tcPr>
            <w:tcW w:w="1700"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挥发酚</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≤0.05</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18</w:t>
            </w:r>
          </w:p>
        </w:tc>
        <w:tc>
          <w:tcPr>
            <w:tcW w:w="1700"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氰化物</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≤0.2</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19</w:t>
            </w:r>
          </w:p>
        </w:tc>
        <w:tc>
          <w:tcPr>
            <w:tcW w:w="1700"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砷</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≤0.05</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20</w:t>
            </w:r>
          </w:p>
        </w:tc>
        <w:tc>
          <w:tcPr>
            <w:tcW w:w="1700"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汞</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≤0.0001</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≤0.00005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21</w:t>
            </w:r>
          </w:p>
        </w:tc>
        <w:tc>
          <w:tcPr>
            <w:tcW w:w="1700"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铬（六价）</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≤0.05</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22</w:t>
            </w:r>
          </w:p>
        </w:tc>
        <w:tc>
          <w:tcPr>
            <w:tcW w:w="1700"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氟化物</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≤1.0</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23</w:t>
            </w:r>
          </w:p>
        </w:tc>
        <w:tc>
          <w:tcPr>
            <w:tcW w:w="1700"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硒</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≤0.01</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r>
              <w:rPr>
                <w:rFonts w:hint="eastAsia" w:ascii="Times New Roman" w:hAnsi="Times New Roman" w:cs="Times New Roman"/>
                <w:color w:val="auto"/>
                <w:szCs w:val="21"/>
                <w:u w:val="none" w:color="auto"/>
              </w:rPr>
              <w:t>24</w:t>
            </w:r>
          </w:p>
        </w:tc>
        <w:tc>
          <w:tcPr>
            <w:tcW w:w="1700" w:type="pct"/>
            <w:tcBorders>
              <w:tl2br w:val="nil"/>
              <w:tr2bl w:val="nil"/>
            </w:tcBorders>
            <w:vAlign w:val="center"/>
          </w:tcPr>
          <w:p>
            <w:pPr>
              <w:jc w:val="center"/>
              <w:rPr>
                <w:color w:val="auto"/>
                <w:szCs w:val="21"/>
                <w:u w:val="none" w:color="auto"/>
              </w:rPr>
            </w:pPr>
            <w:r>
              <w:rPr>
                <w:rFonts w:hint="eastAsia" w:ascii="Times New Roman" w:hAnsi="Times New Roman" w:cs="Times New Roman"/>
                <w:color w:val="auto"/>
                <w:szCs w:val="21"/>
                <w:u w:val="none" w:color="auto"/>
              </w:rPr>
              <w:t>硫化物</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w:t>
            </w:r>
            <w:r>
              <w:rPr>
                <w:rFonts w:hint="eastAsia" w:ascii="Times New Roman" w:hAnsi="Times New Roman" w:cs="Times New Roman"/>
                <w:color w:val="auto"/>
                <w:szCs w:val="21"/>
                <w:u w:val="none" w:color="auto"/>
              </w:rPr>
              <w:t>0.2</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w:t>
            </w:r>
            <w:r>
              <w:rPr>
                <w:rFonts w:hint="eastAsia" w:ascii="Times New Roman" w:hAnsi="Times New Roman" w:cs="Times New Roman"/>
                <w:color w:val="auto"/>
                <w:szCs w:val="21"/>
                <w:u w:val="none" w:color="auto"/>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r>
              <w:rPr>
                <w:rFonts w:hint="eastAsia" w:ascii="Times New Roman" w:hAnsi="Times New Roman" w:cs="Times New Roman"/>
                <w:color w:val="auto"/>
                <w:szCs w:val="21"/>
                <w:u w:val="none" w:color="auto"/>
              </w:rPr>
              <w:t>24</w:t>
            </w:r>
          </w:p>
        </w:tc>
        <w:tc>
          <w:tcPr>
            <w:tcW w:w="1700" w:type="pct"/>
            <w:tcBorders>
              <w:tl2br w:val="nil"/>
              <w:tr2bl w:val="nil"/>
            </w:tcBorders>
            <w:vAlign w:val="center"/>
          </w:tcPr>
          <w:p>
            <w:pPr>
              <w:jc w:val="center"/>
              <w:rPr>
                <w:color w:val="auto"/>
                <w:szCs w:val="21"/>
                <w:u w:val="none" w:color="auto"/>
              </w:rPr>
            </w:pPr>
            <w:r>
              <w:rPr>
                <w:rFonts w:hint="eastAsia" w:ascii="Times New Roman" w:hAnsi="Times New Roman" w:cs="Times New Roman"/>
                <w:color w:val="auto"/>
                <w:szCs w:val="21"/>
                <w:u w:val="none" w:color="auto"/>
              </w:rPr>
              <w:t>硫酸盐</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w:t>
            </w:r>
            <w:r>
              <w:rPr>
                <w:rFonts w:hint="eastAsia" w:ascii="Times New Roman" w:hAnsi="Times New Roman" w:cs="Times New Roman"/>
                <w:color w:val="auto"/>
                <w:szCs w:val="21"/>
                <w:u w:val="none" w:color="auto"/>
              </w:rPr>
              <w:t>250</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w:t>
            </w:r>
            <w:r>
              <w:rPr>
                <w:rFonts w:hint="eastAsia" w:ascii="Times New Roman" w:hAnsi="Times New Roman" w:cs="Times New Roman"/>
                <w:color w:val="auto"/>
                <w:szCs w:val="21"/>
                <w:u w:val="none" w:color="auto"/>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r>
              <w:rPr>
                <w:rFonts w:hint="eastAsia" w:ascii="Times New Roman" w:hAnsi="Times New Roman" w:cs="Times New Roman"/>
                <w:color w:val="auto"/>
                <w:szCs w:val="21"/>
                <w:u w:val="none" w:color="auto"/>
              </w:rPr>
              <w:t>25</w:t>
            </w:r>
          </w:p>
        </w:tc>
        <w:tc>
          <w:tcPr>
            <w:tcW w:w="1700" w:type="pct"/>
            <w:tcBorders>
              <w:tl2br w:val="nil"/>
              <w:tr2bl w:val="nil"/>
            </w:tcBorders>
            <w:vAlign w:val="center"/>
          </w:tcPr>
          <w:p>
            <w:pPr>
              <w:jc w:val="center"/>
              <w:rPr>
                <w:color w:val="auto"/>
                <w:szCs w:val="21"/>
                <w:u w:val="none" w:color="auto"/>
              </w:rPr>
            </w:pPr>
            <w:r>
              <w:rPr>
                <w:rFonts w:hint="eastAsia" w:ascii="Times New Roman" w:hAnsi="Times New Roman" w:cs="Times New Roman"/>
                <w:color w:val="auto"/>
                <w:szCs w:val="21"/>
                <w:u w:val="none" w:color="auto"/>
              </w:rPr>
              <w:t>氯化物</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w:t>
            </w:r>
            <w:r>
              <w:rPr>
                <w:rFonts w:hint="eastAsia" w:ascii="Times New Roman" w:hAnsi="Times New Roman" w:cs="Times New Roman"/>
                <w:color w:val="auto"/>
                <w:szCs w:val="21"/>
                <w:u w:val="none" w:color="auto"/>
              </w:rPr>
              <w:t>250</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w:t>
            </w:r>
            <w:r>
              <w:rPr>
                <w:rFonts w:hint="eastAsia" w:ascii="Times New Roman" w:hAnsi="Times New Roman" w:cs="Times New Roman"/>
                <w:color w:val="auto"/>
                <w:szCs w:val="21"/>
                <w:u w:val="none" w:color="auto"/>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2" w:type="pct"/>
            <w:tcBorders>
              <w:tl2br w:val="nil"/>
              <w:tr2bl w:val="nil"/>
            </w:tcBorders>
            <w:vAlign w:val="center"/>
          </w:tcPr>
          <w:p>
            <w:pPr>
              <w:jc w:val="center"/>
              <w:rPr>
                <w:color w:val="auto"/>
                <w:szCs w:val="21"/>
                <w:u w:val="none" w:color="auto"/>
              </w:rPr>
            </w:pPr>
            <w:r>
              <w:rPr>
                <w:rFonts w:hint="eastAsia" w:ascii="Times New Roman" w:hAnsi="Times New Roman" w:cs="Times New Roman"/>
                <w:color w:val="auto"/>
                <w:szCs w:val="21"/>
                <w:u w:val="none" w:color="auto"/>
              </w:rPr>
              <w:t>2</w:t>
            </w:r>
            <w:r>
              <w:rPr>
                <w:rFonts w:hint="eastAsia" w:cs="Times New Roman"/>
                <w:color w:val="auto"/>
                <w:szCs w:val="21"/>
                <w:u w:val="none" w:color="auto"/>
              </w:rPr>
              <w:t>6</w:t>
            </w:r>
          </w:p>
        </w:tc>
        <w:tc>
          <w:tcPr>
            <w:tcW w:w="1700" w:type="pct"/>
            <w:tcBorders>
              <w:tl2br w:val="nil"/>
              <w:tr2bl w:val="nil"/>
            </w:tcBorders>
            <w:vAlign w:val="center"/>
          </w:tcPr>
          <w:p>
            <w:pPr>
              <w:jc w:val="center"/>
              <w:rPr>
                <w:color w:val="auto"/>
                <w:szCs w:val="21"/>
                <w:u w:val="none" w:color="auto"/>
              </w:rPr>
            </w:pPr>
            <w:r>
              <w:rPr>
                <w:rFonts w:hint="eastAsia" w:ascii="Times New Roman" w:hAnsi="Times New Roman" w:cs="Times New Roman"/>
                <w:color w:val="auto"/>
                <w:szCs w:val="21"/>
                <w:u w:val="none" w:color="auto"/>
              </w:rPr>
              <w:t>硝酸盐</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w:t>
            </w:r>
            <w:r>
              <w:rPr>
                <w:rFonts w:hint="eastAsia" w:ascii="Times New Roman" w:hAnsi="Times New Roman" w:cs="Times New Roman"/>
                <w:color w:val="auto"/>
                <w:szCs w:val="21"/>
                <w:u w:val="none" w:color="auto"/>
              </w:rPr>
              <w:t>10</w:t>
            </w:r>
          </w:p>
        </w:tc>
        <w:tc>
          <w:tcPr>
            <w:tcW w:w="1403" w:type="pct"/>
            <w:tcBorders>
              <w:tl2br w:val="nil"/>
              <w:tr2bl w:val="nil"/>
            </w:tcBorders>
            <w:vAlign w:val="center"/>
          </w:tcPr>
          <w:p>
            <w:pPr>
              <w:jc w:val="center"/>
              <w:rPr>
                <w:color w:val="auto"/>
                <w:szCs w:val="21"/>
                <w:u w:val="none" w:color="auto"/>
              </w:rPr>
            </w:pPr>
            <w:r>
              <w:rPr>
                <w:rFonts w:ascii="Times New Roman" w:hAnsi="Times New Roman" w:cs="Times New Roman"/>
                <w:color w:val="auto"/>
                <w:szCs w:val="21"/>
                <w:u w:val="none" w:color="auto"/>
              </w:rPr>
              <w:t>≤</w:t>
            </w:r>
            <w:r>
              <w:rPr>
                <w:rFonts w:hint="eastAsia" w:ascii="Times New Roman" w:hAnsi="Times New Roman" w:cs="Times New Roman"/>
                <w:color w:val="auto"/>
                <w:szCs w:val="21"/>
                <w:u w:val="none" w:color="auto"/>
              </w:rPr>
              <w:t>10</w:t>
            </w:r>
          </w:p>
        </w:tc>
      </w:tr>
      <w:bookmarkEnd w:id="116"/>
    </w:tbl>
    <w:p>
      <w:pPr>
        <w:pStyle w:val="2"/>
        <w:autoSpaceDE/>
        <w:autoSpaceDN/>
        <w:adjustRightInd w:val="0"/>
        <w:snapToGrid w:val="0"/>
        <w:spacing w:before="0"/>
        <w:ind w:left="0"/>
        <w:jc w:val="both"/>
        <w:rPr>
          <w:rFonts w:ascii="Times New Roman" w:hAnsi="Times New Roman" w:cs="Times New Roman"/>
          <w:b/>
          <w:sz w:val="8"/>
        </w:rPr>
      </w:pP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w:t>
      </w:r>
      <w:r>
        <w:rPr>
          <w:rFonts w:hint="eastAsia" w:ascii="Times New Roman" w:hAnsi="Times New Roman" w:cs="Times New Roman"/>
        </w:rPr>
        <w:t>3</w:t>
      </w:r>
      <w:r>
        <w:rPr>
          <w:rFonts w:ascii="Times New Roman" w:hAnsi="Times New Roman" w:cs="Times New Roman"/>
        </w:rPr>
        <w:t>）声环境质量标准</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项目区域声环境执行《声环境质量标准》（GB3096-2008）2类标准。声环境质量标准限值详见下表。</w:t>
      </w:r>
    </w:p>
    <w:p>
      <w:pPr>
        <w:autoSpaceDE/>
        <w:autoSpaceDN/>
        <w:adjustRightInd w:val="0"/>
        <w:snapToGrid w:val="0"/>
        <w:jc w:val="center"/>
        <w:rPr>
          <w:rFonts w:ascii="Times New Roman" w:hAnsi="Times New Roman" w:cs="Times New Roman"/>
          <w:b/>
          <w:snapToGrid w:val="0"/>
          <w:sz w:val="24"/>
          <w:szCs w:val="24"/>
        </w:rPr>
      </w:pPr>
      <w:r>
        <w:rPr>
          <w:rFonts w:ascii="Times New Roman" w:hAnsi="Times New Roman" w:cs="Times New Roman"/>
          <w:b/>
          <w:snapToGrid w:val="0"/>
          <w:sz w:val="24"/>
          <w:szCs w:val="24"/>
        </w:rPr>
        <w:t>表2.5-</w:t>
      </w:r>
      <w:r>
        <w:rPr>
          <w:rFonts w:hint="eastAsia" w:ascii="Times New Roman" w:hAnsi="Times New Roman" w:cs="Times New Roman"/>
          <w:b/>
          <w:snapToGrid w:val="0"/>
          <w:sz w:val="24"/>
          <w:szCs w:val="24"/>
          <w:lang w:val="en-US" w:eastAsia="zh-CN"/>
        </w:rPr>
        <w:t>4</w:t>
      </w:r>
      <w:r>
        <w:rPr>
          <w:rFonts w:hint="eastAsia" w:ascii="Times New Roman" w:hAnsi="Times New Roman" w:cs="Times New Roman"/>
          <w:b/>
          <w:snapToGrid w:val="0"/>
          <w:sz w:val="24"/>
          <w:szCs w:val="24"/>
        </w:rPr>
        <w:t xml:space="preserve"> </w:t>
      </w:r>
      <w:r>
        <w:rPr>
          <w:rFonts w:ascii="Times New Roman" w:hAnsi="Times New Roman" w:cs="Times New Roman"/>
          <w:b/>
          <w:snapToGrid w:val="0"/>
          <w:sz w:val="24"/>
          <w:szCs w:val="24"/>
        </w:rPr>
        <w:t xml:space="preserve"> 声环境质量标准（GB3096-2008）（摘录）  单位： dB（A）</w:t>
      </w:r>
    </w:p>
    <w:tbl>
      <w:tblPr>
        <w:tblStyle w:val="8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981"/>
        <w:gridCol w:w="1641"/>
        <w:gridCol w:w="1746"/>
        <w:gridCol w:w="29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188"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类别</w:t>
            </w:r>
          </w:p>
        </w:tc>
        <w:tc>
          <w:tcPr>
            <w:tcW w:w="984"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昼间</w:t>
            </w:r>
          </w:p>
        </w:tc>
        <w:tc>
          <w:tcPr>
            <w:tcW w:w="1047"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夜间</w:t>
            </w:r>
          </w:p>
        </w:tc>
        <w:tc>
          <w:tcPr>
            <w:tcW w:w="1780"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适用区域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188"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2类</w:t>
            </w:r>
          </w:p>
        </w:tc>
        <w:tc>
          <w:tcPr>
            <w:tcW w:w="984"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60</w:t>
            </w:r>
          </w:p>
        </w:tc>
        <w:tc>
          <w:tcPr>
            <w:tcW w:w="1047"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50</w:t>
            </w:r>
          </w:p>
        </w:tc>
        <w:tc>
          <w:tcPr>
            <w:tcW w:w="1780" w:type="pct"/>
            <w:vAlign w:val="center"/>
          </w:tcPr>
          <w:p>
            <w:pPr>
              <w:pStyle w:val="124"/>
              <w:autoSpaceDE/>
              <w:autoSpaceDN/>
              <w:adjustRightInd w:val="0"/>
              <w:snapToGrid w:val="0"/>
              <w:rPr>
                <w:rFonts w:ascii="Times New Roman" w:hAnsi="Times New Roman" w:cs="Times New Roman"/>
                <w:sz w:val="21"/>
              </w:rPr>
            </w:pPr>
            <w:r>
              <w:rPr>
                <w:rFonts w:ascii="Times New Roman" w:hAnsi="Times New Roman" w:cs="Times New Roman"/>
                <w:sz w:val="21"/>
              </w:rPr>
              <w:t>居民区</w:t>
            </w:r>
          </w:p>
        </w:tc>
      </w:tr>
    </w:tbl>
    <w:p>
      <w:pPr>
        <w:autoSpaceDE/>
        <w:autoSpaceDN/>
        <w:adjustRightInd w:val="0"/>
        <w:snapToGrid w:val="0"/>
        <w:spacing w:line="360" w:lineRule="auto"/>
        <w:jc w:val="both"/>
        <w:outlineLvl w:val="2"/>
        <w:rPr>
          <w:rFonts w:ascii="Times New Roman" w:hAnsi="Times New Roman" w:cs="Times New Roman"/>
          <w:b/>
          <w:sz w:val="28"/>
          <w:szCs w:val="24"/>
        </w:rPr>
      </w:pPr>
      <w:bookmarkStart w:id="117" w:name="_Toc69284559"/>
      <w:bookmarkStart w:id="118" w:name="_Toc66206033"/>
      <w:bookmarkStart w:id="119" w:name="_Toc13686"/>
      <w:bookmarkStart w:id="120" w:name="_Toc82593092"/>
      <w:r>
        <w:rPr>
          <w:rFonts w:ascii="Times New Roman" w:hAnsi="Times New Roman" w:cs="Times New Roman"/>
          <w:b/>
          <w:sz w:val="28"/>
          <w:szCs w:val="24"/>
        </w:rPr>
        <w:t>2.5.2污染物排放标准</w:t>
      </w:r>
      <w:bookmarkEnd w:id="117"/>
      <w:bookmarkEnd w:id="118"/>
      <w:bookmarkEnd w:id="119"/>
      <w:bookmarkEnd w:id="120"/>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（1）大气污染物</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S执行《恶臭污染物排放标准》（GB14554-93）中2类标准；其它废气污染物执行《大气污染物综合排放标准》（GB16297-1996）表2中无组织浓度排放限值。具体标准限值详见下表。</w:t>
      </w:r>
    </w:p>
    <w:p>
      <w:pPr>
        <w:pStyle w:val="2"/>
        <w:autoSpaceDE/>
        <w:autoSpaceDN/>
        <w:adjustRightInd w:val="0"/>
        <w:snapToGrid w:val="0"/>
        <w:spacing w:before="0" w:line="360" w:lineRule="auto"/>
        <w:ind w:left="0"/>
        <w:jc w:val="center"/>
        <w:rPr>
          <w:rFonts w:ascii="Times New Roman" w:hAnsi="Times New Roman" w:cs="Times New Roman"/>
          <w:b/>
        </w:rPr>
      </w:pPr>
      <w:r>
        <w:rPr>
          <w:rFonts w:ascii="Times New Roman" w:hAnsi="Times New Roman" w:cs="Times New Roman"/>
          <w:b/>
        </w:rPr>
        <w:t>表2.5-</w:t>
      </w:r>
      <w:r>
        <w:rPr>
          <w:rFonts w:hint="eastAsia" w:ascii="Times New Roman" w:hAnsi="Times New Roman" w:cs="Times New Roman"/>
          <w:b/>
          <w:lang w:val="en-US" w:eastAsia="zh-CN"/>
        </w:rPr>
        <w:t>5</w:t>
      </w:r>
      <w:r>
        <w:rPr>
          <w:rFonts w:ascii="Times New Roman" w:hAnsi="Times New Roman" w:cs="Times New Roman"/>
          <w:b/>
        </w:rPr>
        <w:t xml:space="preserve">  大气污染物综合排放标准（摘录）</w:t>
      </w:r>
    </w:p>
    <w:tbl>
      <w:tblPr>
        <w:tblStyle w:val="90"/>
        <w:tblW w:w="0" w:type="auto"/>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2119"/>
        <w:gridCol w:w="2110"/>
        <w:gridCol w:w="2149"/>
        <w:gridCol w:w="2144"/>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2200" w:type="dxa"/>
            <w:vMerge w:val="restart"/>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污染物</w:t>
            </w:r>
          </w:p>
        </w:tc>
        <w:tc>
          <w:tcPr>
            <w:tcW w:w="4400" w:type="dxa"/>
            <w:gridSpan w:val="2"/>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无组织监控浓度值</w:t>
            </w:r>
          </w:p>
        </w:tc>
        <w:tc>
          <w:tcPr>
            <w:tcW w:w="2200" w:type="dxa"/>
            <w:vMerge w:val="restart"/>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标准来源</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2200" w:type="dxa"/>
            <w:vMerge w:val="continue"/>
            <w:vAlign w:val="center"/>
          </w:tcPr>
          <w:p>
            <w:pPr>
              <w:pStyle w:val="2"/>
              <w:autoSpaceDE/>
              <w:autoSpaceDN/>
              <w:adjustRightInd w:val="0"/>
              <w:snapToGrid w:val="0"/>
              <w:spacing w:before="0"/>
              <w:ind w:left="0"/>
              <w:jc w:val="center"/>
              <w:rPr>
                <w:rFonts w:ascii="Times New Roman" w:hAnsi="Times New Roman" w:cs="Times New Roman"/>
                <w:sz w:val="21"/>
                <w:szCs w:val="21"/>
              </w:rPr>
            </w:pPr>
          </w:p>
        </w:tc>
        <w:tc>
          <w:tcPr>
            <w:tcW w:w="220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监控点</w:t>
            </w:r>
          </w:p>
        </w:tc>
        <w:tc>
          <w:tcPr>
            <w:tcW w:w="220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浓度（mg/m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2200" w:type="dxa"/>
            <w:vMerge w:val="continue"/>
            <w:vAlign w:val="center"/>
          </w:tcPr>
          <w:p>
            <w:pPr>
              <w:pStyle w:val="2"/>
              <w:autoSpaceDE/>
              <w:autoSpaceDN/>
              <w:adjustRightInd w:val="0"/>
              <w:snapToGrid w:val="0"/>
              <w:spacing w:before="0"/>
              <w:ind w:left="0"/>
              <w:jc w:val="center"/>
              <w:rPr>
                <w:rFonts w:ascii="Times New Roman" w:hAnsi="Times New Roman" w:cs="Times New Roman"/>
                <w:sz w:val="21"/>
                <w:szCs w:val="21"/>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220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颗粒物</w:t>
            </w:r>
          </w:p>
        </w:tc>
        <w:tc>
          <w:tcPr>
            <w:tcW w:w="2200" w:type="dxa"/>
            <w:vMerge w:val="restart"/>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周界外浓度最高点</w:t>
            </w:r>
          </w:p>
        </w:tc>
        <w:tc>
          <w:tcPr>
            <w:tcW w:w="220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1.0</w:t>
            </w:r>
          </w:p>
        </w:tc>
        <w:tc>
          <w:tcPr>
            <w:tcW w:w="2200" w:type="dxa"/>
            <w:vMerge w:val="restart"/>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GB16297-1996</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220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NO</w:t>
            </w:r>
            <w:r>
              <w:rPr>
                <w:rFonts w:ascii="Times New Roman" w:hAnsi="Times New Roman" w:cs="Times New Roman"/>
                <w:sz w:val="21"/>
                <w:szCs w:val="21"/>
                <w:vertAlign w:val="subscript"/>
              </w:rPr>
              <w:t>X</w:t>
            </w:r>
          </w:p>
        </w:tc>
        <w:tc>
          <w:tcPr>
            <w:tcW w:w="2200" w:type="dxa"/>
            <w:vMerge w:val="continue"/>
            <w:vAlign w:val="center"/>
          </w:tcPr>
          <w:p>
            <w:pPr>
              <w:pStyle w:val="2"/>
              <w:autoSpaceDE/>
              <w:autoSpaceDN/>
              <w:adjustRightInd w:val="0"/>
              <w:snapToGrid w:val="0"/>
              <w:spacing w:before="0"/>
              <w:ind w:left="0"/>
              <w:jc w:val="center"/>
              <w:rPr>
                <w:rFonts w:ascii="Times New Roman" w:hAnsi="Times New Roman" w:cs="Times New Roman"/>
                <w:sz w:val="21"/>
                <w:szCs w:val="21"/>
              </w:rPr>
            </w:pPr>
          </w:p>
        </w:tc>
        <w:tc>
          <w:tcPr>
            <w:tcW w:w="220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0.12</w:t>
            </w:r>
          </w:p>
        </w:tc>
        <w:tc>
          <w:tcPr>
            <w:tcW w:w="2200" w:type="dxa"/>
            <w:vMerge w:val="continue"/>
            <w:vAlign w:val="center"/>
          </w:tcPr>
          <w:p>
            <w:pPr>
              <w:pStyle w:val="2"/>
              <w:autoSpaceDE/>
              <w:autoSpaceDN/>
              <w:adjustRightInd w:val="0"/>
              <w:snapToGrid w:val="0"/>
              <w:spacing w:before="0"/>
              <w:ind w:left="0"/>
              <w:jc w:val="center"/>
              <w:rPr>
                <w:rFonts w:ascii="Times New Roman" w:hAnsi="Times New Roman" w:cs="Times New Roman"/>
                <w:sz w:val="21"/>
                <w:szCs w:val="21"/>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220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2</w:t>
            </w:r>
          </w:p>
        </w:tc>
        <w:tc>
          <w:tcPr>
            <w:tcW w:w="2200" w:type="dxa"/>
            <w:vMerge w:val="continue"/>
            <w:vAlign w:val="center"/>
          </w:tcPr>
          <w:p>
            <w:pPr>
              <w:pStyle w:val="2"/>
              <w:autoSpaceDE/>
              <w:autoSpaceDN/>
              <w:adjustRightInd w:val="0"/>
              <w:snapToGrid w:val="0"/>
              <w:spacing w:before="0"/>
              <w:ind w:left="0"/>
              <w:jc w:val="center"/>
              <w:rPr>
                <w:rFonts w:ascii="Times New Roman" w:hAnsi="Times New Roman" w:cs="Times New Roman"/>
                <w:sz w:val="21"/>
                <w:szCs w:val="21"/>
              </w:rPr>
            </w:pPr>
          </w:p>
        </w:tc>
        <w:tc>
          <w:tcPr>
            <w:tcW w:w="220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0.4</w:t>
            </w:r>
          </w:p>
        </w:tc>
        <w:tc>
          <w:tcPr>
            <w:tcW w:w="2200" w:type="dxa"/>
            <w:vMerge w:val="continue"/>
            <w:vAlign w:val="center"/>
          </w:tcPr>
          <w:p>
            <w:pPr>
              <w:pStyle w:val="2"/>
              <w:autoSpaceDE/>
              <w:autoSpaceDN/>
              <w:adjustRightInd w:val="0"/>
              <w:snapToGrid w:val="0"/>
              <w:spacing w:before="0"/>
              <w:ind w:left="0"/>
              <w:jc w:val="center"/>
              <w:rPr>
                <w:rFonts w:ascii="Times New Roman" w:hAnsi="Times New Roman" w:cs="Times New Roman"/>
                <w:sz w:val="21"/>
                <w:szCs w:val="21"/>
              </w:rPr>
            </w:pPr>
          </w:p>
        </w:tc>
      </w:tr>
    </w:tbl>
    <w:p>
      <w:pPr>
        <w:pStyle w:val="2"/>
        <w:autoSpaceDE/>
        <w:autoSpaceDN/>
        <w:adjustRightInd w:val="0"/>
        <w:snapToGrid w:val="0"/>
        <w:spacing w:before="0" w:line="360" w:lineRule="auto"/>
        <w:ind w:left="0"/>
        <w:jc w:val="center"/>
        <w:rPr>
          <w:rFonts w:ascii="Times New Roman" w:hAnsi="Times New Roman" w:cs="Times New Roman"/>
          <w:b/>
        </w:rPr>
      </w:pPr>
      <w:r>
        <w:rPr>
          <w:rFonts w:ascii="Times New Roman" w:hAnsi="Times New Roman" w:cs="Times New Roman"/>
          <w:b/>
        </w:rPr>
        <w:t>表2.5-</w:t>
      </w:r>
      <w:r>
        <w:rPr>
          <w:rFonts w:hint="eastAsia" w:ascii="Times New Roman" w:hAnsi="Times New Roman" w:cs="Times New Roman"/>
          <w:b/>
          <w:lang w:val="en-US" w:eastAsia="zh-CN"/>
        </w:rPr>
        <w:t>6</w:t>
      </w:r>
      <w:r>
        <w:rPr>
          <w:rFonts w:hint="eastAsia" w:ascii="Times New Roman" w:hAnsi="Times New Roman" w:cs="Times New Roman"/>
          <w:b/>
        </w:rPr>
        <w:t xml:space="preserve"> </w:t>
      </w:r>
      <w:r>
        <w:rPr>
          <w:rFonts w:ascii="Times New Roman" w:hAnsi="Times New Roman" w:cs="Times New Roman"/>
          <w:b/>
        </w:rPr>
        <w:t xml:space="preserve"> 恶臭污染物排放标准（摘录）</w:t>
      </w:r>
    </w:p>
    <w:tbl>
      <w:tblPr>
        <w:tblStyle w:val="90"/>
        <w:tblW w:w="0" w:type="auto"/>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509"/>
        <w:gridCol w:w="4244"/>
        <w:gridCol w:w="2769"/>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1555"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污染物</w:t>
            </w:r>
          </w:p>
        </w:tc>
        <w:tc>
          <w:tcPr>
            <w:tcW w:w="4394"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恶臭污染物厂界标准值二级标准（mg/m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2851"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标准来源</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1555"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H</w:t>
            </w:r>
            <w:r>
              <w:rPr>
                <w:rFonts w:ascii="Times New Roman" w:hAnsi="Times New Roman" w:cs="Times New Roman"/>
                <w:sz w:val="21"/>
                <w:szCs w:val="21"/>
                <w:vertAlign w:val="subscript"/>
              </w:rPr>
              <w:t>2</w:t>
            </w:r>
            <w:r>
              <w:rPr>
                <w:rFonts w:ascii="Times New Roman" w:hAnsi="Times New Roman" w:cs="Times New Roman"/>
                <w:sz w:val="21"/>
                <w:szCs w:val="21"/>
              </w:rPr>
              <w:t>S</w:t>
            </w:r>
          </w:p>
        </w:tc>
        <w:tc>
          <w:tcPr>
            <w:tcW w:w="4394"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0.06</w:t>
            </w:r>
          </w:p>
        </w:tc>
        <w:tc>
          <w:tcPr>
            <w:tcW w:w="2851" w:type="dxa"/>
            <w:vMerge w:val="restart"/>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GB14554-93《恶臭污染物排放标准》</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1555"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p>
        </w:tc>
        <w:tc>
          <w:tcPr>
            <w:tcW w:w="4394"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1.5</w:t>
            </w:r>
          </w:p>
        </w:tc>
        <w:tc>
          <w:tcPr>
            <w:tcW w:w="2851" w:type="dxa"/>
            <w:vMerge w:val="continue"/>
            <w:vAlign w:val="center"/>
          </w:tcPr>
          <w:p>
            <w:pPr>
              <w:pStyle w:val="2"/>
              <w:autoSpaceDE/>
              <w:autoSpaceDN/>
              <w:adjustRightInd w:val="0"/>
              <w:snapToGrid w:val="0"/>
              <w:spacing w:before="0"/>
              <w:ind w:left="0"/>
              <w:jc w:val="center"/>
              <w:rPr>
                <w:rFonts w:ascii="Times New Roman" w:hAnsi="Times New Roman" w:cs="Times New Roman"/>
                <w:sz w:val="21"/>
                <w:szCs w:val="21"/>
              </w:rPr>
            </w:pPr>
          </w:p>
        </w:tc>
      </w:tr>
    </w:tbl>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（2）废水</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color w:val="auto"/>
          <w:u w:val="none" w:color="auto"/>
        </w:rPr>
        <w:t>本项目为</w:t>
      </w:r>
      <w:r>
        <w:rPr>
          <w:rFonts w:hint="eastAsia"/>
          <w:color w:val="auto"/>
          <w:u w:val="none" w:color="auto"/>
          <w:lang w:eastAsia="zh-CN"/>
        </w:rPr>
        <w:t>河湖整治</w:t>
      </w:r>
      <w:r>
        <w:rPr>
          <w:rFonts w:hint="eastAsia"/>
          <w:color w:val="auto"/>
          <w:u w:val="none" w:color="auto"/>
        </w:rPr>
        <w:t>项目，主要为施工期影响，施工人员产生的生活污水当地依托租用民房化粪池处理；工程施工生产废水经处理后回用</w:t>
      </w:r>
      <w:r>
        <w:rPr>
          <w:rFonts w:hint="eastAsia"/>
          <w:color w:val="auto"/>
          <w:u w:val="none" w:color="auto"/>
          <w:lang w:eastAsia="zh-CN"/>
        </w:rPr>
        <w:t>，无废水外排</w:t>
      </w:r>
      <w:r>
        <w:rPr>
          <w:rFonts w:hint="eastAsia"/>
          <w:color w:val="auto"/>
          <w:u w:val="none" w:color="auto"/>
        </w:rPr>
        <w:t>。</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（3）噪声</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施工期执行《建筑施工场界环境噪声排放标准》（GB12523-2011），本项目属于生态影响型项目，不涉及运营期。</w:t>
      </w:r>
    </w:p>
    <w:p>
      <w:pPr>
        <w:autoSpaceDE/>
        <w:autoSpaceDN/>
        <w:adjustRightInd w:val="0"/>
        <w:snapToGrid w:val="0"/>
        <w:jc w:val="center"/>
        <w:rPr>
          <w:rFonts w:ascii="Times New Roman" w:hAnsi="Times New Roman" w:cs="Times New Roman"/>
          <w:b/>
          <w:snapToGrid w:val="0"/>
          <w:sz w:val="24"/>
          <w:szCs w:val="24"/>
        </w:rPr>
      </w:pPr>
      <w:r>
        <w:rPr>
          <w:rFonts w:ascii="Times New Roman" w:hAnsi="Times New Roman" w:cs="Times New Roman"/>
          <w:b/>
          <w:snapToGrid w:val="0"/>
          <w:sz w:val="24"/>
          <w:szCs w:val="24"/>
        </w:rPr>
        <w:t>表2.5-</w:t>
      </w:r>
      <w:r>
        <w:rPr>
          <w:rFonts w:hint="eastAsia" w:ascii="Times New Roman" w:hAnsi="Times New Roman" w:cs="Times New Roman"/>
          <w:b/>
          <w:snapToGrid w:val="0"/>
          <w:sz w:val="24"/>
          <w:szCs w:val="24"/>
        </w:rPr>
        <w:t>7</w:t>
      </w:r>
      <w:r>
        <w:rPr>
          <w:rFonts w:ascii="Times New Roman" w:hAnsi="Times New Roman" w:cs="Times New Roman"/>
          <w:b/>
          <w:snapToGrid w:val="0"/>
          <w:sz w:val="24"/>
          <w:szCs w:val="24"/>
        </w:rPr>
        <w:t xml:space="preserve"> </w:t>
      </w:r>
      <w:r>
        <w:rPr>
          <w:rFonts w:hint="eastAsia" w:ascii="Times New Roman" w:hAnsi="Times New Roman" w:cs="Times New Roman"/>
          <w:b/>
          <w:snapToGrid w:val="0"/>
          <w:sz w:val="24"/>
          <w:szCs w:val="24"/>
        </w:rPr>
        <w:t xml:space="preserve"> </w:t>
      </w:r>
      <w:r>
        <w:rPr>
          <w:rFonts w:ascii="Times New Roman" w:hAnsi="Times New Roman" w:cs="Times New Roman"/>
          <w:b/>
          <w:snapToGrid w:val="0"/>
          <w:sz w:val="24"/>
          <w:szCs w:val="24"/>
        </w:rPr>
        <w:t>噪声排放标准（摘录）</w:t>
      </w:r>
      <w:r>
        <w:rPr>
          <w:rFonts w:hint="eastAsia" w:ascii="Times New Roman" w:hAnsi="Times New Roman" w:cs="Times New Roman"/>
          <w:b/>
          <w:snapToGrid w:val="0"/>
          <w:sz w:val="24"/>
          <w:szCs w:val="24"/>
        </w:rPr>
        <w:t xml:space="preserve">  </w:t>
      </w:r>
      <w:r>
        <w:rPr>
          <w:rFonts w:ascii="Times New Roman" w:hAnsi="Times New Roman" w:cs="Times New Roman"/>
          <w:b/>
          <w:snapToGrid w:val="0"/>
          <w:sz w:val="24"/>
          <w:szCs w:val="24"/>
        </w:rPr>
        <w:t>单位：dB（A）</w:t>
      </w:r>
    </w:p>
    <w:tbl>
      <w:tblPr>
        <w:tblStyle w:val="89"/>
        <w:tblpPr w:leftFromText="180" w:rightFromText="180" w:vertAnchor="text" w:horzAnchor="margin" w:tblpY="17"/>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5211"/>
        <w:gridCol w:w="1726"/>
        <w:gridCol w:w="13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126" w:type="pct"/>
            <w:vAlign w:val="center"/>
          </w:tcPr>
          <w:p>
            <w:pPr>
              <w:pStyle w:val="124"/>
              <w:autoSpaceDE/>
              <w:autoSpaceDN/>
              <w:adjustRightInd w:val="0"/>
              <w:snapToGrid w:val="0"/>
              <w:rPr>
                <w:rFonts w:ascii="Times New Roman" w:hAnsi="Times New Roman" w:cs="Times New Roman"/>
                <w:sz w:val="21"/>
                <w:szCs w:val="21"/>
              </w:rPr>
            </w:pPr>
            <w:r>
              <w:rPr>
                <w:rFonts w:ascii="Times New Roman" w:hAnsi="Times New Roman" w:cs="Times New Roman"/>
                <w:sz w:val="21"/>
                <w:szCs w:val="21"/>
              </w:rPr>
              <w:t>评价标准</w:t>
            </w:r>
          </w:p>
        </w:tc>
        <w:tc>
          <w:tcPr>
            <w:tcW w:w="1035" w:type="pct"/>
            <w:vAlign w:val="center"/>
          </w:tcPr>
          <w:p>
            <w:pPr>
              <w:pStyle w:val="124"/>
              <w:autoSpaceDE/>
              <w:autoSpaceDN/>
              <w:adjustRightInd w:val="0"/>
              <w:snapToGrid w:val="0"/>
              <w:rPr>
                <w:rFonts w:ascii="Times New Roman" w:hAnsi="Times New Roman" w:cs="Times New Roman"/>
                <w:sz w:val="21"/>
                <w:szCs w:val="21"/>
              </w:rPr>
            </w:pPr>
            <w:r>
              <w:rPr>
                <w:rFonts w:ascii="Times New Roman" w:hAnsi="Times New Roman" w:cs="Times New Roman"/>
                <w:sz w:val="21"/>
                <w:szCs w:val="21"/>
              </w:rPr>
              <w:t>昼间</w:t>
            </w:r>
          </w:p>
        </w:tc>
        <w:tc>
          <w:tcPr>
            <w:tcW w:w="839" w:type="pct"/>
            <w:vAlign w:val="center"/>
          </w:tcPr>
          <w:p>
            <w:pPr>
              <w:pStyle w:val="124"/>
              <w:autoSpaceDE/>
              <w:autoSpaceDN/>
              <w:adjustRightInd w:val="0"/>
              <w:snapToGrid w:val="0"/>
              <w:rPr>
                <w:rFonts w:ascii="Times New Roman" w:hAnsi="Times New Roman" w:cs="Times New Roman"/>
                <w:sz w:val="21"/>
                <w:szCs w:val="21"/>
              </w:rPr>
            </w:pPr>
            <w:r>
              <w:rPr>
                <w:rFonts w:ascii="Times New Roman" w:hAnsi="Times New Roman" w:cs="Times New Roman"/>
                <w:sz w:val="21"/>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126" w:type="pct"/>
            <w:vAlign w:val="center"/>
          </w:tcPr>
          <w:p>
            <w:pPr>
              <w:pStyle w:val="124"/>
              <w:autoSpaceDE/>
              <w:autoSpaceDN/>
              <w:adjustRightInd w:val="0"/>
              <w:snapToGrid w:val="0"/>
              <w:rPr>
                <w:rFonts w:ascii="Times New Roman" w:hAnsi="Times New Roman" w:cs="Times New Roman"/>
                <w:sz w:val="21"/>
                <w:szCs w:val="21"/>
              </w:rPr>
            </w:pPr>
            <w:r>
              <w:rPr>
                <w:rFonts w:ascii="Times New Roman" w:hAnsi="Times New Roman" w:cs="Times New Roman"/>
                <w:sz w:val="21"/>
                <w:szCs w:val="21"/>
              </w:rPr>
              <w:t>《建筑施工场界环境噪声排放标准》（GB12523-2011）</w:t>
            </w:r>
          </w:p>
        </w:tc>
        <w:tc>
          <w:tcPr>
            <w:tcW w:w="1035" w:type="pct"/>
            <w:vAlign w:val="center"/>
          </w:tcPr>
          <w:p>
            <w:pPr>
              <w:pStyle w:val="124"/>
              <w:autoSpaceDE/>
              <w:autoSpaceDN/>
              <w:adjustRightInd w:val="0"/>
              <w:snapToGrid w:val="0"/>
              <w:rPr>
                <w:rFonts w:ascii="Times New Roman" w:hAnsi="Times New Roman" w:cs="Times New Roman"/>
                <w:sz w:val="21"/>
                <w:szCs w:val="21"/>
              </w:rPr>
            </w:pPr>
            <w:r>
              <w:rPr>
                <w:rFonts w:ascii="Times New Roman" w:hAnsi="Times New Roman" w:cs="Times New Roman"/>
                <w:sz w:val="21"/>
                <w:szCs w:val="21"/>
              </w:rPr>
              <w:t>70</w:t>
            </w:r>
          </w:p>
        </w:tc>
        <w:tc>
          <w:tcPr>
            <w:tcW w:w="839" w:type="pct"/>
            <w:vAlign w:val="center"/>
          </w:tcPr>
          <w:p>
            <w:pPr>
              <w:pStyle w:val="124"/>
              <w:autoSpaceDE/>
              <w:autoSpaceDN/>
              <w:adjustRightInd w:val="0"/>
              <w:snapToGrid w:val="0"/>
              <w:rPr>
                <w:rFonts w:ascii="Times New Roman" w:hAnsi="Times New Roman" w:cs="Times New Roman"/>
                <w:sz w:val="21"/>
                <w:szCs w:val="21"/>
              </w:rPr>
            </w:pPr>
            <w:r>
              <w:rPr>
                <w:rFonts w:ascii="Times New Roman" w:hAnsi="Times New Roman" w:cs="Times New Roman"/>
                <w:sz w:val="21"/>
                <w:szCs w:val="21"/>
              </w:rPr>
              <w:t>55</w:t>
            </w:r>
          </w:p>
        </w:tc>
      </w:tr>
    </w:tbl>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（4）固体废物</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生活垃圾执行《生活垃圾填埋场污染控制标准》（GB16889-2008）；其他一般固废执行《一般工业固体废物贮存和填埋污染控制标准》（GB 18599-2020）。</w:t>
      </w:r>
    </w:p>
    <w:p>
      <w:pPr>
        <w:pStyle w:val="123"/>
        <w:tabs>
          <w:tab w:val="left" w:pos="692"/>
        </w:tabs>
        <w:autoSpaceDE/>
        <w:autoSpaceDN/>
        <w:adjustRightInd w:val="0"/>
        <w:snapToGrid w:val="0"/>
        <w:spacing w:before="0" w:line="360" w:lineRule="auto"/>
        <w:ind w:left="0" w:firstLine="0"/>
        <w:jc w:val="both"/>
        <w:outlineLvl w:val="1"/>
        <w:rPr>
          <w:rFonts w:ascii="Times New Roman" w:hAnsi="Times New Roman" w:cs="Times New Roman"/>
          <w:b/>
          <w:sz w:val="30"/>
        </w:rPr>
      </w:pPr>
      <w:bookmarkStart w:id="121" w:name="_bookmark14"/>
      <w:bookmarkEnd w:id="121"/>
      <w:bookmarkStart w:id="122" w:name="_bookmark15"/>
      <w:bookmarkEnd w:id="122"/>
      <w:bookmarkStart w:id="123" w:name="_Toc2775"/>
      <w:r>
        <w:rPr>
          <w:rFonts w:ascii="Times New Roman" w:hAnsi="Times New Roman" w:cs="Times New Roman"/>
          <w:b/>
          <w:sz w:val="30"/>
        </w:rPr>
        <w:t>2.6环境保护目标</w:t>
      </w:r>
      <w:bookmarkEnd w:id="123"/>
    </w:p>
    <w:p>
      <w:pPr>
        <w:pStyle w:val="2"/>
        <w:autoSpaceDE/>
        <w:autoSpaceDN/>
        <w:adjustRightInd w:val="0"/>
        <w:snapToGrid w:val="0"/>
        <w:spacing w:before="0" w:line="360" w:lineRule="auto"/>
        <w:ind w:left="0" w:firstLine="480" w:firstLineChars="200"/>
        <w:jc w:val="both"/>
        <w:rPr>
          <w:rFonts w:ascii="Times New Roman" w:hAnsi="Times New Roman" w:cs="Times New Roman"/>
          <w:color w:val="auto"/>
        </w:rPr>
      </w:pPr>
      <w:r>
        <w:rPr>
          <w:rFonts w:ascii="Times New Roman" w:hAnsi="Times New Roman" w:cs="Times New Roman"/>
          <w:snapToGrid w:val="0"/>
          <w:color w:val="auto"/>
          <w:lang w:bidi="ar"/>
        </w:rPr>
        <w:t>本项目大气评价</w:t>
      </w:r>
      <w:r>
        <w:rPr>
          <w:rFonts w:hint="eastAsia" w:ascii="Times New Roman" w:hAnsi="Times New Roman" w:cs="Times New Roman"/>
          <w:snapToGrid w:val="0"/>
          <w:color w:val="auto"/>
          <w:lang w:val="en-US" w:eastAsia="zh-CN" w:bidi="ar"/>
        </w:rPr>
        <w:t>及</w:t>
      </w:r>
      <w:r>
        <w:rPr>
          <w:rFonts w:ascii="Times New Roman" w:hAnsi="Times New Roman" w:cs="Times New Roman"/>
          <w:snapToGrid w:val="0"/>
          <w:color w:val="auto"/>
          <w:lang w:bidi="ar"/>
        </w:rPr>
        <w:t>声环境影响评价保护范围为工程周边</w:t>
      </w:r>
      <w:r>
        <w:rPr>
          <w:rFonts w:hint="eastAsia" w:ascii="Times New Roman" w:hAnsi="Times New Roman" w:cs="Times New Roman"/>
          <w:snapToGrid w:val="0"/>
          <w:color w:val="auto"/>
          <w:lang w:val="en-US" w:eastAsia="zh-CN" w:bidi="ar"/>
        </w:rPr>
        <w:t>及弃取土运输线路</w:t>
      </w:r>
      <w:r>
        <w:rPr>
          <w:rFonts w:ascii="Times New Roman" w:hAnsi="Times New Roman" w:cs="Times New Roman"/>
          <w:snapToGrid w:val="0"/>
          <w:color w:val="auto"/>
          <w:lang w:bidi="ar"/>
        </w:rPr>
        <w:t>200m范围；</w:t>
      </w:r>
      <w:r>
        <w:rPr>
          <w:rFonts w:ascii="Times New Roman" w:hAnsi="Times New Roman" w:cs="Times New Roman"/>
          <w:color w:val="auto"/>
        </w:rPr>
        <w:t>主要环境保护目标</w:t>
      </w:r>
      <w:r>
        <w:rPr>
          <w:rFonts w:ascii="Times New Roman" w:hAnsi="Times New Roman" w:cs="Times New Roman"/>
          <w:snapToGrid w:val="0"/>
          <w:color w:val="auto"/>
        </w:rPr>
        <w:t>是</w:t>
      </w:r>
      <w:r>
        <w:rPr>
          <w:rFonts w:hint="eastAsia" w:ascii="Times New Roman" w:hAnsi="Times New Roman" w:cs="Times New Roman"/>
          <w:snapToGrid w:val="0"/>
          <w:color w:val="auto"/>
          <w:lang w:eastAsia="zh-CN"/>
        </w:rPr>
        <w:t>祁水项目</w:t>
      </w:r>
      <w:r>
        <w:rPr>
          <w:rFonts w:ascii="Times New Roman" w:hAnsi="Times New Roman" w:cs="Times New Roman"/>
          <w:snapToGrid w:val="0"/>
          <w:color w:val="auto"/>
        </w:rPr>
        <w:t>沿线的</w:t>
      </w:r>
      <w:r>
        <w:rPr>
          <w:rFonts w:hint="eastAsia" w:ascii="Times New Roman" w:hAnsi="Times New Roman" w:cs="Times New Roman"/>
          <w:snapToGrid w:val="0"/>
          <w:color w:val="auto"/>
          <w:lang w:eastAsia="zh-CN"/>
        </w:rPr>
        <w:t>居民</w:t>
      </w:r>
      <w:r>
        <w:rPr>
          <w:rFonts w:ascii="Times New Roman" w:hAnsi="Times New Roman" w:cs="Times New Roman"/>
          <w:snapToGrid w:val="0"/>
          <w:color w:val="auto"/>
        </w:rPr>
        <w:t>，</w:t>
      </w:r>
      <w:r>
        <w:rPr>
          <w:rFonts w:ascii="Times New Roman" w:hAnsi="Times New Roman" w:cs="Times New Roman"/>
          <w:color w:val="auto"/>
        </w:rPr>
        <w:t>主要环境保护目标如下表所示。</w:t>
      </w:r>
    </w:p>
    <w:p>
      <w:pPr>
        <w:autoSpaceDE/>
        <w:autoSpaceDN/>
        <w:adjustRightInd w:val="0"/>
        <w:snapToGrid w:val="0"/>
        <w:jc w:val="center"/>
        <w:rPr>
          <w:rFonts w:ascii="Times New Roman" w:hAnsi="Times New Roman" w:cs="Times New Roman"/>
          <w:b/>
          <w:snapToGrid w:val="0"/>
          <w:color w:val="auto"/>
          <w:sz w:val="24"/>
          <w:szCs w:val="24"/>
          <w:u w:val="none"/>
        </w:rPr>
      </w:pPr>
      <w:r>
        <w:rPr>
          <w:rFonts w:ascii="Times New Roman" w:hAnsi="Times New Roman" w:cs="Times New Roman"/>
          <w:b/>
          <w:snapToGrid w:val="0"/>
          <w:color w:val="auto"/>
          <w:sz w:val="24"/>
          <w:szCs w:val="24"/>
          <w:u w:val="none"/>
        </w:rPr>
        <w:t>表 2.</w:t>
      </w:r>
      <w:r>
        <w:rPr>
          <w:rFonts w:ascii="Times New Roman" w:hAnsi="Times New Roman" w:cs="Times New Roman"/>
          <w:b/>
          <w:snapToGrid w:val="0"/>
          <w:color w:val="auto"/>
          <w:sz w:val="24"/>
          <w:szCs w:val="24"/>
          <w:u w:val="none"/>
          <w:lang w:val="en-US"/>
        </w:rPr>
        <w:t>6</w:t>
      </w:r>
      <w:r>
        <w:rPr>
          <w:rFonts w:ascii="Times New Roman" w:hAnsi="Times New Roman" w:cs="Times New Roman"/>
          <w:b/>
          <w:snapToGrid w:val="0"/>
          <w:color w:val="auto"/>
          <w:sz w:val="24"/>
          <w:szCs w:val="24"/>
          <w:u w:val="none"/>
        </w:rPr>
        <w:t>-1  项目</w:t>
      </w:r>
      <w:r>
        <w:rPr>
          <w:rFonts w:hint="eastAsia" w:ascii="Times New Roman" w:hAnsi="Times New Roman" w:cs="Times New Roman"/>
          <w:b/>
          <w:snapToGrid w:val="0"/>
          <w:color w:val="auto"/>
          <w:sz w:val="24"/>
          <w:szCs w:val="24"/>
          <w:u w:val="none"/>
          <w:lang w:val="en-US" w:eastAsia="zh-CN"/>
        </w:rPr>
        <w:t>大气环境及</w:t>
      </w:r>
      <w:r>
        <w:rPr>
          <w:rFonts w:ascii="Times New Roman" w:hAnsi="Times New Roman" w:cs="Times New Roman"/>
          <w:b/>
          <w:snapToGrid w:val="0"/>
          <w:color w:val="auto"/>
          <w:sz w:val="24"/>
          <w:szCs w:val="24"/>
          <w:u w:val="none"/>
        </w:rPr>
        <w:t>声环境保护目标一览表</w:t>
      </w:r>
    </w:p>
    <w:p>
      <w:pPr>
        <w:pStyle w:val="2"/>
        <w:autoSpaceDE/>
        <w:autoSpaceDN/>
        <w:adjustRightInd w:val="0"/>
        <w:snapToGrid w:val="0"/>
        <w:spacing w:before="0" w:line="360" w:lineRule="auto"/>
        <w:ind w:left="0"/>
        <w:jc w:val="center"/>
        <w:rPr>
          <w:rFonts w:ascii="Times New Roman" w:hAnsi="Times New Roman" w:cs="Times New Roman"/>
          <w:b/>
          <w:snapToGrid w:val="0"/>
          <w:color w:val="auto"/>
          <w:u w:val="none"/>
          <w:lang w:bidi="ar"/>
        </w:rPr>
      </w:pPr>
      <w:r>
        <w:rPr>
          <w:rFonts w:ascii="Times New Roman" w:hAnsi="Times New Roman" w:cs="Times New Roman"/>
          <w:b/>
          <w:snapToGrid w:val="0"/>
          <w:color w:val="auto"/>
          <w:u w:val="none"/>
          <w:lang w:bidi="ar"/>
        </w:rPr>
        <w:t>表2.6-2  地表水环境保护目标一览表</w:t>
      </w:r>
    </w:p>
    <w:p>
      <w:pPr>
        <w:pStyle w:val="2"/>
        <w:autoSpaceDE/>
        <w:autoSpaceDN/>
        <w:adjustRightInd w:val="0"/>
        <w:snapToGrid w:val="0"/>
        <w:spacing w:before="0" w:line="360" w:lineRule="auto"/>
        <w:ind w:left="0"/>
        <w:jc w:val="center"/>
        <w:rPr>
          <w:rFonts w:ascii="Times New Roman" w:hAnsi="Times New Roman" w:cs="Times New Roman"/>
          <w:b/>
          <w:snapToGrid w:val="0"/>
          <w:color w:val="auto"/>
          <w:u w:val="none"/>
          <w:lang w:bidi="ar"/>
        </w:rPr>
      </w:pPr>
      <w:r>
        <w:rPr>
          <w:rFonts w:ascii="Times New Roman" w:hAnsi="Times New Roman" w:cs="Times New Roman"/>
          <w:b/>
          <w:snapToGrid w:val="0"/>
          <w:color w:val="auto"/>
          <w:u w:val="none"/>
          <w:lang w:bidi="ar"/>
        </w:rPr>
        <w:t xml:space="preserve">表2.6-3 </w:t>
      </w:r>
      <w:r>
        <w:rPr>
          <w:rFonts w:hint="eastAsia" w:ascii="Times New Roman" w:hAnsi="Times New Roman" w:cs="Times New Roman"/>
          <w:b/>
          <w:snapToGrid w:val="0"/>
          <w:color w:val="auto"/>
          <w:u w:val="none"/>
          <w:lang w:bidi="ar"/>
        </w:rPr>
        <w:t xml:space="preserve"> </w:t>
      </w:r>
      <w:r>
        <w:rPr>
          <w:rFonts w:ascii="Times New Roman" w:hAnsi="Times New Roman" w:cs="Times New Roman"/>
          <w:b/>
          <w:snapToGrid w:val="0"/>
          <w:color w:val="auto"/>
          <w:u w:val="none"/>
          <w:lang w:bidi="ar"/>
        </w:rPr>
        <w:t>生态环境保护目标一览表</w:t>
      </w:r>
    </w:p>
    <w:tbl>
      <w:tblPr>
        <w:tblStyle w:val="90"/>
        <w:tblW w:w="5296" w:type="pct"/>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2423"/>
        <w:gridCol w:w="1785"/>
        <w:gridCol w:w="2881"/>
        <w:gridCol w:w="1938"/>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jc w:val="center"/>
        </w:trPr>
        <w:tc>
          <w:tcPr>
            <w:tcW w:w="1342" w:type="pct"/>
            <w:vAlign w:val="center"/>
          </w:tcPr>
          <w:p>
            <w:pPr>
              <w:pStyle w:val="2"/>
              <w:autoSpaceDE/>
              <w:autoSpaceDN/>
              <w:adjustRightInd w:val="0"/>
              <w:snapToGrid w:val="0"/>
              <w:spacing w:before="0"/>
              <w:ind w:left="0"/>
              <w:jc w:val="center"/>
              <w:rPr>
                <w:rFonts w:ascii="Times New Roman" w:hAnsi="Times New Roman" w:cs="Times New Roman"/>
                <w:snapToGrid w:val="0"/>
                <w:color w:val="auto"/>
                <w:sz w:val="21"/>
                <w:u w:val="none"/>
                <w:lang w:bidi="ar"/>
              </w:rPr>
            </w:pPr>
            <w:r>
              <w:rPr>
                <w:rFonts w:ascii="Times New Roman" w:hAnsi="Times New Roman" w:cs="Times New Roman"/>
                <w:snapToGrid w:val="0"/>
                <w:color w:val="auto"/>
                <w:sz w:val="21"/>
                <w:u w:val="none"/>
                <w:lang w:bidi="ar"/>
              </w:rPr>
              <w:t>目标名称</w:t>
            </w:r>
          </w:p>
        </w:tc>
        <w:tc>
          <w:tcPr>
            <w:tcW w:w="988" w:type="pct"/>
            <w:vAlign w:val="center"/>
          </w:tcPr>
          <w:p>
            <w:pPr>
              <w:pStyle w:val="2"/>
              <w:autoSpaceDE/>
              <w:autoSpaceDN/>
              <w:adjustRightInd w:val="0"/>
              <w:snapToGrid w:val="0"/>
              <w:spacing w:before="0"/>
              <w:ind w:left="0"/>
              <w:jc w:val="center"/>
              <w:rPr>
                <w:rFonts w:ascii="Times New Roman" w:hAnsi="Times New Roman" w:cs="Times New Roman"/>
                <w:snapToGrid w:val="0"/>
                <w:color w:val="auto"/>
                <w:sz w:val="21"/>
                <w:u w:val="none"/>
                <w:lang w:bidi="ar"/>
              </w:rPr>
            </w:pPr>
            <w:r>
              <w:rPr>
                <w:rFonts w:ascii="Times New Roman" w:hAnsi="Times New Roman" w:cs="Times New Roman"/>
                <w:snapToGrid w:val="0"/>
                <w:color w:val="auto"/>
                <w:sz w:val="21"/>
                <w:u w:val="none"/>
                <w:lang w:bidi="ar"/>
              </w:rPr>
              <w:t>最近相对位置</w:t>
            </w:r>
          </w:p>
        </w:tc>
        <w:tc>
          <w:tcPr>
            <w:tcW w:w="1595" w:type="pct"/>
            <w:vAlign w:val="center"/>
          </w:tcPr>
          <w:p>
            <w:pPr>
              <w:pStyle w:val="2"/>
              <w:autoSpaceDE/>
              <w:autoSpaceDN/>
              <w:adjustRightInd w:val="0"/>
              <w:snapToGrid w:val="0"/>
              <w:spacing w:before="0"/>
              <w:ind w:left="0"/>
              <w:jc w:val="center"/>
              <w:rPr>
                <w:rFonts w:ascii="Times New Roman" w:hAnsi="Times New Roman" w:cs="Times New Roman"/>
                <w:snapToGrid w:val="0"/>
                <w:color w:val="auto"/>
                <w:sz w:val="21"/>
                <w:u w:val="none"/>
                <w:lang w:bidi="ar"/>
              </w:rPr>
            </w:pPr>
            <w:r>
              <w:rPr>
                <w:rFonts w:ascii="Times New Roman" w:hAnsi="Times New Roman" w:cs="Times New Roman"/>
                <w:snapToGrid w:val="0"/>
                <w:color w:val="auto"/>
                <w:sz w:val="21"/>
                <w:u w:val="none"/>
                <w:lang w:bidi="ar"/>
              </w:rPr>
              <w:t>规模、特征</w:t>
            </w:r>
          </w:p>
        </w:tc>
        <w:tc>
          <w:tcPr>
            <w:tcW w:w="1073" w:type="pct"/>
            <w:vAlign w:val="center"/>
          </w:tcPr>
          <w:p>
            <w:pPr>
              <w:pStyle w:val="2"/>
              <w:autoSpaceDE/>
              <w:autoSpaceDN/>
              <w:adjustRightInd w:val="0"/>
              <w:snapToGrid w:val="0"/>
              <w:spacing w:before="0"/>
              <w:ind w:left="0"/>
              <w:jc w:val="center"/>
              <w:rPr>
                <w:rFonts w:ascii="Times New Roman" w:hAnsi="Times New Roman" w:cs="Times New Roman"/>
                <w:snapToGrid w:val="0"/>
                <w:color w:val="auto"/>
                <w:sz w:val="21"/>
                <w:u w:val="none"/>
                <w:lang w:bidi="ar"/>
              </w:rPr>
            </w:pPr>
            <w:r>
              <w:rPr>
                <w:rFonts w:ascii="Times New Roman" w:hAnsi="Times New Roman" w:cs="Times New Roman"/>
                <w:snapToGrid w:val="0"/>
                <w:color w:val="auto"/>
                <w:sz w:val="21"/>
                <w:u w:val="none"/>
                <w:lang w:bidi="ar"/>
              </w:rPr>
              <w:t>保护内容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jc w:val="center"/>
        </w:trPr>
        <w:tc>
          <w:tcPr>
            <w:tcW w:w="1342" w:type="pct"/>
            <w:vAlign w:val="center"/>
          </w:tcPr>
          <w:p>
            <w:pPr>
              <w:pStyle w:val="2"/>
              <w:autoSpaceDE/>
              <w:autoSpaceDN/>
              <w:adjustRightInd w:val="0"/>
              <w:snapToGrid w:val="0"/>
              <w:spacing w:before="0"/>
              <w:ind w:left="0"/>
              <w:jc w:val="center"/>
              <w:rPr>
                <w:rFonts w:ascii="Times New Roman" w:hAnsi="Times New Roman" w:cs="Times New Roman"/>
                <w:snapToGrid w:val="0"/>
                <w:color w:val="auto"/>
                <w:sz w:val="21"/>
                <w:u w:val="none"/>
                <w:lang w:bidi="ar"/>
              </w:rPr>
            </w:pPr>
            <w:r>
              <w:rPr>
                <w:rFonts w:ascii="Times New Roman" w:hAnsi="Times New Roman" w:cs="Times New Roman"/>
                <w:snapToGrid w:val="0"/>
                <w:color w:val="auto"/>
                <w:sz w:val="21"/>
                <w:u w:val="none"/>
                <w:lang w:bidi="ar"/>
              </w:rPr>
              <w:t>动植物资源、绿地</w:t>
            </w:r>
          </w:p>
        </w:tc>
        <w:tc>
          <w:tcPr>
            <w:tcW w:w="988" w:type="pct"/>
            <w:vAlign w:val="center"/>
          </w:tcPr>
          <w:p>
            <w:pPr>
              <w:pStyle w:val="2"/>
              <w:autoSpaceDE/>
              <w:autoSpaceDN/>
              <w:adjustRightInd w:val="0"/>
              <w:snapToGrid w:val="0"/>
              <w:spacing w:before="0"/>
              <w:ind w:left="0"/>
              <w:jc w:val="center"/>
              <w:rPr>
                <w:rFonts w:ascii="Times New Roman" w:hAnsi="Times New Roman" w:cs="Times New Roman"/>
                <w:snapToGrid w:val="0"/>
                <w:color w:val="auto"/>
                <w:sz w:val="21"/>
                <w:u w:val="none"/>
                <w:lang w:bidi="ar"/>
              </w:rPr>
            </w:pPr>
            <w:r>
              <w:rPr>
                <w:rFonts w:ascii="Times New Roman" w:hAnsi="Times New Roman" w:cs="Times New Roman"/>
                <w:snapToGrid w:val="0"/>
                <w:color w:val="auto"/>
                <w:sz w:val="21"/>
                <w:u w:val="none"/>
                <w:lang w:bidi="ar"/>
              </w:rPr>
              <w:t>施工区 200m 范围内</w:t>
            </w:r>
          </w:p>
        </w:tc>
        <w:tc>
          <w:tcPr>
            <w:tcW w:w="1595" w:type="pct"/>
            <w:vAlign w:val="center"/>
          </w:tcPr>
          <w:p>
            <w:pPr>
              <w:pStyle w:val="2"/>
              <w:autoSpaceDE/>
              <w:autoSpaceDN/>
              <w:adjustRightInd w:val="0"/>
              <w:snapToGrid w:val="0"/>
              <w:spacing w:before="0"/>
              <w:ind w:left="0"/>
              <w:jc w:val="center"/>
              <w:rPr>
                <w:rFonts w:ascii="Times New Roman" w:hAnsi="Times New Roman" w:cs="Times New Roman"/>
                <w:snapToGrid w:val="0"/>
                <w:color w:val="auto"/>
                <w:sz w:val="21"/>
                <w:u w:val="none"/>
                <w:lang w:bidi="ar"/>
              </w:rPr>
            </w:pPr>
            <w:r>
              <w:rPr>
                <w:rFonts w:ascii="Times New Roman" w:hAnsi="Times New Roman" w:cs="Times New Roman"/>
                <w:snapToGrid w:val="0"/>
                <w:color w:val="auto"/>
                <w:sz w:val="21"/>
                <w:u w:val="none"/>
                <w:lang w:bidi="ar"/>
              </w:rPr>
              <w:t>主要植被为杂木、柳树等，主要动物有鸟类、蛇类、鼠类等。</w:t>
            </w:r>
          </w:p>
        </w:tc>
        <w:tc>
          <w:tcPr>
            <w:tcW w:w="1073" w:type="pct"/>
            <w:vAlign w:val="center"/>
          </w:tcPr>
          <w:p>
            <w:pPr>
              <w:pStyle w:val="2"/>
              <w:autoSpaceDE/>
              <w:autoSpaceDN/>
              <w:adjustRightInd w:val="0"/>
              <w:snapToGrid w:val="0"/>
              <w:spacing w:before="0"/>
              <w:ind w:left="0"/>
              <w:jc w:val="center"/>
              <w:rPr>
                <w:rFonts w:ascii="Times New Roman" w:hAnsi="Times New Roman" w:cs="Times New Roman"/>
                <w:snapToGrid w:val="0"/>
                <w:color w:val="auto"/>
                <w:sz w:val="21"/>
                <w:u w:val="none"/>
                <w:lang w:bidi="ar"/>
              </w:rPr>
            </w:pPr>
            <w:r>
              <w:rPr>
                <w:rFonts w:ascii="Times New Roman" w:hAnsi="Times New Roman" w:cs="Times New Roman"/>
                <w:snapToGrid w:val="0"/>
                <w:color w:val="auto"/>
                <w:sz w:val="21"/>
                <w:u w:val="none"/>
                <w:lang w:bidi="ar"/>
              </w:rPr>
              <w:t>减少对动植物资源的占用</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jc w:val="center"/>
        </w:trPr>
        <w:tc>
          <w:tcPr>
            <w:tcW w:w="1342" w:type="pct"/>
            <w:vAlign w:val="center"/>
          </w:tcPr>
          <w:p>
            <w:pPr>
              <w:pStyle w:val="2"/>
              <w:autoSpaceDE/>
              <w:autoSpaceDN/>
              <w:adjustRightInd w:val="0"/>
              <w:snapToGrid w:val="0"/>
              <w:spacing w:before="0"/>
              <w:ind w:left="0"/>
              <w:jc w:val="center"/>
              <w:rPr>
                <w:rFonts w:hint="default" w:ascii="Times New Roman" w:hAnsi="Times New Roman" w:eastAsia="宋体" w:cs="Times New Roman"/>
                <w:snapToGrid w:val="0"/>
                <w:color w:val="auto"/>
                <w:sz w:val="21"/>
                <w:u w:val="single"/>
                <w:lang w:val="en-US" w:eastAsia="zh-CN" w:bidi="ar"/>
              </w:rPr>
            </w:pPr>
            <w:r>
              <w:rPr>
                <w:rFonts w:hint="eastAsia" w:ascii="Times New Roman" w:hAnsi="Times New Roman" w:cs="Times New Roman"/>
                <w:snapToGrid w:val="0"/>
                <w:color w:val="auto"/>
                <w:sz w:val="21"/>
                <w:u w:val="single"/>
                <w:lang w:val="en-US" w:eastAsia="zh-CN" w:bidi="ar"/>
              </w:rPr>
              <w:t>水生生态</w:t>
            </w:r>
          </w:p>
        </w:tc>
        <w:tc>
          <w:tcPr>
            <w:tcW w:w="988" w:type="pct"/>
            <w:vAlign w:val="center"/>
          </w:tcPr>
          <w:p>
            <w:pPr>
              <w:pStyle w:val="2"/>
              <w:autoSpaceDE/>
              <w:autoSpaceDN/>
              <w:adjustRightInd w:val="0"/>
              <w:snapToGrid w:val="0"/>
              <w:spacing w:before="0"/>
              <w:ind w:left="0"/>
              <w:jc w:val="center"/>
              <w:rPr>
                <w:rFonts w:ascii="Times New Roman" w:hAnsi="Times New Roman" w:cs="Times New Roman"/>
                <w:snapToGrid w:val="0"/>
                <w:color w:val="auto"/>
                <w:sz w:val="21"/>
                <w:u w:val="single"/>
                <w:lang w:bidi="ar"/>
              </w:rPr>
            </w:pPr>
            <w:r>
              <w:rPr>
                <w:rFonts w:hint="eastAsia" w:ascii="Times New Roman" w:hAnsi="Times New Roman" w:cs="Times New Roman"/>
                <w:snapToGrid w:val="0"/>
                <w:color w:val="auto"/>
                <w:sz w:val="21"/>
                <w:u w:val="single"/>
                <w:lang w:eastAsia="zh-CN" w:bidi="ar"/>
              </w:rPr>
              <w:t>祁水</w:t>
            </w:r>
            <w:r>
              <w:rPr>
                <w:rFonts w:hint="eastAsia" w:ascii="Times New Roman" w:hAnsi="Times New Roman" w:cs="Times New Roman"/>
                <w:snapToGrid w:val="0"/>
                <w:color w:val="auto"/>
                <w:sz w:val="21"/>
                <w:u w:val="single"/>
                <w:lang w:bidi="ar"/>
              </w:rPr>
              <w:t>杨泗寺桥至汇入渌水段</w:t>
            </w:r>
          </w:p>
        </w:tc>
        <w:tc>
          <w:tcPr>
            <w:tcW w:w="1595" w:type="pct"/>
            <w:vAlign w:val="center"/>
          </w:tcPr>
          <w:p>
            <w:pPr>
              <w:pStyle w:val="2"/>
              <w:autoSpaceDE/>
              <w:autoSpaceDN/>
              <w:adjustRightInd w:val="0"/>
              <w:snapToGrid w:val="0"/>
              <w:spacing w:before="0"/>
              <w:ind w:left="0"/>
              <w:jc w:val="center"/>
              <w:rPr>
                <w:rFonts w:hint="default" w:ascii="Times New Roman" w:hAnsi="Times New Roman" w:eastAsia="宋体" w:cs="Times New Roman"/>
                <w:snapToGrid w:val="0"/>
                <w:color w:val="auto"/>
                <w:sz w:val="21"/>
                <w:u w:val="single"/>
                <w:lang w:val="en-US" w:eastAsia="zh-CN" w:bidi="ar"/>
              </w:rPr>
            </w:pPr>
            <w:r>
              <w:rPr>
                <w:rFonts w:hint="eastAsia" w:ascii="Times New Roman" w:hAnsi="Times New Roman" w:cs="Times New Roman"/>
                <w:snapToGrid w:val="0"/>
                <w:color w:val="auto"/>
                <w:sz w:val="21"/>
                <w:u w:val="single"/>
                <w:lang w:val="en-US" w:eastAsia="zh-CN" w:bidi="ar"/>
              </w:rPr>
              <w:t>鱼类、水生植物、浮游生物、底栖动植物等</w:t>
            </w:r>
          </w:p>
        </w:tc>
        <w:tc>
          <w:tcPr>
            <w:tcW w:w="1073" w:type="pct"/>
            <w:vAlign w:val="center"/>
          </w:tcPr>
          <w:p>
            <w:pPr>
              <w:pStyle w:val="2"/>
              <w:autoSpaceDE/>
              <w:autoSpaceDN/>
              <w:adjustRightInd w:val="0"/>
              <w:snapToGrid w:val="0"/>
              <w:spacing w:before="0"/>
              <w:ind w:left="0"/>
              <w:jc w:val="center"/>
              <w:rPr>
                <w:rFonts w:hint="default" w:ascii="Times New Roman" w:hAnsi="Times New Roman" w:eastAsia="宋体" w:cs="Times New Roman"/>
                <w:snapToGrid w:val="0"/>
                <w:color w:val="auto"/>
                <w:sz w:val="21"/>
                <w:u w:val="single"/>
                <w:lang w:val="en-US" w:eastAsia="zh-CN" w:bidi="ar"/>
              </w:rPr>
            </w:pPr>
            <w:r>
              <w:rPr>
                <w:rFonts w:hint="eastAsia" w:ascii="Times New Roman" w:hAnsi="Times New Roman" w:cs="Times New Roman"/>
                <w:snapToGrid w:val="0"/>
                <w:color w:val="auto"/>
                <w:sz w:val="21"/>
                <w:u w:val="single"/>
                <w:lang w:val="en-US" w:eastAsia="zh-CN" w:bidi="ar"/>
              </w:rPr>
              <w:t>本项目是对项目段水生生态的修复</w:t>
            </w:r>
          </w:p>
        </w:tc>
      </w:tr>
    </w:tbl>
    <w:p>
      <w:pPr>
        <w:pStyle w:val="2"/>
        <w:autoSpaceDE/>
        <w:autoSpaceDN/>
        <w:adjustRightInd w:val="0"/>
        <w:snapToGrid w:val="0"/>
        <w:spacing w:before="0" w:line="360" w:lineRule="auto"/>
        <w:ind w:left="0"/>
        <w:jc w:val="center"/>
        <w:rPr>
          <w:rFonts w:ascii="Times New Roman" w:hAnsi="Times New Roman" w:cs="Times New Roman"/>
          <w:snapToGrid w:val="0"/>
          <w:color w:val="000000"/>
          <w:lang w:bidi="ar"/>
        </w:rPr>
      </w:pPr>
    </w:p>
    <w:p>
      <w:pPr>
        <w:pStyle w:val="4"/>
        <w:autoSpaceDE/>
        <w:autoSpaceDN/>
        <w:adjustRightInd w:val="0"/>
        <w:snapToGrid w:val="0"/>
        <w:spacing w:before="0" w:line="360" w:lineRule="auto"/>
        <w:ind w:right="0"/>
        <w:jc w:val="left"/>
        <w:rPr>
          <w:rFonts w:ascii="Times New Roman" w:hAnsi="Times New Roman" w:cs="Times New Roman"/>
          <w:sz w:val="32"/>
        </w:rPr>
      </w:pPr>
      <w:r>
        <w:rPr>
          <w:rFonts w:ascii="Times New Roman" w:hAnsi="Times New Roman" w:cs="Times New Roman"/>
        </w:rPr>
        <w:br w:type="page"/>
      </w:r>
      <w:bookmarkStart w:id="124" w:name="_Toc25715"/>
      <w:r>
        <w:rPr>
          <w:rFonts w:ascii="Times New Roman" w:hAnsi="Times New Roman" w:cs="Times New Roman" w:eastAsiaTheme="minorEastAsia"/>
          <w:sz w:val="32"/>
        </w:rPr>
        <w:t>3.建设项目工程分析</w:t>
      </w:r>
      <w:bookmarkEnd w:id="124"/>
    </w:p>
    <w:p>
      <w:pPr>
        <w:pStyle w:val="5"/>
        <w:tabs>
          <w:tab w:val="left" w:pos="766"/>
        </w:tabs>
        <w:autoSpaceDE/>
        <w:autoSpaceDN/>
        <w:adjustRightInd w:val="0"/>
        <w:snapToGrid w:val="0"/>
        <w:spacing w:before="0" w:line="360" w:lineRule="auto"/>
        <w:ind w:left="0" w:firstLine="0"/>
        <w:jc w:val="both"/>
        <w:rPr>
          <w:rFonts w:ascii="Times New Roman" w:hAnsi="Times New Roman" w:cs="Times New Roman"/>
          <w:snapToGrid w:val="0"/>
        </w:rPr>
      </w:pPr>
      <w:bookmarkStart w:id="125" w:name="_bookmark17"/>
      <w:bookmarkEnd w:id="125"/>
      <w:bookmarkStart w:id="126" w:name="_Toc5651"/>
      <w:r>
        <w:rPr>
          <w:rFonts w:ascii="Times New Roman" w:hAnsi="Times New Roman" w:cs="Times New Roman"/>
          <w:snapToGrid w:val="0"/>
        </w:rPr>
        <w:t>3.1</w:t>
      </w:r>
      <w:bookmarkEnd w:id="126"/>
      <w:r>
        <w:rPr>
          <w:rFonts w:hint="eastAsia" w:ascii="Times New Roman" w:hAnsi="Times New Roman" w:cs="Times New Roman"/>
        </w:rPr>
        <w:t>拟整治河道现状</w:t>
      </w:r>
    </w:p>
    <w:p>
      <w:pPr>
        <w:autoSpaceDE/>
        <w:autoSpaceDN/>
        <w:adjustRightInd w:val="0"/>
        <w:snapToGrid w:val="0"/>
        <w:spacing w:line="360" w:lineRule="auto"/>
        <w:jc w:val="both"/>
        <w:outlineLvl w:val="2"/>
        <w:rPr>
          <w:rFonts w:ascii="Times New Roman" w:hAnsi="Times New Roman" w:cs="Times New Roman"/>
          <w:b/>
          <w:sz w:val="28"/>
          <w:szCs w:val="24"/>
        </w:rPr>
      </w:pPr>
      <w:bookmarkStart w:id="127" w:name="_Toc82593096"/>
      <w:bookmarkStart w:id="128" w:name="_Toc8908"/>
      <w:r>
        <w:rPr>
          <w:rFonts w:ascii="Times New Roman" w:hAnsi="Times New Roman" w:cs="Times New Roman"/>
          <w:b/>
          <w:sz w:val="28"/>
          <w:szCs w:val="24"/>
        </w:rPr>
        <w:t>3.1.1</w:t>
      </w:r>
      <w:bookmarkEnd w:id="127"/>
      <w:r>
        <w:rPr>
          <w:rFonts w:hint="default" w:ascii="Times New Roman" w:hAnsi="Times New Roman" w:cs="Times New Roman"/>
          <w:b/>
          <w:bCs w:val="0"/>
          <w:color w:val="auto"/>
          <w:sz w:val="24"/>
          <w:szCs w:val="24"/>
          <w:highlight w:val="none"/>
          <w:vertAlign w:val="baseline"/>
          <w:lang w:val="en-US" w:eastAsia="zh-CN"/>
        </w:rPr>
        <w:t>河道现状</w:t>
      </w:r>
      <w:bookmarkEnd w:id="128"/>
    </w:p>
    <w:p>
      <w:pPr>
        <w:autoSpaceDE/>
        <w:autoSpaceDN/>
        <w:adjustRightInd w:val="0"/>
        <w:snapToGrid w:val="0"/>
        <w:spacing w:line="360" w:lineRule="auto"/>
        <w:ind w:firstLine="480" w:firstLineChars="200"/>
        <w:jc w:val="both"/>
        <w:rPr>
          <w:rFonts w:hint="default" w:ascii="Times New Roman" w:hAnsi="Times New Roman" w:cs="Times New Roman"/>
          <w:b w:val="0"/>
          <w:bCs/>
          <w:color w:val="auto"/>
          <w:sz w:val="24"/>
          <w:szCs w:val="24"/>
          <w:highlight w:val="none"/>
          <w:vertAlign w:val="baseline"/>
          <w:lang w:val="en-US" w:eastAsia="zh-CN"/>
        </w:rPr>
      </w:pPr>
      <w:r>
        <w:rPr>
          <w:rFonts w:hint="default" w:ascii="Times New Roman" w:hAnsi="Times New Roman" w:cs="Times New Roman"/>
          <w:b w:val="0"/>
          <w:bCs/>
          <w:color w:val="auto"/>
          <w:sz w:val="24"/>
          <w:szCs w:val="24"/>
          <w:highlight w:val="none"/>
          <w:vertAlign w:val="baseline"/>
          <w:lang w:val="en-US" w:eastAsia="zh-CN"/>
        </w:rPr>
        <w:t>祁水洪旱交加，解放前旱多于洪，年降水量少于湘江流域平均值16.4个百分点，年径流深少于湘江流域平均值44.2个百分点，所处地域素有“衡阳干旱走廊”之称。史载，中华民国三十四年（1945年），春夏之交，久晴不雨，河溪断流，田土皆裂，祁阳、祁东属重灾区，粮食减产七成，仓无储粒，饥民连饿带役死亡1276人。</w:t>
      </w:r>
    </w:p>
    <w:p>
      <w:pPr>
        <w:autoSpaceDE/>
        <w:autoSpaceDN/>
        <w:adjustRightInd w:val="0"/>
        <w:snapToGrid w:val="0"/>
        <w:spacing w:line="360" w:lineRule="auto"/>
        <w:ind w:firstLine="480" w:firstLineChars="200"/>
        <w:jc w:val="both"/>
        <w:rPr>
          <w:rFonts w:hint="default" w:ascii="Times New Roman" w:hAnsi="Times New Roman" w:cs="Times New Roman"/>
          <w:b w:val="0"/>
          <w:bCs/>
          <w:color w:val="auto"/>
          <w:sz w:val="24"/>
          <w:szCs w:val="24"/>
          <w:highlight w:val="none"/>
          <w:vertAlign w:val="baseline"/>
          <w:lang w:val="en-US" w:eastAsia="zh-CN"/>
        </w:rPr>
      </w:pPr>
      <w:r>
        <w:rPr>
          <w:rFonts w:hint="default" w:ascii="Times New Roman" w:hAnsi="Times New Roman" w:cs="Times New Roman"/>
          <w:b w:val="0"/>
          <w:bCs/>
          <w:color w:val="auto"/>
          <w:sz w:val="24"/>
          <w:szCs w:val="24"/>
          <w:highlight w:val="none"/>
          <w:vertAlign w:val="baseline"/>
          <w:lang w:val="en-US" w:eastAsia="zh-CN"/>
        </w:rPr>
        <w:t>中华人民共和国成立后，大兴水利，1963年特大干旱，当年四季连旱，祁水黎家坪水文站出现历年最小年径流量，9月份全月断流。水利工程发挥了抗旱保收效益，成灾面积只占受灾面积的55%，失收面积仅占成灾面积的15%，旱大灾小，整个流域最突出的问题已从旱灾转向洪灾。</w:t>
      </w:r>
    </w:p>
    <w:p>
      <w:pPr>
        <w:autoSpaceDE/>
        <w:autoSpaceDN/>
        <w:adjustRightInd w:val="0"/>
        <w:snapToGrid w:val="0"/>
        <w:spacing w:line="360" w:lineRule="auto"/>
        <w:ind w:firstLine="562" w:firstLineChars="200"/>
        <w:jc w:val="both"/>
        <w:rPr>
          <w:rFonts w:hint="default" w:ascii="Times New Roman" w:hAnsi="Times New Roman" w:cs="Times New Roman"/>
          <w:b w:val="0"/>
          <w:bCs/>
          <w:color w:val="auto"/>
          <w:sz w:val="24"/>
          <w:szCs w:val="24"/>
          <w:highlight w:val="none"/>
          <w:vertAlign w:val="baseline"/>
          <w:lang w:val="en-US" w:eastAsia="zh-CN"/>
        </w:rPr>
      </w:pPr>
      <w:r>
        <w:rPr>
          <w:rFonts w:ascii="Times New Roman" w:hAnsi="Times New Roman" w:cs="Times New Roman"/>
          <w:b/>
          <w:sz w:val="28"/>
          <w:szCs w:val="24"/>
        </w:rPr>
        <w:t>3.1.</w:t>
      </w:r>
      <w:r>
        <w:rPr>
          <w:rFonts w:hint="eastAsia" w:ascii="Times New Roman" w:hAnsi="Times New Roman" w:cs="Times New Roman"/>
          <w:b/>
          <w:sz w:val="28"/>
          <w:szCs w:val="24"/>
          <w:lang w:val="en-US" w:eastAsia="zh-CN"/>
        </w:rPr>
        <w:t>2</w:t>
      </w:r>
      <w:r>
        <w:rPr>
          <w:rFonts w:hint="default" w:ascii="Times New Roman" w:hAnsi="Times New Roman" w:cs="Times New Roman"/>
          <w:b/>
          <w:bCs w:val="0"/>
          <w:color w:val="auto"/>
          <w:sz w:val="24"/>
          <w:szCs w:val="24"/>
          <w:highlight w:val="none"/>
          <w:vertAlign w:val="baseline"/>
          <w:lang w:val="en-US" w:eastAsia="zh-CN"/>
        </w:rPr>
        <w:t>祁水流域已治理</w:t>
      </w:r>
      <w:r>
        <w:rPr>
          <w:rFonts w:hint="eastAsia" w:ascii="Times New Roman" w:hAnsi="Times New Roman" w:cs="Times New Roman"/>
          <w:b/>
          <w:bCs w:val="0"/>
          <w:color w:val="auto"/>
          <w:sz w:val="24"/>
          <w:szCs w:val="24"/>
          <w:highlight w:val="none"/>
          <w:vertAlign w:val="baseline"/>
          <w:lang w:val="en-US" w:eastAsia="zh-CN"/>
        </w:rPr>
        <w:t>工程</w:t>
      </w:r>
    </w:p>
    <w:p>
      <w:pPr>
        <w:autoSpaceDE/>
        <w:autoSpaceDN/>
        <w:adjustRightInd w:val="0"/>
        <w:snapToGrid w:val="0"/>
        <w:spacing w:line="360" w:lineRule="auto"/>
        <w:ind w:firstLine="480" w:firstLineChars="200"/>
        <w:jc w:val="both"/>
        <w:rPr>
          <w:rFonts w:hint="default" w:ascii="Times New Roman" w:hAnsi="Times New Roman" w:cs="Times New Roman"/>
          <w:b w:val="0"/>
          <w:bCs/>
          <w:color w:val="auto"/>
          <w:sz w:val="24"/>
          <w:szCs w:val="24"/>
          <w:highlight w:val="none"/>
          <w:vertAlign w:val="baseline"/>
          <w:lang w:val="en-US" w:eastAsia="zh-CN"/>
        </w:rPr>
      </w:pPr>
      <w:r>
        <w:rPr>
          <w:rFonts w:hint="default" w:ascii="Times New Roman" w:hAnsi="Times New Roman" w:cs="Times New Roman"/>
          <w:b w:val="0"/>
          <w:bCs/>
          <w:color w:val="auto"/>
          <w:sz w:val="24"/>
          <w:szCs w:val="24"/>
          <w:highlight w:val="none"/>
          <w:vertAlign w:val="baseline"/>
          <w:lang w:val="en-US" w:eastAsia="zh-CN"/>
        </w:rPr>
        <w:t>1）祁东县祁水一期河流治理（步云桥、砖塘段）工程：该治理段桩号范围祁46+500～祁51+614，设计护岸和堤防主要采用浆砌石挡墙护砌，墙顶宽0.6，临水侧坡比为1：0.3，背水侧垂直，项目已竣工结算；</w:t>
      </w:r>
    </w:p>
    <w:p>
      <w:pPr>
        <w:autoSpaceDE/>
        <w:autoSpaceDN/>
        <w:adjustRightInd w:val="0"/>
        <w:snapToGrid w:val="0"/>
        <w:spacing w:line="360" w:lineRule="auto"/>
        <w:ind w:firstLine="480" w:firstLineChars="200"/>
        <w:jc w:val="both"/>
        <w:rPr>
          <w:rFonts w:hint="default" w:ascii="Times New Roman" w:hAnsi="Times New Roman" w:cs="Times New Roman"/>
          <w:b w:val="0"/>
          <w:bCs/>
          <w:color w:val="auto"/>
          <w:sz w:val="24"/>
          <w:szCs w:val="24"/>
          <w:highlight w:val="none"/>
          <w:vertAlign w:val="baseline"/>
          <w:lang w:val="en-US" w:eastAsia="zh-CN"/>
        </w:rPr>
      </w:pPr>
      <w:r>
        <w:rPr>
          <w:rFonts w:hint="default" w:ascii="Times New Roman" w:hAnsi="Times New Roman" w:cs="Times New Roman"/>
          <w:b w:val="0"/>
          <w:bCs/>
          <w:color w:val="auto"/>
          <w:sz w:val="24"/>
          <w:szCs w:val="24"/>
          <w:highlight w:val="none"/>
          <w:vertAlign w:val="baseline"/>
          <w:lang w:val="en-US" w:eastAsia="zh-CN"/>
        </w:rPr>
        <w:t>2）祁水一级支流曹家祠河治理（城连圩段）工程：该治理段位于本次治理的东风水闸上游河口至曹家祠河段，项目已通过设计评审，项目已竣工结算；</w:t>
      </w:r>
    </w:p>
    <w:p>
      <w:pPr>
        <w:autoSpaceDE/>
        <w:autoSpaceDN/>
        <w:adjustRightInd w:val="0"/>
        <w:snapToGrid w:val="0"/>
        <w:spacing w:line="360" w:lineRule="auto"/>
        <w:ind w:firstLine="480" w:firstLineChars="200"/>
        <w:jc w:val="both"/>
        <w:rPr>
          <w:rFonts w:hint="eastAsia" w:ascii="Times New Roman" w:hAnsi="Times New Roman" w:cs="Times New Roman"/>
          <w:b w:val="0"/>
          <w:bCs/>
          <w:color w:val="auto"/>
          <w:sz w:val="24"/>
          <w:szCs w:val="24"/>
          <w:highlight w:val="none"/>
          <w:vertAlign w:val="baseline"/>
          <w:lang w:val="en-US" w:eastAsia="zh-CN"/>
        </w:rPr>
      </w:pPr>
      <w:r>
        <w:rPr>
          <w:rFonts w:hint="default" w:ascii="Times New Roman" w:hAnsi="Times New Roman" w:cs="Times New Roman"/>
          <w:b w:val="0"/>
          <w:bCs/>
          <w:color w:val="auto"/>
          <w:sz w:val="24"/>
          <w:szCs w:val="24"/>
          <w:highlight w:val="none"/>
          <w:vertAlign w:val="baseline"/>
          <w:lang w:val="en-US" w:eastAsia="zh-CN"/>
        </w:rPr>
        <w:t>3）祁水二期河流治理（城连圩段）工程：该治理段位于船埠头机耕桥（桩号41+400）至本次治理的东风水闸（桩号32+537），项目设计以护岸为主，主要护砌材料为格宾笼、雷诺护坡及浆砌石，项目已通过设计评审，目前还在建设中</w:t>
      </w:r>
      <w:r>
        <w:rPr>
          <w:rFonts w:hint="eastAsia" w:ascii="Times New Roman" w:hAnsi="Times New Roman" w:cs="Times New Roman"/>
          <w:b w:val="0"/>
          <w:bCs/>
          <w:color w:val="auto"/>
          <w:sz w:val="24"/>
          <w:szCs w:val="24"/>
          <w:highlight w:val="none"/>
          <w:vertAlign w:val="baseline"/>
          <w:lang w:val="en-US" w:eastAsia="zh-CN"/>
        </w:rPr>
        <w:t>。</w:t>
      </w:r>
    </w:p>
    <w:p>
      <w:pPr>
        <w:autoSpaceDE/>
        <w:autoSpaceDN/>
        <w:adjustRightInd w:val="0"/>
        <w:snapToGrid w:val="0"/>
        <w:spacing w:line="360" w:lineRule="auto"/>
        <w:ind w:firstLine="562" w:firstLineChars="200"/>
        <w:jc w:val="both"/>
        <w:rPr>
          <w:rFonts w:hint="eastAsia" w:ascii="Times New Roman" w:hAnsi="Times New Roman" w:cs="Times New Roman"/>
          <w:b w:val="0"/>
          <w:bCs/>
          <w:color w:val="auto"/>
          <w:sz w:val="24"/>
          <w:szCs w:val="24"/>
          <w:highlight w:val="none"/>
          <w:vertAlign w:val="baseline"/>
          <w:lang w:val="en-US" w:eastAsia="zh-CN"/>
        </w:rPr>
      </w:pPr>
      <w:r>
        <w:rPr>
          <w:rFonts w:ascii="Times New Roman" w:hAnsi="Times New Roman" w:cs="Times New Roman"/>
          <w:b/>
          <w:sz w:val="28"/>
          <w:szCs w:val="24"/>
        </w:rPr>
        <w:t>3.1.</w:t>
      </w:r>
      <w:r>
        <w:rPr>
          <w:rFonts w:hint="eastAsia" w:ascii="Times New Roman" w:hAnsi="Times New Roman" w:cs="Times New Roman"/>
          <w:b/>
          <w:sz w:val="28"/>
          <w:szCs w:val="24"/>
          <w:lang w:val="en-US" w:eastAsia="zh-CN"/>
        </w:rPr>
        <w:t>3治理河道存在的问题及整治措施</w:t>
      </w:r>
    </w:p>
    <w:p>
      <w:pPr>
        <w:autoSpaceDE/>
        <w:autoSpaceDN/>
        <w:adjustRightInd w:val="0"/>
        <w:snapToGrid w:val="0"/>
        <w:spacing w:line="360" w:lineRule="auto"/>
        <w:ind w:firstLine="480" w:firstLineChars="200"/>
        <w:jc w:val="both"/>
        <w:rPr>
          <w:rFonts w:hint="default" w:ascii="Times New Roman" w:hAnsi="Times New Roman" w:cs="Times New Roman"/>
          <w:b w:val="0"/>
          <w:bCs/>
          <w:color w:val="auto"/>
          <w:sz w:val="24"/>
          <w:szCs w:val="24"/>
          <w:highlight w:val="none"/>
          <w:vertAlign w:val="baseline"/>
          <w:lang w:val="en-US" w:eastAsia="zh-CN"/>
        </w:rPr>
      </w:pPr>
      <w:r>
        <w:rPr>
          <w:rFonts w:hint="default" w:ascii="Times New Roman" w:hAnsi="Times New Roman" w:cs="Times New Roman"/>
          <w:b w:val="0"/>
          <w:bCs/>
          <w:color w:val="auto"/>
          <w:sz w:val="24"/>
          <w:szCs w:val="24"/>
          <w:highlight w:val="none"/>
          <w:vertAlign w:val="baseline"/>
          <w:lang w:val="en-US" w:eastAsia="zh-CN"/>
        </w:rPr>
        <w:t>祁水流域主要存在的问题有：</w:t>
      </w:r>
    </w:p>
    <w:p>
      <w:pPr>
        <w:autoSpaceDE/>
        <w:autoSpaceDN/>
        <w:adjustRightInd w:val="0"/>
        <w:snapToGrid w:val="0"/>
        <w:spacing w:line="360" w:lineRule="auto"/>
        <w:ind w:firstLine="480" w:firstLineChars="200"/>
        <w:jc w:val="both"/>
        <w:rPr>
          <w:rFonts w:hint="default" w:ascii="Times New Roman" w:hAnsi="Times New Roman" w:cs="Times New Roman"/>
          <w:b w:val="0"/>
          <w:bCs/>
          <w:color w:val="auto"/>
          <w:sz w:val="24"/>
          <w:szCs w:val="24"/>
          <w:highlight w:val="none"/>
          <w:vertAlign w:val="baseline"/>
          <w:lang w:val="en-US" w:eastAsia="zh-CN"/>
        </w:rPr>
      </w:pPr>
      <w:r>
        <w:rPr>
          <w:rFonts w:hint="default" w:ascii="Times New Roman" w:hAnsi="Times New Roman" w:cs="Times New Roman"/>
          <w:b w:val="0"/>
          <w:bCs/>
          <w:color w:val="auto"/>
          <w:sz w:val="24"/>
          <w:szCs w:val="24"/>
          <w:highlight w:val="none"/>
          <w:vertAlign w:val="baseline"/>
          <w:lang w:val="en-US" w:eastAsia="zh-CN"/>
        </w:rPr>
        <w:t>1）设防标准低。沿河岸的黄土铺镇、官家咀镇、步云桥镇、砖塘镇、蒋家桥镇等乡镇防洪问题突出，任务艰巨，抗洪能力差，仅在低洼地局部修筑有堤防，且未形成完整的封闭保护圈，堤防设计标准非常低，不足5年一遇；其余大部分未设防，依靠自然地形挡洪，基本无防洪能力，稍遇大水即遭灾。如马杜桥乡、蒋家桥镇、太和堂镇、四明山乡大多无堤防，已建堤防的设计标准也非常低，只有2年一遇左右的设防标准，且堤防堤身非常单薄；曾家湾、鲁家桥、双江片两岸有基本农田7500亩，对塘、峡口、长坝塘片两岸有基本农田6600亩，流域洪涝灾害频繁。</w:t>
      </w:r>
    </w:p>
    <w:p>
      <w:pPr>
        <w:autoSpaceDE/>
        <w:autoSpaceDN/>
        <w:adjustRightInd w:val="0"/>
        <w:snapToGrid w:val="0"/>
        <w:spacing w:line="360" w:lineRule="auto"/>
        <w:ind w:firstLine="480" w:firstLineChars="200"/>
        <w:jc w:val="both"/>
        <w:rPr>
          <w:rFonts w:hint="default" w:ascii="Times New Roman" w:hAnsi="Times New Roman" w:cs="Times New Roman"/>
          <w:b w:val="0"/>
          <w:bCs/>
          <w:color w:val="auto"/>
          <w:sz w:val="24"/>
          <w:szCs w:val="24"/>
          <w:highlight w:val="none"/>
          <w:vertAlign w:val="baseline"/>
          <w:lang w:val="en-US" w:eastAsia="zh-CN"/>
        </w:rPr>
      </w:pPr>
      <w:r>
        <w:rPr>
          <w:rFonts w:hint="default" w:ascii="Times New Roman" w:hAnsi="Times New Roman" w:cs="Times New Roman"/>
          <w:b w:val="0"/>
          <w:bCs/>
          <w:color w:val="auto"/>
          <w:sz w:val="24"/>
          <w:szCs w:val="24"/>
          <w:highlight w:val="none"/>
          <w:vertAlign w:val="baseline"/>
          <w:lang w:val="en-US" w:eastAsia="zh-CN"/>
        </w:rPr>
        <w:t>2）河岸崩塌严重，河道两岸少数段原有护坡老化、损坏。现在河道及堤防在20世纪六七年代整治时，限于当时的条件，设计标准低，多采用三合泥砌石护岸，其它大部分河岸未进行护砌，且已砌的砌体强度不高，由于祁东县位于祁水上游段，河床坡降较大，流速高，冲刷严重，加之运行时间长，河岸崩垮后减少了过流面积，阻碍行洪，同时改变了水流流态，加速岸坡崩塌，加之由于大部分河堤顶兼作交通道路，加上长期缺乏必要的养护，造成河岸崩垮、堤顶路面也坑坑洼洼、残缺不全。</w:t>
      </w:r>
    </w:p>
    <w:p>
      <w:pPr>
        <w:autoSpaceDE/>
        <w:autoSpaceDN/>
        <w:adjustRightInd w:val="0"/>
        <w:snapToGrid w:val="0"/>
        <w:spacing w:line="360" w:lineRule="auto"/>
        <w:ind w:firstLine="480" w:firstLineChars="200"/>
        <w:jc w:val="both"/>
        <w:rPr>
          <w:rFonts w:hint="eastAsia" w:ascii="Times New Roman" w:hAnsi="Times New Roman" w:cs="Times New Roman"/>
          <w:b w:val="0"/>
          <w:bCs/>
          <w:color w:val="auto"/>
          <w:sz w:val="24"/>
          <w:szCs w:val="24"/>
          <w:highlight w:val="none"/>
          <w:vertAlign w:val="baseline"/>
          <w:lang w:val="en-US" w:eastAsia="zh-CN"/>
        </w:rPr>
      </w:pPr>
      <w:r>
        <w:rPr>
          <w:rFonts w:hint="default" w:ascii="Times New Roman" w:hAnsi="Times New Roman" w:cs="Times New Roman"/>
          <w:b w:val="0"/>
          <w:bCs/>
          <w:color w:val="auto"/>
          <w:sz w:val="24"/>
          <w:szCs w:val="24"/>
          <w:highlight w:val="none"/>
          <w:vertAlign w:val="baseline"/>
          <w:lang w:val="en-US" w:eastAsia="zh-CN"/>
        </w:rPr>
        <w:t>3）管理设施落后，管理水平低下，管理经费缺乏。没有专门的管理机构，无防洪治涝指挥系统及观测、交通、通讯设施、界碑、里程碑、防汛仓库等管理设施。</w:t>
      </w:r>
      <w:r>
        <w:rPr>
          <w:rFonts w:hint="eastAsia" w:ascii="Times New Roman" w:hAnsi="Times New Roman" w:cs="Times New Roman"/>
          <w:b w:val="0"/>
          <w:bCs/>
          <w:color w:val="auto"/>
          <w:sz w:val="24"/>
          <w:szCs w:val="24"/>
          <w:highlight w:val="none"/>
          <w:vertAlign w:val="baseline"/>
          <w:lang w:val="en-US" w:eastAsia="zh-CN"/>
        </w:rPr>
        <w:t>根据治理河段现状问题与本工程整治措施详见下表。</w:t>
      </w:r>
    </w:p>
    <w:p>
      <w:pPr>
        <w:autoSpaceDE/>
        <w:autoSpaceDN/>
        <w:adjustRightInd w:val="0"/>
        <w:snapToGrid w:val="0"/>
        <w:spacing w:line="360" w:lineRule="auto"/>
        <w:ind w:firstLine="480" w:firstLineChars="200"/>
        <w:jc w:val="both"/>
        <w:rPr>
          <w:rFonts w:hint="eastAsia" w:ascii="Times New Roman" w:hAnsi="Times New Roman" w:cs="Times New Roman"/>
          <w:b w:val="0"/>
          <w:bCs/>
          <w:color w:val="auto"/>
          <w:sz w:val="24"/>
          <w:szCs w:val="24"/>
          <w:highlight w:val="none"/>
          <w:vertAlign w:val="baseline"/>
          <w:lang w:val="en-US" w:eastAsia="zh-CN"/>
        </w:rPr>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p>
    <w:p>
      <w:pPr>
        <w:pStyle w:val="569"/>
        <w:spacing w:before="120"/>
        <w:rPr>
          <w:rFonts w:hint="eastAsia"/>
          <w:snapToGrid w:val="0"/>
        </w:rPr>
      </w:pPr>
      <w:r>
        <w:rPr>
          <w:rFonts w:hint="eastAsia" w:ascii="Times New Roman" w:hAnsi="Times New Roman" w:eastAsia="宋体" w:cs="Times New Roman"/>
          <w:b/>
          <w:sz w:val="24"/>
          <w:szCs w:val="24"/>
          <w:lang w:val="zh-CN" w:eastAsia="zh-CN" w:bidi="zh-CN"/>
        </w:rPr>
        <w:t>表</w:t>
      </w:r>
      <w:r>
        <w:rPr>
          <w:rFonts w:hint="eastAsia" w:ascii="Times New Roman" w:hAnsi="Times New Roman" w:eastAsia="宋体" w:cs="Times New Roman"/>
          <w:b/>
          <w:sz w:val="24"/>
          <w:szCs w:val="24"/>
          <w:lang w:val="en-US" w:eastAsia="zh-CN" w:bidi="zh-CN"/>
        </w:rPr>
        <w:t>3.</w:t>
      </w:r>
      <w:r>
        <w:rPr>
          <w:rFonts w:hint="eastAsia" w:ascii="Times New Roman" w:hAnsi="Times New Roman" w:cs="Times New Roman"/>
          <w:b/>
          <w:sz w:val="24"/>
          <w:szCs w:val="24"/>
          <w:lang w:val="en-US" w:eastAsia="zh-CN" w:bidi="zh-CN"/>
        </w:rPr>
        <w:t>1</w:t>
      </w:r>
      <w:r>
        <w:rPr>
          <w:rFonts w:hint="eastAsia" w:ascii="Times New Roman" w:hAnsi="Times New Roman" w:eastAsia="宋体" w:cs="Times New Roman"/>
          <w:b/>
          <w:sz w:val="24"/>
          <w:szCs w:val="24"/>
          <w:lang w:val="en-US" w:eastAsia="zh-CN" w:bidi="zh-CN"/>
        </w:rPr>
        <w:t xml:space="preserve">-1 </w:t>
      </w:r>
      <w:r>
        <w:rPr>
          <w:rFonts w:hint="default" w:ascii="Times New Roman" w:hAnsi="Times New Roman" w:eastAsia="宋体" w:cs="Times New Roman"/>
          <w:b/>
          <w:sz w:val="24"/>
          <w:szCs w:val="24"/>
          <w:lang w:val="zh-CN" w:eastAsia="zh-CN" w:bidi="zh-CN"/>
        </w:rPr>
        <w:t>治理河段现状问题与本工程整治措施表</w:t>
      </w:r>
    </w:p>
    <w:tbl>
      <w:tblPr>
        <w:tblStyle w:val="89"/>
        <w:tblW w:w="1371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526"/>
        <w:gridCol w:w="1485"/>
        <w:gridCol w:w="741"/>
        <w:gridCol w:w="7413"/>
        <w:gridCol w:w="18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序号</w:t>
            </w:r>
          </w:p>
        </w:tc>
        <w:tc>
          <w:tcPr>
            <w:tcW w:w="1526" w:type="dxa"/>
            <w:tcBorders>
              <w:tl2br w:val="nil"/>
              <w:tr2bl w:val="nil"/>
            </w:tcBorders>
            <w:shd w:val="clear" w:color="auto" w:fill="auto"/>
            <w:noWrap w:val="0"/>
            <w:vAlign w:val="center"/>
          </w:tcPr>
          <w:p>
            <w:pPr>
              <w:pStyle w:val="2986"/>
              <w:rPr>
                <w:sz w:val="21"/>
                <w:szCs w:val="21"/>
              </w:rPr>
            </w:pPr>
            <w:r>
              <w:rPr>
                <w:rFonts w:hint="eastAsia"/>
                <w:sz w:val="21"/>
                <w:szCs w:val="21"/>
              </w:rPr>
              <w:t>起点桩号</w:t>
            </w:r>
          </w:p>
        </w:tc>
        <w:tc>
          <w:tcPr>
            <w:tcW w:w="1485" w:type="dxa"/>
            <w:tcBorders>
              <w:tl2br w:val="nil"/>
              <w:tr2bl w:val="nil"/>
            </w:tcBorders>
            <w:shd w:val="clear" w:color="auto" w:fill="auto"/>
            <w:noWrap w:val="0"/>
            <w:vAlign w:val="center"/>
          </w:tcPr>
          <w:p>
            <w:pPr>
              <w:pStyle w:val="2986"/>
              <w:rPr>
                <w:sz w:val="21"/>
                <w:szCs w:val="21"/>
              </w:rPr>
            </w:pPr>
            <w:r>
              <w:rPr>
                <w:rFonts w:hint="eastAsia"/>
                <w:sz w:val="21"/>
                <w:szCs w:val="21"/>
              </w:rPr>
              <w:t>终点桩号</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长度</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岸坡现状</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工程措施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1</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祁左11+400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祁左11+521</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121</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现有浆砌石挡墙和1#河坝(简坝)，沿线岸顶为农田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2</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祁左11+521</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祁左11+944</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423</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土质岸坡，高度1.0～2.6m，抗冲刷能力较弱，坡脚局部有滩地和砂砾石堆积，沿线岸顶为农田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3</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祁左11+944</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祁左12+078</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134</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山体，岩石边坡</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无需护砌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4</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祁左12+078</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祁左12+251</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173</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土质岸坡，高度2.0～2.9m，抗冲刷能力较弱，沿线为农田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5</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祁左12+251</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祁左12+281</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30</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现有浆砌石挡墙、村道和江口水库溢洪道出口</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6</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祁左12+281</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祁左12+558</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277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转弯当冲段，土质岸坡，高度1.8～3.5m，抗冲刷能力较弱，坡脚砂砾石堆积，沿线岸顶为农田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硬质护坡，疏浚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7</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祁左12+558</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祁左12+575</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现有浆砌石挡墙和5#桥：公路桥</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8</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祁左12+575</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祁左13+013</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438</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土质岸坡，高度1.6～3.5m，抗冲刷能力较弱，沿线岸顶为农田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9</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祁左13+013</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祁左13+280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267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土质岸坡，高度2.9～3.5m，凸岸段，岸坡处于基本稳定状态，沿线岸顶为少量农田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无需护砌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10</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祁左13+280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祁左13+478</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198</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现有浆砌石挡墙和7#桥:跨S317公路桥</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11</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祁左13+478</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祁左13+507</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29</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土质岸坡，高度2.6～5.2m，坡度陡，抗冲刷能力较弱，坡脚砂砾石堆积，沿线岸顶为农田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硬质护坡，疏浚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12</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祁左13+507</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祁左13+722</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215</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土质岸坡，高度1.2～2.7m，抗冲刷能力较弱，沿线岸顶为少量农田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13</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祁左13+722</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祁左14+287</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565</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大部分土质岸坡，局部为岩石边坡，高度1.7～5.3m，岸坡处于基本稳定状态，沿线岸顶为少量农田、S317公路和山体</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无需护砌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14</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祁左14+287</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祁左14+420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133</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转弯当冲段，土质岸坡，高度4.1～5.3m，抗冲刷能力较弱，存在滑坡现象，沿线岸顶为S317公路</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硬质护坡，疏浚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15</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祁左14+420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祁左14+539</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119</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现有浆砌石挡墙，沿线岸顶为S317公路</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16</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祁左14+539</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祁左15+047</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508</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土质岸坡，高度1.0～2.5m，抗冲刷能力较弱，沿线岸顶为农田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17</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祁左15+047</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祁左15+340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293</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18</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祁左15+340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祁左15+499</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159</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土质岸坡，高度2.0～3.2m，抗冲刷能力较弱，局部坡脚有滩地，沿线岸顶为农田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19</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祁左15+499</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祁左15+653</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154</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现有浆砌石挡墙，岸顶为房屋</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20</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祁左15+653</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祁左15+755</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102</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土质岸坡，高度1.6～4.1m，抗冲刷能力较弱，坡脚有滩地，沿线岸顶为农田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21</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祁左15+755</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祁左15+892</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137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大部分土质岸坡，局部为岩石边坡，高度2.5～3.0m，岸坡处于基本稳定状态，沿线岸顶为山体和少量农田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无需护砌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22</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祁左15+892</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祁左16+039</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147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转弯当冲段，土质岸坡，高度2.0～4.0m，抗冲刷能力较弱，沿线岸顶为农田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硬质护坡，疏浚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23</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祁左16+039</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祁左16+977</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938</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大部分土质岸坡，局部为岩石边坡，高度1.7～3.5m，岸坡处于基本稳定状态，沿线岸顶为村道、房屋、山体和农田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无需护砌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24</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祁左16+977</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祁左17+085</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108</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土质岸坡，高度1.3～2.9m，抗冲刷能力较弱，沿线岸顶为农田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25</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祁左17+085</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祁左17+121</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36</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转弯当冲段，现有浆砌石挡墙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26</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祁左17+121</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祁左17+129</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8</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现有浆砌石挡墙垮塌</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浆砌石挡墙拆除重建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27</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祁左17+129</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祁左17+185</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56</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28</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祁左17+185</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祁左17+657</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472</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山体，岩石边坡</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无需护砌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29</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祁左17+657</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祁左17+720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63</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土质岸坡，高度2.6～3.3m，抗冲刷能力较弱，坡脚有滩地，沿线岸顶为农田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30</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祁左17+720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祁左18+420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700</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大部分为山体，岩石边坡</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无需护砌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31</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祁左18+420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祁左18+697</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277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土质岸坡，高度2.0～2.7m，抗冲刷能力较弱，局部坡脚有滩地，沿线岸顶为农田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32</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祁左18+697</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祁左18+742</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45</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33</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祁左18+742</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祁左19+010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268</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土质岸坡，高度1.8～2.5m，抗冲刷能力较弱，局部河道有滩地，沿线岸顶为农田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34</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祁左19+010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祁左19+200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190</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大部分为现有浆砌石挡墙，局部土质岸坡基本稳定</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35</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祁左19+200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祁左20+020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820</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土质岸坡，高度2.3～4.2m，抗冲刷能力较弱，凸岸段坡脚有大面积滩地，沿线岸顶为农田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36</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祁左20+020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祁左20+084</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64</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37</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祁左20+084</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祁左20+734</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650</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土质岸坡，高度1.8～3.9m，抗冲刷能力较弱，局部坡脚有滩地，沿线岸顶为农田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38</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祁左20+734</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祁左20+760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26</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17#河坝：梅沙坝</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无需护砌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39</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祁左20+760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祁左21+105</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345</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土质岸坡，高度3.4～3.8m，坡度较陡，抗冲刷能力较弱，沿线岸顶为农田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硬质护坡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40</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祁左21+105</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祁左21+824</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719</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大部分为现有浆砌石挡墙，局部土质岸坡基本稳定</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41</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祁左21+824</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祁左22+321</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497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土质岸坡，高度2.1～2.7m，抗冲刷能力较弱，局部坡脚有滩地，沿线岸顶为农田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42</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祁左22+321</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祁左22+403</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82</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43</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祁左22+403</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祁左22+570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167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土质岸坡，高度1.5～2.6m，抗冲刷能力较弱，局部坡脚有滩地，沿线岸顶为农田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44</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祁左22+570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祁左22+600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30</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19#河坝：谭山岩河坝</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45</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祁左22+600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祁左23+233</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633</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土质岸坡，高度2.3～3.3m，抗冲刷能力较弱，沿线岸顶为农田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46</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祁左23+233</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祁左23+341</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108</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47</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祁左23+341</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祁左23+595</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254</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土质岸坡，高度3.0～3.8m，抗冲刷能力较弱，局部坡脚有滩地，沿线岸顶为农田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48</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祁左23+595</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祁左23+711</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116</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49</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祁左23+711</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祁左23+843</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132</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土质岸坡，高度2.6～3.2m，抗冲刷能力较弱，沿线岸顶为农田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50</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祁左23+843</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祁左23+950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107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大部分为现有浆砌石挡墙，局部土质岸坡基本稳定</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51</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祁左23+950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祁左24+203</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253</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土质岸坡，高度约为2.5m，抗冲刷能力较弱，沿线岸顶为农田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52</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祁左24+203</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祁左24+328</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125</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大部分为现有浆砌石挡墙，局部土质岸坡基本稳定</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53</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祁左24+328</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祁左24+344</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16</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22#河坝周家坝下游，土质岸坡，高度2.1～2.4m，抗冲刷能力较弱，有塌岸现象</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硬质护坡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54</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祁左24+344</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祁左24+984</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640</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土质岸坡，高度1.2～3.4m，抗冲刷能力较弱，局部坡脚有滩地，沿线岸顶为农田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55</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祁左24+984</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祁左25+017</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33</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24#河坝：石湾河坝</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56</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祁左25+017</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祁左25+249</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232</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土质岸坡，高度1.4～3.0m，抗冲刷能力较弱，沿线岸顶为农田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57</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祁左25+249</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祁左25+307</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58</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转弯当冲段，土质岸坡，高度1.3～2.6m，坡度较陡，抗冲刷能力较弱，沿线岸顶为农田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硬质护坡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58</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祁左25+307</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祁左25+514</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207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59</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祁左25+514</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祁左25+604</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90</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土质岸坡，高度2.1m左右，抗冲刷能力较弱，沿线岸顶为房屋</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60</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祁左25+604</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祁左26+230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626</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现有浆砌石挡墙，沿线岸顶为蒋家桥镇</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61</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祁左26+230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祁左26+542</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312</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土质岸坡，高度3.6～4.8m，坡度较陡，抗冲刷能力较弱，沿线岸顶为村道</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硬质护坡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62</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祁左26+542</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祁左27+226</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684</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现有浆砌石和干砌石挡墙，基本完好，局部老化破损，沿线岸顶为农田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63</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祁左27+226</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祁左27+303</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77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土质岸坡，高度1.8m～2.4m，抗冲刷能力较弱，沿线岸顶为农田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64</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祁左27+303</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祁左27+339</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36</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65</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祁左27+339</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祁左27+465</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126</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土质岸坡，高度1.7m～3.2m，抗冲刷能力较弱，沿线岸顶为农田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66</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祁左27+465</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祁左27+510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45</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现有干砌石挡墙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67</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祁左27+510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祁左27+970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460</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土质岸坡，高度2.3m～6.5m，抗冲刷能力较弱，高边坡段局部有滑坡现象，沿线岸顶为农田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68</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祁左27+970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祁左28+117</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147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部分有浆砌石挡墙，沿线均为房屋</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69</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祁左28+117</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祁左28+159</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42</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现有挡墙垮塌</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挡墙拆除重建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70</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祁左28+159</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祁左28+170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11</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支流汇入</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71</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祁左28+170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祁左28+228</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58</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现有挡墙垮塌</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挡墙拆除重建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72</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祁左28+228</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祁左28+805</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577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大部分为现有浆砌石挡墙，局部为房屋</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73</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祁左28+805</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祁左29+081</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276</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土质岸坡，高度1.4～3.4m，抗冲刷能力较弱，沿线岸顶为农田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74</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祁左29+081</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祁左29+097</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16</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30#河坝：车碧江河坝（顺坝）</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75</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祁左29+097</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祁左29+233</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136</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凹岸段，大面积滩地，岸坡不规则，高度1.2～2.1m，抗冲刷能力较弱，沿线岸顶为农田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整坡，生态护坡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76</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祁左29+233</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祁左29+265</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32</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山体，岩石边坡</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无需护砌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77</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祁左29+265</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祁左29+508</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243</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土质岸坡，高度1.2～2.6m，抗冲刷能力较弱，沿线岸顶为农田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78</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祁左29+508</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祁左29+900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392</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凸岸段，土质岸坡，坡脚为大面积滩地，岸顶为林地和农田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79</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祁左29+900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祁左30+016</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116</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转弯当冲段，土质岸坡，高度1.5～5.3m，抗冲刷能力较弱，坡脚砂砾石堆积，沿线岸顶为农田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硬质护坡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80</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祁左30+016</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祁左30+056</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40</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现有砼挡墙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81</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祁左30+056</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祁左30+821</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765</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土质岸坡，高度1.4～4.2m，抗冲刷能力较弱，局部为凸岸段，坡脚有大面积滩地，沿线岸顶为农田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82</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祁左30+821</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祁左31+078</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257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转弯当冲段，大部分为土质岸坡，高度2.0～2.7m，抗冲刷能力较弱，现有浆砌石挡墙破损严重</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硬质护坡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83</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祁左31+078</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祁左31+400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322</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山体，岩石边坡</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无需护砌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84</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祁左31+400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祁左31+700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300</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土质岸坡，高度3.6～4.4m，抗冲刷能力较弱，沿线岸顶为房屋</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85</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祁左31+700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祁左31+735</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35</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38#桥：太公桥及现有浆砌石挡墙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无需护砌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86</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祁左31+735</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祁左32+261</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526</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土质岸坡，高度1.7m左右，抗冲刷能力较弱，沿线岸顶为农田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87</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祁左32+261</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祁左32+537</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276</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土质岸坡，高度1.7m左右，抗冲刷能力较弱，沿线岸顶为农田，为下游起点：东风水闸库区范围</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无需护砌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b/>
                <w:bCs/>
                <w:sz w:val="21"/>
                <w:szCs w:val="21"/>
              </w:rPr>
            </w:pPr>
            <w:r>
              <w:rPr>
                <w:rFonts w:hint="eastAsia"/>
                <w:b/>
                <w:bCs/>
                <w:sz w:val="21"/>
                <w:szCs w:val="21"/>
              </w:rPr>
              <w:t>合计</w:t>
            </w:r>
          </w:p>
        </w:tc>
        <w:tc>
          <w:tcPr>
            <w:tcW w:w="3011" w:type="dxa"/>
            <w:gridSpan w:val="2"/>
            <w:tcBorders>
              <w:tl2br w:val="nil"/>
              <w:tr2bl w:val="nil"/>
            </w:tcBorders>
            <w:shd w:val="clear" w:color="auto" w:fill="auto"/>
            <w:noWrap/>
            <w:vAlign w:val="center"/>
          </w:tcPr>
          <w:p>
            <w:pPr>
              <w:pStyle w:val="2986"/>
              <w:rPr>
                <w:b/>
                <w:bCs/>
                <w:sz w:val="21"/>
                <w:szCs w:val="21"/>
              </w:rPr>
            </w:pPr>
            <w:r>
              <w:rPr>
                <w:rFonts w:hint="eastAsia"/>
                <w:b/>
                <w:bCs/>
                <w:sz w:val="21"/>
                <w:szCs w:val="21"/>
              </w:rPr>
              <w:t>蒋家桥段左岸</w:t>
            </w:r>
          </w:p>
        </w:tc>
        <w:tc>
          <w:tcPr>
            <w:tcW w:w="741" w:type="dxa"/>
            <w:tcBorders>
              <w:tl2br w:val="nil"/>
              <w:tr2bl w:val="nil"/>
            </w:tcBorders>
            <w:shd w:val="clear" w:color="auto" w:fill="auto"/>
            <w:noWrap/>
            <w:vAlign w:val="center"/>
          </w:tcPr>
          <w:p>
            <w:pPr>
              <w:pStyle w:val="2986"/>
              <w:rPr>
                <w:b/>
                <w:bCs/>
                <w:sz w:val="21"/>
                <w:szCs w:val="21"/>
              </w:rPr>
            </w:pPr>
            <w:r>
              <w:rPr>
                <w:rFonts w:hint="eastAsia"/>
                <w:b/>
                <w:bCs/>
                <w:sz w:val="21"/>
                <w:szCs w:val="21"/>
              </w:rPr>
              <w:t>21137</w:t>
            </w:r>
          </w:p>
        </w:tc>
        <w:tc>
          <w:tcPr>
            <w:tcW w:w="7413" w:type="dxa"/>
            <w:tcBorders>
              <w:tl2br w:val="nil"/>
              <w:tr2bl w:val="nil"/>
            </w:tcBorders>
            <w:shd w:val="clear" w:color="auto" w:fill="auto"/>
            <w:noWrap w:val="0"/>
            <w:vAlign w:val="center"/>
          </w:tcPr>
          <w:p>
            <w:pPr>
              <w:pStyle w:val="2986"/>
              <w:rPr>
                <w:b/>
                <w:bCs/>
                <w:sz w:val="21"/>
                <w:szCs w:val="21"/>
              </w:rPr>
            </w:pPr>
            <w:r>
              <w:rPr>
                <w:rFonts w:hint="eastAsia"/>
                <w:b/>
                <w:bCs/>
                <w:sz w:val="21"/>
                <w:szCs w:val="21"/>
              </w:rPr>
              <w:t>　</w:t>
            </w:r>
          </w:p>
        </w:tc>
        <w:tc>
          <w:tcPr>
            <w:tcW w:w="1842" w:type="dxa"/>
            <w:tcBorders>
              <w:tl2br w:val="nil"/>
              <w:tr2bl w:val="nil"/>
            </w:tcBorders>
            <w:shd w:val="clear" w:color="auto" w:fill="auto"/>
            <w:noWrap/>
            <w:vAlign w:val="center"/>
          </w:tcPr>
          <w:p>
            <w:pPr>
              <w:pStyle w:val="2986"/>
              <w:rPr>
                <w:b/>
                <w:bCs/>
                <w:sz w:val="21"/>
                <w:szCs w:val="21"/>
              </w:rPr>
            </w:pPr>
            <w:r>
              <w:rPr>
                <w:rFonts w:hint="eastAsia"/>
                <w:b/>
                <w:bCs/>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1</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祁右11+400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祁右11+521</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121</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现有浆砌石挡墙和1#河坝(简坝)，坡脚有滩地，沿线岸顶为农田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2</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祁右11+521</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祁右11+767</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246</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土质岸坡，高度1.1～2.0m，抗冲刷能力较弱，坡脚局部有滩地和砂砾石堆积，沿线岸顶为农田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3</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祁右11+767</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祁右11+851</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84</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现有干砌石挡墙，岸顶为S317公路和山体</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4</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祁右11+851</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祁右11+909</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58</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转弯当冲段，现有浆砌石挡墙，岸顶为房屋</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5</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祁右11+909</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祁右11+968</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59</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转弯当冲段，6.4m高边坡，坡度较陡，部分为岩石，抗冲刷能力较强，岸顶为房屋</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无需护砌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6</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祁右11+968</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祁右12+249</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281</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凸岸不当冲段，土质岸坡，高度1.7～2.7m，坡脚有滩地，沿线岸顶为农田及房屋</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无需护砌，疏浚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7</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祁右12+249</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祁右12+300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51</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现有浆砌石挡墙和4#桥：四化桥，坡脚有滩地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8</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祁右12+300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祁右12+532</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232</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凸岸不当冲段，土质岸坡，高度1.7～3.2m，坡脚有大面积滩地，沿线岸顶为农田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9</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祁右12+532</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祁右12+576</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44</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现有浆砌石挡墙和5#桥：公路桥</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10</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祁右12+576</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祁右13+188</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612</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土质岸坡，高度1.8～3.3m，抗冲刷能力较弱，沿线岸顶为农田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11</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祁右13+188</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祁右13+298</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110</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12</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祁右13+298</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祁右13+444</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146</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土质岸坡，高度1.7～2.6m，抗冲刷能力较弱，沿线岸顶为农田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13</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祁右13+444</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祁右13+478</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34</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现有浆砌石挡墙和7#桥:跨S317公路桥</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14</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祁右13+478</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祁右13+495</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土质岸坡，高度1.5～4.1m，坡度缓，坡脚有大面积滩地，沿线岸顶为农田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15</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祁右13+495</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祁右13+520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25</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16</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祁右13+520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祁右13+747</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227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土质岸坡，高度2.4～4.0m，抗冲刷能力较弱，沿线岸顶为农田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17</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祁右13+747</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祁右13+761</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14</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8#桥：会风桥，河道中间有滩地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18</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祁右13+761</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祁右13+920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159</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土质岸坡，高度1.3～2.8m，抗冲刷能力较弱，沿线岸顶为少量农田和山体</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19</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祁右13+920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祁右14+016</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96</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山体，岩石边坡</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无需护砌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20</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祁右14+016</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祁右14+396</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380</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土质岸坡，高度2.0m左右，局部当冲，抗冲刷能力较弱，沿线岸顶为农田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21</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祁右14+396</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祁右14+467</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71</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5#河坝：马道子坪2#和现有浆砌石挡墙，坡脚有滩地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22</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祁右14+467</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祁右14+698</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231</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土质岸坡，高度1.1～2.2m，抗冲刷能力较弱，坡脚局部有滩地，沿线岸顶为农田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23</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祁右14+698</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祁右14+900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202</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山体，岩石边坡</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无需护砌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24</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祁右14+900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祁右15+122</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222</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土质岸坡，高度1.0～2.2m，抗冲刷能力较弱，沿线岸顶为农田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25</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祁右15+122</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祁右15+250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128</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26</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祁右15+250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祁右15+437</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187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土质岸坡，高度1.3～3.0m，抗冲刷能力较弱，沿线岸顶为农田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27</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祁右15+437</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祁右15+490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53</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转弯当冲段，土质岸坡，高度1.3～5.8m，抗冲刷能力较弱，现存在垮塌现象</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28</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祁右15+490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祁右15+535</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45</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山体，岩石边坡，高约6.3m，坡面及坡脚堆积石渣</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无需护砌，疏浚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29</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祁右15+535</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祁右15+626</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91</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山体，岩石边坡</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无需护砌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30</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祁右15+626</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祁右15+800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174</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8#河坝：半山桥河坝和现有浆砌石挡墙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31</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祁右15+800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祁右16+672</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872</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土质岸坡，高度1.4～3.2m，局部为凸岸不当冲段，坡脚有滩地，沿线岸顶为农田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32</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祁右16+672</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祁右17+153</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481</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大部分为现有浆砌石挡墙，局部土质岸坡，高度1.7～2.5m，岸坡处于基本稳定状态，沿线岸顶为房屋、S317公路和少量农田</w:t>
            </w:r>
          </w:p>
        </w:tc>
        <w:tc>
          <w:tcPr>
            <w:tcW w:w="1842" w:type="dxa"/>
            <w:tcBorders>
              <w:tl2br w:val="nil"/>
              <w:tr2bl w:val="nil"/>
            </w:tcBorders>
            <w:shd w:val="clear" w:color="auto" w:fill="auto"/>
            <w:noWrap w:val="0"/>
            <w:vAlign w:val="center"/>
          </w:tcPr>
          <w:p>
            <w:pPr>
              <w:pStyle w:val="2986"/>
              <w:rPr>
                <w:sz w:val="21"/>
                <w:szCs w:val="21"/>
              </w:rPr>
            </w:pPr>
            <w:r>
              <w:rPr>
                <w:rFonts w:hint="eastAsia"/>
                <w:sz w:val="21"/>
                <w:szCs w:val="21"/>
              </w:rPr>
              <w:t>不再进行护砌和无需护砌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33</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祁右17+153</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祁右17+558</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405</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土质岸坡，高度1.7～2.3m，抗冲刷能力较弱，坡脚局部有滩地，沿线岸顶为农田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34</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祁右17+558</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祁右17+808</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250</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35</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祁右17+808</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祁右18+392</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584</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土质岸坡，高度1.6～2.8m，抗冲刷能力较弱，沿线岸顶为农田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36</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祁右18+392</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祁右18+420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28</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37</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祁右18+420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祁右18+447</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土质岸坡，高度1.3～2.4m，抗冲刷能力较弱，沿线岸顶为农田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考虑连贯性采用硬质护坡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38</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祁右18+447</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祁右18+742</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295</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39</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祁右18+742</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祁右18+824</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82</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土质岸坡，高度1.8～2.2m，抗冲刷能力较弱，沿线岸顶为道路和房屋</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硬质护坡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40</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祁右18+824</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祁右19+167</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343</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现有浆砌石挡墙和土质岸坡，沿线岸顶为房屋</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41</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祁右19+167</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祁右19+504</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337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河坝下游和转弯当冲段，土质岸坡，高度1.7～4.2m，抗冲刷能力较弱，现存在垮塌现象，坡脚有滩地，沿线岸顶为农田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硬质护坡，疏浚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42</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祁右19+504</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祁右20+021</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517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土质岸坡，高度1.5～3.3m，抗冲刷能力较弱，坡脚有大面积滩地，沿线岸顶为农田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43</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祁右20+021</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祁右20+084</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63</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现有浆砌石挡墙，坡脚有滩地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44</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祁右20+084</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祁右20+666</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582</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土质岸坡，高度1.2～3.1m，抗冲刷能力较弱，沿线岸顶为农田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45</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祁右20+666</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祁右21+131</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465</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山体，岩石边坡</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46</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祁右21+131</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祁右21+400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269</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土质岸坡，高度3.0～3.5m，抗冲刷能力较弱，沿线岸顶为道路和房屋</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硬质护坡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47</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祁右21+400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祁右21+821</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421</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5m高边坡，坡度较陡，大部分为岩石，抗冲刷能力较强</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无需护砌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48</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祁右21+821</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祁右22+260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439</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土质岸坡，高度1.0～2.9m，抗冲刷能力较弱，沿线岸顶为农田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49</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祁右22+260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祁右22+297</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37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50</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祁右22+297</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祁右22+575</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278</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土质岸坡，高度1.1～2.2m，抗冲刷能力较弱，沿线岸顶为农田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51</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祁右22+575</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祁右22+605</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30</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19#河坝：谭山岩河坝</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52</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祁右22+605</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祁右23+225</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620</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土质岸坡，高度2.8～3.3m，抗冲刷能力较弱，沿线岸顶为农田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53</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祁右23+225</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祁右23+315</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90</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现有浆砌石挡墙和20#河坝：回水湾河坝</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54</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祁右23+315</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祁右23+405</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90</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转弯当冲段，土质岸坡，高度2.4～3.0m，抗冲刷能力较弱，沿线岸顶为道路和山体</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硬质护坡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55</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祁右23+405</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祁右23+478</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73</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56</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祁右23+478</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祁右23+654</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176</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土质岸坡，高度1.2～3.0m，抗冲刷能力较弱，沿线岸顶为农田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57</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祁右23+654</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祁右23+680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26</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58</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祁右23+680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祁右24+232</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552</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土质岸坡，高度1.7～5.3m，抗冲刷能力较弱，沿线岸顶为农田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59</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祁右24+232</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祁右24+327</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95</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60</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祁右24+327</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祁右24+343</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16</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22#河坝：周家坝下游岸坡未护砌，高度2.0m，抗冲刷能力较弱，沿线岸顶为农田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硬质护坡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61</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祁右24+343</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祁右24+979</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636</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土质岸坡，高度1.1～2.5m，抗冲刷能力较弱，坡脚局部有滩地，沿线岸顶为农田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62</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祁右24+979</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祁右25+036</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57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24#河坝：石湾河坝和现有浆砌石挡墙，坡脚有滩地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63</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祁右25+036</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祁右25+299</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263</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土质岸坡，高度1.1～2.5m，抗冲刷能力较弱，坡脚局部有滩地，沿线岸顶为农田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64</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祁右25+299</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祁右25+318</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19</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25#河坝：云田河坝上游，急转弯段，土质岸坡，高度1.3m左右，岸线不规整，抗冲刷能力较弱，岸顶为旱地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硬质护坡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65</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祁右25+318</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祁右26+216</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898</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大部分为现有浆砌石挡墙，少量土质岸坡整体基本稳定，坡脚局部有滩地，沿线岸顶为蒋家桥镇</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66</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祁右26+216</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祁右26+552</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336</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土质岸坡，高度3.0～3.3m，抗冲刷能力较弱，沿线岸顶为农田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67</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祁右26+552</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祁右27+763</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1211</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现有浆砌石和干砌石挡墙，沿线岸顶为村道和农田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68</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祁右27+763</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祁右28+241</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478</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土质岸坡，高度2.8～3.7m，整体基本稳定，沿线岸顶为村道和农田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69</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祁右28+241</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祁右28+291</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50</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现有挡墙垮塌，岸坡高度3.6m</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挡墙拆除重建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70</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祁右28+291</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祁右28+756</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465</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土质岸坡整体基本稳定，部分为浆砌石挡墙，沿线岸顶为村道、房屋和农田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无需护砌和不再进行护砌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71</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祁右28+756</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祁右30+233</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1477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土质岸坡，高度0.5～3.6m，抗冲刷能力较弱，沿线岸顶为农田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72</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祁右30+233</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祁右30+236</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3</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支流汇入</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73</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祁右30+236</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祁右30+831</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595</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转弯当冲段，土质岸坡，高度2.3～3.5m，抗冲刷能力较弱，多处有塌岸现象，沿线岸顶为农田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硬质护坡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74</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祁右30+831</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祁右31+389</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558</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土质岸坡，高度1.1～4.3m，抗冲刷能力较弱，坡脚局部有滩地，沿线岸顶为农田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75</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祁右31+389</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祁右31+493</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104</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支流汇入</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76</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祁右31+493</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祁右31+730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237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土质岸坡，高度1.7～5.3m，抗冲刷能力较弱，沿线岸顶为农田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77</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祁右31+730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祁右31+735</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5</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78</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祁右31+735</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祁右32+011</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276</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土质岸坡，高度1.9m左右，抗冲刷能力较弱，沿线岸顶为农田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79</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祁右32+011</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祁右32+175</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164</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大面积滩地和曹家祠支流汇入</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80</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祁右32+175</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祁右32+345</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170</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土质岸坡，高度1.7m左右，抗冲刷能力较弱，沿线岸顶为农田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81</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祁右32+345</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祁右32+537</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192</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土质岸坡，高度1.7m左右，抗冲刷能力较弱，沿线岸顶为农田，为下游起点：东风水闸库区范围</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无需护砌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b/>
                <w:bCs/>
                <w:sz w:val="21"/>
                <w:szCs w:val="21"/>
              </w:rPr>
            </w:pPr>
            <w:r>
              <w:rPr>
                <w:rFonts w:hint="eastAsia"/>
                <w:b/>
                <w:bCs/>
                <w:sz w:val="21"/>
                <w:szCs w:val="21"/>
              </w:rPr>
              <w:t>合计</w:t>
            </w:r>
          </w:p>
        </w:tc>
        <w:tc>
          <w:tcPr>
            <w:tcW w:w="3011" w:type="dxa"/>
            <w:gridSpan w:val="2"/>
            <w:tcBorders>
              <w:tl2br w:val="nil"/>
              <w:tr2bl w:val="nil"/>
            </w:tcBorders>
            <w:shd w:val="clear" w:color="auto" w:fill="auto"/>
            <w:noWrap/>
            <w:vAlign w:val="center"/>
          </w:tcPr>
          <w:p>
            <w:pPr>
              <w:pStyle w:val="2986"/>
              <w:rPr>
                <w:b/>
                <w:bCs/>
                <w:sz w:val="21"/>
                <w:szCs w:val="21"/>
              </w:rPr>
            </w:pPr>
            <w:r>
              <w:rPr>
                <w:rFonts w:hint="eastAsia"/>
                <w:b/>
                <w:bCs/>
                <w:sz w:val="21"/>
                <w:szCs w:val="21"/>
              </w:rPr>
              <w:t>蒋家桥段右岸</w:t>
            </w:r>
          </w:p>
        </w:tc>
        <w:tc>
          <w:tcPr>
            <w:tcW w:w="741" w:type="dxa"/>
            <w:tcBorders>
              <w:tl2br w:val="nil"/>
              <w:tr2bl w:val="nil"/>
            </w:tcBorders>
            <w:shd w:val="clear" w:color="auto" w:fill="auto"/>
            <w:noWrap/>
            <w:vAlign w:val="center"/>
          </w:tcPr>
          <w:p>
            <w:pPr>
              <w:pStyle w:val="2986"/>
              <w:rPr>
                <w:b/>
                <w:bCs/>
                <w:sz w:val="21"/>
                <w:szCs w:val="21"/>
              </w:rPr>
            </w:pPr>
            <w:r>
              <w:rPr>
                <w:rFonts w:hint="eastAsia"/>
                <w:b/>
                <w:bCs/>
                <w:sz w:val="21"/>
                <w:szCs w:val="21"/>
              </w:rPr>
              <w:t>21137</w:t>
            </w:r>
          </w:p>
        </w:tc>
        <w:tc>
          <w:tcPr>
            <w:tcW w:w="7413" w:type="dxa"/>
            <w:tcBorders>
              <w:tl2br w:val="nil"/>
              <w:tr2bl w:val="nil"/>
            </w:tcBorders>
            <w:shd w:val="clear" w:color="auto" w:fill="auto"/>
            <w:noWrap w:val="0"/>
            <w:vAlign w:val="center"/>
          </w:tcPr>
          <w:p>
            <w:pPr>
              <w:pStyle w:val="2986"/>
              <w:rPr>
                <w:b/>
                <w:bCs/>
                <w:sz w:val="21"/>
                <w:szCs w:val="21"/>
              </w:rPr>
            </w:pPr>
            <w:r>
              <w:rPr>
                <w:rFonts w:hint="eastAsia"/>
                <w:b/>
                <w:bCs/>
                <w:sz w:val="21"/>
                <w:szCs w:val="21"/>
              </w:rPr>
              <w:t>　</w:t>
            </w:r>
          </w:p>
        </w:tc>
        <w:tc>
          <w:tcPr>
            <w:tcW w:w="1842" w:type="dxa"/>
            <w:tcBorders>
              <w:tl2br w:val="nil"/>
              <w:tr2bl w:val="nil"/>
            </w:tcBorders>
            <w:shd w:val="clear" w:color="auto" w:fill="auto"/>
            <w:noWrap/>
            <w:vAlign w:val="center"/>
          </w:tcPr>
          <w:p>
            <w:pPr>
              <w:pStyle w:val="2986"/>
              <w:rPr>
                <w:b/>
                <w:bCs/>
                <w:sz w:val="21"/>
                <w:szCs w:val="21"/>
              </w:rPr>
            </w:pPr>
            <w:r>
              <w:rPr>
                <w:rFonts w:hint="eastAsia"/>
                <w:b/>
                <w:bCs/>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1</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祁右0+100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祁右0+270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170</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山体，岩石边坡</w:t>
            </w:r>
          </w:p>
        </w:tc>
        <w:tc>
          <w:tcPr>
            <w:tcW w:w="1842" w:type="dxa"/>
            <w:tcBorders>
              <w:tl2br w:val="nil"/>
              <w:tr2bl w:val="nil"/>
            </w:tcBorders>
            <w:shd w:val="clear" w:color="auto" w:fill="auto"/>
            <w:noWrap/>
            <w:vAlign w:val="center"/>
          </w:tcPr>
          <w:p>
            <w:pPr>
              <w:pStyle w:val="2986"/>
              <w:rPr>
                <w:b/>
                <w:bCs/>
                <w:sz w:val="21"/>
                <w:szCs w:val="21"/>
              </w:rPr>
            </w:pPr>
            <w:r>
              <w:rPr>
                <w:rFonts w:hint="eastAsia"/>
                <w:b/>
                <w:bCs/>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2</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祁右0+270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祁右2+722</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2452</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土质岸坡，高度2.1～2.8m左右，抗冲刷能力较弱，沿线岸顶为村道和少量农田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硬质护坡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3</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祁右2+722</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祁右3+127</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405</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现有浆砌石挡墙，沿线岸顶为村道</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4</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祁右3+127</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祁右3+158</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31</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土质岸坡，高度1.0m左右，抗冲刷能力较弱，坡脚有滩地，沿线岸顶为村道</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硬质护坡，疏浚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5</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祁右3+158</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祁右3+175</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17</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马黄山口边河坝</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不再进行护砌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6</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祁右3+175</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祁右3+327</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152</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土质岸坡，高度0.5～1.4m，抗冲刷能力较弱，坡脚有滩地，沿线岸顶为少量农田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7</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祁右3+327</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祁右3+330</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3</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支流汇入</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sz w:val="21"/>
                <w:szCs w:val="21"/>
              </w:rPr>
            </w:pPr>
            <w:r>
              <w:rPr>
                <w:rFonts w:hint="eastAsia"/>
                <w:sz w:val="21"/>
                <w:szCs w:val="21"/>
              </w:rPr>
              <w:t>8</w:t>
            </w:r>
          </w:p>
        </w:tc>
        <w:tc>
          <w:tcPr>
            <w:tcW w:w="1526" w:type="dxa"/>
            <w:tcBorders>
              <w:tl2br w:val="nil"/>
              <w:tr2bl w:val="nil"/>
            </w:tcBorders>
            <w:shd w:val="clear" w:color="auto" w:fill="auto"/>
            <w:noWrap/>
            <w:vAlign w:val="center"/>
          </w:tcPr>
          <w:p>
            <w:pPr>
              <w:pStyle w:val="2986"/>
              <w:rPr>
                <w:sz w:val="21"/>
                <w:szCs w:val="21"/>
              </w:rPr>
            </w:pPr>
            <w:r>
              <w:rPr>
                <w:rFonts w:hint="eastAsia"/>
                <w:sz w:val="21"/>
                <w:szCs w:val="21"/>
              </w:rPr>
              <w:t>祁右3+330</w:t>
            </w:r>
          </w:p>
        </w:tc>
        <w:tc>
          <w:tcPr>
            <w:tcW w:w="1485" w:type="dxa"/>
            <w:tcBorders>
              <w:tl2br w:val="nil"/>
              <w:tr2bl w:val="nil"/>
            </w:tcBorders>
            <w:shd w:val="clear" w:color="auto" w:fill="auto"/>
            <w:noWrap/>
            <w:vAlign w:val="center"/>
          </w:tcPr>
          <w:p>
            <w:pPr>
              <w:pStyle w:val="2986"/>
              <w:rPr>
                <w:sz w:val="21"/>
                <w:szCs w:val="21"/>
              </w:rPr>
            </w:pPr>
            <w:r>
              <w:rPr>
                <w:rFonts w:hint="eastAsia"/>
                <w:sz w:val="21"/>
                <w:szCs w:val="21"/>
              </w:rPr>
              <w:t>祁右3+549</w:t>
            </w:r>
          </w:p>
        </w:tc>
        <w:tc>
          <w:tcPr>
            <w:tcW w:w="741" w:type="dxa"/>
            <w:tcBorders>
              <w:tl2br w:val="nil"/>
              <w:tr2bl w:val="nil"/>
            </w:tcBorders>
            <w:shd w:val="clear" w:color="auto" w:fill="auto"/>
            <w:noWrap/>
            <w:vAlign w:val="center"/>
          </w:tcPr>
          <w:p>
            <w:pPr>
              <w:pStyle w:val="2986"/>
              <w:rPr>
                <w:sz w:val="21"/>
                <w:szCs w:val="21"/>
              </w:rPr>
            </w:pPr>
            <w:r>
              <w:rPr>
                <w:rFonts w:hint="eastAsia"/>
                <w:sz w:val="21"/>
                <w:szCs w:val="21"/>
              </w:rPr>
              <w:t>219</w:t>
            </w:r>
          </w:p>
        </w:tc>
        <w:tc>
          <w:tcPr>
            <w:tcW w:w="7413" w:type="dxa"/>
            <w:tcBorders>
              <w:tl2br w:val="nil"/>
              <w:tr2bl w:val="nil"/>
            </w:tcBorders>
            <w:shd w:val="clear" w:color="auto" w:fill="auto"/>
            <w:noWrap w:val="0"/>
            <w:vAlign w:val="center"/>
          </w:tcPr>
          <w:p>
            <w:pPr>
              <w:pStyle w:val="2986"/>
              <w:rPr>
                <w:sz w:val="21"/>
                <w:szCs w:val="21"/>
              </w:rPr>
            </w:pPr>
            <w:r>
              <w:rPr>
                <w:rFonts w:hint="eastAsia"/>
                <w:sz w:val="21"/>
                <w:szCs w:val="21"/>
              </w:rPr>
              <w:t>土质岸坡，高度0.8～1.5m，抗冲刷能力较弱，坡脚有滩地，沿线岸顶为少量农田</w:t>
            </w:r>
          </w:p>
        </w:tc>
        <w:tc>
          <w:tcPr>
            <w:tcW w:w="1842" w:type="dxa"/>
            <w:tcBorders>
              <w:tl2br w:val="nil"/>
              <w:tr2bl w:val="nil"/>
            </w:tcBorders>
            <w:shd w:val="clear" w:color="auto" w:fill="auto"/>
            <w:noWrap/>
            <w:vAlign w:val="center"/>
          </w:tcPr>
          <w:p>
            <w:pPr>
              <w:pStyle w:val="2986"/>
              <w:rPr>
                <w:sz w:val="21"/>
                <w:szCs w:val="21"/>
              </w:rPr>
            </w:pPr>
            <w:r>
              <w:rPr>
                <w:rFonts w:hint="eastAsia"/>
                <w:sz w:val="21"/>
                <w:szCs w:val="21"/>
              </w:rPr>
              <w:t>生态护坡，疏浚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l2br w:val="nil"/>
              <w:tr2bl w:val="nil"/>
            </w:tcBorders>
            <w:shd w:val="clear" w:color="auto" w:fill="auto"/>
            <w:noWrap/>
            <w:vAlign w:val="center"/>
          </w:tcPr>
          <w:p>
            <w:pPr>
              <w:pStyle w:val="2986"/>
              <w:rPr>
                <w:b/>
                <w:bCs/>
                <w:sz w:val="21"/>
                <w:szCs w:val="21"/>
              </w:rPr>
            </w:pPr>
            <w:r>
              <w:rPr>
                <w:rFonts w:hint="eastAsia"/>
                <w:b/>
                <w:bCs/>
                <w:sz w:val="21"/>
                <w:szCs w:val="21"/>
              </w:rPr>
              <w:t>合计</w:t>
            </w:r>
          </w:p>
        </w:tc>
        <w:tc>
          <w:tcPr>
            <w:tcW w:w="3011" w:type="dxa"/>
            <w:gridSpan w:val="2"/>
            <w:tcBorders>
              <w:tl2br w:val="nil"/>
              <w:tr2bl w:val="nil"/>
            </w:tcBorders>
            <w:shd w:val="clear" w:color="auto" w:fill="auto"/>
            <w:noWrap/>
            <w:vAlign w:val="center"/>
          </w:tcPr>
          <w:p>
            <w:pPr>
              <w:pStyle w:val="2986"/>
              <w:rPr>
                <w:b/>
                <w:bCs/>
                <w:sz w:val="21"/>
                <w:szCs w:val="21"/>
              </w:rPr>
            </w:pPr>
            <w:r>
              <w:rPr>
                <w:rFonts w:hint="eastAsia"/>
                <w:b/>
                <w:bCs/>
                <w:sz w:val="21"/>
                <w:szCs w:val="21"/>
              </w:rPr>
              <w:t>祁水源段右岸</w:t>
            </w:r>
          </w:p>
        </w:tc>
        <w:tc>
          <w:tcPr>
            <w:tcW w:w="741" w:type="dxa"/>
            <w:tcBorders>
              <w:tl2br w:val="nil"/>
              <w:tr2bl w:val="nil"/>
            </w:tcBorders>
            <w:shd w:val="clear" w:color="auto" w:fill="auto"/>
            <w:noWrap/>
            <w:vAlign w:val="center"/>
          </w:tcPr>
          <w:p>
            <w:pPr>
              <w:pStyle w:val="2986"/>
              <w:rPr>
                <w:b/>
                <w:bCs/>
                <w:sz w:val="21"/>
                <w:szCs w:val="21"/>
              </w:rPr>
            </w:pPr>
            <w:r>
              <w:rPr>
                <w:rFonts w:hint="eastAsia"/>
                <w:b/>
                <w:bCs/>
                <w:sz w:val="21"/>
                <w:szCs w:val="21"/>
              </w:rPr>
              <w:t>3449</w:t>
            </w:r>
          </w:p>
        </w:tc>
        <w:tc>
          <w:tcPr>
            <w:tcW w:w="7413" w:type="dxa"/>
            <w:tcBorders>
              <w:tl2br w:val="nil"/>
              <w:tr2bl w:val="nil"/>
            </w:tcBorders>
            <w:shd w:val="clear" w:color="auto" w:fill="auto"/>
            <w:noWrap w:val="0"/>
            <w:vAlign w:val="center"/>
          </w:tcPr>
          <w:p>
            <w:pPr>
              <w:pStyle w:val="2986"/>
              <w:rPr>
                <w:b/>
                <w:bCs/>
                <w:sz w:val="21"/>
                <w:szCs w:val="21"/>
              </w:rPr>
            </w:pPr>
            <w:r>
              <w:rPr>
                <w:rFonts w:hint="eastAsia"/>
                <w:b/>
                <w:bCs/>
                <w:sz w:val="21"/>
                <w:szCs w:val="21"/>
              </w:rPr>
              <w:t>　</w:t>
            </w:r>
          </w:p>
        </w:tc>
        <w:tc>
          <w:tcPr>
            <w:tcW w:w="1842" w:type="dxa"/>
            <w:tcBorders>
              <w:tl2br w:val="nil"/>
              <w:tr2bl w:val="nil"/>
            </w:tcBorders>
            <w:shd w:val="clear" w:color="auto" w:fill="auto"/>
            <w:noWrap/>
            <w:vAlign w:val="center"/>
          </w:tcPr>
          <w:p>
            <w:pPr>
              <w:pStyle w:val="2986"/>
              <w:rPr>
                <w:b/>
                <w:bCs/>
                <w:sz w:val="21"/>
                <w:szCs w:val="21"/>
              </w:rPr>
            </w:pPr>
            <w:r>
              <w:rPr>
                <w:rFonts w:hint="eastAsia"/>
                <w:b/>
                <w:bCs/>
                <w:sz w:val="21"/>
                <w:szCs w:val="21"/>
              </w:rPr>
              <w:t>　</w:t>
            </w:r>
          </w:p>
        </w:tc>
      </w:tr>
    </w:tbl>
    <w:p>
      <w:pPr>
        <w:autoSpaceDE/>
        <w:autoSpaceDN/>
        <w:adjustRightInd w:val="0"/>
        <w:snapToGrid w:val="0"/>
        <w:spacing w:line="360" w:lineRule="auto"/>
        <w:ind w:firstLine="480" w:firstLineChars="200"/>
        <w:jc w:val="both"/>
        <w:rPr>
          <w:rFonts w:hint="eastAsia" w:ascii="Times New Roman" w:hAnsi="Times New Roman" w:cs="Times New Roman"/>
          <w:b w:val="0"/>
          <w:bCs/>
          <w:color w:val="auto"/>
          <w:sz w:val="24"/>
          <w:szCs w:val="24"/>
          <w:highlight w:val="none"/>
          <w:vertAlign w:val="baseline"/>
          <w:lang w:val="en-US" w:eastAsia="zh-CN"/>
        </w:rPr>
      </w:pPr>
    </w:p>
    <w:p>
      <w:pPr>
        <w:autoSpaceDE/>
        <w:autoSpaceDN/>
        <w:adjustRightInd w:val="0"/>
        <w:snapToGrid w:val="0"/>
        <w:spacing w:line="360" w:lineRule="auto"/>
        <w:ind w:firstLine="480" w:firstLineChars="200"/>
        <w:jc w:val="both"/>
        <w:rPr>
          <w:rFonts w:hint="eastAsia" w:ascii="Times New Roman" w:hAnsi="Times New Roman" w:cs="Times New Roman"/>
          <w:b w:val="0"/>
          <w:bCs/>
          <w:color w:val="auto"/>
          <w:sz w:val="24"/>
          <w:szCs w:val="24"/>
          <w:highlight w:val="none"/>
          <w:vertAlign w:val="baseline"/>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26" w:charSpace="0"/>
        </w:sectPr>
      </w:pPr>
    </w:p>
    <w:p>
      <w:pPr>
        <w:pStyle w:val="5"/>
        <w:tabs>
          <w:tab w:val="left" w:pos="766"/>
        </w:tabs>
        <w:autoSpaceDE/>
        <w:autoSpaceDN/>
        <w:adjustRightInd w:val="0"/>
        <w:snapToGrid w:val="0"/>
        <w:spacing w:before="0" w:line="360" w:lineRule="auto"/>
        <w:ind w:left="0" w:firstLine="0"/>
        <w:jc w:val="both"/>
        <w:rPr>
          <w:rFonts w:ascii="Times New Roman" w:hAnsi="Times New Roman" w:cs="Times New Roman"/>
          <w:snapToGrid w:val="0"/>
        </w:rPr>
      </w:pPr>
      <w:bookmarkStart w:id="129" w:name="_Toc11859"/>
      <w:r>
        <w:rPr>
          <w:rFonts w:ascii="Times New Roman" w:hAnsi="Times New Roman" w:cs="Times New Roman"/>
          <w:snapToGrid w:val="0"/>
        </w:rPr>
        <w:t>3.2建设项目概况</w:t>
      </w:r>
      <w:bookmarkEnd w:id="129"/>
    </w:p>
    <w:p>
      <w:pPr>
        <w:autoSpaceDE/>
        <w:autoSpaceDN/>
        <w:adjustRightInd w:val="0"/>
        <w:snapToGrid w:val="0"/>
        <w:spacing w:line="360" w:lineRule="auto"/>
        <w:jc w:val="both"/>
        <w:outlineLvl w:val="2"/>
        <w:rPr>
          <w:rFonts w:ascii="Times New Roman" w:hAnsi="Times New Roman" w:cs="Times New Roman"/>
          <w:b/>
          <w:sz w:val="28"/>
          <w:szCs w:val="24"/>
        </w:rPr>
      </w:pPr>
      <w:bookmarkStart w:id="130" w:name="_Toc69284563"/>
      <w:bookmarkStart w:id="131" w:name="_Toc82593103"/>
      <w:bookmarkStart w:id="132" w:name="_Toc7531"/>
      <w:bookmarkStart w:id="133" w:name="_Toc66206037"/>
      <w:r>
        <w:rPr>
          <w:rFonts w:ascii="Times New Roman" w:hAnsi="Times New Roman" w:cs="Times New Roman"/>
          <w:b/>
          <w:sz w:val="28"/>
          <w:szCs w:val="24"/>
        </w:rPr>
        <w:t>3.2.1项目基本情况</w:t>
      </w:r>
      <w:bookmarkEnd w:id="130"/>
      <w:bookmarkEnd w:id="131"/>
      <w:bookmarkEnd w:id="132"/>
      <w:bookmarkEnd w:id="133"/>
    </w:p>
    <w:p>
      <w:pPr>
        <w:pStyle w:val="2"/>
        <w:autoSpaceDE/>
        <w:autoSpaceDN/>
        <w:adjustRightInd w:val="0"/>
        <w:snapToGrid w:val="0"/>
        <w:spacing w:before="0" w:line="360" w:lineRule="auto"/>
        <w:ind w:left="0" w:firstLine="480" w:firstLineChars="200"/>
        <w:jc w:val="both"/>
        <w:rPr>
          <w:rFonts w:ascii="Times New Roman" w:hAnsi="Times New Roman" w:cs="Times New Roman"/>
        </w:rPr>
      </w:pPr>
      <w:bookmarkStart w:id="134" w:name="_Hlk65830072"/>
      <w:r>
        <w:rPr>
          <w:rFonts w:ascii="Times New Roman" w:hAnsi="Times New Roman" w:cs="Times New Roman"/>
        </w:rPr>
        <w:t>项目名称：</w:t>
      </w:r>
      <w:r>
        <w:rPr>
          <w:rFonts w:hint="eastAsia" w:ascii="Times New Roman" w:hAnsi="Times New Roman" w:cs="Times New Roman"/>
          <w:lang w:eastAsia="zh-CN"/>
        </w:rPr>
        <w:t>祁水祁东县治理工程（祁水三期）</w:t>
      </w:r>
      <w:r>
        <w:rPr>
          <w:rFonts w:ascii="Times New Roman" w:hAnsi="Times New Roman" w:cs="Times New Roman"/>
        </w:rPr>
        <w:t>；</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建设单位：</w:t>
      </w:r>
      <w:r>
        <w:rPr>
          <w:rFonts w:hint="eastAsia" w:ascii="Times New Roman" w:hAnsi="Times New Roman" w:cs="Times New Roman"/>
          <w:lang w:eastAsia="zh-CN"/>
        </w:rPr>
        <w:t>祁东县水利水电管理站</w:t>
      </w:r>
      <w:r>
        <w:rPr>
          <w:rFonts w:ascii="Times New Roman" w:hAnsi="Times New Roman" w:cs="Times New Roman"/>
        </w:rPr>
        <w:t>；</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项目实施地点：</w:t>
      </w:r>
      <w:r>
        <w:rPr>
          <w:rFonts w:hint="eastAsia" w:ascii="Times New Roman" w:hAnsi="Times New Roman" w:cs="Times New Roman"/>
          <w:snapToGrid w:val="0"/>
          <w:lang w:eastAsia="zh-CN"/>
        </w:rPr>
        <w:t>四明山乡、太和堂镇、蒋家桥镇、城连圩乡</w:t>
      </w:r>
      <w:r>
        <w:rPr>
          <w:rFonts w:ascii="Times New Roman" w:hAnsi="Times New Roman" w:cs="Times New Roman"/>
          <w:snapToGrid w:val="0"/>
        </w:rPr>
        <w:t>；</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项目性质：新建；</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项目总投资：本项目总投资</w:t>
      </w:r>
      <w:r>
        <w:rPr>
          <w:rFonts w:hint="eastAsia" w:ascii="Times New Roman" w:hAnsi="Times New Roman" w:cs="Times New Roman"/>
          <w:lang w:eastAsia="zh-CN"/>
        </w:rPr>
        <w:t>8704.98</w:t>
      </w:r>
      <w:r>
        <w:rPr>
          <w:rFonts w:ascii="Times New Roman" w:hAnsi="Times New Roman" w:cs="Times New Roman"/>
        </w:rPr>
        <w:t>万元。</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项目建设内容：</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根据项目区自然地理条件和防洪治涝工程现状，结合乡镇总体规划，项目区不新建堤防，以护岸为主，对河岸顶部进行基本整平，明显低于周边岸坡位置进行填土，并配套建设涵管和踏步，对河道进行清淤疏浚，并对存在安全隐患的河坝进行加固或重建。综合治理总长度23.900km，其中太和堂段长20.920km（祁32+320～祁11+400），祁水源段长2.980km（祁3+550～祁3+100、祁2+800～祁0+270）。具体措施如下</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1）护岸工程全长30.017km，其中太和堂段左岸12.546km，太和堂段右岸14.617km，祁水源段右岸2.483km；</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2）河道清淤疏浚：综合清淤疏浚总长度14.619km；</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3）建筑物工程：本次治理范围内共有河坝31处，其中拆除重建1处，改造加固5处；</w:t>
      </w:r>
    </w:p>
    <w:p>
      <w:pPr>
        <w:pStyle w:val="2"/>
        <w:autoSpaceDE/>
        <w:autoSpaceDN/>
        <w:adjustRightInd w:val="0"/>
        <w:snapToGrid w:val="0"/>
        <w:spacing w:before="0" w:line="360" w:lineRule="auto"/>
        <w:ind w:left="0" w:firstLine="480" w:firstLineChars="200"/>
        <w:jc w:val="both"/>
        <w:rPr>
          <w:rFonts w:hint="eastAsia" w:ascii="Times New Roman" w:hAnsi="Times New Roman" w:eastAsia="宋体" w:cs="Times New Roman"/>
          <w:lang w:eastAsia="zh-CN"/>
        </w:rPr>
      </w:pPr>
      <w:r>
        <w:rPr>
          <w:rFonts w:hint="eastAsia" w:ascii="Times New Roman" w:hAnsi="Times New Roman" w:cs="Times New Roman"/>
        </w:rPr>
        <w:t>4）附属建筑物工程：涵管：本次设计护岸段沿线新建涵管162处，其中新建φ1200涵管2处，新建φ1000涵管8处，新建φ500涵管20处，新建φ300涵管12处，新建φ200涵管120处；踏步：本次治理河段范围内共设80处踏步</w:t>
      </w:r>
      <w:r>
        <w:rPr>
          <w:rFonts w:hint="eastAsia" w:ascii="Times New Roman" w:hAnsi="Times New Roman" w:cs="Times New Roman"/>
          <w:lang w:eastAsia="zh-CN"/>
        </w:rPr>
        <w:t>。</w:t>
      </w:r>
    </w:p>
    <w:bookmarkEnd w:id="134"/>
    <w:p>
      <w:pPr>
        <w:autoSpaceDE/>
        <w:autoSpaceDN/>
        <w:adjustRightInd w:val="0"/>
        <w:snapToGrid w:val="0"/>
        <w:spacing w:line="360" w:lineRule="auto"/>
        <w:jc w:val="both"/>
        <w:outlineLvl w:val="2"/>
        <w:rPr>
          <w:rFonts w:ascii="Times New Roman" w:hAnsi="Times New Roman" w:cs="Times New Roman"/>
          <w:b/>
          <w:sz w:val="28"/>
          <w:szCs w:val="24"/>
        </w:rPr>
      </w:pPr>
      <w:bookmarkStart w:id="135" w:name="_Toc82593104"/>
      <w:bookmarkStart w:id="136" w:name="_Toc5118"/>
      <w:bookmarkStart w:id="137" w:name="_Toc69284564"/>
      <w:bookmarkStart w:id="138" w:name="_Toc66206038"/>
      <w:r>
        <w:rPr>
          <w:rFonts w:ascii="Times New Roman" w:hAnsi="Times New Roman" w:cs="Times New Roman"/>
          <w:b/>
          <w:sz w:val="28"/>
          <w:szCs w:val="24"/>
        </w:rPr>
        <w:t>3.2.2项目主要建设内容</w:t>
      </w:r>
      <w:bookmarkEnd w:id="135"/>
      <w:bookmarkEnd w:id="136"/>
      <w:bookmarkEnd w:id="137"/>
      <w:bookmarkEnd w:id="138"/>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本项目的主要建设内容见表3.2-1。</w:t>
      </w:r>
    </w:p>
    <w:p>
      <w:pPr>
        <w:pStyle w:val="2"/>
        <w:autoSpaceDE/>
        <w:autoSpaceDN/>
        <w:adjustRightInd w:val="0"/>
        <w:snapToGrid w:val="0"/>
        <w:spacing w:before="0" w:line="360" w:lineRule="auto"/>
        <w:ind w:left="0"/>
        <w:jc w:val="center"/>
        <w:rPr>
          <w:rFonts w:ascii="Times New Roman" w:hAnsi="Times New Roman" w:cs="Times New Roman"/>
          <w:b/>
        </w:rPr>
      </w:pPr>
      <w:r>
        <w:rPr>
          <w:rFonts w:ascii="Times New Roman" w:hAnsi="Times New Roman" w:cs="Times New Roman"/>
          <w:b/>
        </w:rPr>
        <w:t>表3.2-1   主要建设内容一览表</w:t>
      </w:r>
    </w:p>
    <w:tbl>
      <w:tblPr>
        <w:tblStyle w:val="89"/>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171"/>
        <w:gridCol w:w="2037"/>
        <w:gridCol w:w="531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687" w:type="pct"/>
            <w:vAlign w:val="center"/>
          </w:tcPr>
          <w:p>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项目</w:t>
            </w:r>
          </w:p>
        </w:tc>
        <w:tc>
          <w:tcPr>
            <w:tcW w:w="1195" w:type="pct"/>
            <w:vAlign w:val="center"/>
          </w:tcPr>
          <w:p>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名称</w:t>
            </w:r>
          </w:p>
        </w:tc>
        <w:tc>
          <w:tcPr>
            <w:tcW w:w="3117" w:type="pct"/>
            <w:vAlign w:val="center"/>
          </w:tcPr>
          <w:p>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规模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85" w:hRule="atLeast"/>
          <w:jc w:val="center"/>
        </w:trPr>
        <w:tc>
          <w:tcPr>
            <w:tcW w:w="687" w:type="pct"/>
            <w:vMerge w:val="restart"/>
            <w:tcBorders>
              <w:top w:val="single" w:color="000000" w:themeColor="text1" w:sz="4" w:space="0"/>
            </w:tcBorders>
            <w:vAlign w:val="center"/>
          </w:tcPr>
          <w:p>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主体工程</w:t>
            </w:r>
          </w:p>
        </w:tc>
        <w:tc>
          <w:tcPr>
            <w:tcW w:w="1195" w:type="pct"/>
            <w:vAlign w:val="center"/>
          </w:tcPr>
          <w:p>
            <w:pPr>
              <w:pStyle w:val="124"/>
              <w:spacing w:before="17"/>
              <w:ind w:left="113"/>
              <w:rPr>
                <w:rFonts w:ascii="Times New Roman" w:hAnsi="Times New Roman" w:cs="Times New Roman" w:eastAsiaTheme="minorEastAsia"/>
                <w:sz w:val="21"/>
                <w:szCs w:val="21"/>
              </w:rPr>
            </w:pPr>
            <w:r>
              <w:rPr>
                <w:rFonts w:hint="eastAsia" w:ascii="Times New Roman" w:hAnsi="Times New Roman" w:cs="Times New Roman"/>
              </w:rPr>
              <w:t>护岸工程</w:t>
            </w:r>
          </w:p>
        </w:tc>
        <w:tc>
          <w:tcPr>
            <w:tcW w:w="3117" w:type="pct"/>
            <w:vAlign w:val="center"/>
          </w:tcPr>
          <w:p>
            <w:pPr>
              <w:jc w:val="center"/>
              <w:rPr>
                <w:rFonts w:ascii="Times New Roman" w:hAnsi="Times New Roman" w:cs="Times New Roman" w:eastAsiaTheme="minorEastAsia"/>
                <w:sz w:val="21"/>
                <w:szCs w:val="21"/>
              </w:rPr>
            </w:pPr>
            <w:r>
              <w:rPr>
                <w:rFonts w:hint="eastAsia" w:ascii="Times New Roman" w:hAnsi="Times New Roman" w:cs="Times New Roman"/>
              </w:rPr>
              <w:t>护岸工程全长30.017km，其中太和堂段左岸12.546km，太和堂段右岸14.617km，祁水源段右岸2.483km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641" w:hRule="atLeast"/>
          <w:jc w:val="center"/>
        </w:trPr>
        <w:tc>
          <w:tcPr>
            <w:tcW w:w="687" w:type="pct"/>
            <w:vMerge w:val="continue"/>
            <w:vAlign w:val="center"/>
          </w:tcPr>
          <w:p>
            <w:pPr>
              <w:jc w:val="center"/>
              <w:rPr>
                <w:rFonts w:ascii="Times New Roman" w:hAnsi="Times New Roman" w:cs="Times New Roman" w:eastAsiaTheme="minorEastAsia"/>
                <w:sz w:val="21"/>
                <w:szCs w:val="21"/>
              </w:rPr>
            </w:pPr>
          </w:p>
        </w:tc>
        <w:tc>
          <w:tcPr>
            <w:tcW w:w="1195" w:type="pct"/>
            <w:vAlign w:val="center"/>
          </w:tcPr>
          <w:p>
            <w:pPr>
              <w:pStyle w:val="124"/>
              <w:spacing w:before="17"/>
              <w:ind w:left="113"/>
              <w:rPr>
                <w:rFonts w:ascii="Times New Roman" w:hAnsi="Times New Roman" w:cs="Times New Roman" w:eastAsiaTheme="minorEastAsia"/>
                <w:sz w:val="21"/>
                <w:szCs w:val="21"/>
              </w:rPr>
            </w:pPr>
            <w:r>
              <w:rPr>
                <w:rFonts w:hint="eastAsia" w:ascii="Times New Roman" w:hAnsi="Times New Roman" w:cs="Times New Roman"/>
              </w:rPr>
              <w:t>河道清淤疏浚</w:t>
            </w:r>
          </w:p>
        </w:tc>
        <w:tc>
          <w:tcPr>
            <w:tcW w:w="3117" w:type="pct"/>
            <w:vAlign w:val="center"/>
          </w:tcPr>
          <w:p>
            <w:pPr>
              <w:jc w:val="center"/>
              <w:rPr>
                <w:rFonts w:ascii="Times New Roman" w:hAnsi="Times New Roman" w:cs="Times New Roman" w:eastAsiaTheme="minorEastAsia"/>
                <w:sz w:val="21"/>
                <w:szCs w:val="21"/>
              </w:rPr>
            </w:pPr>
            <w:r>
              <w:rPr>
                <w:rFonts w:hint="eastAsia" w:ascii="Times New Roman" w:hAnsi="Times New Roman" w:cs="Times New Roman"/>
              </w:rPr>
              <w:t>综合清淤疏浚总长度14.619km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641" w:hRule="atLeast"/>
          <w:jc w:val="center"/>
        </w:trPr>
        <w:tc>
          <w:tcPr>
            <w:tcW w:w="687" w:type="pct"/>
            <w:vMerge w:val="continue"/>
            <w:vAlign w:val="center"/>
          </w:tcPr>
          <w:p>
            <w:pPr>
              <w:jc w:val="center"/>
              <w:rPr>
                <w:rFonts w:ascii="Times New Roman" w:hAnsi="Times New Roman" w:cs="Times New Roman" w:eastAsiaTheme="minorEastAsia"/>
                <w:sz w:val="21"/>
                <w:szCs w:val="21"/>
              </w:rPr>
            </w:pPr>
          </w:p>
        </w:tc>
        <w:tc>
          <w:tcPr>
            <w:tcW w:w="1195" w:type="pct"/>
            <w:vAlign w:val="center"/>
          </w:tcPr>
          <w:p>
            <w:pPr>
              <w:pStyle w:val="124"/>
              <w:spacing w:before="17"/>
              <w:ind w:left="113"/>
              <w:rPr>
                <w:rFonts w:ascii="Times New Roman" w:hAnsi="Times New Roman" w:cs="Times New Roman" w:eastAsiaTheme="minorEastAsia"/>
                <w:sz w:val="21"/>
                <w:szCs w:val="21"/>
              </w:rPr>
            </w:pPr>
            <w:r>
              <w:rPr>
                <w:rFonts w:hint="eastAsia" w:ascii="Times New Roman" w:hAnsi="Times New Roman" w:cs="Times New Roman"/>
              </w:rPr>
              <w:t>河坝工程</w:t>
            </w:r>
          </w:p>
        </w:tc>
        <w:tc>
          <w:tcPr>
            <w:tcW w:w="3117" w:type="pct"/>
            <w:vAlign w:val="center"/>
          </w:tcPr>
          <w:p>
            <w:pPr>
              <w:jc w:val="center"/>
              <w:rPr>
                <w:rFonts w:ascii="Times New Roman" w:hAnsi="Times New Roman" w:cs="Times New Roman" w:eastAsiaTheme="minorEastAsia"/>
                <w:sz w:val="21"/>
                <w:szCs w:val="21"/>
              </w:rPr>
            </w:pPr>
            <w:r>
              <w:rPr>
                <w:rFonts w:hint="eastAsia" w:ascii="Times New Roman" w:hAnsi="Times New Roman" w:cs="Times New Roman"/>
              </w:rPr>
              <w:t>拆除重建河坝1处，改造加固河坝5处</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641" w:hRule="atLeast"/>
          <w:jc w:val="center"/>
        </w:trPr>
        <w:tc>
          <w:tcPr>
            <w:tcW w:w="687" w:type="pct"/>
            <w:vMerge w:val="continue"/>
            <w:vAlign w:val="center"/>
          </w:tcPr>
          <w:p>
            <w:pPr>
              <w:jc w:val="center"/>
              <w:rPr>
                <w:rFonts w:ascii="Times New Roman" w:hAnsi="Times New Roman" w:cs="Times New Roman" w:eastAsiaTheme="minorEastAsia"/>
                <w:sz w:val="21"/>
                <w:szCs w:val="21"/>
              </w:rPr>
            </w:pPr>
          </w:p>
        </w:tc>
        <w:tc>
          <w:tcPr>
            <w:tcW w:w="1195" w:type="pct"/>
            <w:vAlign w:val="center"/>
          </w:tcPr>
          <w:p>
            <w:pPr>
              <w:pStyle w:val="124"/>
              <w:spacing w:before="17"/>
              <w:ind w:left="113"/>
              <w:rPr>
                <w:rFonts w:hint="eastAsia" w:ascii="Times New Roman" w:hAnsi="Times New Roman" w:cs="Times New Roman"/>
              </w:rPr>
            </w:pPr>
            <w:r>
              <w:rPr>
                <w:rFonts w:hint="eastAsia" w:ascii="Times New Roman" w:hAnsi="Times New Roman" w:cs="Times New Roman"/>
              </w:rPr>
              <w:t>涵管</w:t>
            </w:r>
          </w:p>
        </w:tc>
        <w:tc>
          <w:tcPr>
            <w:tcW w:w="3117" w:type="pct"/>
            <w:vAlign w:val="center"/>
          </w:tcPr>
          <w:p>
            <w:pPr>
              <w:jc w:val="center"/>
              <w:rPr>
                <w:rFonts w:hint="eastAsia" w:ascii="Times New Roman" w:hAnsi="Times New Roman" w:cs="Times New Roman"/>
              </w:rPr>
            </w:pPr>
            <w:r>
              <w:rPr>
                <w:rFonts w:hint="eastAsia" w:ascii="Times New Roman" w:hAnsi="Times New Roman" w:cs="Times New Roman"/>
              </w:rPr>
              <w:t>本次设计护岸段沿线新建涵管162处，其中新建φ1200涵管2处，新建φ1000涵管8处，新建φ500涵管20处，新建φ300涵管12处，新建φ200涵管120处</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641" w:hRule="atLeast"/>
          <w:jc w:val="center"/>
        </w:trPr>
        <w:tc>
          <w:tcPr>
            <w:tcW w:w="687" w:type="pct"/>
            <w:vMerge w:val="continue"/>
            <w:vAlign w:val="center"/>
          </w:tcPr>
          <w:p>
            <w:pPr>
              <w:jc w:val="center"/>
              <w:rPr>
                <w:rFonts w:ascii="Times New Roman" w:hAnsi="Times New Roman" w:cs="Times New Roman" w:eastAsiaTheme="minorEastAsia"/>
                <w:sz w:val="21"/>
                <w:szCs w:val="21"/>
              </w:rPr>
            </w:pPr>
          </w:p>
        </w:tc>
        <w:tc>
          <w:tcPr>
            <w:tcW w:w="1195" w:type="pct"/>
            <w:vAlign w:val="center"/>
          </w:tcPr>
          <w:p>
            <w:pPr>
              <w:pStyle w:val="124"/>
              <w:spacing w:before="17"/>
              <w:ind w:left="113"/>
              <w:rPr>
                <w:rFonts w:hint="eastAsia" w:ascii="Times New Roman" w:hAnsi="Times New Roman" w:cs="Times New Roman"/>
              </w:rPr>
            </w:pPr>
            <w:r>
              <w:rPr>
                <w:rFonts w:hint="eastAsia" w:ascii="Times New Roman" w:hAnsi="Times New Roman" w:cs="Times New Roman"/>
              </w:rPr>
              <w:t>踏步</w:t>
            </w:r>
          </w:p>
        </w:tc>
        <w:tc>
          <w:tcPr>
            <w:tcW w:w="3117" w:type="pct"/>
            <w:vAlign w:val="center"/>
          </w:tcPr>
          <w:p>
            <w:pPr>
              <w:jc w:val="center"/>
              <w:rPr>
                <w:rFonts w:hint="eastAsia" w:ascii="Times New Roman" w:hAnsi="Times New Roman" w:cs="Times New Roman"/>
              </w:rPr>
            </w:pPr>
            <w:r>
              <w:rPr>
                <w:rFonts w:hint="eastAsia" w:ascii="Times New Roman" w:hAnsi="Times New Roman" w:cs="Times New Roman"/>
              </w:rPr>
              <w:t>治理河段范围内共设80处踏步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641" w:hRule="atLeast"/>
          <w:jc w:val="center"/>
        </w:trPr>
        <w:tc>
          <w:tcPr>
            <w:tcW w:w="687" w:type="pct"/>
            <w:vMerge w:val="restart"/>
            <w:vAlign w:val="center"/>
          </w:tcPr>
          <w:p>
            <w:pPr>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辅助工程</w:t>
            </w:r>
          </w:p>
        </w:tc>
        <w:tc>
          <w:tcPr>
            <w:tcW w:w="1195" w:type="pct"/>
            <w:vAlign w:val="center"/>
          </w:tcPr>
          <w:p>
            <w:pPr>
              <w:pStyle w:val="124"/>
              <w:spacing w:before="17"/>
              <w:ind w:left="113"/>
              <w:rPr>
                <w:rFonts w:hint="eastAsia" w:ascii="Times New Roman" w:hAnsi="Times New Roman" w:cs="Times New Roman"/>
              </w:rPr>
            </w:pPr>
            <w:r>
              <w:rPr>
                <w:rFonts w:hint="eastAsia" w:ascii="Times New Roman" w:hAnsi="Times New Roman" w:cs="Times New Roman"/>
              </w:rPr>
              <w:t>施工营地</w:t>
            </w:r>
          </w:p>
        </w:tc>
        <w:tc>
          <w:tcPr>
            <w:tcW w:w="3117" w:type="pct"/>
            <w:vAlign w:val="center"/>
          </w:tcPr>
          <w:p>
            <w:pPr>
              <w:jc w:val="center"/>
              <w:rPr>
                <w:rFonts w:hint="eastAsia" w:ascii="Times New Roman" w:hAnsi="Times New Roman" w:cs="Times New Roman"/>
              </w:rPr>
            </w:pPr>
            <w:r>
              <w:rPr>
                <w:rFonts w:hint="eastAsia" w:ascii="Times New Roman" w:hAnsi="Times New Roman" w:cs="Times New Roman"/>
              </w:rPr>
              <w:t>施工工厂建筑面积400m</w:t>
            </w:r>
            <w:r>
              <w:rPr>
                <w:rFonts w:hint="eastAsia" w:ascii="Times New Roman" w:hAnsi="Times New Roman" w:cs="Times New Roman"/>
                <w:vertAlign w:val="superscript"/>
              </w:rPr>
              <w:t>2</w:t>
            </w:r>
            <w:r>
              <w:rPr>
                <w:rFonts w:hint="eastAsia" w:ascii="Times New Roman" w:hAnsi="Times New Roman" w:cs="Times New Roman"/>
              </w:rPr>
              <w:t>，占地面积10250m</w:t>
            </w:r>
            <w:r>
              <w:rPr>
                <w:rFonts w:hint="eastAsia" w:ascii="Times New Roman" w:hAnsi="Times New Roman" w:cs="Times New Roman"/>
                <w:vertAlign w:val="superscript"/>
              </w:rPr>
              <w:t>2</w:t>
            </w:r>
            <w:r>
              <w:rPr>
                <w:rFonts w:hint="eastAsia" w:ascii="Times New Roman" w:hAnsi="Times New Roman" w:cs="Times New Roman"/>
              </w:rPr>
              <w:t>，仓库建筑面积共计1000m</w:t>
            </w:r>
            <w:r>
              <w:rPr>
                <w:rFonts w:hint="eastAsia" w:ascii="Times New Roman" w:hAnsi="Times New Roman" w:cs="Times New Roman"/>
                <w:vertAlign w:val="superscript"/>
              </w:rPr>
              <w:t>2</w:t>
            </w:r>
            <w:r>
              <w:rPr>
                <w:rFonts w:hint="eastAsia" w:ascii="Times New Roman" w:hAnsi="Times New Roman" w:cs="Times New Roman"/>
              </w:rPr>
              <w:t>，占地面积1500m</w:t>
            </w:r>
            <w:r>
              <w:rPr>
                <w:rFonts w:hint="eastAsia" w:ascii="Times New Roman" w:hAnsi="Times New Roman" w:cs="Times New Roman"/>
                <w:vertAlign w:val="superscript"/>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641" w:hRule="atLeast"/>
          <w:jc w:val="center"/>
        </w:trPr>
        <w:tc>
          <w:tcPr>
            <w:tcW w:w="687" w:type="pct"/>
            <w:vMerge w:val="continue"/>
            <w:vAlign w:val="center"/>
          </w:tcPr>
          <w:p>
            <w:pPr>
              <w:jc w:val="center"/>
              <w:rPr>
                <w:rFonts w:ascii="Times New Roman" w:hAnsi="Times New Roman" w:cs="Times New Roman" w:eastAsiaTheme="minorEastAsia"/>
                <w:sz w:val="21"/>
                <w:szCs w:val="21"/>
              </w:rPr>
            </w:pPr>
          </w:p>
        </w:tc>
        <w:tc>
          <w:tcPr>
            <w:tcW w:w="1195" w:type="pct"/>
            <w:vAlign w:val="center"/>
          </w:tcPr>
          <w:p>
            <w:pPr>
              <w:pStyle w:val="124"/>
              <w:spacing w:before="17"/>
              <w:ind w:left="113"/>
              <w:rPr>
                <w:rFonts w:hint="eastAsia" w:ascii="Times New Roman" w:hAnsi="Times New Roman" w:cs="Times New Roman"/>
              </w:rPr>
            </w:pPr>
            <w:r>
              <w:rPr>
                <w:rFonts w:hint="eastAsia" w:ascii="Times New Roman" w:hAnsi="Times New Roman" w:cs="Times New Roman"/>
              </w:rPr>
              <w:t>弃渣场</w:t>
            </w:r>
          </w:p>
        </w:tc>
        <w:tc>
          <w:tcPr>
            <w:tcW w:w="3117" w:type="pct"/>
            <w:vAlign w:val="center"/>
          </w:tcPr>
          <w:p>
            <w:pPr>
              <w:jc w:val="center"/>
              <w:rPr>
                <w:rFonts w:hint="eastAsia" w:ascii="Times New Roman" w:hAnsi="Times New Roman" w:cs="Times New Roman"/>
              </w:rPr>
            </w:pPr>
            <w:r>
              <w:rPr>
                <w:rFonts w:hint="eastAsia" w:ascii="Times New Roman" w:hAnsi="Times New Roman" w:cs="Times New Roman"/>
              </w:rPr>
              <w:t>弃渣场沿线设五处，总弃料量242069.6m</w:t>
            </w:r>
            <w:r>
              <w:rPr>
                <w:rFonts w:hint="eastAsia" w:ascii="Times New Roman" w:hAnsi="Times New Roman" w:cs="Times New Roman"/>
                <w:vertAlign w:val="superscript"/>
              </w:rPr>
              <w:t>3</w:t>
            </w:r>
            <w:r>
              <w:rPr>
                <w:rFonts w:hint="eastAsia" w:ascii="Times New Roman" w:hAnsi="Times New Roman" w:cs="Times New Roman"/>
              </w:rPr>
              <w:t>，按平均运距3km进行堆弃，总占地面积24207.0m</w:t>
            </w:r>
            <w:r>
              <w:rPr>
                <w:rFonts w:hint="eastAsia" w:ascii="Times New Roman" w:hAnsi="Times New Roman" w:cs="Times New Roman"/>
                <w:vertAlign w:val="superscript"/>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641" w:hRule="atLeast"/>
          <w:jc w:val="center"/>
        </w:trPr>
        <w:tc>
          <w:tcPr>
            <w:tcW w:w="687" w:type="pct"/>
            <w:vMerge w:val="continue"/>
            <w:vAlign w:val="center"/>
          </w:tcPr>
          <w:p>
            <w:pPr>
              <w:jc w:val="center"/>
              <w:rPr>
                <w:rFonts w:ascii="Times New Roman" w:hAnsi="Times New Roman" w:cs="Times New Roman" w:eastAsiaTheme="minorEastAsia"/>
                <w:sz w:val="21"/>
                <w:szCs w:val="21"/>
              </w:rPr>
            </w:pPr>
          </w:p>
        </w:tc>
        <w:tc>
          <w:tcPr>
            <w:tcW w:w="1195" w:type="pct"/>
            <w:vAlign w:val="center"/>
          </w:tcPr>
          <w:p>
            <w:pPr>
              <w:pStyle w:val="124"/>
              <w:spacing w:before="17"/>
              <w:ind w:left="113"/>
              <w:rPr>
                <w:rFonts w:hint="eastAsia" w:ascii="Times New Roman" w:hAnsi="Times New Roman" w:cs="Times New Roman"/>
              </w:rPr>
            </w:pPr>
            <w:r>
              <w:rPr>
                <w:rFonts w:hint="eastAsia" w:ascii="Times New Roman" w:hAnsi="Times New Roman" w:cs="Times New Roman"/>
              </w:rPr>
              <w:t>临时道路</w:t>
            </w:r>
          </w:p>
        </w:tc>
        <w:tc>
          <w:tcPr>
            <w:tcW w:w="3117" w:type="pct"/>
            <w:vAlign w:val="center"/>
          </w:tcPr>
          <w:p>
            <w:pPr>
              <w:jc w:val="center"/>
              <w:rPr>
                <w:rFonts w:hint="eastAsia" w:ascii="Times New Roman" w:hAnsi="Times New Roman" w:cs="Times New Roman"/>
              </w:rPr>
            </w:pPr>
            <w:r>
              <w:rPr>
                <w:rFonts w:hint="eastAsia" w:ascii="Times New Roman" w:hAnsi="Times New Roman" w:cs="Times New Roman"/>
              </w:rPr>
              <w:t>新修建临时施工道路长5.0km，路基宽均为5.0m，泥结石路面，占地面积2.5hm</w:t>
            </w:r>
            <w:r>
              <w:rPr>
                <w:rFonts w:hint="eastAsia" w:ascii="Times New Roman" w:hAnsi="Times New Roman" w:cs="Times New Roman"/>
                <w:vertAlign w:val="superscript"/>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687" w:type="pct"/>
            <w:vMerge w:val="restart"/>
            <w:vAlign w:val="center"/>
          </w:tcPr>
          <w:p>
            <w:pPr>
              <w:pStyle w:val="23"/>
              <w:rPr>
                <w:rFonts w:ascii="Times New Roman" w:hAnsi="Times New Roman" w:cs="Times New Roman" w:eastAsiaTheme="minorEastAsia"/>
                <w:sz w:val="21"/>
                <w:szCs w:val="21"/>
              </w:rPr>
            </w:pPr>
            <w:r>
              <w:rPr>
                <w:rFonts w:ascii="Times New Roman" w:hAnsi="Times New Roman" w:cs="Times New Roman" w:eastAsiaTheme="minorEastAsia"/>
                <w:sz w:val="21"/>
                <w:szCs w:val="21"/>
              </w:rPr>
              <w:t>环保工程</w:t>
            </w:r>
          </w:p>
        </w:tc>
        <w:tc>
          <w:tcPr>
            <w:tcW w:w="1195" w:type="pct"/>
            <w:vAlign w:val="center"/>
          </w:tcPr>
          <w:p>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废气</w:t>
            </w:r>
          </w:p>
        </w:tc>
        <w:tc>
          <w:tcPr>
            <w:tcW w:w="3117" w:type="pct"/>
            <w:vAlign w:val="center"/>
          </w:tcPr>
          <w:p>
            <w:pPr>
              <w:adjustRightInd w:val="0"/>
              <w:snapToGrid w:val="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施工期大气污染物主要是施工扬尘、施工机械和车辆排放的尾气、淤泥恶臭。采取经常洒水、运输车辆冲洗、围挡、距清淤点较近居民点设置不锈钢围挡、加快清淤速度、缩短清淤时间等防护措施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687" w:type="pct"/>
            <w:vMerge w:val="continue"/>
            <w:vAlign w:val="center"/>
          </w:tcPr>
          <w:p>
            <w:pPr>
              <w:pStyle w:val="23"/>
              <w:rPr>
                <w:rFonts w:ascii="Times New Roman" w:hAnsi="Times New Roman" w:cs="Times New Roman" w:eastAsiaTheme="minorEastAsia"/>
                <w:sz w:val="21"/>
                <w:szCs w:val="21"/>
              </w:rPr>
            </w:pPr>
          </w:p>
        </w:tc>
        <w:tc>
          <w:tcPr>
            <w:tcW w:w="1195" w:type="pct"/>
            <w:vAlign w:val="center"/>
          </w:tcPr>
          <w:p>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废水</w:t>
            </w:r>
          </w:p>
        </w:tc>
        <w:tc>
          <w:tcPr>
            <w:tcW w:w="3117" w:type="pct"/>
            <w:vAlign w:val="center"/>
          </w:tcPr>
          <w:p>
            <w:pPr>
              <w:adjustRightInd w:val="0"/>
              <w:snapToGrid w:val="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混凝土浇筑废水自然蒸发和无组织排放；冲洗废水沉淀隔油处理后回用于机械和车辆冲洗；生活污水</w:t>
            </w:r>
            <w:r>
              <w:rPr>
                <w:rFonts w:hint="eastAsia" w:ascii="Times New Roman" w:hAnsi="Times New Roman" w:cs="Times New Roman" w:eastAsiaTheme="minorEastAsia"/>
                <w:sz w:val="21"/>
                <w:szCs w:val="21"/>
                <w:lang w:eastAsia="zh-CN"/>
              </w:rPr>
              <w:t>依托周边居民</w:t>
            </w:r>
            <w:r>
              <w:rPr>
                <w:rFonts w:hint="eastAsia" w:ascii="Times New Roman" w:hAnsi="Times New Roman" w:cs="Times New Roman" w:eastAsiaTheme="minorEastAsia"/>
                <w:sz w:val="21"/>
                <w:szCs w:val="21"/>
              </w:rPr>
              <w:t>化粪池处理，用于周围农田施肥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687" w:type="pct"/>
            <w:vMerge w:val="continue"/>
            <w:vAlign w:val="center"/>
          </w:tcPr>
          <w:p>
            <w:pPr>
              <w:pStyle w:val="23"/>
              <w:rPr>
                <w:rFonts w:ascii="Times New Roman" w:hAnsi="Times New Roman" w:cs="Times New Roman" w:eastAsiaTheme="minorEastAsia"/>
                <w:sz w:val="21"/>
                <w:szCs w:val="21"/>
              </w:rPr>
            </w:pPr>
          </w:p>
        </w:tc>
        <w:tc>
          <w:tcPr>
            <w:tcW w:w="1195" w:type="pct"/>
            <w:vAlign w:val="center"/>
          </w:tcPr>
          <w:p>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噪声</w:t>
            </w:r>
          </w:p>
        </w:tc>
        <w:tc>
          <w:tcPr>
            <w:tcW w:w="3117" w:type="pct"/>
            <w:vAlign w:val="center"/>
          </w:tcPr>
          <w:p>
            <w:pPr>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采用低噪声施工机械和先进工艺；合理施工布局；采取适当封闭措施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687" w:type="pct"/>
            <w:vMerge w:val="continue"/>
            <w:vAlign w:val="center"/>
          </w:tcPr>
          <w:p>
            <w:pPr>
              <w:pStyle w:val="23"/>
              <w:rPr>
                <w:rFonts w:ascii="Times New Roman" w:hAnsi="Times New Roman" w:cs="Times New Roman" w:eastAsiaTheme="minorEastAsia"/>
                <w:sz w:val="21"/>
                <w:szCs w:val="21"/>
              </w:rPr>
            </w:pPr>
          </w:p>
        </w:tc>
        <w:tc>
          <w:tcPr>
            <w:tcW w:w="1195" w:type="pct"/>
            <w:vAlign w:val="center"/>
          </w:tcPr>
          <w:p>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固体废物</w:t>
            </w:r>
          </w:p>
        </w:tc>
        <w:tc>
          <w:tcPr>
            <w:tcW w:w="3117" w:type="pct"/>
            <w:vAlign w:val="center"/>
          </w:tcPr>
          <w:p>
            <w:pPr>
              <w:jc w:val="center"/>
              <w:rPr>
                <w:rFonts w:hint="eastAsia" w:ascii="Times New Roman" w:hAnsi="Times New Roman" w:eastAsia="宋体" w:cs="Times New Roman"/>
                <w:sz w:val="21"/>
                <w:szCs w:val="21"/>
                <w:lang w:eastAsia="zh-CN"/>
              </w:rPr>
            </w:pPr>
            <w:r>
              <w:rPr>
                <w:rFonts w:ascii="Times New Roman" w:hAnsi="Times New Roman" w:cs="Times New Roman"/>
                <w:sz w:val="21"/>
                <w:szCs w:val="24"/>
              </w:rPr>
              <w:t>清淤底泥</w:t>
            </w:r>
            <w:r>
              <w:rPr>
                <w:rFonts w:hint="eastAsia" w:ascii="Times New Roman" w:hAnsi="Times New Roman" w:cs="Times New Roman"/>
                <w:sz w:val="21"/>
                <w:szCs w:val="24"/>
              </w:rPr>
              <w:t>用于岸坡平整、</w:t>
            </w:r>
            <w:r>
              <w:rPr>
                <w:rFonts w:hint="eastAsia" w:ascii="Times New Roman" w:hAnsi="Times New Roman" w:cs="Times New Roman"/>
                <w:sz w:val="21"/>
                <w:szCs w:val="24"/>
                <w:lang w:eastAsia="zh-CN"/>
              </w:rPr>
              <w:t>生态恢复</w:t>
            </w:r>
            <w:r>
              <w:rPr>
                <w:rFonts w:hint="eastAsia" w:ascii="Times New Roman" w:hAnsi="Times New Roman" w:cs="Times New Roman"/>
                <w:sz w:val="21"/>
                <w:szCs w:val="24"/>
              </w:rPr>
              <w:t>等；清表固废随生活垃圾一同处置；</w:t>
            </w:r>
            <w:r>
              <w:rPr>
                <w:rFonts w:ascii="Times New Roman" w:hAnsi="Times New Roman" w:cs="Times New Roman"/>
                <w:sz w:val="21"/>
                <w:szCs w:val="24"/>
              </w:rPr>
              <w:t>建筑垃圾进行分类回收，</w:t>
            </w:r>
            <w:r>
              <w:rPr>
                <w:rFonts w:hint="eastAsia" w:ascii="Times New Roman" w:hAnsi="Times New Roman" w:cs="Times New Roman"/>
                <w:sz w:val="21"/>
                <w:szCs w:val="24"/>
                <w:lang w:eastAsia="zh-CN"/>
              </w:rPr>
              <w:t>表土用与后期生态恢复，其余土方</w:t>
            </w:r>
            <w:r>
              <w:rPr>
                <w:rFonts w:ascii="Times New Roman" w:hAnsi="Times New Roman" w:cs="Times New Roman"/>
                <w:sz w:val="21"/>
                <w:szCs w:val="24"/>
              </w:rPr>
              <w:t>送至</w:t>
            </w:r>
            <w:r>
              <w:rPr>
                <w:rFonts w:hint="eastAsia" w:ascii="Times New Roman" w:hAnsi="Times New Roman" w:cs="Times New Roman"/>
                <w:sz w:val="21"/>
                <w:szCs w:val="24"/>
                <w:lang w:eastAsia="zh-CN"/>
              </w:rPr>
              <w:t>弃渣场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687" w:type="pct"/>
            <w:vMerge w:val="restart"/>
            <w:vAlign w:val="center"/>
          </w:tcPr>
          <w:p>
            <w:pPr>
              <w:pStyle w:val="23"/>
              <w:rPr>
                <w:rFonts w:ascii="Times New Roman" w:hAnsi="Times New Roman" w:cs="Times New Roman" w:eastAsiaTheme="minorEastAsia"/>
                <w:sz w:val="21"/>
                <w:szCs w:val="21"/>
              </w:rPr>
            </w:pPr>
            <w:r>
              <w:rPr>
                <w:rFonts w:ascii="Times New Roman" w:hAnsi="Times New Roman" w:cs="Times New Roman" w:eastAsiaTheme="minorEastAsia"/>
                <w:sz w:val="21"/>
                <w:szCs w:val="21"/>
              </w:rPr>
              <w:t>公用工程</w:t>
            </w:r>
          </w:p>
        </w:tc>
        <w:tc>
          <w:tcPr>
            <w:tcW w:w="1195" w:type="pct"/>
            <w:vAlign w:val="center"/>
          </w:tcPr>
          <w:p>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供电</w:t>
            </w:r>
          </w:p>
        </w:tc>
        <w:tc>
          <w:tcPr>
            <w:tcW w:w="3117" w:type="pct"/>
            <w:vAlign w:val="center"/>
          </w:tcPr>
          <w:p>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由当地市政供电部门供电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687" w:type="pct"/>
            <w:vMerge w:val="continue"/>
            <w:vAlign w:val="center"/>
          </w:tcPr>
          <w:p>
            <w:pPr>
              <w:pStyle w:val="23"/>
              <w:rPr>
                <w:rFonts w:ascii="Times New Roman" w:hAnsi="Times New Roman" w:cs="Times New Roman" w:eastAsiaTheme="minorEastAsia"/>
                <w:sz w:val="21"/>
                <w:szCs w:val="21"/>
              </w:rPr>
            </w:pPr>
          </w:p>
        </w:tc>
        <w:tc>
          <w:tcPr>
            <w:tcW w:w="1195" w:type="pct"/>
            <w:vAlign w:val="center"/>
          </w:tcPr>
          <w:p>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给水</w:t>
            </w:r>
          </w:p>
        </w:tc>
        <w:tc>
          <w:tcPr>
            <w:tcW w:w="3117" w:type="pct"/>
            <w:vAlign w:val="center"/>
          </w:tcPr>
          <w:p>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由自来水管网供水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687" w:type="pct"/>
            <w:vMerge w:val="continue"/>
            <w:vAlign w:val="center"/>
          </w:tcPr>
          <w:p>
            <w:pPr>
              <w:pStyle w:val="23"/>
              <w:rPr>
                <w:rFonts w:ascii="Times New Roman" w:hAnsi="Times New Roman" w:cs="Times New Roman" w:eastAsiaTheme="minorEastAsia"/>
                <w:sz w:val="21"/>
                <w:szCs w:val="21"/>
              </w:rPr>
            </w:pPr>
          </w:p>
        </w:tc>
        <w:tc>
          <w:tcPr>
            <w:tcW w:w="1195" w:type="pct"/>
            <w:vAlign w:val="center"/>
          </w:tcPr>
          <w:p>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排水</w:t>
            </w:r>
          </w:p>
        </w:tc>
        <w:tc>
          <w:tcPr>
            <w:tcW w:w="3117" w:type="pct"/>
            <w:vAlign w:val="center"/>
          </w:tcPr>
          <w:p>
            <w:pPr>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生活污水依托周边居民化粪池处理，用于周围农田施肥</w:t>
            </w:r>
          </w:p>
        </w:tc>
      </w:tr>
    </w:tbl>
    <w:p>
      <w:pPr>
        <w:ind w:firstLine="480"/>
        <w:rPr>
          <w:rFonts w:hint="eastAsia" w:ascii="Times New Roman" w:hAnsi="Times New Roman" w:eastAsia="宋体" w:cs="Times New Roman"/>
          <w:sz w:val="24"/>
          <w:szCs w:val="24"/>
          <w:lang w:val="zh-CN" w:eastAsia="zh-CN" w:bidi="zh-CN"/>
        </w:rPr>
      </w:pPr>
      <w:r>
        <w:rPr>
          <w:rFonts w:hint="eastAsia" w:ascii="Times New Roman" w:hAnsi="Times New Roman" w:eastAsia="宋体" w:cs="Times New Roman"/>
          <w:sz w:val="24"/>
          <w:szCs w:val="24"/>
          <w:lang w:val="zh-CN" w:eastAsia="zh-CN" w:bidi="zh-CN"/>
        </w:rPr>
        <w:t>工程的主要特性如表3.2-</w:t>
      </w:r>
      <w:r>
        <w:rPr>
          <w:rFonts w:hint="eastAsia" w:ascii="Times New Roman" w:hAnsi="Times New Roman" w:eastAsia="宋体" w:cs="Times New Roman"/>
          <w:sz w:val="24"/>
          <w:szCs w:val="24"/>
          <w:lang w:val="en-US" w:eastAsia="zh-CN" w:bidi="zh-CN"/>
        </w:rPr>
        <w:t>2</w:t>
      </w:r>
      <w:r>
        <w:rPr>
          <w:rFonts w:hint="eastAsia" w:ascii="Times New Roman" w:hAnsi="Times New Roman" w:eastAsia="宋体" w:cs="Times New Roman"/>
          <w:sz w:val="24"/>
          <w:szCs w:val="24"/>
          <w:lang w:val="zh-CN" w:eastAsia="zh-CN" w:bidi="zh-CN"/>
        </w:rPr>
        <w:t>。</w:t>
      </w:r>
    </w:p>
    <w:p>
      <w:pPr>
        <w:spacing w:line="240" w:lineRule="auto"/>
        <w:jc w:val="center"/>
        <w:rPr>
          <w:rFonts w:hint="eastAsia"/>
          <w:b/>
          <w:bCs/>
          <w:color w:val="auto"/>
          <w:sz w:val="21"/>
          <w:szCs w:val="21"/>
        </w:rPr>
      </w:pPr>
      <w:r>
        <w:rPr>
          <w:rFonts w:hint="eastAsia" w:ascii="Times New Roman" w:hAnsi="Times New Roman" w:eastAsia="宋体" w:cs="Times New Roman"/>
          <w:b/>
          <w:bCs/>
          <w:sz w:val="24"/>
          <w:szCs w:val="24"/>
          <w:lang w:val="zh-CN" w:eastAsia="zh-CN" w:bidi="zh-CN"/>
        </w:rPr>
        <w:t>表3.2-</w:t>
      </w:r>
      <w:r>
        <w:rPr>
          <w:rFonts w:hint="eastAsia" w:ascii="Times New Roman" w:hAnsi="Times New Roman" w:eastAsia="宋体" w:cs="Times New Roman"/>
          <w:b/>
          <w:bCs/>
          <w:sz w:val="24"/>
          <w:szCs w:val="24"/>
          <w:lang w:val="en-US" w:eastAsia="zh-CN" w:bidi="zh-CN"/>
        </w:rPr>
        <w:t>2</w:t>
      </w:r>
      <w:r>
        <w:rPr>
          <w:rFonts w:hint="eastAsia" w:ascii="Times New Roman" w:hAnsi="Times New Roman" w:eastAsia="宋体" w:cs="Times New Roman"/>
          <w:b/>
          <w:bCs/>
          <w:sz w:val="24"/>
          <w:szCs w:val="24"/>
          <w:lang w:val="zh-CN" w:eastAsia="zh-CN" w:bidi="zh-CN"/>
        </w:rPr>
        <w:t xml:space="preserve">  项目河道整治工程特性表</w:t>
      </w:r>
    </w:p>
    <w:tbl>
      <w:tblPr>
        <w:tblStyle w:val="89"/>
        <w:tblW w:w="494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96"/>
        <w:gridCol w:w="693"/>
        <w:gridCol w:w="1620"/>
        <w:gridCol w:w="35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tblHeader/>
          <w:jc w:val="center"/>
        </w:trPr>
        <w:tc>
          <w:tcPr>
            <w:tcW w:w="1540" w:type="pct"/>
            <w:noWrap w:val="0"/>
            <w:vAlign w:val="center"/>
          </w:tcPr>
          <w:p>
            <w:pPr>
              <w:pStyle w:val="2986"/>
              <w:rPr>
                <w:snapToGrid w:val="0"/>
                <w:color w:val="auto"/>
                <w:sz w:val="21"/>
                <w:szCs w:val="21"/>
              </w:rPr>
            </w:pPr>
            <w:r>
              <w:rPr>
                <w:snapToGrid w:val="0"/>
                <w:color w:val="auto"/>
                <w:sz w:val="21"/>
                <w:szCs w:val="21"/>
              </w:rPr>
              <w:t>指标名称</w:t>
            </w:r>
          </w:p>
        </w:tc>
        <w:tc>
          <w:tcPr>
            <w:tcW w:w="411" w:type="pct"/>
            <w:noWrap w:val="0"/>
            <w:vAlign w:val="center"/>
          </w:tcPr>
          <w:p>
            <w:pPr>
              <w:pStyle w:val="2986"/>
              <w:rPr>
                <w:snapToGrid w:val="0"/>
                <w:color w:val="auto"/>
                <w:sz w:val="21"/>
                <w:szCs w:val="21"/>
              </w:rPr>
            </w:pPr>
            <w:r>
              <w:rPr>
                <w:snapToGrid w:val="0"/>
                <w:color w:val="auto"/>
                <w:sz w:val="21"/>
                <w:szCs w:val="21"/>
              </w:rPr>
              <w:t>单位</w:t>
            </w:r>
          </w:p>
        </w:tc>
        <w:tc>
          <w:tcPr>
            <w:tcW w:w="961" w:type="pct"/>
            <w:noWrap w:val="0"/>
            <w:vAlign w:val="center"/>
          </w:tcPr>
          <w:p>
            <w:pPr>
              <w:pStyle w:val="2986"/>
              <w:rPr>
                <w:snapToGrid w:val="0"/>
                <w:color w:val="auto"/>
                <w:sz w:val="21"/>
                <w:szCs w:val="21"/>
              </w:rPr>
            </w:pPr>
            <w:r>
              <w:rPr>
                <w:snapToGrid w:val="0"/>
                <w:color w:val="auto"/>
                <w:sz w:val="21"/>
                <w:szCs w:val="21"/>
              </w:rPr>
              <w:t>数量或规格</w:t>
            </w:r>
          </w:p>
        </w:tc>
        <w:tc>
          <w:tcPr>
            <w:tcW w:w="2086" w:type="pct"/>
            <w:noWrap w:val="0"/>
            <w:vAlign w:val="center"/>
          </w:tcPr>
          <w:p>
            <w:pPr>
              <w:pStyle w:val="2986"/>
              <w:rPr>
                <w:snapToGrid w:val="0"/>
                <w:color w:val="auto"/>
                <w:sz w:val="21"/>
                <w:szCs w:val="21"/>
              </w:rPr>
            </w:pPr>
            <w:r>
              <w:rPr>
                <w:snapToGrid w:val="0"/>
                <w:color w:val="auto"/>
                <w:sz w:val="21"/>
                <w:szCs w:val="21"/>
              </w:rPr>
              <w:t>备  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一、项目基本情况</w:t>
            </w:r>
          </w:p>
        </w:tc>
        <w:tc>
          <w:tcPr>
            <w:tcW w:w="411" w:type="pct"/>
            <w:noWrap w:val="0"/>
            <w:vAlign w:val="center"/>
          </w:tcPr>
          <w:p>
            <w:pPr>
              <w:pStyle w:val="2986"/>
              <w:rPr>
                <w:snapToGrid w:val="0"/>
                <w:color w:val="auto"/>
                <w:sz w:val="21"/>
                <w:szCs w:val="21"/>
              </w:rPr>
            </w:pPr>
            <w:r>
              <w:rPr>
                <w:snapToGrid w:val="0"/>
                <w:color w:val="auto"/>
                <w:sz w:val="21"/>
                <w:szCs w:val="21"/>
              </w:rPr>
              <w:t>　</w:t>
            </w:r>
          </w:p>
        </w:tc>
        <w:tc>
          <w:tcPr>
            <w:tcW w:w="961" w:type="pct"/>
            <w:noWrap w:val="0"/>
            <w:vAlign w:val="center"/>
          </w:tcPr>
          <w:p>
            <w:pPr>
              <w:pStyle w:val="2986"/>
              <w:rPr>
                <w:snapToGrid w:val="0"/>
                <w:color w:val="auto"/>
                <w:sz w:val="21"/>
                <w:szCs w:val="21"/>
              </w:rPr>
            </w:pPr>
            <w:r>
              <w:rPr>
                <w:snapToGrid w:val="0"/>
                <w:color w:val="auto"/>
                <w:sz w:val="21"/>
                <w:szCs w:val="21"/>
              </w:rPr>
              <w:t>　</w:t>
            </w:r>
          </w:p>
        </w:tc>
        <w:tc>
          <w:tcPr>
            <w:tcW w:w="2086" w:type="pct"/>
            <w:noWrap w:val="0"/>
            <w:vAlign w:val="center"/>
          </w:tcPr>
          <w:p>
            <w:pPr>
              <w:pStyle w:val="2986"/>
              <w:rPr>
                <w:snapToGrid w:val="0"/>
                <w:color w:val="auto"/>
                <w:sz w:val="21"/>
                <w:szCs w:val="21"/>
              </w:rPr>
            </w:pPr>
            <w:r>
              <w:rPr>
                <w:snapToGrid w:val="0"/>
                <w:color w:val="auto"/>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项目名称</w:t>
            </w:r>
          </w:p>
        </w:tc>
        <w:tc>
          <w:tcPr>
            <w:tcW w:w="411" w:type="pct"/>
            <w:noWrap w:val="0"/>
            <w:vAlign w:val="center"/>
          </w:tcPr>
          <w:p>
            <w:pPr>
              <w:pStyle w:val="2986"/>
              <w:rPr>
                <w:snapToGrid w:val="0"/>
                <w:color w:val="auto"/>
                <w:sz w:val="21"/>
                <w:szCs w:val="21"/>
              </w:rPr>
            </w:pPr>
          </w:p>
        </w:tc>
        <w:tc>
          <w:tcPr>
            <w:tcW w:w="3047" w:type="pct"/>
            <w:gridSpan w:val="2"/>
            <w:noWrap w:val="0"/>
            <w:vAlign w:val="center"/>
          </w:tcPr>
          <w:p>
            <w:pPr>
              <w:pStyle w:val="2986"/>
              <w:rPr>
                <w:snapToGrid w:val="0"/>
                <w:color w:val="auto"/>
                <w:sz w:val="21"/>
                <w:szCs w:val="21"/>
              </w:rPr>
            </w:pPr>
            <w:r>
              <w:rPr>
                <w:snapToGrid w:val="0"/>
                <w:color w:val="auto"/>
                <w:sz w:val="21"/>
                <w:szCs w:val="21"/>
              </w:rPr>
              <w:t>湖南省祁水祁东县治理工程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所在行政区</w:t>
            </w:r>
          </w:p>
        </w:tc>
        <w:tc>
          <w:tcPr>
            <w:tcW w:w="411" w:type="pct"/>
            <w:noWrap w:val="0"/>
            <w:vAlign w:val="center"/>
          </w:tcPr>
          <w:p>
            <w:pPr>
              <w:pStyle w:val="2986"/>
              <w:rPr>
                <w:snapToGrid w:val="0"/>
                <w:color w:val="auto"/>
                <w:sz w:val="21"/>
                <w:szCs w:val="21"/>
              </w:rPr>
            </w:pPr>
          </w:p>
        </w:tc>
        <w:tc>
          <w:tcPr>
            <w:tcW w:w="961" w:type="pct"/>
            <w:noWrap w:val="0"/>
            <w:vAlign w:val="center"/>
          </w:tcPr>
          <w:p>
            <w:pPr>
              <w:pStyle w:val="2986"/>
              <w:rPr>
                <w:snapToGrid w:val="0"/>
                <w:color w:val="auto"/>
                <w:sz w:val="21"/>
                <w:szCs w:val="21"/>
              </w:rPr>
            </w:pPr>
            <w:r>
              <w:rPr>
                <w:snapToGrid w:val="0"/>
                <w:color w:val="auto"/>
                <w:sz w:val="21"/>
                <w:szCs w:val="21"/>
              </w:rPr>
              <w:t>祁东县</w:t>
            </w:r>
          </w:p>
        </w:tc>
        <w:tc>
          <w:tcPr>
            <w:tcW w:w="2086" w:type="pct"/>
            <w:noWrap w:val="0"/>
            <w:vAlign w:val="center"/>
          </w:tcPr>
          <w:p>
            <w:pPr>
              <w:pStyle w:val="2986"/>
              <w:rPr>
                <w:snapToGrid w:val="0"/>
                <w:color w:val="auto"/>
                <w:sz w:val="21"/>
                <w:szCs w:val="21"/>
              </w:rPr>
            </w:pPr>
            <w:r>
              <w:rPr>
                <w:rFonts w:hint="eastAsia"/>
                <w:snapToGrid w:val="0"/>
                <w:color w:val="auto"/>
                <w:sz w:val="21"/>
                <w:szCs w:val="21"/>
              </w:rPr>
              <w:t>四明山乡、太和堂镇、</w:t>
            </w:r>
            <w:r>
              <w:rPr>
                <w:snapToGrid w:val="0"/>
                <w:color w:val="auto"/>
                <w:sz w:val="21"/>
                <w:szCs w:val="21"/>
              </w:rPr>
              <w:t>蒋家桥镇、</w:t>
            </w:r>
            <w:r>
              <w:rPr>
                <w:rFonts w:hint="eastAsia"/>
                <w:snapToGrid w:val="0"/>
                <w:color w:val="auto"/>
                <w:sz w:val="21"/>
                <w:szCs w:val="21"/>
              </w:rPr>
              <w:t>城连圩乡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项目分类</w:t>
            </w:r>
          </w:p>
        </w:tc>
        <w:tc>
          <w:tcPr>
            <w:tcW w:w="411" w:type="pct"/>
            <w:noWrap w:val="0"/>
            <w:vAlign w:val="center"/>
          </w:tcPr>
          <w:p>
            <w:pPr>
              <w:pStyle w:val="2986"/>
              <w:rPr>
                <w:snapToGrid w:val="0"/>
                <w:color w:val="auto"/>
                <w:sz w:val="21"/>
                <w:szCs w:val="21"/>
              </w:rPr>
            </w:pPr>
          </w:p>
        </w:tc>
        <w:tc>
          <w:tcPr>
            <w:tcW w:w="961" w:type="pct"/>
            <w:noWrap w:val="0"/>
            <w:vAlign w:val="center"/>
          </w:tcPr>
          <w:p>
            <w:pPr>
              <w:pStyle w:val="2986"/>
              <w:rPr>
                <w:snapToGrid w:val="0"/>
                <w:color w:val="auto"/>
                <w:sz w:val="21"/>
                <w:szCs w:val="21"/>
              </w:rPr>
            </w:pPr>
            <w:r>
              <w:rPr>
                <w:snapToGrid w:val="0"/>
                <w:color w:val="auto"/>
                <w:sz w:val="21"/>
                <w:szCs w:val="21"/>
              </w:rPr>
              <w:t>乡镇防洪</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保护人口</w:t>
            </w:r>
          </w:p>
        </w:tc>
        <w:tc>
          <w:tcPr>
            <w:tcW w:w="411" w:type="pct"/>
            <w:noWrap w:val="0"/>
            <w:vAlign w:val="center"/>
          </w:tcPr>
          <w:p>
            <w:pPr>
              <w:pStyle w:val="2986"/>
              <w:rPr>
                <w:snapToGrid w:val="0"/>
                <w:color w:val="auto"/>
                <w:sz w:val="21"/>
                <w:szCs w:val="21"/>
              </w:rPr>
            </w:pPr>
            <w:r>
              <w:rPr>
                <w:rFonts w:hint="eastAsia"/>
                <w:snapToGrid w:val="0"/>
                <w:color w:val="auto"/>
                <w:sz w:val="21"/>
                <w:szCs w:val="21"/>
              </w:rPr>
              <w:t>万</w:t>
            </w:r>
            <w:r>
              <w:rPr>
                <w:snapToGrid w:val="0"/>
                <w:color w:val="auto"/>
                <w:sz w:val="21"/>
                <w:szCs w:val="21"/>
              </w:rPr>
              <w:t>人</w:t>
            </w:r>
          </w:p>
        </w:tc>
        <w:tc>
          <w:tcPr>
            <w:tcW w:w="961" w:type="pct"/>
            <w:noWrap w:val="0"/>
            <w:vAlign w:val="center"/>
          </w:tcPr>
          <w:p>
            <w:pPr>
              <w:pStyle w:val="2986"/>
              <w:rPr>
                <w:rFonts w:hint="eastAsia"/>
                <w:snapToGrid w:val="0"/>
                <w:color w:val="auto"/>
                <w:sz w:val="21"/>
                <w:szCs w:val="21"/>
              </w:rPr>
            </w:pPr>
            <w:r>
              <w:rPr>
                <w:rFonts w:hint="eastAsia"/>
                <w:snapToGrid w:val="0"/>
                <w:color w:val="auto"/>
                <w:sz w:val="21"/>
                <w:szCs w:val="21"/>
              </w:rPr>
              <w:t>7.12</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保护面积</w:t>
            </w:r>
          </w:p>
        </w:tc>
        <w:tc>
          <w:tcPr>
            <w:tcW w:w="411" w:type="pct"/>
            <w:noWrap w:val="0"/>
            <w:vAlign w:val="center"/>
          </w:tcPr>
          <w:p>
            <w:pPr>
              <w:pStyle w:val="2986"/>
              <w:rPr>
                <w:snapToGrid w:val="0"/>
                <w:color w:val="auto"/>
                <w:sz w:val="21"/>
                <w:szCs w:val="21"/>
              </w:rPr>
            </w:pPr>
            <w:r>
              <w:rPr>
                <w:snapToGrid w:val="0"/>
                <w:color w:val="auto"/>
                <w:sz w:val="21"/>
                <w:szCs w:val="21"/>
              </w:rPr>
              <w:t>Km</w:t>
            </w:r>
            <w:r>
              <w:rPr>
                <w:snapToGrid w:val="0"/>
                <w:color w:val="auto"/>
                <w:sz w:val="21"/>
                <w:szCs w:val="21"/>
                <w:vertAlign w:val="superscript"/>
              </w:rPr>
              <w:t>2</w:t>
            </w:r>
          </w:p>
        </w:tc>
        <w:tc>
          <w:tcPr>
            <w:tcW w:w="961" w:type="pct"/>
            <w:noWrap w:val="0"/>
            <w:vAlign w:val="center"/>
          </w:tcPr>
          <w:p>
            <w:pPr>
              <w:pStyle w:val="2986"/>
              <w:rPr>
                <w:rFonts w:hint="eastAsia"/>
                <w:snapToGrid w:val="0"/>
                <w:color w:val="auto"/>
                <w:sz w:val="21"/>
                <w:szCs w:val="21"/>
              </w:rPr>
            </w:pPr>
            <w:r>
              <w:rPr>
                <w:rFonts w:hint="eastAsia"/>
                <w:snapToGrid w:val="0"/>
                <w:color w:val="auto"/>
                <w:sz w:val="21"/>
                <w:szCs w:val="21"/>
              </w:rPr>
              <w:t>9.31</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灌溉面积</w:t>
            </w:r>
          </w:p>
        </w:tc>
        <w:tc>
          <w:tcPr>
            <w:tcW w:w="411" w:type="pct"/>
            <w:noWrap w:val="0"/>
            <w:vAlign w:val="center"/>
          </w:tcPr>
          <w:p>
            <w:pPr>
              <w:pStyle w:val="2986"/>
              <w:rPr>
                <w:snapToGrid w:val="0"/>
                <w:color w:val="auto"/>
                <w:sz w:val="21"/>
                <w:szCs w:val="21"/>
              </w:rPr>
            </w:pPr>
            <w:r>
              <w:rPr>
                <w:rFonts w:hint="eastAsia"/>
                <w:snapToGrid w:val="0"/>
                <w:color w:val="auto"/>
                <w:sz w:val="21"/>
                <w:szCs w:val="21"/>
              </w:rPr>
              <w:t>万</w:t>
            </w:r>
            <w:r>
              <w:rPr>
                <w:snapToGrid w:val="0"/>
                <w:color w:val="auto"/>
                <w:sz w:val="21"/>
                <w:szCs w:val="21"/>
              </w:rPr>
              <w:t>亩</w:t>
            </w:r>
          </w:p>
        </w:tc>
        <w:tc>
          <w:tcPr>
            <w:tcW w:w="961" w:type="pct"/>
            <w:noWrap w:val="0"/>
            <w:vAlign w:val="center"/>
          </w:tcPr>
          <w:p>
            <w:pPr>
              <w:pStyle w:val="2986"/>
              <w:rPr>
                <w:snapToGrid w:val="0"/>
                <w:color w:val="auto"/>
                <w:sz w:val="21"/>
                <w:szCs w:val="21"/>
              </w:rPr>
            </w:pPr>
            <w:r>
              <w:rPr>
                <w:snapToGrid w:val="0"/>
                <w:color w:val="auto"/>
                <w:sz w:val="21"/>
                <w:szCs w:val="21"/>
              </w:rPr>
              <w:t>0.84</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二、</w:t>
            </w:r>
            <w:r>
              <w:rPr>
                <w:rFonts w:hint="eastAsia"/>
                <w:snapToGrid w:val="0"/>
                <w:color w:val="auto"/>
                <w:sz w:val="21"/>
                <w:szCs w:val="21"/>
              </w:rPr>
              <w:t>设计标准</w:t>
            </w:r>
          </w:p>
        </w:tc>
        <w:tc>
          <w:tcPr>
            <w:tcW w:w="411" w:type="pct"/>
            <w:noWrap w:val="0"/>
            <w:vAlign w:val="center"/>
          </w:tcPr>
          <w:p>
            <w:pPr>
              <w:pStyle w:val="2986"/>
              <w:rPr>
                <w:snapToGrid w:val="0"/>
                <w:color w:val="auto"/>
                <w:sz w:val="21"/>
                <w:szCs w:val="21"/>
              </w:rPr>
            </w:pPr>
          </w:p>
        </w:tc>
        <w:tc>
          <w:tcPr>
            <w:tcW w:w="961" w:type="pct"/>
            <w:noWrap w:val="0"/>
            <w:vAlign w:val="center"/>
          </w:tcPr>
          <w:p>
            <w:pPr>
              <w:pStyle w:val="2986"/>
              <w:rPr>
                <w:snapToGrid w:val="0"/>
                <w:color w:val="auto"/>
                <w:sz w:val="21"/>
                <w:szCs w:val="21"/>
              </w:rPr>
            </w:pPr>
            <w:r>
              <w:rPr>
                <w:rFonts w:hint="eastAsia"/>
                <w:snapToGrid w:val="0"/>
                <w:color w:val="auto"/>
                <w:sz w:val="21"/>
                <w:szCs w:val="21"/>
              </w:rPr>
              <w:t>10年一遇</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工程等别</w:t>
            </w:r>
          </w:p>
        </w:tc>
        <w:tc>
          <w:tcPr>
            <w:tcW w:w="411" w:type="pct"/>
            <w:noWrap w:val="0"/>
            <w:vAlign w:val="center"/>
          </w:tcPr>
          <w:p>
            <w:pPr>
              <w:pStyle w:val="2986"/>
              <w:rPr>
                <w:snapToGrid w:val="0"/>
                <w:color w:val="auto"/>
                <w:sz w:val="21"/>
                <w:szCs w:val="21"/>
              </w:rPr>
            </w:pPr>
          </w:p>
        </w:tc>
        <w:tc>
          <w:tcPr>
            <w:tcW w:w="961" w:type="pct"/>
            <w:noWrap w:val="0"/>
            <w:vAlign w:val="center"/>
          </w:tcPr>
          <w:p>
            <w:pPr>
              <w:pStyle w:val="2986"/>
              <w:rPr>
                <w:snapToGrid w:val="0"/>
                <w:color w:val="auto"/>
                <w:sz w:val="21"/>
                <w:szCs w:val="21"/>
              </w:rPr>
            </w:pPr>
            <w:r>
              <w:rPr>
                <w:rFonts w:hint="eastAsia" w:ascii="宋体" w:hAnsi="宋体" w:cs="宋体"/>
                <w:snapToGrid w:val="0"/>
                <w:color w:val="auto"/>
                <w:sz w:val="21"/>
                <w:szCs w:val="21"/>
              </w:rPr>
              <w:t>Ⅴ</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治理标准</w:t>
            </w:r>
          </w:p>
        </w:tc>
        <w:tc>
          <w:tcPr>
            <w:tcW w:w="411" w:type="pct"/>
            <w:noWrap w:val="0"/>
            <w:vAlign w:val="center"/>
          </w:tcPr>
          <w:p>
            <w:pPr>
              <w:pStyle w:val="2986"/>
              <w:rPr>
                <w:snapToGrid w:val="0"/>
                <w:color w:val="auto"/>
                <w:sz w:val="21"/>
                <w:szCs w:val="21"/>
              </w:rPr>
            </w:pPr>
          </w:p>
        </w:tc>
        <w:tc>
          <w:tcPr>
            <w:tcW w:w="961" w:type="pct"/>
            <w:noWrap w:val="0"/>
            <w:vAlign w:val="center"/>
          </w:tcPr>
          <w:p>
            <w:pPr>
              <w:pStyle w:val="2986"/>
              <w:rPr>
                <w:snapToGrid w:val="0"/>
                <w:color w:val="auto"/>
                <w:sz w:val="21"/>
                <w:szCs w:val="21"/>
              </w:rPr>
            </w:pPr>
            <w:r>
              <w:rPr>
                <w:snapToGrid w:val="0"/>
                <w:color w:val="auto"/>
                <w:sz w:val="21"/>
                <w:szCs w:val="21"/>
              </w:rPr>
              <w:t>P=10%</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排涝标准</w:t>
            </w:r>
          </w:p>
        </w:tc>
        <w:tc>
          <w:tcPr>
            <w:tcW w:w="411" w:type="pct"/>
            <w:noWrap w:val="0"/>
            <w:vAlign w:val="center"/>
          </w:tcPr>
          <w:p>
            <w:pPr>
              <w:pStyle w:val="2986"/>
              <w:rPr>
                <w:snapToGrid w:val="0"/>
                <w:color w:val="auto"/>
                <w:sz w:val="21"/>
                <w:szCs w:val="21"/>
              </w:rPr>
            </w:pPr>
          </w:p>
        </w:tc>
        <w:tc>
          <w:tcPr>
            <w:tcW w:w="961" w:type="pct"/>
            <w:noWrap w:val="0"/>
            <w:vAlign w:val="center"/>
          </w:tcPr>
          <w:p>
            <w:pPr>
              <w:pStyle w:val="2986"/>
              <w:rPr>
                <w:snapToGrid w:val="0"/>
                <w:color w:val="auto"/>
                <w:sz w:val="21"/>
                <w:szCs w:val="21"/>
              </w:rPr>
            </w:pPr>
            <w:r>
              <w:rPr>
                <w:snapToGrid w:val="0"/>
                <w:color w:val="auto"/>
                <w:sz w:val="21"/>
                <w:szCs w:val="21"/>
              </w:rPr>
              <w:t>P=10%</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snapToGrid w:val="0"/>
                <w:color w:val="auto"/>
                <w:sz w:val="21"/>
                <w:szCs w:val="21"/>
              </w:rPr>
            </w:pPr>
            <w:r>
              <w:rPr>
                <w:rFonts w:hint="eastAsia"/>
                <w:bCs/>
                <w:snapToGrid w:val="0"/>
                <w:color w:val="auto"/>
                <w:sz w:val="21"/>
                <w:szCs w:val="21"/>
              </w:rPr>
              <w:t>三、工程水文</w:t>
            </w:r>
          </w:p>
        </w:tc>
        <w:tc>
          <w:tcPr>
            <w:tcW w:w="411" w:type="pct"/>
            <w:noWrap w:val="0"/>
            <w:vAlign w:val="center"/>
          </w:tcPr>
          <w:p>
            <w:pPr>
              <w:pStyle w:val="2986"/>
              <w:rPr>
                <w:snapToGrid w:val="0"/>
                <w:color w:val="auto"/>
                <w:sz w:val="21"/>
                <w:szCs w:val="21"/>
              </w:rPr>
            </w:pPr>
          </w:p>
        </w:tc>
        <w:tc>
          <w:tcPr>
            <w:tcW w:w="961" w:type="pct"/>
            <w:noWrap w:val="0"/>
            <w:vAlign w:val="center"/>
          </w:tcPr>
          <w:p>
            <w:pPr>
              <w:pStyle w:val="2986"/>
              <w:rPr>
                <w:snapToGrid w:val="0"/>
                <w:color w:val="auto"/>
                <w:sz w:val="21"/>
                <w:szCs w:val="21"/>
              </w:rPr>
            </w:pP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所在河流、水系</w:t>
            </w:r>
          </w:p>
        </w:tc>
        <w:tc>
          <w:tcPr>
            <w:tcW w:w="411" w:type="pct"/>
            <w:noWrap w:val="0"/>
            <w:vAlign w:val="center"/>
          </w:tcPr>
          <w:p>
            <w:pPr>
              <w:pStyle w:val="2986"/>
              <w:rPr>
                <w:snapToGrid w:val="0"/>
                <w:color w:val="auto"/>
                <w:sz w:val="21"/>
                <w:szCs w:val="21"/>
              </w:rPr>
            </w:pPr>
            <w:r>
              <w:rPr>
                <w:snapToGrid w:val="0"/>
                <w:color w:val="auto"/>
                <w:sz w:val="21"/>
                <w:szCs w:val="21"/>
              </w:rPr>
              <w:t>　</w:t>
            </w:r>
          </w:p>
        </w:tc>
        <w:tc>
          <w:tcPr>
            <w:tcW w:w="961" w:type="pct"/>
            <w:noWrap w:val="0"/>
            <w:vAlign w:val="center"/>
          </w:tcPr>
          <w:p>
            <w:pPr>
              <w:pStyle w:val="2986"/>
              <w:rPr>
                <w:snapToGrid w:val="0"/>
                <w:color w:val="auto"/>
                <w:sz w:val="21"/>
                <w:szCs w:val="21"/>
              </w:rPr>
            </w:pPr>
            <w:r>
              <w:rPr>
                <w:snapToGrid w:val="0"/>
                <w:color w:val="auto"/>
                <w:sz w:val="21"/>
                <w:szCs w:val="21"/>
              </w:rPr>
              <w:t>祁水</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祁水总流域面积</w:t>
            </w:r>
          </w:p>
        </w:tc>
        <w:tc>
          <w:tcPr>
            <w:tcW w:w="411" w:type="pct"/>
            <w:noWrap w:val="0"/>
            <w:vAlign w:val="center"/>
          </w:tcPr>
          <w:p>
            <w:pPr>
              <w:pStyle w:val="2986"/>
              <w:rPr>
                <w:snapToGrid w:val="0"/>
                <w:color w:val="auto"/>
                <w:sz w:val="21"/>
                <w:szCs w:val="21"/>
              </w:rPr>
            </w:pPr>
            <w:r>
              <w:rPr>
                <w:snapToGrid w:val="0"/>
                <w:color w:val="auto"/>
                <w:sz w:val="21"/>
                <w:szCs w:val="21"/>
              </w:rPr>
              <w:t>km</w:t>
            </w:r>
            <w:r>
              <w:rPr>
                <w:snapToGrid w:val="0"/>
                <w:color w:val="auto"/>
                <w:sz w:val="21"/>
                <w:szCs w:val="21"/>
                <w:vertAlign w:val="superscript"/>
              </w:rPr>
              <w:t>2</w:t>
            </w:r>
          </w:p>
        </w:tc>
        <w:tc>
          <w:tcPr>
            <w:tcW w:w="961" w:type="pct"/>
            <w:noWrap w:val="0"/>
            <w:vAlign w:val="center"/>
          </w:tcPr>
          <w:p>
            <w:pPr>
              <w:pStyle w:val="2986"/>
              <w:rPr>
                <w:snapToGrid w:val="0"/>
                <w:color w:val="auto"/>
                <w:sz w:val="21"/>
                <w:szCs w:val="21"/>
              </w:rPr>
            </w:pPr>
            <w:r>
              <w:rPr>
                <w:snapToGrid w:val="0"/>
                <w:color w:val="auto"/>
                <w:sz w:val="21"/>
                <w:szCs w:val="21"/>
              </w:rPr>
              <w:t>1685</w:t>
            </w:r>
          </w:p>
        </w:tc>
        <w:tc>
          <w:tcPr>
            <w:tcW w:w="2086" w:type="pct"/>
            <w:noWrap w:val="0"/>
            <w:vAlign w:val="center"/>
          </w:tcPr>
          <w:p>
            <w:pPr>
              <w:pStyle w:val="2986"/>
              <w:rPr>
                <w:snapToGrid w:val="0"/>
                <w:color w:val="auto"/>
                <w:sz w:val="21"/>
                <w:szCs w:val="21"/>
              </w:rPr>
            </w:pPr>
            <w:r>
              <w:rPr>
                <w:snapToGrid w:val="0"/>
                <w:color w:val="auto"/>
                <w:sz w:val="21"/>
                <w:szCs w:val="21"/>
              </w:rPr>
              <w:t>干流长度114km，平均坡降</w:t>
            </w:r>
            <w:r>
              <w:rPr>
                <w:rFonts w:hint="eastAsia"/>
                <w:snapToGrid w:val="0"/>
                <w:color w:val="auto"/>
                <w:sz w:val="21"/>
                <w:szCs w:val="21"/>
              </w:rPr>
              <w:t>1.95</w:t>
            </w:r>
            <w:r>
              <w:rPr>
                <w:snapToGrid w:val="0"/>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3" w:hRule="exact"/>
          <w:jc w:val="center"/>
        </w:trPr>
        <w:tc>
          <w:tcPr>
            <w:tcW w:w="1540" w:type="pct"/>
            <w:noWrap w:val="0"/>
            <w:vAlign w:val="center"/>
          </w:tcPr>
          <w:p>
            <w:pPr>
              <w:pStyle w:val="2986"/>
              <w:jc w:val="left"/>
              <w:rPr>
                <w:snapToGrid w:val="0"/>
                <w:color w:val="auto"/>
                <w:sz w:val="21"/>
                <w:szCs w:val="21"/>
              </w:rPr>
            </w:pPr>
            <w:r>
              <w:rPr>
                <w:rFonts w:hint="eastAsia"/>
                <w:snapToGrid w:val="0"/>
                <w:color w:val="auto"/>
                <w:sz w:val="21"/>
                <w:szCs w:val="21"/>
              </w:rPr>
              <w:t>本次治理段</w:t>
            </w:r>
            <w:r>
              <w:rPr>
                <w:snapToGrid w:val="0"/>
                <w:color w:val="auto"/>
                <w:sz w:val="21"/>
                <w:szCs w:val="21"/>
              </w:rPr>
              <w:t>流域面积</w:t>
            </w:r>
          </w:p>
        </w:tc>
        <w:tc>
          <w:tcPr>
            <w:tcW w:w="411" w:type="pct"/>
            <w:noWrap w:val="0"/>
            <w:vAlign w:val="center"/>
          </w:tcPr>
          <w:p>
            <w:pPr>
              <w:pStyle w:val="2986"/>
              <w:rPr>
                <w:snapToGrid w:val="0"/>
                <w:color w:val="auto"/>
                <w:sz w:val="21"/>
                <w:szCs w:val="21"/>
              </w:rPr>
            </w:pPr>
            <w:r>
              <w:rPr>
                <w:snapToGrid w:val="0"/>
                <w:color w:val="auto"/>
                <w:sz w:val="21"/>
                <w:szCs w:val="21"/>
              </w:rPr>
              <w:t>km</w:t>
            </w:r>
            <w:r>
              <w:rPr>
                <w:snapToGrid w:val="0"/>
                <w:color w:val="auto"/>
                <w:sz w:val="21"/>
                <w:szCs w:val="21"/>
                <w:vertAlign w:val="superscript"/>
              </w:rPr>
              <w:t>2</w:t>
            </w:r>
          </w:p>
        </w:tc>
        <w:tc>
          <w:tcPr>
            <w:tcW w:w="961" w:type="pct"/>
            <w:noWrap w:val="0"/>
            <w:vAlign w:val="center"/>
          </w:tcPr>
          <w:p>
            <w:pPr>
              <w:pStyle w:val="2986"/>
              <w:rPr>
                <w:snapToGrid w:val="0"/>
                <w:color w:val="auto"/>
                <w:sz w:val="21"/>
                <w:szCs w:val="21"/>
              </w:rPr>
            </w:pPr>
            <w:r>
              <w:rPr>
                <w:rFonts w:hint="eastAsia"/>
                <w:snapToGrid w:val="0"/>
                <w:color w:val="auto"/>
                <w:sz w:val="21"/>
                <w:szCs w:val="21"/>
              </w:rPr>
              <w:t>277.4</w:t>
            </w:r>
          </w:p>
        </w:tc>
        <w:tc>
          <w:tcPr>
            <w:tcW w:w="2086" w:type="pct"/>
            <w:noWrap w:val="0"/>
            <w:vAlign w:val="center"/>
          </w:tcPr>
          <w:p>
            <w:pPr>
              <w:pStyle w:val="2986"/>
              <w:rPr>
                <w:snapToGrid w:val="0"/>
                <w:color w:val="auto"/>
                <w:sz w:val="21"/>
                <w:szCs w:val="21"/>
              </w:rPr>
            </w:pPr>
            <w:r>
              <w:rPr>
                <w:snapToGrid w:val="0"/>
                <w:color w:val="auto"/>
                <w:sz w:val="21"/>
                <w:szCs w:val="21"/>
              </w:rPr>
              <w:t>干流长度</w:t>
            </w:r>
            <w:r>
              <w:rPr>
                <w:rFonts w:hint="eastAsia"/>
                <w:snapToGrid w:val="0"/>
                <w:color w:val="auto"/>
                <w:sz w:val="21"/>
                <w:szCs w:val="21"/>
              </w:rPr>
              <w:t>36.04</w:t>
            </w:r>
            <w:r>
              <w:rPr>
                <w:snapToGrid w:val="0"/>
                <w:color w:val="auto"/>
                <w:sz w:val="21"/>
                <w:szCs w:val="21"/>
              </w:rPr>
              <w:t>km，平均坡降</w:t>
            </w:r>
            <w:r>
              <w:rPr>
                <w:rFonts w:hint="eastAsia"/>
                <w:snapToGrid w:val="0"/>
                <w:color w:val="auto"/>
                <w:sz w:val="21"/>
                <w:szCs w:val="21"/>
              </w:rPr>
              <w:t>12.33</w:t>
            </w:r>
            <w:r>
              <w:rPr>
                <w:snapToGrid w:val="0"/>
                <w:color w:val="auto"/>
                <w:sz w:val="21"/>
                <w:szCs w:val="21"/>
              </w:rPr>
              <w:t>‰</w:t>
            </w:r>
          </w:p>
          <w:p>
            <w:pPr>
              <w:pStyle w:val="2986"/>
              <w:rPr>
                <w:snapToGrid w:val="0"/>
                <w:color w:val="auto"/>
                <w:sz w:val="21"/>
                <w:szCs w:val="21"/>
              </w:rPr>
            </w:pPr>
            <w:r>
              <w:rPr>
                <w:snapToGrid w:val="0"/>
                <w:color w:val="auto"/>
                <w:sz w:val="21"/>
                <w:szCs w:val="21"/>
              </w:rPr>
              <w:t>为祁水</w:t>
            </w:r>
            <w:r>
              <w:rPr>
                <w:rFonts w:hint="eastAsia"/>
                <w:snapToGrid w:val="0"/>
                <w:color w:val="auto"/>
                <w:sz w:val="21"/>
                <w:szCs w:val="21"/>
              </w:rPr>
              <w:t>干</w:t>
            </w:r>
            <w:r>
              <w:rPr>
                <w:snapToGrid w:val="0"/>
                <w:color w:val="auto"/>
                <w:sz w:val="21"/>
                <w:szCs w:val="21"/>
              </w:rPr>
              <w:t>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洪峰流量P=10%</w:t>
            </w:r>
          </w:p>
        </w:tc>
        <w:tc>
          <w:tcPr>
            <w:tcW w:w="411" w:type="pct"/>
            <w:noWrap w:val="0"/>
            <w:vAlign w:val="center"/>
          </w:tcPr>
          <w:p>
            <w:pPr>
              <w:pStyle w:val="2986"/>
              <w:rPr>
                <w:snapToGrid w:val="0"/>
                <w:color w:val="auto"/>
                <w:sz w:val="21"/>
                <w:szCs w:val="21"/>
              </w:rPr>
            </w:pPr>
            <w:r>
              <w:rPr>
                <w:snapToGrid w:val="0"/>
                <w:color w:val="auto"/>
                <w:sz w:val="21"/>
                <w:szCs w:val="21"/>
              </w:rPr>
              <w:t>m</w:t>
            </w:r>
            <w:r>
              <w:rPr>
                <w:snapToGrid w:val="0"/>
                <w:color w:val="auto"/>
                <w:sz w:val="21"/>
                <w:szCs w:val="21"/>
                <w:vertAlign w:val="superscript"/>
              </w:rPr>
              <w:t>3</w:t>
            </w:r>
            <w:r>
              <w:rPr>
                <w:snapToGrid w:val="0"/>
                <w:color w:val="auto"/>
                <w:sz w:val="21"/>
                <w:szCs w:val="21"/>
              </w:rPr>
              <w:t>/s</w:t>
            </w:r>
          </w:p>
        </w:tc>
        <w:tc>
          <w:tcPr>
            <w:tcW w:w="961" w:type="pct"/>
            <w:noWrap w:val="0"/>
            <w:vAlign w:val="center"/>
          </w:tcPr>
          <w:p>
            <w:pPr>
              <w:pStyle w:val="2986"/>
              <w:rPr>
                <w:rFonts w:hint="eastAsia"/>
                <w:snapToGrid w:val="0"/>
                <w:color w:val="auto"/>
                <w:sz w:val="21"/>
                <w:szCs w:val="21"/>
              </w:rPr>
            </w:pPr>
            <w:r>
              <w:rPr>
                <w:rFonts w:hint="eastAsia"/>
                <w:snapToGrid w:val="0"/>
                <w:color w:val="auto"/>
                <w:sz w:val="21"/>
                <w:szCs w:val="21"/>
              </w:rPr>
              <w:t>445.56</w:t>
            </w:r>
          </w:p>
        </w:tc>
        <w:tc>
          <w:tcPr>
            <w:tcW w:w="2086" w:type="pct"/>
            <w:noWrap w:val="0"/>
            <w:vAlign w:val="center"/>
          </w:tcPr>
          <w:p>
            <w:pPr>
              <w:pStyle w:val="2986"/>
              <w:rPr>
                <w:snapToGrid w:val="0"/>
                <w:color w:val="auto"/>
                <w:sz w:val="21"/>
                <w:szCs w:val="21"/>
              </w:rPr>
            </w:pPr>
            <w:r>
              <w:rPr>
                <w:rFonts w:hint="eastAsia"/>
                <w:snapToGrid w:val="0"/>
                <w:color w:val="auto"/>
                <w:sz w:val="21"/>
                <w:szCs w:val="21"/>
              </w:rPr>
              <w:t>东风水闸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bCs/>
                <w:snapToGrid w:val="0"/>
                <w:color w:val="auto"/>
                <w:sz w:val="21"/>
                <w:szCs w:val="21"/>
              </w:rPr>
            </w:pPr>
            <w:r>
              <w:rPr>
                <w:snapToGrid w:val="0"/>
                <w:color w:val="auto"/>
                <w:sz w:val="21"/>
                <w:szCs w:val="21"/>
              </w:rPr>
              <w:t>洪水位P=10%</w:t>
            </w:r>
          </w:p>
        </w:tc>
        <w:tc>
          <w:tcPr>
            <w:tcW w:w="411" w:type="pct"/>
            <w:noWrap w:val="0"/>
            <w:vAlign w:val="center"/>
          </w:tcPr>
          <w:p>
            <w:pPr>
              <w:pStyle w:val="2986"/>
              <w:rPr>
                <w:snapToGrid w:val="0"/>
                <w:color w:val="auto"/>
                <w:sz w:val="21"/>
                <w:szCs w:val="21"/>
              </w:rPr>
            </w:pPr>
            <w:r>
              <w:rPr>
                <w:snapToGrid w:val="0"/>
                <w:color w:val="auto"/>
                <w:sz w:val="21"/>
                <w:szCs w:val="21"/>
              </w:rPr>
              <w:t>m</w:t>
            </w:r>
          </w:p>
        </w:tc>
        <w:tc>
          <w:tcPr>
            <w:tcW w:w="961" w:type="pct"/>
            <w:noWrap w:val="0"/>
            <w:vAlign w:val="center"/>
          </w:tcPr>
          <w:p>
            <w:pPr>
              <w:pStyle w:val="2986"/>
              <w:rPr>
                <w:rFonts w:hint="eastAsia"/>
                <w:snapToGrid w:val="0"/>
                <w:color w:val="auto"/>
                <w:sz w:val="21"/>
                <w:szCs w:val="21"/>
              </w:rPr>
            </w:pPr>
            <w:r>
              <w:rPr>
                <w:rFonts w:hint="eastAsia"/>
                <w:snapToGrid w:val="0"/>
                <w:color w:val="auto"/>
                <w:sz w:val="21"/>
                <w:szCs w:val="21"/>
              </w:rPr>
              <w:t>141.06</w:t>
            </w:r>
          </w:p>
        </w:tc>
        <w:tc>
          <w:tcPr>
            <w:tcW w:w="2086" w:type="pct"/>
            <w:noWrap w:val="0"/>
            <w:vAlign w:val="center"/>
          </w:tcPr>
          <w:p>
            <w:pPr>
              <w:pStyle w:val="2986"/>
              <w:rPr>
                <w:snapToGrid w:val="0"/>
                <w:color w:val="auto"/>
                <w:sz w:val="21"/>
                <w:szCs w:val="21"/>
              </w:rPr>
            </w:pPr>
            <w:r>
              <w:rPr>
                <w:rFonts w:hint="eastAsia"/>
                <w:snapToGrid w:val="0"/>
                <w:color w:val="auto"/>
                <w:sz w:val="21"/>
                <w:szCs w:val="21"/>
              </w:rPr>
              <w:t>东风水闸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snapToGrid w:val="0"/>
                <w:color w:val="auto"/>
                <w:sz w:val="21"/>
                <w:szCs w:val="21"/>
              </w:rPr>
            </w:pPr>
            <w:r>
              <w:rPr>
                <w:rFonts w:hint="eastAsia"/>
                <w:bCs/>
                <w:snapToGrid w:val="0"/>
                <w:color w:val="auto"/>
                <w:sz w:val="21"/>
                <w:szCs w:val="21"/>
              </w:rPr>
              <w:t>四、主要建设内容</w:t>
            </w:r>
          </w:p>
        </w:tc>
        <w:tc>
          <w:tcPr>
            <w:tcW w:w="411" w:type="pct"/>
            <w:noWrap w:val="0"/>
            <w:vAlign w:val="center"/>
          </w:tcPr>
          <w:p>
            <w:pPr>
              <w:pStyle w:val="2986"/>
              <w:rPr>
                <w:snapToGrid w:val="0"/>
                <w:color w:val="auto"/>
                <w:sz w:val="21"/>
                <w:szCs w:val="21"/>
              </w:rPr>
            </w:pPr>
          </w:p>
        </w:tc>
        <w:tc>
          <w:tcPr>
            <w:tcW w:w="961" w:type="pct"/>
            <w:noWrap w:val="0"/>
            <w:vAlign w:val="center"/>
          </w:tcPr>
          <w:p>
            <w:pPr>
              <w:pStyle w:val="2986"/>
              <w:rPr>
                <w:rFonts w:hint="eastAsia"/>
                <w:snapToGrid w:val="0"/>
                <w:color w:val="auto"/>
                <w:sz w:val="21"/>
                <w:szCs w:val="21"/>
              </w:rPr>
            </w:pP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rFonts w:hint="eastAsia"/>
                <w:snapToGrid w:val="0"/>
                <w:color w:val="auto"/>
                <w:sz w:val="21"/>
                <w:szCs w:val="21"/>
              </w:rPr>
              <w:t>1</w:t>
            </w:r>
            <w:r>
              <w:rPr>
                <w:snapToGrid w:val="0"/>
                <w:color w:val="auto"/>
                <w:sz w:val="21"/>
                <w:szCs w:val="21"/>
              </w:rPr>
              <w:t>、工程治理范围</w:t>
            </w:r>
          </w:p>
        </w:tc>
        <w:tc>
          <w:tcPr>
            <w:tcW w:w="411" w:type="pct"/>
            <w:noWrap w:val="0"/>
            <w:vAlign w:val="center"/>
          </w:tcPr>
          <w:p>
            <w:pPr>
              <w:pStyle w:val="2986"/>
              <w:rPr>
                <w:snapToGrid w:val="0"/>
                <w:color w:val="auto"/>
                <w:sz w:val="21"/>
                <w:szCs w:val="21"/>
              </w:rPr>
            </w:pPr>
          </w:p>
        </w:tc>
        <w:tc>
          <w:tcPr>
            <w:tcW w:w="961" w:type="pct"/>
            <w:noWrap w:val="0"/>
            <w:vAlign w:val="center"/>
          </w:tcPr>
          <w:p>
            <w:pPr>
              <w:pStyle w:val="2986"/>
              <w:rPr>
                <w:snapToGrid w:val="0"/>
                <w:color w:val="auto"/>
                <w:sz w:val="21"/>
                <w:szCs w:val="21"/>
              </w:rPr>
            </w:pP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祁水祁东县治理工程河长</w:t>
            </w:r>
          </w:p>
        </w:tc>
        <w:tc>
          <w:tcPr>
            <w:tcW w:w="411" w:type="pct"/>
            <w:noWrap w:val="0"/>
            <w:vAlign w:val="center"/>
          </w:tcPr>
          <w:p>
            <w:pPr>
              <w:pStyle w:val="2986"/>
              <w:rPr>
                <w:snapToGrid w:val="0"/>
                <w:color w:val="auto"/>
                <w:sz w:val="21"/>
                <w:szCs w:val="21"/>
              </w:rPr>
            </w:pPr>
            <w:r>
              <w:rPr>
                <w:snapToGrid w:val="0"/>
                <w:color w:val="auto"/>
                <w:sz w:val="21"/>
                <w:szCs w:val="21"/>
              </w:rPr>
              <w:t>km</w:t>
            </w:r>
          </w:p>
        </w:tc>
        <w:tc>
          <w:tcPr>
            <w:tcW w:w="961" w:type="pct"/>
            <w:noWrap w:val="0"/>
            <w:vAlign w:val="center"/>
          </w:tcPr>
          <w:p>
            <w:pPr>
              <w:pStyle w:val="2986"/>
              <w:rPr>
                <w:snapToGrid w:val="0"/>
                <w:color w:val="auto"/>
                <w:sz w:val="21"/>
                <w:szCs w:val="21"/>
              </w:rPr>
            </w:pPr>
            <w:r>
              <w:rPr>
                <w:rFonts w:hint="eastAsia"/>
                <w:snapToGrid w:val="0"/>
                <w:color w:val="auto"/>
                <w:sz w:val="21"/>
                <w:szCs w:val="21"/>
              </w:rPr>
              <w:t>24.587</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本次治理长度</w:t>
            </w:r>
          </w:p>
        </w:tc>
        <w:tc>
          <w:tcPr>
            <w:tcW w:w="411" w:type="pct"/>
            <w:noWrap w:val="0"/>
            <w:vAlign w:val="center"/>
          </w:tcPr>
          <w:p>
            <w:pPr>
              <w:pStyle w:val="2986"/>
              <w:rPr>
                <w:snapToGrid w:val="0"/>
                <w:color w:val="auto"/>
                <w:sz w:val="21"/>
                <w:szCs w:val="21"/>
              </w:rPr>
            </w:pPr>
            <w:r>
              <w:rPr>
                <w:snapToGrid w:val="0"/>
                <w:color w:val="auto"/>
                <w:sz w:val="21"/>
                <w:szCs w:val="21"/>
              </w:rPr>
              <w:t>km</w:t>
            </w:r>
          </w:p>
        </w:tc>
        <w:tc>
          <w:tcPr>
            <w:tcW w:w="961" w:type="pct"/>
            <w:noWrap w:val="0"/>
            <w:vAlign w:val="center"/>
          </w:tcPr>
          <w:p>
            <w:pPr>
              <w:pStyle w:val="2986"/>
              <w:rPr>
                <w:snapToGrid w:val="0"/>
                <w:color w:val="auto"/>
                <w:sz w:val="21"/>
                <w:szCs w:val="21"/>
              </w:rPr>
            </w:pPr>
            <w:r>
              <w:rPr>
                <w:rFonts w:hint="eastAsia"/>
                <w:snapToGrid w:val="0"/>
                <w:color w:val="auto"/>
                <w:sz w:val="21"/>
                <w:szCs w:val="21"/>
              </w:rPr>
              <w:t>23.900</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rFonts w:hint="eastAsia"/>
                <w:snapToGrid w:val="0"/>
                <w:color w:val="auto"/>
                <w:sz w:val="21"/>
                <w:szCs w:val="21"/>
              </w:rPr>
              <w:t>其中：蒋家桥段</w:t>
            </w:r>
          </w:p>
        </w:tc>
        <w:tc>
          <w:tcPr>
            <w:tcW w:w="411" w:type="pct"/>
            <w:noWrap w:val="0"/>
            <w:vAlign w:val="center"/>
          </w:tcPr>
          <w:p>
            <w:pPr>
              <w:pStyle w:val="2986"/>
              <w:rPr>
                <w:snapToGrid w:val="0"/>
                <w:color w:val="auto"/>
                <w:sz w:val="21"/>
                <w:szCs w:val="21"/>
              </w:rPr>
            </w:pPr>
            <w:r>
              <w:rPr>
                <w:snapToGrid w:val="0"/>
                <w:color w:val="auto"/>
                <w:sz w:val="21"/>
                <w:szCs w:val="21"/>
              </w:rPr>
              <w:t>km</w:t>
            </w:r>
          </w:p>
        </w:tc>
        <w:tc>
          <w:tcPr>
            <w:tcW w:w="961" w:type="pct"/>
            <w:noWrap w:val="0"/>
            <w:vAlign w:val="center"/>
          </w:tcPr>
          <w:p>
            <w:pPr>
              <w:pStyle w:val="2986"/>
              <w:rPr>
                <w:rFonts w:hint="eastAsia"/>
                <w:snapToGrid w:val="0"/>
                <w:color w:val="auto"/>
                <w:sz w:val="21"/>
                <w:szCs w:val="21"/>
              </w:rPr>
            </w:pPr>
            <w:r>
              <w:rPr>
                <w:rFonts w:hint="eastAsia"/>
                <w:snapToGrid w:val="0"/>
                <w:color w:val="auto"/>
                <w:sz w:val="21"/>
                <w:szCs w:val="21"/>
              </w:rPr>
              <w:t>20.920</w:t>
            </w:r>
          </w:p>
        </w:tc>
        <w:tc>
          <w:tcPr>
            <w:tcW w:w="2086" w:type="pct"/>
            <w:noWrap w:val="0"/>
            <w:vAlign w:val="center"/>
          </w:tcPr>
          <w:p>
            <w:pPr>
              <w:pStyle w:val="2986"/>
              <w:rPr>
                <w:rFonts w:hint="eastAsia"/>
                <w:snapToGrid w:val="0"/>
                <w:color w:val="auto"/>
                <w:sz w:val="21"/>
                <w:szCs w:val="21"/>
              </w:rPr>
            </w:pPr>
            <w:r>
              <w:rPr>
                <w:rFonts w:hint="eastAsia"/>
                <w:snapToGrid w:val="0"/>
                <w:color w:val="auto"/>
                <w:sz w:val="21"/>
                <w:szCs w:val="21"/>
              </w:rPr>
              <w:t>祁32+320～</w:t>
            </w:r>
            <w:r>
              <w:rPr>
                <w:rFonts w:hint="eastAsia"/>
                <w:color w:val="auto"/>
                <w:sz w:val="21"/>
                <w:szCs w:val="21"/>
              </w:rPr>
              <w:t>祁11+400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exact"/>
          <w:jc w:val="center"/>
        </w:trPr>
        <w:tc>
          <w:tcPr>
            <w:tcW w:w="1540" w:type="pct"/>
            <w:noWrap w:val="0"/>
            <w:vAlign w:val="center"/>
          </w:tcPr>
          <w:p>
            <w:pPr>
              <w:pStyle w:val="2986"/>
              <w:jc w:val="left"/>
              <w:rPr>
                <w:snapToGrid w:val="0"/>
                <w:color w:val="auto"/>
                <w:sz w:val="21"/>
                <w:szCs w:val="21"/>
              </w:rPr>
            </w:pPr>
            <w:r>
              <w:rPr>
                <w:rFonts w:hint="eastAsia"/>
                <w:snapToGrid w:val="0"/>
                <w:color w:val="auto"/>
                <w:sz w:val="21"/>
                <w:szCs w:val="21"/>
              </w:rPr>
              <w:t xml:space="preserve">      祁水源段</w:t>
            </w:r>
          </w:p>
        </w:tc>
        <w:tc>
          <w:tcPr>
            <w:tcW w:w="411" w:type="pct"/>
            <w:noWrap w:val="0"/>
            <w:vAlign w:val="center"/>
          </w:tcPr>
          <w:p>
            <w:pPr>
              <w:pStyle w:val="2986"/>
              <w:rPr>
                <w:snapToGrid w:val="0"/>
                <w:color w:val="auto"/>
                <w:sz w:val="21"/>
                <w:szCs w:val="21"/>
              </w:rPr>
            </w:pPr>
            <w:r>
              <w:rPr>
                <w:snapToGrid w:val="0"/>
                <w:color w:val="auto"/>
                <w:sz w:val="21"/>
                <w:szCs w:val="21"/>
              </w:rPr>
              <w:t>km</w:t>
            </w:r>
          </w:p>
        </w:tc>
        <w:tc>
          <w:tcPr>
            <w:tcW w:w="961" w:type="pct"/>
            <w:noWrap w:val="0"/>
            <w:vAlign w:val="center"/>
          </w:tcPr>
          <w:p>
            <w:pPr>
              <w:pStyle w:val="2986"/>
              <w:rPr>
                <w:rFonts w:hint="eastAsia"/>
                <w:snapToGrid w:val="0"/>
                <w:color w:val="auto"/>
                <w:sz w:val="21"/>
                <w:szCs w:val="21"/>
              </w:rPr>
            </w:pPr>
            <w:r>
              <w:rPr>
                <w:rFonts w:hint="eastAsia"/>
                <w:snapToGrid w:val="0"/>
                <w:color w:val="auto"/>
                <w:sz w:val="21"/>
                <w:szCs w:val="21"/>
              </w:rPr>
              <w:t>2.980</w:t>
            </w:r>
          </w:p>
        </w:tc>
        <w:tc>
          <w:tcPr>
            <w:tcW w:w="2086" w:type="pct"/>
            <w:noWrap w:val="0"/>
            <w:vAlign w:val="center"/>
          </w:tcPr>
          <w:p>
            <w:pPr>
              <w:pStyle w:val="2986"/>
              <w:rPr>
                <w:rFonts w:hint="eastAsia"/>
                <w:color w:val="auto"/>
                <w:sz w:val="21"/>
                <w:szCs w:val="21"/>
              </w:rPr>
            </w:pPr>
            <w:r>
              <w:rPr>
                <w:rFonts w:hint="eastAsia"/>
                <w:color w:val="auto"/>
                <w:sz w:val="21"/>
                <w:szCs w:val="21"/>
              </w:rPr>
              <w:t>祁3+550</w:t>
            </w:r>
            <w:r>
              <w:rPr>
                <w:rFonts w:hint="eastAsia"/>
                <w:snapToGrid w:val="0"/>
                <w:color w:val="auto"/>
                <w:sz w:val="21"/>
                <w:szCs w:val="21"/>
              </w:rPr>
              <w:t>～</w:t>
            </w:r>
            <w:r>
              <w:rPr>
                <w:rFonts w:hint="eastAsia"/>
                <w:color w:val="auto"/>
                <w:sz w:val="21"/>
                <w:szCs w:val="21"/>
              </w:rPr>
              <w:t>祁3+100</w:t>
            </w:r>
          </w:p>
          <w:p>
            <w:pPr>
              <w:pStyle w:val="2986"/>
              <w:rPr>
                <w:rFonts w:hint="eastAsia"/>
                <w:color w:val="auto"/>
                <w:sz w:val="21"/>
                <w:szCs w:val="21"/>
              </w:rPr>
            </w:pPr>
            <w:r>
              <w:rPr>
                <w:rFonts w:hint="eastAsia"/>
                <w:color w:val="auto"/>
                <w:sz w:val="21"/>
                <w:szCs w:val="21"/>
              </w:rPr>
              <w:t>祁2+800～祁0+270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rFonts w:hint="eastAsia"/>
                <w:snapToGrid w:val="0"/>
                <w:color w:val="auto"/>
                <w:sz w:val="21"/>
                <w:szCs w:val="21"/>
              </w:rPr>
              <w:t>2</w:t>
            </w:r>
            <w:r>
              <w:rPr>
                <w:snapToGrid w:val="0"/>
                <w:color w:val="auto"/>
                <w:sz w:val="21"/>
                <w:szCs w:val="21"/>
              </w:rPr>
              <w:t>、工程治理方式</w:t>
            </w:r>
          </w:p>
        </w:tc>
        <w:tc>
          <w:tcPr>
            <w:tcW w:w="411" w:type="pct"/>
            <w:noWrap w:val="0"/>
            <w:vAlign w:val="center"/>
          </w:tcPr>
          <w:p>
            <w:pPr>
              <w:pStyle w:val="2986"/>
              <w:rPr>
                <w:snapToGrid w:val="0"/>
                <w:color w:val="auto"/>
                <w:sz w:val="21"/>
                <w:szCs w:val="21"/>
              </w:rPr>
            </w:pPr>
          </w:p>
        </w:tc>
        <w:tc>
          <w:tcPr>
            <w:tcW w:w="961" w:type="pct"/>
            <w:noWrap w:val="0"/>
            <w:vAlign w:val="center"/>
          </w:tcPr>
          <w:p>
            <w:pPr>
              <w:pStyle w:val="2986"/>
              <w:rPr>
                <w:snapToGrid w:val="0"/>
                <w:color w:val="auto"/>
                <w:sz w:val="21"/>
                <w:szCs w:val="21"/>
              </w:rPr>
            </w:pP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snapToGrid w:val="0"/>
                <w:color w:val="auto"/>
                <w:sz w:val="21"/>
                <w:szCs w:val="21"/>
              </w:rPr>
            </w:pPr>
            <w:r>
              <w:rPr>
                <w:snapToGrid w:val="0"/>
                <w:color w:val="auto"/>
                <w:sz w:val="21"/>
                <w:szCs w:val="21"/>
              </w:rPr>
              <w:t>（</w:t>
            </w:r>
            <w:r>
              <w:rPr>
                <w:rFonts w:hint="eastAsia"/>
                <w:snapToGrid w:val="0"/>
                <w:color w:val="auto"/>
                <w:sz w:val="21"/>
                <w:szCs w:val="21"/>
              </w:rPr>
              <w:t>1</w:t>
            </w:r>
            <w:r>
              <w:rPr>
                <w:snapToGrid w:val="0"/>
                <w:color w:val="auto"/>
                <w:sz w:val="21"/>
                <w:szCs w:val="21"/>
              </w:rPr>
              <w:t>）护岸</w:t>
            </w:r>
            <w:r>
              <w:rPr>
                <w:rFonts w:hint="eastAsia"/>
                <w:snapToGrid w:val="0"/>
                <w:color w:val="auto"/>
                <w:sz w:val="21"/>
                <w:szCs w:val="21"/>
              </w:rPr>
              <w:t>工程</w:t>
            </w:r>
          </w:p>
        </w:tc>
        <w:tc>
          <w:tcPr>
            <w:tcW w:w="411" w:type="pct"/>
            <w:noWrap w:val="0"/>
            <w:vAlign w:val="center"/>
          </w:tcPr>
          <w:p>
            <w:pPr>
              <w:pStyle w:val="2986"/>
              <w:rPr>
                <w:snapToGrid w:val="0"/>
                <w:color w:val="auto"/>
                <w:sz w:val="21"/>
                <w:szCs w:val="21"/>
              </w:rPr>
            </w:pPr>
            <w:r>
              <w:rPr>
                <w:snapToGrid w:val="0"/>
                <w:color w:val="auto"/>
                <w:sz w:val="21"/>
                <w:szCs w:val="21"/>
              </w:rPr>
              <w:t>m</w:t>
            </w:r>
          </w:p>
        </w:tc>
        <w:tc>
          <w:tcPr>
            <w:tcW w:w="961" w:type="pct"/>
            <w:noWrap w:val="0"/>
            <w:vAlign w:val="center"/>
          </w:tcPr>
          <w:p>
            <w:pPr>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30017</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rFonts w:hint="eastAsia"/>
                <w:snapToGrid w:val="0"/>
                <w:color w:val="auto"/>
                <w:sz w:val="21"/>
                <w:szCs w:val="21"/>
              </w:rPr>
              <w:t>格宾</w:t>
            </w:r>
            <w:r>
              <w:rPr>
                <w:snapToGrid w:val="0"/>
                <w:color w:val="auto"/>
                <w:sz w:val="21"/>
                <w:szCs w:val="21"/>
              </w:rPr>
              <w:t>挡墙</w:t>
            </w:r>
          </w:p>
        </w:tc>
        <w:tc>
          <w:tcPr>
            <w:tcW w:w="411" w:type="pct"/>
            <w:noWrap w:val="0"/>
            <w:vAlign w:val="center"/>
          </w:tcPr>
          <w:p>
            <w:pPr>
              <w:pStyle w:val="2986"/>
              <w:rPr>
                <w:snapToGrid w:val="0"/>
                <w:color w:val="auto"/>
                <w:sz w:val="21"/>
                <w:szCs w:val="21"/>
              </w:rPr>
            </w:pPr>
            <w:r>
              <w:rPr>
                <w:snapToGrid w:val="0"/>
                <w:color w:val="auto"/>
                <w:sz w:val="21"/>
                <w:szCs w:val="21"/>
              </w:rPr>
              <w:t>m</w:t>
            </w:r>
          </w:p>
        </w:tc>
        <w:tc>
          <w:tcPr>
            <w:tcW w:w="961" w:type="pct"/>
            <w:noWrap w:val="0"/>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9301</w:t>
            </w:r>
          </w:p>
        </w:tc>
        <w:tc>
          <w:tcPr>
            <w:tcW w:w="2086" w:type="pct"/>
            <w:vMerge w:val="restart"/>
            <w:noWrap w:val="0"/>
            <w:vAlign w:val="center"/>
          </w:tcPr>
          <w:p>
            <w:pPr>
              <w:pStyle w:val="2986"/>
              <w:rPr>
                <w:snapToGrid w:val="0"/>
                <w:color w:val="auto"/>
                <w:sz w:val="21"/>
                <w:szCs w:val="21"/>
              </w:rPr>
            </w:pPr>
            <w:r>
              <w:rPr>
                <w:rFonts w:hint="eastAsia"/>
                <w:snapToGrid w:val="0"/>
                <w:color w:val="auto"/>
                <w:sz w:val="21"/>
                <w:szCs w:val="21"/>
              </w:rPr>
              <w:t>祁水蒋家桥段</w:t>
            </w:r>
            <w:r>
              <w:rPr>
                <w:snapToGrid w:val="0"/>
                <w:color w:val="auto"/>
                <w:sz w:val="21"/>
                <w:szCs w:val="21"/>
              </w:rPr>
              <w:t>左岸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snapToGrid w:val="0"/>
                <w:color w:val="auto"/>
                <w:sz w:val="21"/>
                <w:szCs w:val="21"/>
              </w:rPr>
            </w:pPr>
            <w:r>
              <w:rPr>
                <w:rFonts w:hint="eastAsia"/>
                <w:snapToGrid w:val="0"/>
                <w:color w:val="auto"/>
                <w:sz w:val="21"/>
                <w:szCs w:val="21"/>
              </w:rPr>
              <w:t>仿石生态挡墙</w:t>
            </w:r>
          </w:p>
        </w:tc>
        <w:tc>
          <w:tcPr>
            <w:tcW w:w="411" w:type="pct"/>
            <w:noWrap w:val="0"/>
            <w:vAlign w:val="center"/>
          </w:tcPr>
          <w:p>
            <w:pPr>
              <w:pStyle w:val="2986"/>
              <w:rPr>
                <w:rFonts w:hint="eastAsia"/>
                <w:snapToGrid w:val="0"/>
                <w:color w:val="auto"/>
                <w:sz w:val="21"/>
                <w:szCs w:val="21"/>
              </w:rPr>
            </w:pPr>
            <w:r>
              <w:rPr>
                <w:rFonts w:hint="eastAsia"/>
                <w:snapToGrid w:val="0"/>
                <w:color w:val="auto"/>
                <w:sz w:val="21"/>
                <w:szCs w:val="21"/>
              </w:rPr>
              <w:t>m</w:t>
            </w:r>
          </w:p>
        </w:tc>
        <w:tc>
          <w:tcPr>
            <w:tcW w:w="961" w:type="pct"/>
            <w:noWrap w:val="0"/>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2036</w:t>
            </w:r>
          </w:p>
        </w:tc>
        <w:tc>
          <w:tcPr>
            <w:tcW w:w="2086" w:type="pct"/>
            <w:vMerge w:val="continue"/>
            <w:noWrap w:val="0"/>
            <w:vAlign w:val="center"/>
          </w:tcPr>
          <w:p>
            <w:pPr>
              <w:pStyle w:val="2986"/>
              <w:rPr>
                <w:rFonts w:hint="eastAsia"/>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snapToGrid w:val="0"/>
                <w:color w:val="auto"/>
                <w:sz w:val="21"/>
                <w:szCs w:val="21"/>
              </w:rPr>
            </w:pPr>
            <w:r>
              <w:rPr>
                <w:snapToGrid w:val="0"/>
                <w:color w:val="auto"/>
                <w:sz w:val="21"/>
                <w:szCs w:val="21"/>
              </w:rPr>
              <w:t>浆砌石挡墙</w:t>
            </w:r>
          </w:p>
        </w:tc>
        <w:tc>
          <w:tcPr>
            <w:tcW w:w="411" w:type="pct"/>
            <w:noWrap w:val="0"/>
            <w:vAlign w:val="center"/>
          </w:tcPr>
          <w:p>
            <w:pPr>
              <w:pStyle w:val="2986"/>
              <w:rPr>
                <w:rFonts w:hint="eastAsia"/>
                <w:snapToGrid w:val="0"/>
                <w:color w:val="auto"/>
                <w:sz w:val="21"/>
                <w:szCs w:val="21"/>
              </w:rPr>
            </w:pPr>
            <w:r>
              <w:rPr>
                <w:rFonts w:hint="eastAsia"/>
                <w:snapToGrid w:val="0"/>
                <w:color w:val="auto"/>
                <w:sz w:val="21"/>
                <w:szCs w:val="21"/>
              </w:rPr>
              <w:t>m</w:t>
            </w:r>
          </w:p>
        </w:tc>
        <w:tc>
          <w:tcPr>
            <w:tcW w:w="961" w:type="pct"/>
            <w:noWrap w:val="0"/>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1209</w:t>
            </w:r>
          </w:p>
        </w:tc>
        <w:tc>
          <w:tcPr>
            <w:tcW w:w="2086" w:type="pct"/>
            <w:vMerge w:val="continue"/>
            <w:noWrap w:val="0"/>
            <w:vAlign w:val="center"/>
          </w:tcPr>
          <w:p>
            <w:pPr>
              <w:pStyle w:val="2986"/>
              <w:rPr>
                <w:rFonts w:hint="eastAsia"/>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rFonts w:hint="eastAsia"/>
                <w:snapToGrid w:val="0"/>
                <w:color w:val="auto"/>
                <w:sz w:val="21"/>
                <w:szCs w:val="21"/>
              </w:rPr>
              <w:t>格宾</w:t>
            </w:r>
            <w:r>
              <w:rPr>
                <w:snapToGrid w:val="0"/>
                <w:color w:val="auto"/>
                <w:sz w:val="21"/>
                <w:szCs w:val="21"/>
              </w:rPr>
              <w:t>挡墙</w:t>
            </w:r>
          </w:p>
        </w:tc>
        <w:tc>
          <w:tcPr>
            <w:tcW w:w="411" w:type="pct"/>
            <w:noWrap w:val="0"/>
            <w:vAlign w:val="center"/>
          </w:tcPr>
          <w:p>
            <w:pPr>
              <w:pStyle w:val="2986"/>
              <w:rPr>
                <w:snapToGrid w:val="0"/>
                <w:color w:val="auto"/>
                <w:sz w:val="21"/>
                <w:szCs w:val="21"/>
              </w:rPr>
            </w:pPr>
            <w:r>
              <w:rPr>
                <w:snapToGrid w:val="0"/>
                <w:color w:val="auto"/>
                <w:sz w:val="21"/>
                <w:szCs w:val="21"/>
              </w:rPr>
              <w:t>m</w:t>
            </w:r>
          </w:p>
        </w:tc>
        <w:tc>
          <w:tcPr>
            <w:tcW w:w="961" w:type="pct"/>
            <w:noWrap w:val="0"/>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10950</w:t>
            </w:r>
          </w:p>
        </w:tc>
        <w:tc>
          <w:tcPr>
            <w:tcW w:w="2086" w:type="pct"/>
            <w:vMerge w:val="restart"/>
            <w:noWrap w:val="0"/>
            <w:vAlign w:val="center"/>
          </w:tcPr>
          <w:p>
            <w:pPr>
              <w:pStyle w:val="2986"/>
              <w:rPr>
                <w:snapToGrid w:val="0"/>
                <w:color w:val="auto"/>
                <w:sz w:val="21"/>
                <w:szCs w:val="21"/>
              </w:rPr>
            </w:pPr>
            <w:r>
              <w:rPr>
                <w:rFonts w:hint="eastAsia"/>
                <w:snapToGrid w:val="0"/>
                <w:color w:val="auto"/>
                <w:sz w:val="21"/>
                <w:szCs w:val="21"/>
              </w:rPr>
              <w:t>祁水蒋家桥段</w:t>
            </w:r>
            <w:r>
              <w:rPr>
                <w:snapToGrid w:val="0"/>
                <w:color w:val="auto"/>
                <w:sz w:val="21"/>
                <w:szCs w:val="21"/>
              </w:rPr>
              <w:t>右岸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snapToGrid w:val="0"/>
                <w:color w:val="auto"/>
                <w:sz w:val="21"/>
                <w:szCs w:val="21"/>
              </w:rPr>
            </w:pPr>
            <w:r>
              <w:rPr>
                <w:rFonts w:hint="eastAsia"/>
                <w:snapToGrid w:val="0"/>
                <w:color w:val="auto"/>
                <w:sz w:val="21"/>
                <w:szCs w:val="21"/>
              </w:rPr>
              <w:t>仿石生态挡墙</w:t>
            </w:r>
          </w:p>
        </w:tc>
        <w:tc>
          <w:tcPr>
            <w:tcW w:w="411" w:type="pct"/>
            <w:noWrap w:val="0"/>
            <w:vAlign w:val="center"/>
          </w:tcPr>
          <w:p>
            <w:pPr>
              <w:pStyle w:val="2986"/>
              <w:rPr>
                <w:rFonts w:hint="eastAsia"/>
                <w:snapToGrid w:val="0"/>
                <w:color w:val="auto"/>
                <w:sz w:val="21"/>
                <w:szCs w:val="21"/>
              </w:rPr>
            </w:pPr>
            <w:r>
              <w:rPr>
                <w:rFonts w:hint="eastAsia"/>
                <w:snapToGrid w:val="0"/>
                <w:color w:val="auto"/>
                <w:sz w:val="21"/>
                <w:szCs w:val="21"/>
              </w:rPr>
              <w:t>m</w:t>
            </w:r>
          </w:p>
        </w:tc>
        <w:tc>
          <w:tcPr>
            <w:tcW w:w="961" w:type="pct"/>
            <w:noWrap w:val="0"/>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2398</w:t>
            </w:r>
          </w:p>
        </w:tc>
        <w:tc>
          <w:tcPr>
            <w:tcW w:w="2086" w:type="pct"/>
            <w:vMerge w:val="continue"/>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snapToGrid w:val="0"/>
                <w:color w:val="auto"/>
                <w:sz w:val="21"/>
                <w:szCs w:val="21"/>
              </w:rPr>
            </w:pPr>
            <w:r>
              <w:rPr>
                <w:snapToGrid w:val="0"/>
                <w:color w:val="auto"/>
                <w:sz w:val="21"/>
                <w:szCs w:val="21"/>
              </w:rPr>
              <w:t>浆砌石挡墙</w:t>
            </w:r>
          </w:p>
        </w:tc>
        <w:tc>
          <w:tcPr>
            <w:tcW w:w="411" w:type="pct"/>
            <w:noWrap w:val="0"/>
            <w:vAlign w:val="center"/>
          </w:tcPr>
          <w:p>
            <w:pPr>
              <w:pStyle w:val="2986"/>
              <w:rPr>
                <w:rFonts w:hint="eastAsia"/>
                <w:snapToGrid w:val="0"/>
                <w:color w:val="auto"/>
                <w:sz w:val="21"/>
                <w:szCs w:val="21"/>
              </w:rPr>
            </w:pPr>
            <w:r>
              <w:rPr>
                <w:rFonts w:hint="eastAsia"/>
                <w:snapToGrid w:val="0"/>
                <w:color w:val="auto"/>
                <w:sz w:val="21"/>
                <w:szCs w:val="21"/>
              </w:rPr>
              <w:t>m</w:t>
            </w:r>
          </w:p>
        </w:tc>
        <w:tc>
          <w:tcPr>
            <w:tcW w:w="961" w:type="pct"/>
            <w:noWrap w:val="0"/>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1269</w:t>
            </w:r>
          </w:p>
        </w:tc>
        <w:tc>
          <w:tcPr>
            <w:tcW w:w="2086" w:type="pct"/>
            <w:vMerge w:val="continue"/>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rFonts w:hint="eastAsia"/>
                <w:snapToGrid w:val="0"/>
                <w:color w:val="auto"/>
                <w:sz w:val="21"/>
                <w:szCs w:val="21"/>
              </w:rPr>
              <w:t>格宾</w:t>
            </w:r>
            <w:r>
              <w:rPr>
                <w:snapToGrid w:val="0"/>
                <w:color w:val="auto"/>
                <w:sz w:val="21"/>
                <w:szCs w:val="21"/>
              </w:rPr>
              <w:t>挡墙护岸</w:t>
            </w:r>
          </w:p>
        </w:tc>
        <w:tc>
          <w:tcPr>
            <w:tcW w:w="411" w:type="pct"/>
            <w:noWrap w:val="0"/>
            <w:vAlign w:val="center"/>
          </w:tcPr>
          <w:p>
            <w:pPr>
              <w:pStyle w:val="2986"/>
              <w:rPr>
                <w:snapToGrid w:val="0"/>
                <w:color w:val="auto"/>
                <w:sz w:val="21"/>
                <w:szCs w:val="21"/>
              </w:rPr>
            </w:pPr>
            <w:r>
              <w:rPr>
                <w:snapToGrid w:val="0"/>
                <w:color w:val="auto"/>
                <w:sz w:val="21"/>
                <w:szCs w:val="21"/>
              </w:rPr>
              <w:t>m</w:t>
            </w:r>
          </w:p>
        </w:tc>
        <w:tc>
          <w:tcPr>
            <w:tcW w:w="961" w:type="pct"/>
            <w:noWrap w:val="0"/>
            <w:vAlign w:val="center"/>
          </w:tcPr>
          <w:p>
            <w:pPr>
              <w:jc w:val="center"/>
              <w:rPr>
                <w:rFonts w:ascii="Times New Roman" w:hAnsi="Times New Roman"/>
                <w:color w:val="auto"/>
                <w:sz w:val="21"/>
                <w:szCs w:val="21"/>
              </w:rPr>
            </w:pPr>
            <w:r>
              <w:rPr>
                <w:rFonts w:ascii="Times New Roman" w:hAnsi="Times New Roman"/>
                <w:color w:val="auto"/>
                <w:sz w:val="21"/>
                <w:szCs w:val="21"/>
              </w:rPr>
              <w:t>371</w:t>
            </w:r>
          </w:p>
        </w:tc>
        <w:tc>
          <w:tcPr>
            <w:tcW w:w="2086" w:type="pct"/>
            <w:vMerge w:val="restart"/>
            <w:noWrap w:val="0"/>
            <w:vAlign w:val="center"/>
          </w:tcPr>
          <w:p>
            <w:pPr>
              <w:pStyle w:val="2986"/>
              <w:rPr>
                <w:snapToGrid w:val="0"/>
                <w:color w:val="auto"/>
                <w:sz w:val="21"/>
                <w:szCs w:val="21"/>
              </w:rPr>
            </w:pPr>
            <w:r>
              <w:rPr>
                <w:rFonts w:hint="eastAsia"/>
                <w:snapToGrid w:val="0"/>
                <w:color w:val="auto"/>
                <w:sz w:val="21"/>
                <w:szCs w:val="21"/>
              </w:rPr>
              <w:t>祁水源段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snapToGrid w:val="0"/>
                <w:color w:val="auto"/>
                <w:sz w:val="21"/>
                <w:szCs w:val="21"/>
              </w:rPr>
            </w:pPr>
            <w:r>
              <w:rPr>
                <w:snapToGrid w:val="0"/>
                <w:color w:val="auto"/>
                <w:sz w:val="21"/>
                <w:szCs w:val="21"/>
              </w:rPr>
              <w:t>浆砌石挡墙护岸</w:t>
            </w:r>
          </w:p>
        </w:tc>
        <w:tc>
          <w:tcPr>
            <w:tcW w:w="411" w:type="pct"/>
            <w:noWrap w:val="0"/>
            <w:vAlign w:val="center"/>
          </w:tcPr>
          <w:p>
            <w:pPr>
              <w:pStyle w:val="2986"/>
              <w:rPr>
                <w:rFonts w:hint="eastAsia"/>
                <w:snapToGrid w:val="0"/>
                <w:color w:val="auto"/>
                <w:sz w:val="21"/>
                <w:szCs w:val="21"/>
              </w:rPr>
            </w:pPr>
            <w:r>
              <w:rPr>
                <w:rFonts w:hint="eastAsia"/>
                <w:snapToGrid w:val="0"/>
                <w:color w:val="auto"/>
                <w:sz w:val="21"/>
                <w:szCs w:val="21"/>
              </w:rPr>
              <w:t>m</w:t>
            </w:r>
          </w:p>
        </w:tc>
        <w:tc>
          <w:tcPr>
            <w:tcW w:w="961" w:type="pct"/>
            <w:noWrap w:val="0"/>
            <w:vAlign w:val="center"/>
          </w:tcPr>
          <w:p>
            <w:pPr>
              <w:jc w:val="center"/>
              <w:rPr>
                <w:rFonts w:ascii="Times New Roman" w:hAnsi="Times New Roman"/>
                <w:color w:val="auto"/>
                <w:sz w:val="21"/>
                <w:szCs w:val="21"/>
              </w:rPr>
            </w:pPr>
            <w:r>
              <w:rPr>
                <w:rFonts w:hint="eastAsia" w:ascii="Times New Roman" w:hAnsi="Times New Roman"/>
                <w:color w:val="auto"/>
                <w:sz w:val="21"/>
                <w:szCs w:val="21"/>
              </w:rPr>
              <w:t>2483</w:t>
            </w:r>
          </w:p>
        </w:tc>
        <w:tc>
          <w:tcPr>
            <w:tcW w:w="2086" w:type="pct"/>
            <w:vMerge w:val="continue"/>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rFonts w:hint="eastAsia"/>
                <w:snapToGrid w:val="0"/>
                <w:color w:val="auto"/>
                <w:sz w:val="21"/>
                <w:szCs w:val="21"/>
              </w:rPr>
              <w:t>格宾</w:t>
            </w:r>
            <w:r>
              <w:rPr>
                <w:snapToGrid w:val="0"/>
                <w:color w:val="auto"/>
                <w:sz w:val="21"/>
                <w:szCs w:val="21"/>
              </w:rPr>
              <w:t>挡墙</w:t>
            </w:r>
          </w:p>
        </w:tc>
        <w:tc>
          <w:tcPr>
            <w:tcW w:w="411" w:type="pct"/>
            <w:noWrap w:val="0"/>
            <w:vAlign w:val="center"/>
          </w:tcPr>
          <w:p>
            <w:pPr>
              <w:pStyle w:val="2986"/>
              <w:rPr>
                <w:snapToGrid w:val="0"/>
                <w:color w:val="auto"/>
                <w:sz w:val="21"/>
                <w:szCs w:val="21"/>
              </w:rPr>
            </w:pPr>
            <w:r>
              <w:rPr>
                <w:snapToGrid w:val="0"/>
                <w:color w:val="auto"/>
                <w:sz w:val="21"/>
                <w:szCs w:val="21"/>
              </w:rPr>
              <w:t>m</w:t>
            </w:r>
          </w:p>
        </w:tc>
        <w:tc>
          <w:tcPr>
            <w:tcW w:w="961" w:type="pct"/>
            <w:noWrap w:val="0"/>
            <w:vAlign w:val="center"/>
          </w:tcPr>
          <w:p>
            <w:pPr>
              <w:jc w:val="center"/>
              <w:rPr>
                <w:rFonts w:hint="default" w:ascii="Times New Roman" w:hAnsi="Times New Roman"/>
                <w:color w:val="auto"/>
                <w:sz w:val="21"/>
                <w:szCs w:val="21"/>
                <w:lang w:val="en-US"/>
              </w:rPr>
            </w:pPr>
            <w:r>
              <w:rPr>
                <w:rFonts w:hint="eastAsia" w:ascii="Times New Roman" w:hAnsi="Times New Roman"/>
                <w:color w:val="auto"/>
                <w:sz w:val="21"/>
                <w:szCs w:val="21"/>
                <w:lang w:val="en-US" w:eastAsia="zh-CN"/>
              </w:rPr>
              <w:t>20622</w:t>
            </w:r>
          </w:p>
        </w:tc>
        <w:tc>
          <w:tcPr>
            <w:tcW w:w="2086" w:type="pct"/>
            <w:vMerge w:val="restart"/>
            <w:noWrap w:val="0"/>
            <w:vAlign w:val="center"/>
          </w:tcPr>
          <w:p>
            <w:pPr>
              <w:pStyle w:val="2986"/>
              <w:rPr>
                <w:snapToGrid w:val="0"/>
                <w:color w:val="auto"/>
                <w:sz w:val="21"/>
                <w:szCs w:val="21"/>
              </w:rPr>
            </w:pPr>
            <w:r>
              <w:rPr>
                <w:snapToGrid w:val="0"/>
                <w:color w:val="auto"/>
                <w:sz w:val="21"/>
                <w:szCs w:val="21"/>
              </w:rPr>
              <w:t>治理范围内合计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snapToGrid w:val="0"/>
                <w:color w:val="auto"/>
                <w:sz w:val="21"/>
                <w:szCs w:val="21"/>
              </w:rPr>
            </w:pPr>
            <w:r>
              <w:rPr>
                <w:rFonts w:hint="eastAsia"/>
                <w:snapToGrid w:val="0"/>
                <w:color w:val="auto"/>
                <w:sz w:val="21"/>
                <w:szCs w:val="21"/>
              </w:rPr>
              <w:t>仿石生态挡墙</w:t>
            </w:r>
          </w:p>
        </w:tc>
        <w:tc>
          <w:tcPr>
            <w:tcW w:w="411" w:type="pct"/>
            <w:noWrap w:val="0"/>
            <w:vAlign w:val="center"/>
          </w:tcPr>
          <w:p>
            <w:pPr>
              <w:pStyle w:val="2986"/>
              <w:rPr>
                <w:rFonts w:hint="eastAsia"/>
                <w:snapToGrid w:val="0"/>
                <w:color w:val="auto"/>
                <w:sz w:val="21"/>
                <w:szCs w:val="21"/>
              </w:rPr>
            </w:pPr>
            <w:r>
              <w:rPr>
                <w:rFonts w:hint="eastAsia"/>
                <w:snapToGrid w:val="0"/>
                <w:color w:val="auto"/>
                <w:sz w:val="21"/>
                <w:szCs w:val="21"/>
              </w:rPr>
              <w:t>m</w:t>
            </w:r>
          </w:p>
        </w:tc>
        <w:tc>
          <w:tcPr>
            <w:tcW w:w="961" w:type="pct"/>
            <w:noWrap w:val="0"/>
            <w:vAlign w:val="center"/>
          </w:tcPr>
          <w:p>
            <w:pPr>
              <w:jc w:val="center"/>
              <w:rPr>
                <w:rFonts w:hint="default" w:ascii="Times New Roman" w:hAnsi="Times New Roman"/>
                <w:color w:val="auto"/>
                <w:sz w:val="21"/>
                <w:szCs w:val="21"/>
                <w:lang w:val="en-US"/>
              </w:rPr>
            </w:pPr>
            <w:r>
              <w:rPr>
                <w:rFonts w:hint="eastAsia" w:ascii="Times New Roman" w:hAnsi="Times New Roman"/>
                <w:color w:val="auto"/>
                <w:sz w:val="21"/>
                <w:szCs w:val="21"/>
                <w:lang w:val="en-US" w:eastAsia="zh-CN"/>
              </w:rPr>
              <w:t>4434</w:t>
            </w:r>
          </w:p>
        </w:tc>
        <w:tc>
          <w:tcPr>
            <w:tcW w:w="2086" w:type="pct"/>
            <w:vMerge w:val="continue"/>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snapToGrid w:val="0"/>
                <w:color w:val="auto"/>
                <w:sz w:val="21"/>
                <w:szCs w:val="21"/>
              </w:rPr>
            </w:pPr>
            <w:r>
              <w:rPr>
                <w:snapToGrid w:val="0"/>
                <w:color w:val="auto"/>
                <w:sz w:val="21"/>
                <w:szCs w:val="21"/>
              </w:rPr>
              <w:t>浆砌石挡墙</w:t>
            </w:r>
          </w:p>
        </w:tc>
        <w:tc>
          <w:tcPr>
            <w:tcW w:w="411" w:type="pct"/>
            <w:noWrap w:val="0"/>
            <w:vAlign w:val="center"/>
          </w:tcPr>
          <w:p>
            <w:pPr>
              <w:pStyle w:val="2986"/>
              <w:rPr>
                <w:rFonts w:hint="eastAsia"/>
                <w:snapToGrid w:val="0"/>
                <w:color w:val="auto"/>
                <w:sz w:val="21"/>
                <w:szCs w:val="21"/>
              </w:rPr>
            </w:pPr>
            <w:r>
              <w:rPr>
                <w:rFonts w:hint="eastAsia"/>
                <w:snapToGrid w:val="0"/>
                <w:color w:val="auto"/>
                <w:sz w:val="21"/>
                <w:szCs w:val="21"/>
              </w:rPr>
              <w:t>m</w:t>
            </w:r>
          </w:p>
        </w:tc>
        <w:tc>
          <w:tcPr>
            <w:tcW w:w="961" w:type="pct"/>
            <w:noWrap w:val="0"/>
            <w:vAlign w:val="center"/>
          </w:tcPr>
          <w:p>
            <w:pPr>
              <w:jc w:val="center"/>
              <w:rPr>
                <w:rFonts w:ascii="Times New Roman" w:hAnsi="Times New Roman"/>
                <w:color w:val="auto"/>
                <w:sz w:val="21"/>
                <w:szCs w:val="21"/>
              </w:rPr>
            </w:pPr>
            <w:r>
              <w:rPr>
                <w:rFonts w:hint="eastAsia" w:ascii="Times New Roman" w:hAnsi="Times New Roman"/>
                <w:color w:val="auto"/>
                <w:sz w:val="21"/>
                <w:szCs w:val="21"/>
                <w:lang w:val="en-US" w:eastAsia="zh-CN"/>
              </w:rPr>
              <w:t>4961</w:t>
            </w:r>
          </w:p>
        </w:tc>
        <w:tc>
          <w:tcPr>
            <w:tcW w:w="2086" w:type="pct"/>
            <w:vMerge w:val="continue"/>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（2）河道清淤疏浚</w:t>
            </w:r>
          </w:p>
        </w:tc>
        <w:tc>
          <w:tcPr>
            <w:tcW w:w="411" w:type="pct"/>
            <w:noWrap w:val="0"/>
            <w:vAlign w:val="center"/>
          </w:tcPr>
          <w:p>
            <w:pPr>
              <w:pStyle w:val="2986"/>
              <w:rPr>
                <w:snapToGrid w:val="0"/>
                <w:color w:val="auto"/>
                <w:sz w:val="21"/>
                <w:szCs w:val="21"/>
              </w:rPr>
            </w:pPr>
            <w:r>
              <w:rPr>
                <w:snapToGrid w:val="0"/>
                <w:color w:val="auto"/>
                <w:sz w:val="21"/>
                <w:szCs w:val="21"/>
              </w:rPr>
              <w:t>　</w:t>
            </w:r>
          </w:p>
        </w:tc>
        <w:tc>
          <w:tcPr>
            <w:tcW w:w="961" w:type="pct"/>
            <w:noWrap w:val="0"/>
            <w:vAlign w:val="center"/>
          </w:tcPr>
          <w:p>
            <w:pPr>
              <w:pStyle w:val="2986"/>
              <w:rPr>
                <w:snapToGrid w:val="0"/>
                <w:color w:val="auto"/>
                <w:sz w:val="21"/>
                <w:szCs w:val="21"/>
              </w:rPr>
            </w:pPr>
            <w:r>
              <w:rPr>
                <w:snapToGrid w:val="0"/>
                <w:color w:val="auto"/>
                <w:sz w:val="21"/>
                <w:szCs w:val="21"/>
              </w:rPr>
              <w:t>　</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清淤、疏浚总长度</w:t>
            </w:r>
          </w:p>
        </w:tc>
        <w:tc>
          <w:tcPr>
            <w:tcW w:w="411" w:type="pct"/>
            <w:noWrap w:val="0"/>
            <w:vAlign w:val="center"/>
          </w:tcPr>
          <w:p>
            <w:pPr>
              <w:pStyle w:val="2986"/>
              <w:rPr>
                <w:snapToGrid w:val="0"/>
                <w:color w:val="auto"/>
                <w:sz w:val="21"/>
                <w:szCs w:val="21"/>
              </w:rPr>
            </w:pPr>
            <w:r>
              <w:rPr>
                <w:snapToGrid w:val="0"/>
                <w:color w:val="auto"/>
                <w:sz w:val="21"/>
                <w:szCs w:val="21"/>
              </w:rPr>
              <w:t>km</w:t>
            </w:r>
          </w:p>
        </w:tc>
        <w:tc>
          <w:tcPr>
            <w:tcW w:w="961" w:type="pct"/>
            <w:noWrap w:val="0"/>
            <w:vAlign w:val="center"/>
          </w:tcPr>
          <w:p>
            <w:pPr>
              <w:pStyle w:val="2986"/>
              <w:rPr>
                <w:snapToGrid w:val="0"/>
                <w:color w:val="auto"/>
                <w:sz w:val="21"/>
                <w:szCs w:val="21"/>
              </w:rPr>
            </w:pPr>
            <w:r>
              <w:rPr>
                <w:rFonts w:hint="eastAsia"/>
                <w:snapToGrid w:val="0"/>
                <w:color w:val="auto"/>
                <w:sz w:val="21"/>
                <w:szCs w:val="21"/>
              </w:rPr>
              <w:t>14.619</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其中疏浚长度</w:t>
            </w:r>
          </w:p>
        </w:tc>
        <w:tc>
          <w:tcPr>
            <w:tcW w:w="411" w:type="pct"/>
            <w:noWrap w:val="0"/>
            <w:vAlign w:val="center"/>
          </w:tcPr>
          <w:p>
            <w:pPr>
              <w:pStyle w:val="2986"/>
              <w:rPr>
                <w:snapToGrid w:val="0"/>
                <w:color w:val="auto"/>
                <w:sz w:val="21"/>
                <w:szCs w:val="21"/>
              </w:rPr>
            </w:pPr>
            <w:r>
              <w:rPr>
                <w:snapToGrid w:val="0"/>
                <w:color w:val="auto"/>
                <w:sz w:val="21"/>
                <w:szCs w:val="21"/>
              </w:rPr>
              <w:t>km</w:t>
            </w:r>
          </w:p>
        </w:tc>
        <w:tc>
          <w:tcPr>
            <w:tcW w:w="961" w:type="pct"/>
            <w:noWrap w:val="0"/>
            <w:vAlign w:val="center"/>
          </w:tcPr>
          <w:p>
            <w:pPr>
              <w:pStyle w:val="2986"/>
              <w:rPr>
                <w:snapToGrid w:val="0"/>
                <w:color w:val="auto"/>
                <w:sz w:val="21"/>
                <w:szCs w:val="21"/>
              </w:rPr>
            </w:pPr>
            <w:r>
              <w:rPr>
                <w:rFonts w:hint="eastAsia"/>
                <w:snapToGrid w:val="0"/>
                <w:color w:val="auto"/>
                <w:sz w:val="21"/>
                <w:szCs w:val="21"/>
              </w:rPr>
              <w:t>8.832</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1540" w:type="pct"/>
            <w:noWrap w:val="0"/>
            <w:vAlign w:val="center"/>
          </w:tcPr>
          <w:p>
            <w:pPr>
              <w:pStyle w:val="2986"/>
              <w:jc w:val="left"/>
              <w:rPr>
                <w:snapToGrid w:val="0"/>
                <w:color w:val="auto"/>
                <w:sz w:val="21"/>
                <w:szCs w:val="21"/>
              </w:rPr>
            </w:pPr>
            <w:r>
              <w:rPr>
                <w:rFonts w:hint="eastAsia"/>
                <w:snapToGrid w:val="0"/>
                <w:color w:val="auto"/>
                <w:sz w:val="21"/>
                <w:szCs w:val="21"/>
              </w:rPr>
              <w:t xml:space="preserve">    清淤长度</w:t>
            </w:r>
          </w:p>
        </w:tc>
        <w:tc>
          <w:tcPr>
            <w:tcW w:w="411" w:type="pct"/>
            <w:noWrap w:val="0"/>
            <w:vAlign w:val="center"/>
          </w:tcPr>
          <w:p>
            <w:pPr>
              <w:pStyle w:val="2986"/>
              <w:rPr>
                <w:snapToGrid w:val="0"/>
                <w:color w:val="auto"/>
                <w:sz w:val="21"/>
                <w:szCs w:val="21"/>
              </w:rPr>
            </w:pPr>
          </w:p>
        </w:tc>
        <w:tc>
          <w:tcPr>
            <w:tcW w:w="961" w:type="pct"/>
            <w:noWrap w:val="0"/>
            <w:vAlign w:val="center"/>
          </w:tcPr>
          <w:p>
            <w:pPr>
              <w:pStyle w:val="2986"/>
              <w:rPr>
                <w:snapToGrid w:val="0"/>
                <w:color w:val="auto"/>
                <w:sz w:val="21"/>
                <w:szCs w:val="21"/>
              </w:rPr>
            </w:pPr>
            <w:r>
              <w:rPr>
                <w:rFonts w:hint="eastAsia"/>
                <w:snapToGrid w:val="0"/>
                <w:color w:val="auto"/>
                <w:sz w:val="21"/>
                <w:szCs w:val="21"/>
              </w:rPr>
              <w:t>6.237</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（3）河坝</w:t>
            </w:r>
            <w:r>
              <w:rPr>
                <w:rFonts w:hint="eastAsia"/>
                <w:snapToGrid w:val="0"/>
                <w:color w:val="auto"/>
                <w:sz w:val="21"/>
                <w:szCs w:val="21"/>
              </w:rPr>
              <w:t>工程</w:t>
            </w:r>
          </w:p>
        </w:tc>
        <w:tc>
          <w:tcPr>
            <w:tcW w:w="411" w:type="pct"/>
            <w:noWrap w:val="0"/>
            <w:vAlign w:val="center"/>
          </w:tcPr>
          <w:p>
            <w:pPr>
              <w:pStyle w:val="2986"/>
              <w:rPr>
                <w:snapToGrid w:val="0"/>
                <w:color w:val="auto"/>
                <w:sz w:val="21"/>
                <w:szCs w:val="21"/>
              </w:rPr>
            </w:pPr>
            <w:r>
              <w:rPr>
                <w:snapToGrid w:val="0"/>
                <w:color w:val="auto"/>
                <w:sz w:val="21"/>
                <w:szCs w:val="21"/>
              </w:rPr>
              <w:t>处</w:t>
            </w:r>
          </w:p>
        </w:tc>
        <w:tc>
          <w:tcPr>
            <w:tcW w:w="961" w:type="pct"/>
            <w:noWrap w:val="0"/>
            <w:vAlign w:val="center"/>
          </w:tcPr>
          <w:p>
            <w:pPr>
              <w:pStyle w:val="2986"/>
              <w:rPr>
                <w:snapToGrid w:val="0"/>
                <w:color w:val="auto"/>
                <w:sz w:val="21"/>
                <w:szCs w:val="21"/>
              </w:rPr>
            </w:pPr>
            <w:r>
              <w:rPr>
                <w:rFonts w:hint="eastAsia"/>
                <w:snapToGrid w:val="0"/>
                <w:color w:val="auto"/>
                <w:sz w:val="21"/>
                <w:szCs w:val="21"/>
              </w:rPr>
              <w:t>6</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rFonts w:hint="eastAsia"/>
                <w:snapToGrid w:val="0"/>
                <w:color w:val="auto"/>
                <w:sz w:val="21"/>
                <w:szCs w:val="21"/>
              </w:rPr>
              <w:t>河坝拆除重建</w:t>
            </w:r>
          </w:p>
        </w:tc>
        <w:tc>
          <w:tcPr>
            <w:tcW w:w="411" w:type="pct"/>
            <w:noWrap w:val="0"/>
            <w:vAlign w:val="center"/>
          </w:tcPr>
          <w:p>
            <w:pPr>
              <w:pStyle w:val="2986"/>
              <w:rPr>
                <w:snapToGrid w:val="0"/>
                <w:color w:val="auto"/>
                <w:sz w:val="21"/>
                <w:szCs w:val="21"/>
              </w:rPr>
            </w:pPr>
            <w:r>
              <w:rPr>
                <w:snapToGrid w:val="0"/>
                <w:color w:val="auto"/>
                <w:sz w:val="21"/>
                <w:szCs w:val="21"/>
              </w:rPr>
              <w:t>处</w:t>
            </w:r>
          </w:p>
        </w:tc>
        <w:tc>
          <w:tcPr>
            <w:tcW w:w="961" w:type="pct"/>
            <w:noWrap w:val="0"/>
            <w:vAlign w:val="center"/>
          </w:tcPr>
          <w:p>
            <w:pPr>
              <w:pStyle w:val="2986"/>
              <w:rPr>
                <w:rFonts w:hint="eastAsia"/>
                <w:snapToGrid w:val="0"/>
                <w:color w:val="auto"/>
                <w:sz w:val="21"/>
                <w:szCs w:val="21"/>
              </w:rPr>
            </w:pPr>
            <w:r>
              <w:rPr>
                <w:rFonts w:hint="eastAsia"/>
                <w:snapToGrid w:val="0"/>
                <w:color w:val="auto"/>
                <w:sz w:val="21"/>
                <w:szCs w:val="21"/>
              </w:rPr>
              <w:t>1</w:t>
            </w:r>
          </w:p>
        </w:tc>
        <w:tc>
          <w:tcPr>
            <w:tcW w:w="2086" w:type="pct"/>
            <w:noWrap w:val="0"/>
            <w:vAlign w:val="center"/>
          </w:tcPr>
          <w:p>
            <w:pPr>
              <w:pStyle w:val="2986"/>
              <w:rPr>
                <w:snapToGrid w:val="0"/>
                <w:color w:val="auto"/>
                <w:sz w:val="21"/>
                <w:szCs w:val="21"/>
              </w:rPr>
            </w:pPr>
            <w:r>
              <w:rPr>
                <w:rFonts w:hint="eastAsia"/>
                <w:snapToGrid w:val="0"/>
                <w:color w:val="auto"/>
                <w:sz w:val="21"/>
                <w:szCs w:val="21"/>
              </w:rPr>
              <w:t>1#河坝（简坝）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4"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河坝</w:t>
            </w:r>
            <w:r>
              <w:rPr>
                <w:rFonts w:hint="eastAsia"/>
                <w:snapToGrid w:val="0"/>
                <w:color w:val="auto"/>
                <w:sz w:val="21"/>
                <w:szCs w:val="21"/>
              </w:rPr>
              <w:t>改造</w:t>
            </w:r>
            <w:r>
              <w:rPr>
                <w:snapToGrid w:val="0"/>
                <w:color w:val="auto"/>
                <w:sz w:val="21"/>
                <w:szCs w:val="21"/>
              </w:rPr>
              <w:t>加固</w:t>
            </w:r>
          </w:p>
        </w:tc>
        <w:tc>
          <w:tcPr>
            <w:tcW w:w="411" w:type="pct"/>
            <w:noWrap w:val="0"/>
            <w:vAlign w:val="center"/>
          </w:tcPr>
          <w:p>
            <w:pPr>
              <w:pStyle w:val="2986"/>
              <w:rPr>
                <w:snapToGrid w:val="0"/>
                <w:color w:val="auto"/>
                <w:sz w:val="21"/>
                <w:szCs w:val="21"/>
              </w:rPr>
            </w:pPr>
            <w:r>
              <w:rPr>
                <w:snapToGrid w:val="0"/>
                <w:color w:val="auto"/>
                <w:sz w:val="21"/>
                <w:szCs w:val="21"/>
              </w:rPr>
              <w:t>处</w:t>
            </w:r>
          </w:p>
        </w:tc>
        <w:tc>
          <w:tcPr>
            <w:tcW w:w="961" w:type="pct"/>
            <w:noWrap w:val="0"/>
            <w:vAlign w:val="center"/>
          </w:tcPr>
          <w:p>
            <w:pPr>
              <w:pStyle w:val="2986"/>
              <w:rPr>
                <w:snapToGrid w:val="0"/>
                <w:color w:val="auto"/>
                <w:sz w:val="21"/>
                <w:szCs w:val="21"/>
              </w:rPr>
            </w:pPr>
            <w:r>
              <w:rPr>
                <w:rFonts w:hint="eastAsia"/>
                <w:snapToGrid w:val="0"/>
                <w:color w:val="auto"/>
                <w:sz w:val="21"/>
                <w:szCs w:val="21"/>
              </w:rPr>
              <w:t>5</w:t>
            </w:r>
          </w:p>
        </w:tc>
        <w:tc>
          <w:tcPr>
            <w:tcW w:w="2086" w:type="pct"/>
            <w:noWrap w:val="0"/>
            <w:vAlign w:val="center"/>
          </w:tcPr>
          <w:p>
            <w:pPr>
              <w:pStyle w:val="2986"/>
              <w:rPr>
                <w:rFonts w:hint="eastAsia"/>
                <w:snapToGrid w:val="0"/>
                <w:color w:val="auto"/>
                <w:sz w:val="21"/>
                <w:szCs w:val="21"/>
              </w:rPr>
            </w:pPr>
            <w:r>
              <w:rPr>
                <w:rFonts w:hint="eastAsia" w:hAnsi="宋体"/>
                <w:snapToGrid w:val="0"/>
                <w:color w:val="auto"/>
                <w:sz w:val="21"/>
                <w:szCs w:val="21"/>
              </w:rPr>
              <w:t>马黄山口边河坝、</w:t>
            </w:r>
            <w:r>
              <w:rPr>
                <w:rFonts w:hint="eastAsia"/>
                <w:snapToGrid w:val="0"/>
                <w:color w:val="auto"/>
                <w:sz w:val="21"/>
                <w:szCs w:val="21"/>
              </w:rPr>
              <w:t>11#河坝（彭家坝）、13#河坝（乐家坝）、19#河坝（谭山岩河坝）及24#河坝（石湾河坝）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w:t>
            </w:r>
            <w:r>
              <w:rPr>
                <w:rFonts w:hint="eastAsia"/>
                <w:snapToGrid w:val="0"/>
                <w:color w:val="auto"/>
                <w:sz w:val="21"/>
                <w:szCs w:val="21"/>
              </w:rPr>
              <w:t>4</w:t>
            </w:r>
            <w:r>
              <w:rPr>
                <w:snapToGrid w:val="0"/>
                <w:color w:val="auto"/>
                <w:sz w:val="21"/>
                <w:szCs w:val="21"/>
              </w:rPr>
              <w:t>）</w:t>
            </w:r>
            <w:r>
              <w:rPr>
                <w:rFonts w:hint="eastAsia"/>
                <w:snapToGrid w:val="0"/>
                <w:color w:val="auto"/>
                <w:sz w:val="21"/>
                <w:szCs w:val="21"/>
              </w:rPr>
              <w:t>涵管工程</w:t>
            </w:r>
          </w:p>
        </w:tc>
        <w:tc>
          <w:tcPr>
            <w:tcW w:w="411" w:type="pct"/>
            <w:noWrap w:val="0"/>
            <w:vAlign w:val="center"/>
          </w:tcPr>
          <w:p>
            <w:pPr>
              <w:pStyle w:val="2986"/>
              <w:rPr>
                <w:snapToGrid w:val="0"/>
                <w:color w:val="auto"/>
                <w:sz w:val="21"/>
                <w:szCs w:val="21"/>
              </w:rPr>
            </w:pPr>
            <w:r>
              <w:rPr>
                <w:snapToGrid w:val="0"/>
                <w:color w:val="auto"/>
                <w:sz w:val="21"/>
                <w:szCs w:val="21"/>
              </w:rPr>
              <w:t>处</w:t>
            </w:r>
          </w:p>
        </w:tc>
        <w:tc>
          <w:tcPr>
            <w:tcW w:w="961" w:type="pct"/>
            <w:noWrap w:val="0"/>
            <w:vAlign w:val="center"/>
          </w:tcPr>
          <w:p>
            <w:pPr>
              <w:pStyle w:val="2986"/>
              <w:rPr>
                <w:rFonts w:hint="eastAsia" w:eastAsia="宋体"/>
                <w:snapToGrid w:val="0"/>
                <w:color w:val="auto"/>
                <w:sz w:val="21"/>
                <w:szCs w:val="21"/>
                <w:lang w:eastAsia="zh-CN"/>
              </w:rPr>
            </w:pPr>
            <w:r>
              <w:rPr>
                <w:rFonts w:hint="eastAsia"/>
                <w:snapToGrid w:val="0"/>
                <w:color w:val="auto"/>
                <w:sz w:val="21"/>
                <w:szCs w:val="21"/>
                <w:lang w:eastAsia="zh-CN"/>
              </w:rPr>
              <w:t>162</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40" w:type="pct"/>
            <w:noWrap w:val="0"/>
            <w:vAlign w:val="center"/>
          </w:tcPr>
          <w:p>
            <w:pPr>
              <w:pStyle w:val="2986"/>
              <w:jc w:val="left"/>
              <w:rPr>
                <w:snapToGrid w:val="0"/>
                <w:color w:val="auto"/>
                <w:sz w:val="21"/>
                <w:szCs w:val="21"/>
              </w:rPr>
            </w:pPr>
            <w:r>
              <w:rPr>
                <w:rFonts w:hint="eastAsia"/>
                <w:snapToGrid w:val="0"/>
                <w:color w:val="auto"/>
                <w:sz w:val="21"/>
                <w:szCs w:val="21"/>
              </w:rPr>
              <w:t>新建φ1200涵管</w:t>
            </w:r>
          </w:p>
        </w:tc>
        <w:tc>
          <w:tcPr>
            <w:tcW w:w="411" w:type="pct"/>
            <w:noWrap w:val="0"/>
            <w:vAlign w:val="center"/>
          </w:tcPr>
          <w:p>
            <w:pPr>
              <w:pStyle w:val="2986"/>
              <w:rPr>
                <w:snapToGrid w:val="0"/>
                <w:color w:val="auto"/>
                <w:sz w:val="21"/>
                <w:szCs w:val="21"/>
              </w:rPr>
            </w:pPr>
            <w:r>
              <w:rPr>
                <w:snapToGrid w:val="0"/>
                <w:color w:val="auto"/>
                <w:sz w:val="21"/>
                <w:szCs w:val="21"/>
              </w:rPr>
              <w:t>处</w:t>
            </w:r>
          </w:p>
        </w:tc>
        <w:tc>
          <w:tcPr>
            <w:tcW w:w="961" w:type="pct"/>
            <w:noWrap w:val="0"/>
            <w:vAlign w:val="center"/>
          </w:tcPr>
          <w:p>
            <w:pPr>
              <w:pStyle w:val="2986"/>
              <w:rPr>
                <w:snapToGrid w:val="0"/>
                <w:color w:val="auto"/>
                <w:sz w:val="21"/>
                <w:szCs w:val="21"/>
              </w:rPr>
            </w:pPr>
            <w:r>
              <w:rPr>
                <w:rFonts w:hint="eastAsia"/>
                <w:snapToGrid w:val="0"/>
                <w:color w:val="auto"/>
                <w:sz w:val="21"/>
                <w:szCs w:val="21"/>
              </w:rPr>
              <w:t>2</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40" w:type="pct"/>
            <w:noWrap w:val="0"/>
            <w:vAlign w:val="center"/>
          </w:tcPr>
          <w:p>
            <w:pPr>
              <w:pStyle w:val="2986"/>
              <w:jc w:val="left"/>
              <w:rPr>
                <w:snapToGrid w:val="0"/>
                <w:color w:val="auto"/>
                <w:sz w:val="21"/>
                <w:szCs w:val="21"/>
              </w:rPr>
            </w:pPr>
            <w:r>
              <w:rPr>
                <w:rFonts w:hint="eastAsia"/>
                <w:snapToGrid w:val="0"/>
                <w:color w:val="auto"/>
                <w:sz w:val="21"/>
                <w:szCs w:val="21"/>
              </w:rPr>
              <w:t>新建φ1000涵管</w:t>
            </w:r>
          </w:p>
        </w:tc>
        <w:tc>
          <w:tcPr>
            <w:tcW w:w="411" w:type="pct"/>
            <w:noWrap w:val="0"/>
            <w:vAlign w:val="center"/>
          </w:tcPr>
          <w:p>
            <w:pPr>
              <w:pStyle w:val="2986"/>
              <w:rPr>
                <w:snapToGrid w:val="0"/>
                <w:color w:val="auto"/>
                <w:sz w:val="21"/>
                <w:szCs w:val="21"/>
              </w:rPr>
            </w:pPr>
            <w:r>
              <w:rPr>
                <w:snapToGrid w:val="0"/>
                <w:color w:val="auto"/>
                <w:sz w:val="21"/>
                <w:szCs w:val="21"/>
              </w:rPr>
              <w:t>处</w:t>
            </w:r>
          </w:p>
        </w:tc>
        <w:tc>
          <w:tcPr>
            <w:tcW w:w="961" w:type="pct"/>
            <w:noWrap w:val="0"/>
            <w:vAlign w:val="center"/>
          </w:tcPr>
          <w:p>
            <w:pPr>
              <w:pStyle w:val="2986"/>
              <w:rPr>
                <w:snapToGrid w:val="0"/>
                <w:color w:val="auto"/>
                <w:sz w:val="21"/>
                <w:szCs w:val="21"/>
              </w:rPr>
            </w:pPr>
            <w:r>
              <w:rPr>
                <w:rFonts w:hint="eastAsia"/>
                <w:snapToGrid w:val="0"/>
                <w:color w:val="auto"/>
                <w:sz w:val="21"/>
                <w:szCs w:val="21"/>
              </w:rPr>
              <w:t>8</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40" w:type="pct"/>
            <w:noWrap w:val="0"/>
            <w:vAlign w:val="center"/>
          </w:tcPr>
          <w:p>
            <w:pPr>
              <w:pStyle w:val="2986"/>
              <w:jc w:val="left"/>
              <w:rPr>
                <w:snapToGrid w:val="0"/>
                <w:color w:val="auto"/>
                <w:sz w:val="21"/>
                <w:szCs w:val="21"/>
              </w:rPr>
            </w:pPr>
            <w:r>
              <w:rPr>
                <w:rFonts w:hint="eastAsia"/>
                <w:snapToGrid w:val="0"/>
                <w:color w:val="auto"/>
                <w:sz w:val="21"/>
                <w:szCs w:val="21"/>
              </w:rPr>
              <w:t>新建φ500涵管</w:t>
            </w:r>
          </w:p>
        </w:tc>
        <w:tc>
          <w:tcPr>
            <w:tcW w:w="411" w:type="pct"/>
            <w:noWrap w:val="0"/>
            <w:vAlign w:val="center"/>
          </w:tcPr>
          <w:p>
            <w:pPr>
              <w:pStyle w:val="2986"/>
              <w:rPr>
                <w:snapToGrid w:val="0"/>
                <w:color w:val="auto"/>
                <w:sz w:val="21"/>
                <w:szCs w:val="21"/>
              </w:rPr>
            </w:pPr>
            <w:r>
              <w:rPr>
                <w:snapToGrid w:val="0"/>
                <w:color w:val="auto"/>
                <w:sz w:val="21"/>
                <w:szCs w:val="21"/>
              </w:rPr>
              <w:t>处</w:t>
            </w:r>
          </w:p>
        </w:tc>
        <w:tc>
          <w:tcPr>
            <w:tcW w:w="961" w:type="pct"/>
            <w:noWrap w:val="0"/>
            <w:vAlign w:val="center"/>
          </w:tcPr>
          <w:p>
            <w:pPr>
              <w:pStyle w:val="2986"/>
              <w:rPr>
                <w:rFonts w:hint="eastAsia"/>
                <w:snapToGrid w:val="0"/>
                <w:color w:val="auto"/>
                <w:sz w:val="21"/>
                <w:szCs w:val="21"/>
              </w:rPr>
            </w:pPr>
            <w:r>
              <w:rPr>
                <w:rFonts w:hint="eastAsia"/>
                <w:snapToGrid w:val="0"/>
                <w:color w:val="auto"/>
                <w:sz w:val="21"/>
                <w:szCs w:val="21"/>
              </w:rPr>
              <w:t>20</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40" w:type="pct"/>
            <w:noWrap w:val="0"/>
            <w:vAlign w:val="center"/>
          </w:tcPr>
          <w:p>
            <w:pPr>
              <w:pStyle w:val="2986"/>
              <w:jc w:val="left"/>
              <w:rPr>
                <w:snapToGrid w:val="0"/>
                <w:color w:val="auto"/>
                <w:sz w:val="21"/>
                <w:szCs w:val="21"/>
              </w:rPr>
            </w:pPr>
            <w:r>
              <w:rPr>
                <w:rFonts w:hint="eastAsia"/>
                <w:snapToGrid w:val="0"/>
                <w:color w:val="auto"/>
                <w:sz w:val="21"/>
                <w:szCs w:val="21"/>
              </w:rPr>
              <w:t>新建φ300涵管</w:t>
            </w:r>
          </w:p>
        </w:tc>
        <w:tc>
          <w:tcPr>
            <w:tcW w:w="411" w:type="pct"/>
            <w:noWrap w:val="0"/>
            <w:vAlign w:val="center"/>
          </w:tcPr>
          <w:p>
            <w:pPr>
              <w:pStyle w:val="2986"/>
              <w:rPr>
                <w:snapToGrid w:val="0"/>
                <w:color w:val="auto"/>
                <w:sz w:val="21"/>
                <w:szCs w:val="21"/>
              </w:rPr>
            </w:pPr>
            <w:r>
              <w:rPr>
                <w:snapToGrid w:val="0"/>
                <w:color w:val="auto"/>
                <w:sz w:val="21"/>
                <w:szCs w:val="21"/>
              </w:rPr>
              <w:t>处</w:t>
            </w:r>
          </w:p>
        </w:tc>
        <w:tc>
          <w:tcPr>
            <w:tcW w:w="961" w:type="pct"/>
            <w:noWrap w:val="0"/>
            <w:vAlign w:val="center"/>
          </w:tcPr>
          <w:p>
            <w:pPr>
              <w:pStyle w:val="2986"/>
              <w:rPr>
                <w:rFonts w:hint="default" w:eastAsia="宋体"/>
                <w:snapToGrid w:val="0"/>
                <w:color w:val="auto"/>
                <w:sz w:val="21"/>
                <w:szCs w:val="21"/>
                <w:lang w:val="en-US" w:eastAsia="zh-CN"/>
              </w:rPr>
            </w:pPr>
            <w:r>
              <w:rPr>
                <w:rFonts w:hint="eastAsia"/>
                <w:snapToGrid w:val="0"/>
                <w:color w:val="auto"/>
                <w:sz w:val="21"/>
                <w:szCs w:val="21"/>
                <w:lang w:val="en-US" w:eastAsia="zh-CN"/>
              </w:rPr>
              <w:t>12</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40" w:type="pct"/>
            <w:noWrap w:val="0"/>
            <w:vAlign w:val="center"/>
          </w:tcPr>
          <w:p>
            <w:pPr>
              <w:pStyle w:val="2986"/>
              <w:jc w:val="left"/>
              <w:rPr>
                <w:snapToGrid w:val="0"/>
                <w:color w:val="auto"/>
                <w:sz w:val="21"/>
                <w:szCs w:val="21"/>
              </w:rPr>
            </w:pPr>
            <w:r>
              <w:rPr>
                <w:rFonts w:hint="eastAsia"/>
                <w:snapToGrid w:val="0"/>
                <w:color w:val="auto"/>
                <w:sz w:val="21"/>
                <w:szCs w:val="21"/>
              </w:rPr>
              <w:t>新建φ200涵管</w:t>
            </w:r>
          </w:p>
        </w:tc>
        <w:tc>
          <w:tcPr>
            <w:tcW w:w="411" w:type="pct"/>
            <w:noWrap w:val="0"/>
            <w:vAlign w:val="center"/>
          </w:tcPr>
          <w:p>
            <w:pPr>
              <w:pStyle w:val="2986"/>
              <w:rPr>
                <w:snapToGrid w:val="0"/>
                <w:color w:val="auto"/>
                <w:sz w:val="21"/>
                <w:szCs w:val="21"/>
              </w:rPr>
            </w:pPr>
            <w:r>
              <w:rPr>
                <w:snapToGrid w:val="0"/>
                <w:color w:val="auto"/>
                <w:sz w:val="21"/>
                <w:szCs w:val="21"/>
              </w:rPr>
              <w:t>处</w:t>
            </w:r>
          </w:p>
        </w:tc>
        <w:tc>
          <w:tcPr>
            <w:tcW w:w="961" w:type="pct"/>
            <w:noWrap w:val="0"/>
            <w:vAlign w:val="center"/>
          </w:tcPr>
          <w:p>
            <w:pPr>
              <w:pStyle w:val="2986"/>
              <w:rPr>
                <w:rFonts w:hint="default" w:eastAsia="宋体"/>
                <w:snapToGrid w:val="0"/>
                <w:color w:val="auto"/>
                <w:sz w:val="21"/>
                <w:szCs w:val="21"/>
                <w:lang w:val="en-US" w:eastAsia="zh-CN"/>
              </w:rPr>
            </w:pPr>
            <w:r>
              <w:rPr>
                <w:rFonts w:hint="eastAsia"/>
                <w:snapToGrid w:val="0"/>
                <w:color w:val="auto"/>
                <w:sz w:val="21"/>
                <w:szCs w:val="21"/>
                <w:lang w:val="en-US" w:eastAsia="zh-CN"/>
              </w:rPr>
              <w:t>120</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40" w:type="pct"/>
            <w:noWrap w:val="0"/>
            <w:vAlign w:val="center"/>
          </w:tcPr>
          <w:p>
            <w:pPr>
              <w:pStyle w:val="2986"/>
              <w:jc w:val="left"/>
              <w:rPr>
                <w:snapToGrid w:val="0"/>
                <w:color w:val="auto"/>
                <w:sz w:val="21"/>
                <w:szCs w:val="21"/>
              </w:rPr>
            </w:pPr>
            <w:r>
              <w:rPr>
                <w:rFonts w:hint="eastAsia"/>
                <w:snapToGrid w:val="0"/>
                <w:color w:val="auto"/>
                <w:sz w:val="21"/>
                <w:szCs w:val="21"/>
              </w:rPr>
              <w:t>五</w:t>
            </w:r>
            <w:r>
              <w:rPr>
                <w:snapToGrid w:val="0"/>
                <w:color w:val="auto"/>
                <w:sz w:val="21"/>
                <w:szCs w:val="21"/>
              </w:rPr>
              <w:t>、主要工程量</w:t>
            </w:r>
          </w:p>
        </w:tc>
        <w:tc>
          <w:tcPr>
            <w:tcW w:w="411" w:type="pct"/>
            <w:noWrap w:val="0"/>
            <w:vAlign w:val="center"/>
          </w:tcPr>
          <w:p>
            <w:pPr>
              <w:pStyle w:val="2986"/>
              <w:rPr>
                <w:snapToGrid w:val="0"/>
                <w:color w:val="auto"/>
                <w:sz w:val="21"/>
                <w:szCs w:val="21"/>
              </w:rPr>
            </w:pPr>
            <w:r>
              <w:rPr>
                <w:snapToGrid w:val="0"/>
                <w:color w:val="auto"/>
                <w:sz w:val="21"/>
                <w:szCs w:val="21"/>
              </w:rPr>
              <w:t>　</w:t>
            </w:r>
          </w:p>
        </w:tc>
        <w:tc>
          <w:tcPr>
            <w:tcW w:w="961" w:type="pct"/>
            <w:noWrap w:val="0"/>
            <w:vAlign w:val="center"/>
          </w:tcPr>
          <w:p>
            <w:pPr>
              <w:pStyle w:val="2986"/>
              <w:rPr>
                <w:snapToGrid w:val="0"/>
                <w:color w:val="auto"/>
                <w:sz w:val="21"/>
                <w:szCs w:val="21"/>
              </w:rPr>
            </w:pPr>
            <w:r>
              <w:rPr>
                <w:snapToGrid w:val="0"/>
                <w:color w:val="auto"/>
                <w:sz w:val="21"/>
                <w:szCs w:val="21"/>
              </w:rPr>
              <w:t>　</w:t>
            </w:r>
          </w:p>
        </w:tc>
        <w:tc>
          <w:tcPr>
            <w:tcW w:w="2086" w:type="pct"/>
            <w:noWrap w:val="0"/>
            <w:vAlign w:val="center"/>
          </w:tcPr>
          <w:p>
            <w:pPr>
              <w:pStyle w:val="2986"/>
              <w:rPr>
                <w:snapToGrid w:val="0"/>
                <w:color w:val="auto"/>
                <w:sz w:val="21"/>
                <w:szCs w:val="21"/>
              </w:rPr>
            </w:pPr>
            <w:r>
              <w:rPr>
                <w:snapToGrid w:val="0"/>
                <w:color w:val="auto"/>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土方开挖</w:t>
            </w:r>
          </w:p>
        </w:tc>
        <w:tc>
          <w:tcPr>
            <w:tcW w:w="411" w:type="pct"/>
            <w:noWrap w:val="0"/>
            <w:vAlign w:val="center"/>
          </w:tcPr>
          <w:p>
            <w:pPr>
              <w:pStyle w:val="2986"/>
              <w:rPr>
                <w:snapToGrid w:val="0"/>
                <w:color w:val="auto"/>
                <w:sz w:val="21"/>
                <w:szCs w:val="21"/>
              </w:rPr>
            </w:pPr>
            <w:r>
              <w:rPr>
                <w:snapToGrid w:val="0"/>
                <w:color w:val="auto"/>
                <w:sz w:val="21"/>
                <w:szCs w:val="21"/>
              </w:rPr>
              <w:t>万m</w:t>
            </w:r>
            <w:r>
              <w:rPr>
                <w:snapToGrid w:val="0"/>
                <w:color w:val="auto"/>
                <w:sz w:val="21"/>
                <w:szCs w:val="21"/>
                <w:vertAlign w:val="superscript"/>
              </w:rPr>
              <w:t>3</w:t>
            </w:r>
          </w:p>
        </w:tc>
        <w:tc>
          <w:tcPr>
            <w:tcW w:w="961" w:type="pct"/>
            <w:noWrap w:val="0"/>
            <w:vAlign w:val="center"/>
          </w:tcPr>
          <w:p>
            <w:pPr>
              <w:pStyle w:val="2986"/>
              <w:rPr>
                <w:rFonts w:hint="default" w:eastAsia="宋体"/>
                <w:snapToGrid w:val="0"/>
                <w:color w:val="auto"/>
                <w:sz w:val="21"/>
                <w:szCs w:val="21"/>
                <w:lang w:val="en-US" w:eastAsia="zh-CN"/>
              </w:rPr>
            </w:pPr>
            <w:r>
              <w:rPr>
                <w:rFonts w:hint="eastAsia"/>
                <w:snapToGrid w:val="0"/>
                <w:color w:val="auto"/>
                <w:sz w:val="21"/>
                <w:szCs w:val="21"/>
                <w:lang w:val="en-US" w:eastAsia="zh-CN"/>
              </w:rPr>
              <w:t>29.53</w:t>
            </w:r>
          </w:p>
        </w:tc>
        <w:tc>
          <w:tcPr>
            <w:tcW w:w="2086" w:type="pct"/>
            <w:noWrap w:val="0"/>
            <w:vAlign w:val="center"/>
          </w:tcPr>
          <w:p>
            <w:pPr>
              <w:pStyle w:val="2986"/>
              <w:rPr>
                <w:snapToGrid w:val="0"/>
                <w:color w:val="auto"/>
                <w:sz w:val="21"/>
                <w:szCs w:val="21"/>
              </w:rPr>
            </w:pPr>
            <w:r>
              <w:rPr>
                <w:rFonts w:hint="eastAsia"/>
                <w:snapToGrid w:val="0"/>
                <w:color w:val="auto"/>
                <w:sz w:val="21"/>
                <w:szCs w:val="21"/>
              </w:rPr>
              <w:t>包含围堰</w:t>
            </w:r>
            <w:r>
              <w:rPr>
                <w:snapToGrid w:val="0"/>
                <w:color w:val="auto"/>
                <w:sz w:val="21"/>
                <w:szCs w:val="21"/>
              </w:rPr>
              <w:t>、疏浚、清障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rFonts w:hint="eastAsia"/>
                <w:snapToGrid w:val="0"/>
                <w:color w:val="auto"/>
                <w:sz w:val="21"/>
                <w:szCs w:val="21"/>
              </w:rPr>
              <w:t>其中土方开挖利用料</w:t>
            </w:r>
          </w:p>
        </w:tc>
        <w:tc>
          <w:tcPr>
            <w:tcW w:w="411" w:type="pct"/>
            <w:noWrap w:val="0"/>
            <w:vAlign w:val="center"/>
          </w:tcPr>
          <w:p>
            <w:pPr>
              <w:pStyle w:val="2986"/>
              <w:rPr>
                <w:snapToGrid w:val="0"/>
                <w:color w:val="auto"/>
                <w:sz w:val="21"/>
                <w:szCs w:val="21"/>
              </w:rPr>
            </w:pPr>
            <w:r>
              <w:rPr>
                <w:snapToGrid w:val="0"/>
                <w:color w:val="auto"/>
                <w:sz w:val="21"/>
                <w:szCs w:val="21"/>
              </w:rPr>
              <w:t>万m</w:t>
            </w:r>
            <w:r>
              <w:rPr>
                <w:snapToGrid w:val="0"/>
                <w:color w:val="auto"/>
                <w:sz w:val="21"/>
                <w:szCs w:val="21"/>
                <w:vertAlign w:val="superscript"/>
              </w:rPr>
              <w:t>3</w:t>
            </w:r>
          </w:p>
        </w:tc>
        <w:tc>
          <w:tcPr>
            <w:tcW w:w="961" w:type="pct"/>
            <w:noWrap w:val="0"/>
            <w:vAlign w:val="center"/>
          </w:tcPr>
          <w:p>
            <w:pPr>
              <w:pStyle w:val="2986"/>
              <w:rPr>
                <w:rFonts w:hint="eastAsia"/>
                <w:snapToGrid w:val="0"/>
                <w:color w:val="auto"/>
                <w:sz w:val="21"/>
                <w:szCs w:val="21"/>
              </w:rPr>
            </w:pPr>
            <w:r>
              <w:rPr>
                <w:rFonts w:hint="eastAsia"/>
                <w:snapToGrid w:val="0"/>
                <w:color w:val="auto"/>
                <w:sz w:val="21"/>
                <w:szCs w:val="21"/>
                <w:lang w:val="en-US" w:eastAsia="zh-CN"/>
              </w:rPr>
              <w:t>3.79</w:t>
            </w:r>
          </w:p>
        </w:tc>
        <w:tc>
          <w:tcPr>
            <w:tcW w:w="2086" w:type="pct"/>
            <w:noWrap w:val="0"/>
            <w:vAlign w:val="center"/>
          </w:tcPr>
          <w:p>
            <w:pPr>
              <w:pStyle w:val="2986"/>
              <w:rPr>
                <w:snapToGrid w:val="0"/>
                <w:color w:val="auto"/>
                <w:sz w:val="21"/>
                <w:szCs w:val="21"/>
                <w:vertAlign w:val="superscript"/>
              </w:rPr>
            </w:pPr>
            <w:r>
              <w:rPr>
                <w:rFonts w:hint="eastAsia"/>
                <w:snapToGrid w:val="0"/>
                <w:color w:val="auto"/>
                <w:sz w:val="21"/>
                <w:szCs w:val="21"/>
              </w:rPr>
              <w:t>包含围堰</w:t>
            </w:r>
            <w:r>
              <w:rPr>
                <w:snapToGrid w:val="0"/>
                <w:color w:val="auto"/>
                <w:sz w:val="21"/>
                <w:szCs w:val="21"/>
              </w:rPr>
              <w:t>、疏浚、清障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snapToGrid w:val="0"/>
                <w:color w:val="auto"/>
                <w:sz w:val="21"/>
                <w:szCs w:val="21"/>
              </w:rPr>
            </w:pPr>
            <w:r>
              <w:rPr>
                <w:rFonts w:hint="eastAsia"/>
                <w:snapToGrid w:val="0"/>
                <w:color w:val="auto"/>
                <w:sz w:val="21"/>
                <w:szCs w:val="21"/>
              </w:rPr>
              <w:t xml:space="preserve">    土方开挖弃料</w:t>
            </w:r>
          </w:p>
        </w:tc>
        <w:tc>
          <w:tcPr>
            <w:tcW w:w="411" w:type="pct"/>
            <w:noWrap w:val="0"/>
            <w:vAlign w:val="center"/>
          </w:tcPr>
          <w:p>
            <w:pPr>
              <w:pStyle w:val="2986"/>
              <w:rPr>
                <w:snapToGrid w:val="0"/>
                <w:color w:val="auto"/>
                <w:sz w:val="21"/>
                <w:szCs w:val="21"/>
              </w:rPr>
            </w:pPr>
            <w:r>
              <w:rPr>
                <w:snapToGrid w:val="0"/>
                <w:color w:val="auto"/>
                <w:sz w:val="21"/>
                <w:szCs w:val="21"/>
              </w:rPr>
              <w:t>万m</w:t>
            </w:r>
            <w:r>
              <w:rPr>
                <w:snapToGrid w:val="0"/>
                <w:color w:val="auto"/>
                <w:sz w:val="21"/>
                <w:szCs w:val="21"/>
                <w:vertAlign w:val="superscript"/>
              </w:rPr>
              <w:t>3</w:t>
            </w:r>
          </w:p>
        </w:tc>
        <w:tc>
          <w:tcPr>
            <w:tcW w:w="961" w:type="pct"/>
            <w:noWrap w:val="0"/>
            <w:vAlign w:val="center"/>
          </w:tcPr>
          <w:p>
            <w:pPr>
              <w:pStyle w:val="2986"/>
              <w:rPr>
                <w:rFonts w:hint="default" w:eastAsia="宋体"/>
                <w:snapToGrid w:val="0"/>
                <w:color w:val="auto"/>
                <w:sz w:val="21"/>
                <w:szCs w:val="21"/>
                <w:lang w:val="en-US" w:eastAsia="zh-CN"/>
              </w:rPr>
            </w:pPr>
            <w:r>
              <w:rPr>
                <w:rFonts w:hint="eastAsia"/>
                <w:snapToGrid w:val="0"/>
                <w:color w:val="auto"/>
                <w:sz w:val="21"/>
                <w:szCs w:val="21"/>
                <w:lang w:val="en-US" w:eastAsia="zh-CN"/>
              </w:rPr>
              <w:t>18.31</w:t>
            </w:r>
          </w:p>
        </w:tc>
        <w:tc>
          <w:tcPr>
            <w:tcW w:w="2086" w:type="pct"/>
            <w:noWrap w:val="0"/>
            <w:vAlign w:val="center"/>
          </w:tcPr>
          <w:p>
            <w:pPr>
              <w:pStyle w:val="2986"/>
              <w:rPr>
                <w:rFonts w:hint="eastAsia"/>
                <w:snapToGrid w:val="0"/>
                <w:color w:val="auto"/>
                <w:sz w:val="21"/>
                <w:szCs w:val="21"/>
              </w:rPr>
            </w:pPr>
            <w:r>
              <w:rPr>
                <w:rFonts w:hint="eastAsia"/>
                <w:snapToGrid w:val="0"/>
                <w:color w:val="auto"/>
                <w:sz w:val="21"/>
                <w:szCs w:val="21"/>
              </w:rPr>
              <w:t>包含围堰</w:t>
            </w:r>
            <w:r>
              <w:rPr>
                <w:snapToGrid w:val="0"/>
                <w:color w:val="auto"/>
                <w:sz w:val="21"/>
                <w:szCs w:val="21"/>
              </w:rPr>
              <w:t>、疏浚、清障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ind w:firstLine="420" w:firstLineChars="200"/>
              <w:jc w:val="left"/>
              <w:rPr>
                <w:snapToGrid w:val="0"/>
                <w:color w:val="auto"/>
                <w:sz w:val="21"/>
                <w:szCs w:val="21"/>
              </w:rPr>
            </w:pPr>
            <w:r>
              <w:rPr>
                <w:snapToGrid w:val="0"/>
                <w:color w:val="auto"/>
                <w:sz w:val="21"/>
                <w:szCs w:val="21"/>
              </w:rPr>
              <w:t>清淤</w:t>
            </w:r>
          </w:p>
        </w:tc>
        <w:tc>
          <w:tcPr>
            <w:tcW w:w="411" w:type="pct"/>
            <w:noWrap w:val="0"/>
            <w:vAlign w:val="center"/>
          </w:tcPr>
          <w:p>
            <w:pPr>
              <w:pStyle w:val="2986"/>
              <w:rPr>
                <w:snapToGrid w:val="0"/>
                <w:color w:val="auto"/>
                <w:sz w:val="21"/>
                <w:szCs w:val="21"/>
              </w:rPr>
            </w:pPr>
            <w:r>
              <w:rPr>
                <w:snapToGrid w:val="0"/>
                <w:color w:val="auto"/>
                <w:sz w:val="21"/>
                <w:szCs w:val="21"/>
              </w:rPr>
              <w:t>万m</w:t>
            </w:r>
            <w:r>
              <w:rPr>
                <w:snapToGrid w:val="0"/>
                <w:color w:val="auto"/>
                <w:sz w:val="21"/>
                <w:szCs w:val="21"/>
                <w:vertAlign w:val="superscript"/>
              </w:rPr>
              <w:t>3</w:t>
            </w:r>
          </w:p>
        </w:tc>
        <w:tc>
          <w:tcPr>
            <w:tcW w:w="961" w:type="pct"/>
            <w:noWrap w:val="0"/>
            <w:vAlign w:val="center"/>
          </w:tcPr>
          <w:p>
            <w:pPr>
              <w:pStyle w:val="2986"/>
              <w:rPr>
                <w:snapToGrid w:val="0"/>
                <w:color w:val="auto"/>
                <w:sz w:val="21"/>
                <w:szCs w:val="21"/>
              </w:rPr>
            </w:pPr>
            <w:r>
              <w:rPr>
                <w:rFonts w:hint="eastAsia"/>
                <w:snapToGrid w:val="0"/>
                <w:color w:val="auto"/>
                <w:sz w:val="21"/>
                <w:szCs w:val="21"/>
              </w:rPr>
              <w:t>7.44</w:t>
            </w:r>
          </w:p>
        </w:tc>
        <w:tc>
          <w:tcPr>
            <w:tcW w:w="2086" w:type="pct"/>
            <w:noWrap w:val="0"/>
            <w:vAlign w:val="center"/>
          </w:tcPr>
          <w:p>
            <w:pPr>
              <w:pStyle w:val="2986"/>
              <w:rPr>
                <w:snapToGrid w:val="0"/>
                <w:color w:val="auto"/>
                <w:sz w:val="21"/>
                <w:szCs w:val="21"/>
                <w:vertAlign w:val="superscrip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土方填筑</w:t>
            </w:r>
          </w:p>
        </w:tc>
        <w:tc>
          <w:tcPr>
            <w:tcW w:w="411" w:type="pct"/>
            <w:noWrap w:val="0"/>
            <w:vAlign w:val="center"/>
          </w:tcPr>
          <w:p>
            <w:pPr>
              <w:pStyle w:val="2986"/>
              <w:rPr>
                <w:snapToGrid w:val="0"/>
                <w:color w:val="auto"/>
                <w:sz w:val="21"/>
                <w:szCs w:val="21"/>
              </w:rPr>
            </w:pPr>
            <w:r>
              <w:rPr>
                <w:snapToGrid w:val="0"/>
                <w:color w:val="auto"/>
                <w:sz w:val="21"/>
                <w:szCs w:val="21"/>
              </w:rPr>
              <w:t>万m</w:t>
            </w:r>
            <w:r>
              <w:rPr>
                <w:snapToGrid w:val="0"/>
                <w:color w:val="auto"/>
                <w:sz w:val="21"/>
                <w:szCs w:val="21"/>
                <w:vertAlign w:val="superscript"/>
              </w:rPr>
              <w:t>3</w:t>
            </w:r>
          </w:p>
        </w:tc>
        <w:tc>
          <w:tcPr>
            <w:tcW w:w="961" w:type="pct"/>
            <w:noWrap w:val="0"/>
            <w:vAlign w:val="center"/>
          </w:tcPr>
          <w:p>
            <w:pPr>
              <w:pStyle w:val="2986"/>
              <w:rPr>
                <w:rFonts w:hint="eastAsia"/>
                <w:snapToGrid w:val="0"/>
                <w:color w:val="auto"/>
                <w:sz w:val="21"/>
                <w:szCs w:val="21"/>
              </w:rPr>
            </w:pPr>
            <w:r>
              <w:rPr>
                <w:rFonts w:hint="eastAsia"/>
                <w:snapToGrid w:val="0"/>
                <w:color w:val="auto"/>
                <w:sz w:val="21"/>
                <w:szCs w:val="21"/>
                <w:lang w:val="en-US" w:eastAsia="zh-CN"/>
              </w:rPr>
              <w:t>3.79</w:t>
            </w:r>
          </w:p>
        </w:tc>
        <w:tc>
          <w:tcPr>
            <w:tcW w:w="2086" w:type="pct"/>
            <w:noWrap w:val="0"/>
            <w:vAlign w:val="center"/>
          </w:tcPr>
          <w:p>
            <w:pPr>
              <w:pStyle w:val="2986"/>
              <w:rPr>
                <w:snapToGrid w:val="0"/>
                <w:color w:val="auto"/>
                <w:sz w:val="21"/>
                <w:szCs w:val="21"/>
              </w:rPr>
            </w:pPr>
            <w:r>
              <w:rPr>
                <w:rFonts w:hint="eastAsia"/>
                <w:snapToGrid w:val="0"/>
                <w:color w:val="auto"/>
                <w:sz w:val="21"/>
                <w:szCs w:val="21"/>
              </w:rPr>
              <w:t>包含围堰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砼及钢筋砼</w:t>
            </w:r>
          </w:p>
        </w:tc>
        <w:tc>
          <w:tcPr>
            <w:tcW w:w="411" w:type="pct"/>
            <w:noWrap w:val="0"/>
            <w:vAlign w:val="center"/>
          </w:tcPr>
          <w:p>
            <w:pPr>
              <w:pStyle w:val="2986"/>
              <w:rPr>
                <w:snapToGrid w:val="0"/>
                <w:color w:val="auto"/>
                <w:sz w:val="21"/>
                <w:szCs w:val="21"/>
              </w:rPr>
            </w:pPr>
            <w:r>
              <w:rPr>
                <w:snapToGrid w:val="0"/>
                <w:color w:val="auto"/>
                <w:sz w:val="21"/>
                <w:szCs w:val="21"/>
              </w:rPr>
              <w:t>m</w:t>
            </w:r>
            <w:r>
              <w:rPr>
                <w:snapToGrid w:val="0"/>
                <w:color w:val="auto"/>
                <w:sz w:val="21"/>
                <w:szCs w:val="21"/>
                <w:vertAlign w:val="superscript"/>
              </w:rPr>
              <w:t>3</w:t>
            </w:r>
          </w:p>
        </w:tc>
        <w:tc>
          <w:tcPr>
            <w:tcW w:w="961" w:type="pct"/>
            <w:noWrap w:val="0"/>
            <w:vAlign w:val="center"/>
          </w:tcPr>
          <w:p>
            <w:pPr>
              <w:pStyle w:val="2986"/>
              <w:rPr>
                <w:rFonts w:hint="eastAsia"/>
                <w:snapToGrid w:val="0"/>
                <w:color w:val="auto"/>
                <w:sz w:val="21"/>
                <w:szCs w:val="21"/>
              </w:rPr>
            </w:pPr>
            <w:r>
              <w:rPr>
                <w:rFonts w:hint="eastAsia"/>
                <w:snapToGrid w:val="0"/>
                <w:color w:val="auto"/>
                <w:sz w:val="21"/>
                <w:szCs w:val="21"/>
              </w:rPr>
              <w:t>10134</w:t>
            </w:r>
          </w:p>
        </w:tc>
        <w:tc>
          <w:tcPr>
            <w:tcW w:w="2086" w:type="pct"/>
            <w:noWrap w:val="0"/>
            <w:vAlign w:val="center"/>
          </w:tcPr>
          <w:p>
            <w:pPr>
              <w:pStyle w:val="2986"/>
              <w:rPr>
                <w:snapToGrid w:val="0"/>
                <w:color w:val="auto"/>
                <w:sz w:val="21"/>
                <w:szCs w:val="21"/>
              </w:rPr>
            </w:pPr>
            <w:r>
              <w:rPr>
                <w:snapToGrid w:val="0"/>
                <w:color w:val="auto"/>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浆砌石</w:t>
            </w:r>
          </w:p>
        </w:tc>
        <w:tc>
          <w:tcPr>
            <w:tcW w:w="411" w:type="pct"/>
            <w:noWrap w:val="0"/>
            <w:vAlign w:val="center"/>
          </w:tcPr>
          <w:p>
            <w:pPr>
              <w:pStyle w:val="2986"/>
              <w:rPr>
                <w:snapToGrid w:val="0"/>
                <w:color w:val="auto"/>
                <w:sz w:val="21"/>
                <w:szCs w:val="21"/>
              </w:rPr>
            </w:pPr>
            <w:r>
              <w:rPr>
                <w:snapToGrid w:val="0"/>
                <w:color w:val="auto"/>
                <w:sz w:val="21"/>
                <w:szCs w:val="21"/>
              </w:rPr>
              <w:t>m</w:t>
            </w:r>
            <w:r>
              <w:rPr>
                <w:snapToGrid w:val="0"/>
                <w:color w:val="auto"/>
                <w:sz w:val="21"/>
                <w:szCs w:val="21"/>
                <w:vertAlign w:val="superscript"/>
              </w:rPr>
              <w:t>3</w:t>
            </w:r>
          </w:p>
        </w:tc>
        <w:tc>
          <w:tcPr>
            <w:tcW w:w="961" w:type="pct"/>
            <w:noWrap w:val="0"/>
            <w:vAlign w:val="center"/>
          </w:tcPr>
          <w:p>
            <w:pPr>
              <w:pStyle w:val="2986"/>
              <w:rPr>
                <w:rFonts w:hint="eastAsia"/>
                <w:snapToGrid w:val="0"/>
                <w:color w:val="auto"/>
                <w:sz w:val="21"/>
                <w:szCs w:val="21"/>
              </w:rPr>
            </w:pPr>
            <w:r>
              <w:rPr>
                <w:rFonts w:hint="eastAsia"/>
                <w:snapToGrid w:val="0"/>
                <w:color w:val="auto"/>
                <w:sz w:val="21"/>
                <w:szCs w:val="21"/>
              </w:rPr>
              <w:t>15427</w:t>
            </w:r>
          </w:p>
        </w:tc>
        <w:tc>
          <w:tcPr>
            <w:tcW w:w="2086" w:type="pct"/>
            <w:noWrap w:val="0"/>
            <w:vAlign w:val="center"/>
          </w:tcPr>
          <w:p>
            <w:pPr>
              <w:pStyle w:val="2986"/>
              <w:rPr>
                <w:snapToGrid w:val="0"/>
                <w:color w:val="auto"/>
                <w:sz w:val="21"/>
                <w:szCs w:val="21"/>
              </w:rPr>
            </w:pPr>
            <w:r>
              <w:rPr>
                <w:snapToGrid w:val="0"/>
                <w:color w:val="auto"/>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snapToGrid w:val="0"/>
                <w:color w:val="auto"/>
                <w:sz w:val="21"/>
                <w:szCs w:val="21"/>
              </w:rPr>
            </w:pPr>
            <w:r>
              <w:rPr>
                <w:rFonts w:hint="eastAsia"/>
                <w:snapToGrid w:val="0"/>
                <w:color w:val="auto"/>
                <w:sz w:val="21"/>
                <w:szCs w:val="21"/>
              </w:rPr>
              <w:t>格宾</w:t>
            </w:r>
          </w:p>
        </w:tc>
        <w:tc>
          <w:tcPr>
            <w:tcW w:w="411" w:type="pct"/>
            <w:noWrap w:val="0"/>
            <w:vAlign w:val="center"/>
          </w:tcPr>
          <w:p>
            <w:pPr>
              <w:pStyle w:val="2986"/>
              <w:rPr>
                <w:snapToGrid w:val="0"/>
                <w:color w:val="auto"/>
                <w:sz w:val="21"/>
                <w:szCs w:val="21"/>
              </w:rPr>
            </w:pPr>
            <w:r>
              <w:rPr>
                <w:snapToGrid w:val="0"/>
                <w:color w:val="auto"/>
                <w:sz w:val="21"/>
                <w:szCs w:val="21"/>
              </w:rPr>
              <w:t>m</w:t>
            </w:r>
            <w:r>
              <w:rPr>
                <w:snapToGrid w:val="0"/>
                <w:color w:val="auto"/>
                <w:sz w:val="21"/>
                <w:szCs w:val="21"/>
                <w:vertAlign w:val="superscript"/>
              </w:rPr>
              <w:t>3</w:t>
            </w:r>
          </w:p>
        </w:tc>
        <w:tc>
          <w:tcPr>
            <w:tcW w:w="961" w:type="pct"/>
            <w:noWrap w:val="0"/>
            <w:vAlign w:val="center"/>
          </w:tcPr>
          <w:p>
            <w:pPr>
              <w:pStyle w:val="2986"/>
              <w:rPr>
                <w:rFonts w:hint="eastAsia"/>
                <w:snapToGrid w:val="0"/>
                <w:color w:val="auto"/>
                <w:sz w:val="21"/>
                <w:szCs w:val="21"/>
              </w:rPr>
            </w:pPr>
            <w:r>
              <w:rPr>
                <w:rFonts w:hint="eastAsia"/>
                <w:snapToGrid w:val="0"/>
                <w:color w:val="auto"/>
                <w:sz w:val="21"/>
                <w:szCs w:val="21"/>
              </w:rPr>
              <w:t>58897</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eastAsia="宋体"/>
                <w:snapToGrid w:val="0"/>
                <w:color w:val="auto"/>
                <w:sz w:val="21"/>
                <w:szCs w:val="21"/>
                <w:lang w:val="en-US" w:eastAsia="zh-CN"/>
              </w:rPr>
            </w:pPr>
            <w:r>
              <w:rPr>
                <w:rFonts w:hint="eastAsia"/>
                <w:snapToGrid w:val="0"/>
                <w:color w:val="auto"/>
                <w:sz w:val="21"/>
                <w:szCs w:val="21"/>
              </w:rPr>
              <w:t>砂石</w:t>
            </w:r>
            <w:r>
              <w:rPr>
                <w:rFonts w:hint="eastAsia"/>
                <w:snapToGrid w:val="0"/>
                <w:color w:val="auto"/>
                <w:sz w:val="21"/>
                <w:szCs w:val="21"/>
                <w:lang w:val="en-US" w:eastAsia="zh-CN"/>
              </w:rPr>
              <w:t>料</w:t>
            </w:r>
          </w:p>
        </w:tc>
        <w:tc>
          <w:tcPr>
            <w:tcW w:w="411" w:type="pct"/>
            <w:noWrap w:val="0"/>
            <w:vAlign w:val="center"/>
          </w:tcPr>
          <w:p>
            <w:pPr>
              <w:pStyle w:val="2986"/>
              <w:rPr>
                <w:snapToGrid w:val="0"/>
                <w:color w:val="auto"/>
                <w:sz w:val="21"/>
                <w:szCs w:val="21"/>
              </w:rPr>
            </w:pPr>
            <w:r>
              <w:rPr>
                <w:snapToGrid w:val="0"/>
                <w:color w:val="auto"/>
                <w:sz w:val="21"/>
                <w:szCs w:val="21"/>
              </w:rPr>
              <w:t>m</w:t>
            </w:r>
            <w:r>
              <w:rPr>
                <w:snapToGrid w:val="0"/>
                <w:color w:val="auto"/>
                <w:sz w:val="21"/>
                <w:szCs w:val="21"/>
                <w:vertAlign w:val="superscript"/>
              </w:rPr>
              <w:t>2</w:t>
            </w:r>
          </w:p>
        </w:tc>
        <w:tc>
          <w:tcPr>
            <w:tcW w:w="961" w:type="pct"/>
            <w:noWrap w:val="0"/>
            <w:vAlign w:val="center"/>
          </w:tcPr>
          <w:p>
            <w:pPr>
              <w:pStyle w:val="2986"/>
              <w:rPr>
                <w:rFonts w:hint="default" w:eastAsia="宋体"/>
                <w:snapToGrid w:val="0"/>
                <w:color w:val="auto"/>
                <w:sz w:val="21"/>
                <w:szCs w:val="21"/>
                <w:lang w:val="en-US" w:eastAsia="zh-CN"/>
              </w:rPr>
            </w:pPr>
            <w:r>
              <w:rPr>
                <w:rFonts w:hint="eastAsia" w:eastAsia="宋体"/>
                <w:snapToGrid w:val="0"/>
                <w:color w:val="auto"/>
                <w:sz w:val="21"/>
                <w:szCs w:val="21"/>
                <w:lang w:val="en-US" w:eastAsia="zh-CN"/>
              </w:rPr>
              <w:t>1497</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snapToGrid w:val="0"/>
                <w:color w:val="auto"/>
                <w:sz w:val="21"/>
                <w:szCs w:val="21"/>
              </w:rPr>
            </w:pPr>
            <w:r>
              <w:rPr>
                <w:rFonts w:hint="eastAsia"/>
                <w:snapToGrid w:val="0"/>
                <w:color w:val="auto"/>
                <w:sz w:val="21"/>
                <w:szCs w:val="21"/>
              </w:rPr>
              <w:t>模板</w:t>
            </w:r>
          </w:p>
        </w:tc>
        <w:tc>
          <w:tcPr>
            <w:tcW w:w="411" w:type="pct"/>
            <w:noWrap w:val="0"/>
            <w:vAlign w:val="center"/>
          </w:tcPr>
          <w:p>
            <w:pPr>
              <w:pStyle w:val="2986"/>
              <w:rPr>
                <w:snapToGrid w:val="0"/>
                <w:color w:val="auto"/>
                <w:sz w:val="21"/>
                <w:szCs w:val="21"/>
              </w:rPr>
            </w:pPr>
            <w:r>
              <w:rPr>
                <w:snapToGrid w:val="0"/>
                <w:color w:val="auto"/>
                <w:sz w:val="21"/>
                <w:szCs w:val="21"/>
              </w:rPr>
              <w:t>m</w:t>
            </w:r>
            <w:r>
              <w:rPr>
                <w:snapToGrid w:val="0"/>
                <w:color w:val="auto"/>
                <w:sz w:val="21"/>
                <w:szCs w:val="21"/>
                <w:vertAlign w:val="superscript"/>
              </w:rPr>
              <w:t>2</w:t>
            </w:r>
          </w:p>
        </w:tc>
        <w:tc>
          <w:tcPr>
            <w:tcW w:w="961" w:type="pct"/>
            <w:noWrap w:val="0"/>
            <w:vAlign w:val="center"/>
          </w:tcPr>
          <w:p>
            <w:pPr>
              <w:pStyle w:val="2986"/>
              <w:rPr>
                <w:rFonts w:hint="default" w:eastAsia="宋体"/>
                <w:snapToGrid w:val="0"/>
                <w:color w:val="auto"/>
                <w:sz w:val="21"/>
                <w:szCs w:val="21"/>
                <w:lang w:val="en-US" w:eastAsia="zh-CN"/>
              </w:rPr>
            </w:pPr>
            <w:r>
              <w:rPr>
                <w:rFonts w:hint="eastAsia"/>
                <w:snapToGrid w:val="0"/>
                <w:color w:val="auto"/>
                <w:sz w:val="21"/>
                <w:szCs w:val="21"/>
              </w:rPr>
              <w:t>22</w:t>
            </w:r>
            <w:r>
              <w:rPr>
                <w:rFonts w:hint="eastAsia"/>
                <w:snapToGrid w:val="0"/>
                <w:color w:val="auto"/>
                <w:sz w:val="21"/>
                <w:szCs w:val="21"/>
                <w:lang w:val="en-US" w:eastAsia="zh-CN"/>
              </w:rPr>
              <w:t>382</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snapToGrid w:val="0"/>
                <w:color w:val="auto"/>
                <w:sz w:val="21"/>
                <w:szCs w:val="21"/>
              </w:rPr>
            </w:pPr>
            <w:r>
              <w:rPr>
                <w:rFonts w:hint="eastAsia"/>
                <w:snapToGrid w:val="0"/>
                <w:color w:val="auto"/>
                <w:sz w:val="21"/>
                <w:szCs w:val="21"/>
              </w:rPr>
              <w:t>钢筋</w:t>
            </w:r>
          </w:p>
        </w:tc>
        <w:tc>
          <w:tcPr>
            <w:tcW w:w="411" w:type="pct"/>
            <w:noWrap w:val="0"/>
            <w:vAlign w:val="center"/>
          </w:tcPr>
          <w:p>
            <w:pPr>
              <w:pStyle w:val="2986"/>
              <w:rPr>
                <w:snapToGrid w:val="0"/>
                <w:color w:val="auto"/>
                <w:sz w:val="21"/>
                <w:szCs w:val="21"/>
              </w:rPr>
            </w:pPr>
            <w:r>
              <w:rPr>
                <w:snapToGrid w:val="0"/>
                <w:color w:val="auto"/>
                <w:sz w:val="21"/>
                <w:szCs w:val="21"/>
              </w:rPr>
              <w:t>t</w:t>
            </w:r>
          </w:p>
        </w:tc>
        <w:tc>
          <w:tcPr>
            <w:tcW w:w="961" w:type="pct"/>
            <w:noWrap w:val="0"/>
            <w:vAlign w:val="center"/>
          </w:tcPr>
          <w:p>
            <w:pPr>
              <w:pStyle w:val="2986"/>
              <w:rPr>
                <w:rFonts w:hint="default" w:eastAsia="宋体"/>
                <w:snapToGrid w:val="0"/>
                <w:color w:val="auto"/>
                <w:sz w:val="21"/>
                <w:szCs w:val="21"/>
                <w:lang w:val="en-US" w:eastAsia="zh-CN"/>
              </w:rPr>
            </w:pPr>
            <w:r>
              <w:rPr>
                <w:rFonts w:hint="eastAsia"/>
                <w:snapToGrid w:val="0"/>
                <w:color w:val="auto"/>
                <w:sz w:val="21"/>
                <w:szCs w:val="21"/>
                <w:lang w:val="en-US" w:eastAsia="zh-CN"/>
              </w:rPr>
              <w:t>36</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snapToGrid w:val="0"/>
                <w:color w:val="auto"/>
                <w:sz w:val="21"/>
                <w:szCs w:val="21"/>
              </w:rPr>
            </w:pPr>
            <w:r>
              <w:rPr>
                <w:rFonts w:hint="eastAsia"/>
                <w:bCs/>
                <w:snapToGrid w:val="0"/>
                <w:color w:val="auto"/>
                <w:sz w:val="21"/>
                <w:szCs w:val="21"/>
              </w:rPr>
              <w:t>六、工程占地与移民安置</w:t>
            </w:r>
          </w:p>
        </w:tc>
        <w:tc>
          <w:tcPr>
            <w:tcW w:w="411" w:type="pct"/>
            <w:noWrap w:val="0"/>
            <w:vAlign w:val="center"/>
          </w:tcPr>
          <w:p>
            <w:pPr>
              <w:pStyle w:val="2986"/>
              <w:rPr>
                <w:snapToGrid w:val="0"/>
                <w:color w:val="auto"/>
                <w:sz w:val="21"/>
                <w:szCs w:val="21"/>
              </w:rPr>
            </w:pPr>
          </w:p>
        </w:tc>
        <w:tc>
          <w:tcPr>
            <w:tcW w:w="961" w:type="pct"/>
            <w:noWrap w:val="0"/>
            <w:vAlign w:val="center"/>
          </w:tcPr>
          <w:p>
            <w:pPr>
              <w:pStyle w:val="2986"/>
              <w:rPr>
                <w:snapToGrid w:val="0"/>
                <w:color w:val="auto"/>
                <w:sz w:val="21"/>
                <w:szCs w:val="21"/>
              </w:rPr>
            </w:pP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snapToGrid w:val="0"/>
                <w:color w:val="auto"/>
                <w:sz w:val="21"/>
                <w:szCs w:val="21"/>
              </w:rPr>
            </w:pPr>
            <w:r>
              <w:rPr>
                <w:rFonts w:hint="eastAsia"/>
                <w:snapToGrid w:val="0"/>
                <w:color w:val="auto"/>
                <w:sz w:val="21"/>
                <w:szCs w:val="21"/>
              </w:rPr>
              <w:t>永久占地</w:t>
            </w:r>
          </w:p>
        </w:tc>
        <w:tc>
          <w:tcPr>
            <w:tcW w:w="411" w:type="pct"/>
            <w:noWrap w:val="0"/>
            <w:vAlign w:val="center"/>
          </w:tcPr>
          <w:p>
            <w:pPr>
              <w:pStyle w:val="2986"/>
              <w:rPr>
                <w:rFonts w:hint="eastAsia"/>
                <w:snapToGrid w:val="0"/>
                <w:color w:val="auto"/>
                <w:sz w:val="21"/>
                <w:szCs w:val="21"/>
              </w:rPr>
            </w:pPr>
            <w:r>
              <w:rPr>
                <w:rFonts w:hint="eastAsia"/>
                <w:snapToGrid w:val="0"/>
                <w:color w:val="auto"/>
                <w:sz w:val="21"/>
                <w:szCs w:val="21"/>
              </w:rPr>
              <w:t>亩</w:t>
            </w:r>
          </w:p>
        </w:tc>
        <w:tc>
          <w:tcPr>
            <w:tcW w:w="961" w:type="pct"/>
            <w:noWrap w:val="0"/>
            <w:vAlign w:val="center"/>
          </w:tcPr>
          <w:p>
            <w:pPr>
              <w:pStyle w:val="2986"/>
              <w:rPr>
                <w:rFonts w:hint="default" w:eastAsia="宋体"/>
                <w:snapToGrid w:val="0"/>
                <w:color w:val="auto"/>
                <w:sz w:val="21"/>
                <w:szCs w:val="21"/>
                <w:lang w:val="en-US" w:eastAsia="zh-CN"/>
              </w:rPr>
            </w:pPr>
            <w:r>
              <w:rPr>
                <w:rFonts w:hint="eastAsia"/>
                <w:snapToGrid w:val="0"/>
                <w:color w:val="auto"/>
                <w:sz w:val="21"/>
                <w:szCs w:val="21"/>
                <w:lang w:val="en-US" w:eastAsia="zh-CN"/>
              </w:rPr>
              <w:t>28.47</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snapToGrid w:val="0"/>
                <w:color w:val="auto"/>
                <w:sz w:val="21"/>
                <w:szCs w:val="21"/>
              </w:rPr>
            </w:pPr>
            <w:r>
              <w:rPr>
                <w:rFonts w:hint="eastAsia"/>
                <w:snapToGrid w:val="0"/>
                <w:color w:val="auto"/>
                <w:sz w:val="21"/>
                <w:szCs w:val="21"/>
              </w:rPr>
              <w:t>临时占地</w:t>
            </w:r>
          </w:p>
        </w:tc>
        <w:tc>
          <w:tcPr>
            <w:tcW w:w="411" w:type="pct"/>
            <w:noWrap w:val="0"/>
            <w:vAlign w:val="center"/>
          </w:tcPr>
          <w:p>
            <w:pPr>
              <w:pStyle w:val="2986"/>
              <w:rPr>
                <w:snapToGrid w:val="0"/>
                <w:color w:val="auto"/>
                <w:sz w:val="21"/>
                <w:szCs w:val="21"/>
              </w:rPr>
            </w:pPr>
            <w:r>
              <w:rPr>
                <w:rFonts w:hint="eastAsia"/>
                <w:snapToGrid w:val="0"/>
                <w:color w:val="auto"/>
                <w:sz w:val="21"/>
                <w:szCs w:val="21"/>
              </w:rPr>
              <w:t>亩</w:t>
            </w:r>
          </w:p>
        </w:tc>
        <w:tc>
          <w:tcPr>
            <w:tcW w:w="961" w:type="pct"/>
            <w:noWrap w:val="0"/>
            <w:vAlign w:val="center"/>
          </w:tcPr>
          <w:p>
            <w:pPr>
              <w:pStyle w:val="2986"/>
              <w:rPr>
                <w:rFonts w:hint="default" w:eastAsia="宋体"/>
                <w:snapToGrid w:val="0"/>
                <w:color w:val="auto"/>
                <w:sz w:val="21"/>
                <w:szCs w:val="21"/>
                <w:lang w:val="en-US" w:eastAsia="zh-CN"/>
              </w:rPr>
            </w:pPr>
            <w:r>
              <w:rPr>
                <w:rFonts w:hint="eastAsia"/>
                <w:snapToGrid w:val="0"/>
                <w:color w:val="auto"/>
                <w:sz w:val="21"/>
                <w:szCs w:val="21"/>
                <w:lang w:val="en-US" w:eastAsia="zh-CN"/>
              </w:rPr>
              <w:t>183.79</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rFonts w:hint="eastAsia"/>
                <w:snapToGrid w:val="0"/>
                <w:color w:val="auto"/>
                <w:sz w:val="21"/>
                <w:szCs w:val="21"/>
              </w:rPr>
              <w:t>七</w:t>
            </w:r>
            <w:r>
              <w:rPr>
                <w:snapToGrid w:val="0"/>
                <w:color w:val="auto"/>
                <w:sz w:val="21"/>
                <w:szCs w:val="21"/>
              </w:rPr>
              <w:t>、主要</w:t>
            </w:r>
            <w:r>
              <w:rPr>
                <w:rFonts w:hint="eastAsia"/>
                <w:snapToGrid w:val="0"/>
                <w:color w:val="auto"/>
                <w:sz w:val="21"/>
                <w:szCs w:val="21"/>
              </w:rPr>
              <w:t>建材</w:t>
            </w:r>
          </w:p>
        </w:tc>
        <w:tc>
          <w:tcPr>
            <w:tcW w:w="411" w:type="pct"/>
            <w:noWrap w:val="0"/>
            <w:vAlign w:val="center"/>
          </w:tcPr>
          <w:p>
            <w:pPr>
              <w:pStyle w:val="2986"/>
              <w:rPr>
                <w:snapToGrid w:val="0"/>
                <w:color w:val="auto"/>
                <w:sz w:val="21"/>
                <w:szCs w:val="21"/>
              </w:rPr>
            </w:pPr>
          </w:p>
        </w:tc>
        <w:tc>
          <w:tcPr>
            <w:tcW w:w="961" w:type="pct"/>
            <w:noWrap w:val="0"/>
            <w:vAlign w:val="center"/>
          </w:tcPr>
          <w:p>
            <w:pPr>
              <w:pStyle w:val="2986"/>
              <w:rPr>
                <w:snapToGrid w:val="0"/>
                <w:color w:val="auto"/>
                <w:sz w:val="21"/>
                <w:szCs w:val="21"/>
              </w:rPr>
            </w:pP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水泥</w:t>
            </w:r>
          </w:p>
        </w:tc>
        <w:tc>
          <w:tcPr>
            <w:tcW w:w="411" w:type="pct"/>
            <w:noWrap w:val="0"/>
            <w:vAlign w:val="center"/>
          </w:tcPr>
          <w:p>
            <w:pPr>
              <w:pStyle w:val="2986"/>
              <w:rPr>
                <w:snapToGrid w:val="0"/>
                <w:color w:val="auto"/>
                <w:sz w:val="21"/>
                <w:szCs w:val="21"/>
              </w:rPr>
            </w:pPr>
            <w:r>
              <w:rPr>
                <w:snapToGrid w:val="0"/>
                <w:color w:val="auto"/>
                <w:sz w:val="21"/>
                <w:szCs w:val="21"/>
              </w:rPr>
              <w:t>t</w:t>
            </w:r>
          </w:p>
        </w:tc>
        <w:tc>
          <w:tcPr>
            <w:tcW w:w="961" w:type="pct"/>
            <w:noWrap w:val="0"/>
            <w:vAlign w:val="center"/>
          </w:tcPr>
          <w:p>
            <w:pPr>
              <w:pStyle w:val="2986"/>
              <w:rPr>
                <w:rFonts w:hint="eastAsia" w:eastAsia="宋体"/>
                <w:snapToGrid w:val="0"/>
                <w:color w:val="auto"/>
                <w:sz w:val="21"/>
                <w:szCs w:val="21"/>
                <w:lang w:eastAsia="zh-CN"/>
              </w:rPr>
            </w:pPr>
            <w:r>
              <w:rPr>
                <w:rFonts w:hint="eastAsia"/>
                <w:snapToGrid w:val="0"/>
                <w:color w:val="auto"/>
                <w:sz w:val="21"/>
                <w:szCs w:val="21"/>
              </w:rPr>
              <w:t>459</w:t>
            </w:r>
            <w:r>
              <w:rPr>
                <w:rFonts w:hint="eastAsia"/>
                <w:snapToGrid w:val="0"/>
                <w:color w:val="auto"/>
                <w:sz w:val="21"/>
                <w:szCs w:val="21"/>
                <w:lang w:val="en-US" w:eastAsia="zh-CN"/>
              </w:rPr>
              <w:t>4</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块石</w:t>
            </w:r>
          </w:p>
        </w:tc>
        <w:tc>
          <w:tcPr>
            <w:tcW w:w="411" w:type="pct"/>
            <w:noWrap w:val="0"/>
            <w:vAlign w:val="center"/>
          </w:tcPr>
          <w:p>
            <w:pPr>
              <w:pStyle w:val="2986"/>
              <w:rPr>
                <w:snapToGrid w:val="0"/>
                <w:color w:val="auto"/>
                <w:sz w:val="21"/>
                <w:szCs w:val="21"/>
              </w:rPr>
            </w:pPr>
            <w:r>
              <w:rPr>
                <w:snapToGrid w:val="0"/>
                <w:color w:val="auto"/>
                <w:sz w:val="21"/>
                <w:szCs w:val="21"/>
              </w:rPr>
              <w:t>m</w:t>
            </w:r>
            <w:r>
              <w:rPr>
                <w:snapToGrid w:val="0"/>
                <w:color w:val="auto"/>
                <w:sz w:val="21"/>
                <w:szCs w:val="21"/>
                <w:vertAlign w:val="superscript"/>
              </w:rPr>
              <w:t>3</w:t>
            </w:r>
          </w:p>
        </w:tc>
        <w:tc>
          <w:tcPr>
            <w:tcW w:w="961" w:type="pct"/>
            <w:noWrap w:val="0"/>
            <w:vAlign w:val="center"/>
          </w:tcPr>
          <w:p>
            <w:pPr>
              <w:pStyle w:val="2986"/>
              <w:rPr>
                <w:rFonts w:hint="eastAsia" w:eastAsia="宋体"/>
                <w:snapToGrid w:val="0"/>
                <w:color w:val="auto"/>
                <w:sz w:val="21"/>
                <w:szCs w:val="21"/>
                <w:lang w:eastAsia="zh-CN"/>
              </w:rPr>
            </w:pPr>
            <w:r>
              <w:rPr>
                <w:rFonts w:hint="eastAsia"/>
                <w:snapToGrid w:val="0"/>
                <w:color w:val="auto"/>
                <w:sz w:val="21"/>
                <w:szCs w:val="21"/>
              </w:rPr>
              <w:t>1711</w:t>
            </w:r>
            <w:r>
              <w:rPr>
                <w:rFonts w:hint="eastAsia"/>
                <w:snapToGrid w:val="0"/>
                <w:color w:val="auto"/>
                <w:sz w:val="21"/>
                <w:szCs w:val="21"/>
                <w:lang w:val="en-US" w:eastAsia="zh-CN"/>
              </w:rPr>
              <w:t>3</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河砂</w:t>
            </w:r>
          </w:p>
        </w:tc>
        <w:tc>
          <w:tcPr>
            <w:tcW w:w="411" w:type="pct"/>
            <w:noWrap w:val="0"/>
            <w:vAlign w:val="center"/>
          </w:tcPr>
          <w:p>
            <w:pPr>
              <w:pStyle w:val="2986"/>
              <w:rPr>
                <w:snapToGrid w:val="0"/>
                <w:color w:val="auto"/>
                <w:sz w:val="21"/>
                <w:szCs w:val="21"/>
              </w:rPr>
            </w:pPr>
            <w:r>
              <w:rPr>
                <w:snapToGrid w:val="0"/>
                <w:color w:val="auto"/>
                <w:sz w:val="21"/>
                <w:szCs w:val="21"/>
              </w:rPr>
              <w:t>m</w:t>
            </w:r>
            <w:r>
              <w:rPr>
                <w:snapToGrid w:val="0"/>
                <w:color w:val="auto"/>
                <w:sz w:val="21"/>
                <w:szCs w:val="21"/>
                <w:vertAlign w:val="superscript"/>
              </w:rPr>
              <w:t>3</w:t>
            </w:r>
          </w:p>
        </w:tc>
        <w:tc>
          <w:tcPr>
            <w:tcW w:w="961" w:type="pct"/>
            <w:noWrap w:val="0"/>
            <w:vAlign w:val="center"/>
          </w:tcPr>
          <w:p>
            <w:pPr>
              <w:pStyle w:val="2986"/>
              <w:rPr>
                <w:rFonts w:hint="eastAsia" w:eastAsia="宋体"/>
                <w:snapToGrid w:val="0"/>
                <w:color w:val="auto"/>
                <w:sz w:val="21"/>
                <w:szCs w:val="21"/>
                <w:lang w:eastAsia="zh-CN"/>
              </w:rPr>
            </w:pPr>
            <w:r>
              <w:rPr>
                <w:rFonts w:hint="eastAsia"/>
                <w:snapToGrid w:val="0"/>
                <w:color w:val="auto"/>
                <w:sz w:val="21"/>
                <w:szCs w:val="21"/>
              </w:rPr>
              <w:t>1160</w:t>
            </w:r>
            <w:r>
              <w:rPr>
                <w:rFonts w:hint="eastAsia"/>
                <w:snapToGrid w:val="0"/>
                <w:color w:val="auto"/>
                <w:sz w:val="21"/>
                <w:szCs w:val="21"/>
                <w:lang w:val="en-US" w:eastAsia="zh-CN"/>
              </w:rPr>
              <w:t>4</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卵石</w:t>
            </w:r>
          </w:p>
        </w:tc>
        <w:tc>
          <w:tcPr>
            <w:tcW w:w="411" w:type="pct"/>
            <w:noWrap w:val="0"/>
            <w:vAlign w:val="center"/>
          </w:tcPr>
          <w:p>
            <w:pPr>
              <w:pStyle w:val="2986"/>
              <w:rPr>
                <w:snapToGrid w:val="0"/>
                <w:color w:val="auto"/>
                <w:sz w:val="21"/>
                <w:szCs w:val="21"/>
              </w:rPr>
            </w:pPr>
            <w:r>
              <w:rPr>
                <w:snapToGrid w:val="0"/>
                <w:color w:val="auto"/>
                <w:sz w:val="21"/>
                <w:szCs w:val="21"/>
              </w:rPr>
              <w:t>m</w:t>
            </w:r>
            <w:r>
              <w:rPr>
                <w:snapToGrid w:val="0"/>
                <w:color w:val="auto"/>
                <w:sz w:val="21"/>
                <w:szCs w:val="21"/>
                <w:vertAlign w:val="superscript"/>
              </w:rPr>
              <w:t>3</w:t>
            </w:r>
          </w:p>
        </w:tc>
        <w:tc>
          <w:tcPr>
            <w:tcW w:w="961" w:type="pct"/>
            <w:noWrap w:val="0"/>
            <w:vAlign w:val="center"/>
          </w:tcPr>
          <w:p>
            <w:pPr>
              <w:pStyle w:val="2986"/>
              <w:rPr>
                <w:rFonts w:hint="eastAsia"/>
                <w:snapToGrid w:val="0"/>
                <w:color w:val="auto"/>
                <w:sz w:val="21"/>
                <w:szCs w:val="21"/>
              </w:rPr>
            </w:pPr>
            <w:r>
              <w:rPr>
                <w:rFonts w:hint="eastAsia"/>
                <w:snapToGrid w:val="0"/>
                <w:color w:val="auto"/>
                <w:sz w:val="21"/>
                <w:szCs w:val="21"/>
              </w:rPr>
              <w:t>60952</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钢材</w:t>
            </w:r>
          </w:p>
        </w:tc>
        <w:tc>
          <w:tcPr>
            <w:tcW w:w="411" w:type="pct"/>
            <w:noWrap w:val="0"/>
            <w:vAlign w:val="center"/>
          </w:tcPr>
          <w:p>
            <w:pPr>
              <w:pStyle w:val="2986"/>
              <w:rPr>
                <w:snapToGrid w:val="0"/>
                <w:color w:val="auto"/>
                <w:sz w:val="21"/>
                <w:szCs w:val="21"/>
              </w:rPr>
            </w:pPr>
            <w:r>
              <w:rPr>
                <w:rFonts w:hint="eastAsia"/>
                <w:snapToGrid w:val="0"/>
                <w:color w:val="auto"/>
                <w:sz w:val="21"/>
                <w:szCs w:val="21"/>
              </w:rPr>
              <w:t>t</w:t>
            </w:r>
          </w:p>
        </w:tc>
        <w:tc>
          <w:tcPr>
            <w:tcW w:w="961" w:type="pct"/>
            <w:noWrap w:val="0"/>
            <w:vAlign w:val="center"/>
          </w:tcPr>
          <w:p>
            <w:pPr>
              <w:pStyle w:val="2986"/>
              <w:rPr>
                <w:rFonts w:hint="eastAsia"/>
                <w:snapToGrid w:val="0"/>
                <w:color w:val="auto"/>
                <w:sz w:val="21"/>
                <w:szCs w:val="21"/>
              </w:rPr>
            </w:pPr>
            <w:r>
              <w:rPr>
                <w:rFonts w:hint="eastAsia"/>
                <w:snapToGrid w:val="0"/>
                <w:color w:val="auto"/>
                <w:sz w:val="21"/>
                <w:szCs w:val="21"/>
              </w:rPr>
              <w:t>39.53</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劳动工时</w:t>
            </w:r>
          </w:p>
        </w:tc>
        <w:tc>
          <w:tcPr>
            <w:tcW w:w="411" w:type="pct"/>
            <w:noWrap w:val="0"/>
            <w:vAlign w:val="center"/>
          </w:tcPr>
          <w:p>
            <w:pPr>
              <w:pStyle w:val="2986"/>
              <w:rPr>
                <w:snapToGrid w:val="0"/>
                <w:color w:val="auto"/>
                <w:sz w:val="21"/>
                <w:szCs w:val="21"/>
              </w:rPr>
            </w:pPr>
            <w:r>
              <w:rPr>
                <w:snapToGrid w:val="0"/>
                <w:color w:val="auto"/>
                <w:sz w:val="21"/>
                <w:szCs w:val="21"/>
              </w:rPr>
              <w:t>万个</w:t>
            </w:r>
          </w:p>
        </w:tc>
        <w:tc>
          <w:tcPr>
            <w:tcW w:w="961" w:type="pct"/>
            <w:noWrap w:val="0"/>
            <w:vAlign w:val="center"/>
          </w:tcPr>
          <w:p>
            <w:pPr>
              <w:pStyle w:val="2986"/>
              <w:rPr>
                <w:rFonts w:hint="default" w:eastAsia="宋体"/>
                <w:snapToGrid w:val="0"/>
                <w:color w:val="auto"/>
                <w:sz w:val="21"/>
                <w:szCs w:val="21"/>
                <w:lang w:val="en-US" w:eastAsia="zh-CN"/>
              </w:rPr>
            </w:pPr>
            <w:r>
              <w:rPr>
                <w:rFonts w:hint="eastAsia"/>
                <w:color w:val="auto"/>
                <w:sz w:val="21"/>
                <w:szCs w:val="21"/>
                <w:lang w:val="en-US" w:eastAsia="zh-CN"/>
              </w:rPr>
              <w:t>71.21</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snapToGrid w:val="0"/>
                <w:color w:val="auto"/>
                <w:sz w:val="21"/>
                <w:szCs w:val="21"/>
              </w:rPr>
            </w:pPr>
            <w:r>
              <w:rPr>
                <w:rFonts w:hint="eastAsia"/>
                <w:snapToGrid w:val="0"/>
                <w:color w:val="auto"/>
                <w:sz w:val="21"/>
                <w:szCs w:val="21"/>
              </w:rPr>
              <w:t>八、工期</w:t>
            </w:r>
          </w:p>
        </w:tc>
        <w:tc>
          <w:tcPr>
            <w:tcW w:w="411" w:type="pct"/>
            <w:noWrap w:val="0"/>
            <w:vAlign w:val="center"/>
          </w:tcPr>
          <w:p>
            <w:pPr>
              <w:pStyle w:val="2986"/>
              <w:rPr>
                <w:snapToGrid w:val="0"/>
                <w:color w:val="auto"/>
                <w:sz w:val="21"/>
                <w:szCs w:val="21"/>
              </w:rPr>
            </w:pPr>
          </w:p>
        </w:tc>
        <w:tc>
          <w:tcPr>
            <w:tcW w:w="961" w:type="pct"/>
            <w:noWrap w:val="0"/>
            <w:vAlign w:val="center"/>
          </w:tcPr>
          <w:p>
            <w:pPr>
              <w:pStyle w:val="2986"/>
              <w:rPr>
                <w:rFonts w:hint="eastAsia"/>
                <w:snapToGrid w:val="0"/>
                <w:color w:val="auto"/>
                <w:sz w:val="21"/>
                <w:szCs w:val="21"/>
              </w:rPr>
            </w:pP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bCs/>
                <w:snapToGrid w:val="0"/>
                <w:color w:val="auto"/>
                <w:sz w:val="21"/>
                <w:szCs w:val="21"/>
              </w:rPr>
            </w:pPr>
            <w:r>
              <w:rPr>
                <w:rFonts w:hint="eastAsia"/>
                <w:bCs/>
                <w:snapToGrid w:val="0"/>
                <w:color w:val="auto"/>
                <w:sz w:val="21"/>
                <w:szCs w:val="21"/>
              </w:rPr>
              <w:t>总工期</w:t>
            </w:r>
          </w:p>
        </w:tc>
        <w:tc>
          <w:tcPr>
            <w:tcW w:w="411" w:type="pct"/>
            <w:noWrap w:val="0"/>
            <w:vAlign w:val="center"/>
          </w:tcPr>
          <w:p>
            <w:pPr>
              <w:pStyle w:val="2986"/>
              <w:rPr>
                <w:bCs/>
                <w:snapToGrid w:val="0"/>
                <w:color w:val="auto"/>
                <w:sz w:val="21"/>
                <w:szCs w:val="21"/>
              </w:rPr>
            </w:pPr>
          </w:p>
        </w:tc>
        <w:tc>
          <w:tcPr>
            <w:tcW w:w="961" w:type="pct"/>
            <w:noWrap w:val="0"/>
            <w:vAlign w:val="center"/>
          </w:tcPr>
          <w:p>
            <w:pPr>
              <w:pStyle w:val="2986"/>
              <w:rPr>
                <w:bCs/>
                <w:snapToGrid w:val="0"/>
                <w:color w:val="auto"/>
                <w:sz w:val="21"/>
                <w:szCs w:val="21"/>
              </w:rPr>
            </w:pPr>
            <w:r>
              <w:rPr>
                <w:rFonts w:hint="eastAsia"/>
                <w:bCs/>
                <w:snapToGrid w:val="0"/>
                <w:color w:val="auto"/>
                <w:sz w:val="21"/>
                <w:szCs w:val="21"/>
              </w:rPr>
              <w:t>12个月</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snapToGrid w:val="0"/>
                <w:color w:val="auto"/>
                <w:sz w:val="21"/>
                <w:szCs w:val="21"/>
              </w:rPr>
            </w:pPr>
            <w:r>
              <w:rPr>
                <w:rFonts w:hint="eastAsia"/>
                <w:bCs/>
                <w:snapToGrid w:val="0"/>
                <w:color w:val="auto"/>
                <w:sz w:val="21"/>
                <w:szCs w:val="21"/>
              </w:rPr>
              <w:t>施工时段</w:t>
            </w:r>
          </w:p>
        </w:tc>
        <w:tc>
          <w:tcPr>
            <w:tcW w:w="411" w:type="pct"/>
            <w:noWrap w:val="0"/>
            <w:vAlign w:val="center"/>
          </w:tcPr>
          <w:p>
            <w:pPr>
              <w:pStyle w:val="2986"/>
              <w:rPr>
                <w:snapToGrid w:val="0"/>
                <w:color w:val="auto"/>
                <w:sz w:val="21"/>
                <w:szCs w:val="21"/>
              </w:rPr>
            </w:pPr>
          </w:p>
        </w:tc>
        <w:tc>
          <w:tcPr>
            <w:tcW w:w="961" w:type="pct"/>
            <w:noWrap w:val="0"/>
            <w:vAlign w:val="center"/>
          </w:tcPr>
          <w:p>
            <w:pPr>
              <w:pStyle w:val="2986"/>
              <w:rPr>
                <w:rFonts w:hint="eastAsia"/>
                <w:snapToGrid w:val="0"/>
                <w:color w:val="auto"/>
                <w:sz w:val="21"/>
                <w:szCs w:val="21"/>
              </w:rPr>
            </w:pPr>
            <w:r>
              <w:rPr>
                <w:rFonts w:hint="eastAsia"/>
                <w:snapToGrid w:val="0"/>
                <w:color w:val="auto"/>
                <w:sz w:val="21"/>
                <w:szCs w:val="21"/>
              </w:rPr>
              <w:t>10月-次年3月</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snapToGrid w:val="0"/>
                <w:color w:val="auto"/>
                <w:sz w:val="21"/>
                <w:szCs w:val="21"/>
              </w:rPr>
            </w:pPr>
            <w:r>
              <w:rPr>
                <w:rFonts w:hint="eastAsia"/>
                <w:snapToGrid w:val="0"/>
                <w:color w:val="auto"/>
                <w:sz w:val="21"/>
                <w:szCs w:val="21"/>
              </w:rPr>
              <w:t>九、工程投资</w:t>
            </w:r>
          </w:p>
        </w:tc>
        <w:tc>
          <w:tcPr>
            <w:tcW w:w="411" w:type="pct"/>
            <w:noWrap w:val="0"/>
            <w:vAlign w:val="center"/>
          </w:tcPr>
          <w:p>
            <w:pPr>
              <w:pStyle w:val="2986"/>
              <w:rPr>
                <w:snapToGrid w:val="0"/>
                <w:color w:val="auto"/>
                <w:sz w:val="21"/>
                <w:szCs w:val="21"/>
              </w:rPr>
            </w:pPr>
          </w:p>
        </w:tc>
        <w:tc>
          <w:tcPr>
            <w:tcW w:w="961" w:type="pct"/>
            <w:noWrap w:val="0"/>
            <w:vAlign w:val="center"/>
          </w:tcPr>
          <w:p>
            <w:pPr>
              <w:pStyle w:val="2986"/>
              <w:rPr>
                <w:snapToGrid w:val="0"/>
                <w:color w:val="auto"/>
                <w:sz w:val="21"/>
                <w:szCs w:val="21"/>
              </w:rPr>
            </w:pP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snapToGrid w:val="0"/>
                <w:color w:val="auto"/>
                <w:sz w:val="21"/>
                <w:szCs w:val="21"/>
              </w:rPr>
            </w:pPr>
            <w:r>
              <w:rPr>
                <w:rFonts w:hint="eastAsia"/>
                <w:bCs/>
                <w:snapToGrid w:val="0"/>
                <w:color w:val="auto"/>
                <w:sz w:val="21"/>
                <w:szCs w:val="21"/>
              </w:rPr>
              <w:t>工程总投资</w:t>
            </w:r>
          </w:p>
        </w:tc>
        <w:tc>
          <w:tcPr>
            <w:tcW w:w="411" w:type="pct"/>
            <w:noWrap w:val="0"/>
            <w:vAlign w:val="center"/>
          </w:tcPr>
          <w:p>
            <w:pPr>
              <w:pStyle w:val="2986"/>
              <w:rPr>
                <w:rFonts w:hint="eastAsia"/>
                <w:snapToGrid w:val="0"/>
                <w:color w:val="auto"/>
                <w:sz w:val="21"/>
                <w:szCs w:val="21"/>
              </w:rPr>
            </w:pPr>
            <w:r>
              <w:rPr>
                <w:rFonts w:hint="eastAsia"/>
                <w:snapToGrid w:val="0"/>
                <w:color w:val="auto"/>
                <w:sz w:val="21"/>
                <w:szCs w:val="21"/>
              </w:rPr>
              <w:t>万元</w:t>
            </w:r>
          </w:p>
        </w:tc>
        <w:tc>
          <w:tcPr>
            <w:tcW w:w="961" w:type="pct"/>
            <w:noWrap w:val="0"/>
            <w:vAlign w:val="center"/>
          </w:tcPr>
          <w:p>
            <w:pPr>
              <w:pStyle w:val="2986"/>
              <w:rPr>
                <w:rFonts w:hint="eastAsia" w:eastAsia="宋体"/>
                <w:snapToGrid w:val="0"/>
                <w:color w:val="auto"/>
                <w:sz w:val="21"/>
                <w:szCs w:val="21"/>
                <w:lang w:eastAsia="zh-CN"/>
              </w:rPr>
            </w:pPr>
            <w:r>
              <w:rPr>
                <w:rFonts w:hint="eastAsia"/>
                <w:snapToGrid w:val="0"/>
                <w:color w:val="auto"/>
                <w:sz w:val="21"/>
                <w:szCs w:val="21"/>
                <w:lang w:eastAsia="zh-CN"/>
              </w:rPr>
              <w:t>8704.98</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1540" w:type="pct"/>
            <w:noWrap w:val="0"/>
            <w:vAlign w:val="center"/>
          </w:tcPr>
          <w:p>
            <w:pPr>
              <w:pStyle w:val="2986"/>
              <w:jc w:val="left"/>
              <w:rPr>
                <w:rFonts w:hint="eastAsia"/>
                <w:snapToGrid w:val="0"/>
                <w:color w:val="auto"/>
                <w:sz w:val="21"/>
                <w:szCs w:val="21"/>
              </w:rPr>
            </w:pPr>
            <w:r>
              <w:rPr>
                <w:rFonts w:hint="eastAsia"/>
                <w:bCs/>
                <w:snapToGrid w:val="0"/>
                <w:color w:val="auto"/>
                <w:sz w:val="21"/>
                <w:szCs w:val="21"/>
              </w:rPr>
              <w:t>工程总投资（不含建设征地移民补偿费）</w:t>
            </w:r>
          </w:p>
        </w:tc>
        <w:tc>
          <w:tcPr>
            <w:tcW w:w="411" w:type="pct"/>
            <w:noWrap w:val="0"/>
            <w:vAlign w:val="center"/>
          </w:tcPr>
          <w:p>
            <w:pPr>
              <w:pStyle w:val="2986"/>
              <w:rPr>
                <w:rFonts w:hint="eastAsia"/>
                <w:snapToGrid w:val="0"/>
                <w:color w:val="auto"/>
                <w:sz w:val="21"/>
                <w:szCs w:val="21"/>
              </w:rPr>
            </w:pPr>
            <w:r>
              <w:rPr>
                <w:rFonts w:hint="eastAsia"/>
                <w:snapToGrid w:val="0"/>
                <w:color w:val="auto"/>
                <w:sz w:val="21"/>
                <w:szCs w:val="21"/>
              </w:rPr>
              <w:t>万元</w:t>
            </w:r>
          </w:p>
        </w:tc>
        <w:tc>
          <w:tcPr>
            <w:tcW w:w="961" w:type="pct"/>
            <w:noWrap w:val="0"/>
            <w:vAlign w:val="center"/>
          </w:tcPr>
          <w:p>
            <w:pPr>
              <w:pStyle w:val="2986"/>
              <w:rPr>
                <w:rFonts w:hint="eastAsia" w:eastAsia="宋体"/>
                <w:snapToGrid w:val="0"/>
                <w:color w:val="auto"/>
                <w:sz w:val="21"/>
                <w:szCs w:val="21"/>
                <w:lang w:eastAsia="zh-CN"/>
              </w:rPr>
            </w:pPr>
            <w:r>
              <w:rPr>
                <w:rFonts w:hint="eastAsia"/>
                <w:snapToGrid w:val="0"/>
                <w:color w:val="auto"/>
                <w:sz w:val="21"/>
                <w:szCs w:val="21"/>
                <w:lang w:eastAsia="zh-CN"/>
              </w:rPr>
              <w:t>8329.64</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bCs/>
                <w:snapToGrid w:val="0"/>
                <w:color w:val="auto"/>
                <w:sz w:val="21"/>
                <w:szCs w:val="21"/>
              </w:rPr>
            </w:pPr>
            <w:r>
              <w:rPr>
                <w:rFonts w:hint="eastAsia"/>
                <w:bCs/>
                <w:snapToGrid w:val="0"/>
                <w:color w:val="auto"/>
                <w:sz w:val="21"/>
                <w:szCs w:val="21"/>
              </w:rPr>
              <w:t>工程部分投资</w:t>
            </w:r>
          </w:p>
        </w:tc>
        <w:tc>
          <w:tcPr>
            <w:tcW w:w="411" w:type="pct"/>
            <w:noWrap w:val="0"/>
            <w:vAlign w:val="center"/>
          </w:tcPr>
          <w:p>
            <w:pPr>
              <w:pStyle w:val="2986"/>
              <w:rPr>
                <w:snapToGrid w:val="0"/>
                <w:color w:val="auto"/>
                <w:sz w:val="21"/>
                <w:szCs w:val="21"/>
              </w:rPr>
            </w:pPr>
            <w:r>
              <w:rPr>
                <w:rFonts w:hint="eastAsia"/>
                <w:snapToGrid w:val="0"/>
                <w:color w:val="auto"/>
                <w:sz w:val="21"/>
                <w:szCs w:val="21"/>
              </w:rPr>
              <w:t>万元</w:t>
            </w:r>
          </w:p>
        </w:tc>
        <w:tc>
          <w:tcPr>
            <w:tcW w:w="961" w:type="pct"/>
            <w:noWrap w:val="0"/>
            <w:vAlign w:val="center"/>
          </w:tcPr>
          <w:p>
            <w:pPr>
              <w:pStyle w:val="2986"/>
              <w:rPr>
                <w:rFonts w:hint="eastAsia" w:eastAsia="宋体"/>
                <w:snapToGrid w:val="0"/>
                <w:color w:val="auto"/>
                <w:sz w:val="21"/>
                <w:szCs w:val="21"/>
                <w:lang w:eastAsia="zh-CN"/>
              </w:rPr>
            </w:pPr>
            <w:r>
              <w:rPr>
                <w:rFonts w:hint="eastAsia"/>
                <w:color w:val="auto"/>
                <w:sz w:val="21"/>
                <w:szCs w:val="21"/>
                <w:lang w:eastAsia="zh-CN"/>
              </w:rPr>
              <w:t>8075.44</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bCs/>
                <w:snapToGrid w:val="0"/>
                <w:color w:val="auto"/>
                <w:sz w:val="21"/>
                <w:szCs w:val="21"/>
              </w:rPr>
            </w:pPr>
            <w:r>
              <w:rPr>
                <w:rFonts w:hint="eastAsia"/>
                <w:bCs/>
                <w:snapToGrid w:val="0"/>
                <w:color w:val="auto"/>
                <w:sz w:val="21"/>
                <w:szCs w:val="21"/>
              </w:rPr>
              <w:t>建设征地移民补偿投资</w:t>
            </w:r>
          </w:p>
        </w:tc>
        <w:tc>
          <w:tcPr>
            <w:tcW w:w="411" w:type="pct"/>
            <w:noWrap w:val="0"/>
            <w:vAlign w:val="center"/>
          </w:tcPr>
          <w:p>
            <w:pPr>
              <w:pStyle w:val="2986"/>
              <w:rPr>
                <w:snapToGrid w:val="0"/>
                <w:color w:val="auto"/>
                <w:sz w:val="21"/>
                <w:szCs w:val="21"/>
              </w:rPr>
            </w:pPr>
            <w:r>
              <w:rPr>
                <w:rFonts w:hint="eastAsia"/>
                <w:snapToGrid w:val="0"/>
                <w:color w:val="auto"/>
                <w:sz w:val="21"/>
                <w:szCs w:val="21"/>
              </w:rPr>
              <w:t>万元</w:t>
            </w:r>
          </w:p>
        </w:tc>
        <w:tc>
          <w:tcPr>
            <w:tcW w:w="961" w:type="pct"/>
            <w:noWrap w:val="0"/>
            <w:vAlign w:val="center"/>
          </w:tcPr>
          <w:p>
            <w:pPr>
              <w:pStyle w:val="2986"/>
              <w:rPr>
                <w:rFonts w:hint="eastAsia"/>
                <w:snapToGrid w:val="0"/>
                <w:color w:val="auto"/>
                <w:sz w:val="21"/>
                <w:szCs w:val="21"/>
              </w:rPr>
            </w:pPr>
            <w:r>
              <w:rPr>
                <w:rFonts w:hint="eastAsia"/>
                <w:snapToGrid w:val="0"/>
                <w:color w:val="auto"/>
                <w:sz w:val="21"/>
                <w:szCs w:val="21"/>
              </w:rPr>
              <w:t>375.34</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bCs/>
                <w:snapToGrid w:val="0"/>
                <w:color w:val="auto"/>
                <w:sz w:val="21"/>
                <w:szCs w:val="21"/>
              </w:rPr>
            </w:pPr>
            <w:r>
              <w:rPr>
                <w:rFonts w:hint="eastAsia"/>
                <w:bCs/>
                <w:snapToGrid w:val="0"/>
                <w:color w:val="auto"/>
                <w:sz w:val="21"/>
                <w:szCs w:val="21"/>
              </w:rPr>
              <w:t>水保工程投资</w:t>
            </w:r>
          </w:p>
        </w:tc>
        <w:tc>
          <w:tcPr>
            <w:tcW w:w="411" w:type="pct"/>
            <w:noWrap w:val="0"/>
            <w:vAlign w:val="center"/>
          </w:tcPr>
          <w:p>
            <w:pPr>
              <w:pStyle w:val="2986"/>
              <w:rPr>
                <w:snapToGrid w:val="0"/>
                <w:color w:val="auto"/>
                <w:sz w:val="21"/>
                <w:szCs w:val="21"/>
              </w:rPr>
            </w:pPr>
            <w:r>
              <w:rPr>
                <w:rFonts w:hint="eastAsia"/>
                <w:snapToGrid w:val="0"/>
                <w:color w:val="auto"/>
                <w:sz w:val="21"/>
                <w:szCs w:val="21"/>
              </w:rPr>
              <w:t>万元</w:t>
            </w:r>
          </w:p>
        </w:tc>
        <w:tc>
          <w:tcPr>
            <w:tcW w:w="961" w:type="pct"/>
            <w:noWrap w:val="0"/>
            <w:vAlign w:val="center"/>
          </w:tcPr>
          <w:p>
            <w:pPr>
              <w:pStyle w:val="2986"/>
              <w:rPr>
                <w:rFonts w:hint="eastAsia"/>
                <w:snapToGrid w:val="0"/>
                <w:color w:val="auto"/>
                <w:sz w:val="21"/>
                <w:szCs w:val="21"/>
              </w:rPr>
            </w:pPr>
            <w:r>
              <w:rPr>
                <w:snapToGrid w:val="0"/>
                <w:color w:val="auto"/>
                <w:sz w:val="21"/>
                <w:szCs w:val="21"/>
              </w:rPr>
              <w:t>169.64</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rFonts w:hint="eastAsia"/>
                <w:bCs/>
                <w:snapToGrid w:val="0"/>
                <w:color w:val="auto"/>
                <w:sz w:val="21"/>
                <w:szCs w:val="21"/>
              </w:rPr>
            </w:pPr>
            <w:r>
              <w:rPr>
                <w:rFonts w:hint="eastAsia"/>
                <w:bCs/>
                <w:snapToGrid w:val="0"/>
                <w:color w:val="auto"/>
                <w:sz w:val="21"/>
                <w:szCs w:val="21"/>
              </w:rPr>
              <w:t>环保工程投资</w:t>
            </w:r>
          </w:p>
        </w:tc>
        <w:tc>
          <w:tcPr>
            <w:tcW w:w="411" w:type="pct"/>
            <w:noWrap w:val="0"/>
            <w:vAlign w:val="center"/>
          </w:tcPr>
          <w:p>
            <w:pPr>
              <w:pStyle w:val="2986"/>
              <w:rPr>
                <w:snapToGrid w:val="0"/>
                <w:color w:val="auto"/>
                <w:sz w:val="21"/>
                <w:szCs w:val="21"/>
              </w:rPr>
            </w:pPr>
            <w:r>
              <w:rPr>
                <w:rFonts w:hint="eastAsia"/>
                <w:snapToGrid w:val="0"/>
                <w:color w:val="auto"/>
                <w:sz w:val="21"/>
                <w:szCs w:val="21"/>
              </w:rPr>
              <w:t>万元</w:t>
            </w:r>
          </w:p>
        </w:tc>
        <w:tc>
          <w:tcPr>
            <w:tcW w:w="961" w:type="pct"/>
            <w:noWrap w:val="0"/>
            <w:vAlign w:val="center"/>
          </w:tcPr>
          <w:p>
            <w:pPr>
              <w:pStyle w:val="2986"/>
              <w:rPr>
                <w:rFonts w:hint="eastAsia"/>
                <w:snapToGrid w:val="0"/>
                <w:color w:val="auto"/>
                <w:sz w:val="21"/>
                <w:szCs w:val="21"/>
              </w:rPr>
            </w:pPr>
            <w:r>
              <w:rPr>
                <w:snapToGrid w:val="0"/>
                <w:color w:val="auto"/>
                <w:sz w:val="21"/>
                <w:szCs w:val="21"/>
              </w:rPr>
              <w:t>84.56</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rFonts w:hint="eastAsia"/>
                <w:snapToGrid w:val="0"/>
                <w:color w:val="auto"/>
                <w:sz w:val="21"/>
                <w:szCs w:val="21"/>
              </w:rPr>
              <w:t>十</w:t>
            </w:r>
            <w:r>
              <w:rPr>
                <w:snapToGrid w:val="0"/>
                <w:color w:val="auto"/>
                <w:sz w:val="21"/>
                <w:szCs w:val="21"/>
              </w:rPr>
              <w:t>、经济指标</w:t>
            </w:r>
          </w:p>
        </w:tc>
        <w:tc>
          <w:tcPr>
            <w:tcW w:w="411" w:type="pct"/>
            <w:noWrap w:val="0"/>
            <w:vAlign w:val="center"/>
          </w:tcPr>
          <w:p>
            <w:pPr>
              <w:pStyle w:val="2986"/>
              <w:rPr>
                <w:snapToGrid w:val="0"/>
                <w:color w:val="auto"/>
                <w:sz w:val="21"/>
                <w:szCs w:val="21"/>
              </w:rPr>
            </w:pPr>
          </w:p>
        </w:tc>
        <w:tc>
          <w:tcPr>
            <w:tcW w:w="961" w:type="pct"/>
            <w:noWrap w:val="0"/>
            <w:vAlign w:val="center"/>
          </w:tcPr>
          <w:p>
            <w:pPr>
              <w:pStyle w:val="2986"/>
              <w:rPr>
                <w:snapToGrid w:val="0"/>
                <w:color w:val="auto"/>
                <w:sz w:val="21"/>
                <w:szCs w:val="21"/>
              </w:rPr>
            </w:pP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经济内部收益率</w:t>
            </w:r>
          </w:p>
        </w:tc>
        <w:tc>
          <w:tcPr>
            <w:tcW w:w="411" w:type="pct"/>
            <w:noWrap w:val="0"/>
            <w:vAlign w:val="center"/>
          </w:tcPr>
          <w:p>
            <w:pPr>
              <w:pStyle w:val="2986"/>
              <w:rPr>
                <w:snapToGrid w:val="0"/>
                <w:color w:val="auto"/>
                <w:sz w:val="21"/>
                <w:szCs w:val="21"/>
              </w:rPr>
            </w:pPr>
            <w:r>
              <w:rPr>
                <w:snapToGrid w:val="0"/>
                <w:color w:val="auto"/>
                <w:sz w:val="21"/>
                <w:szCs w:val="21"/>
              </w:rPr>
              <w:t>%</w:t>
            </w:r>
          </w:p>
        </w:tc>
        <w:tc>
          <w:tcPr>
            <w:tcW w:w="961" w:type="pct"/>
            <w:noWrap w:val="0"/>
            <w:vAlign w:val="center"/>
          </w:tcPr>
          <w:p>
            <w:pPr>
              <w:pStyle w:val="2986"/>
              <w:rPr>
                <w:rFonts w:hint="default" w:eastAsia="宋体"/>
                <w:snapToGrid w:val="0"/>
                <w:color w:val="auto"/>
                <w:sz w:val="21"/>
                <w:szCs w:val="21"/>
                <w:lang w:val="en-US" w:eastAsia="zh-CN"/>
              </w:rPr>
            </w:pPr>
            <w:r>
              <w:rPr>
                <w:rFonts w:hint="eastAsia"/>
                <w:snapToGrid w:val="0"/>
                <w:color w:val="auto"/>
                <w:sz w:val="21"/>
                <w:szCs w:val="21"/>
              </w:rPr>
              <w:t>7.</w:t>
            </w:r>
            <w:r>
              <w:rPr>
                <w:rFonts w:hint="eastAsia"/>
                <w:snapToGrid w:val="0"/>
                <w:color w:val="auto"/>
                <w:sz w:val="21"/>
                <w:szCs w:val="21"/>
                <w:lang w:val="en-US" w:eastAsia="zh-CN"/>
              </w:rPr>
              <w:t>49</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经济净现值</w:t>
            </w:r>
          </w:p>
        </w:tc>
        <w:tc>
          <w:tcPr>
            <w:tcW w:w="411" w:type="pct"/>
            <w:noWrap w:val="0"/>
            <w:vAlign w:val="center"/>
          </w:tcPr>
          <w:p>
            <w:pPr>
              <w:pStyle w:val="2986"/>
              <w:rPr>
                <w:snapToGrid w:val="0"/>
                <w:color w:val="auto"/>
                <w:sz w:val="21"/>
                <w:szCs w:val="21"/>
              </w:rPr>
            </w:pPr>
            <w:r>
              <w:rPr>
                <w:snapToGrid w:val="0"/>
                <w:color w:val="auto"/>
                <w:sz w:val="21"/>
                <w:szCs w:val="21"/>
              </w:rPr>
              <w:t>万元</w:t>
            </w:r>
          </w:p>
        </w:tc>
        <w:tc>
          <w:tcPr>
            <w:tcW w:w="961" w:type="pct"/>
            <w:noWrap w:val="0"/>
            <w:vAlign w:val="center"/>
          </w:tcPr>
          <w:p>
            <w:pPr>
              <w:pStyle w:val="2986"/>
              <w:rPr>
                <w:rFonts w:hint="default" w:eastAsia="宋体"/>
                <w:snapToGrid w:val="0"/>
                <w:color w:val="auto"/>
                <w:sz w:val="21"/>
                <w:szCs w:val="21"/>
                <w:lang w:val="en-US" w:eastAsia="zh-CN"/>
              </w:rPr>
            </w:pPr>
            <w:r>
              <w:rPr>
                <w:rFonts w:hint="eastAsia"/>
                <w:snapToGrid w:val="0"/>
                <w:color w:val="auto"/>
                <w:sz w:val="21"/>
                <w:szCs w:val="21"/>
              </w:rPr>
              <w:t>11</w:t>
            </w:r>
            <w:r>
              <w:rPr>
                <w:rFonts w:hint="eastAsia"/>
                <w:snapToGrid w:val="0"/>
                <w:color w:val="auto"/>
                <w:sz w:val="21"/>
                <w:szCs w:val="21"/>
                <w:lang w:val="en-US" w:eastAsia="zh-CN"/>
              </w:rPr>
              <w:t>16.08</w:t>
            </w:r>
          </w:p>
        </w:tc>
        <w:tc>
          <w:tcPr>
            <w:tcW w:w="2086" w:type="pct"/>
            <w:noWrap w:val="0"/>
            <w:vAlign w:val="center"/>
          </w:tcPr>
          <w:p>
            <w:pPr>
              <w:pStyle w:val="2986"/>
              <w:rPr>
                <w:snapToGrid w:val="0"/>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540" w:type="pct"/>
            <w:noWrap w:val="0"/>
            <w:vAlign w:val="center"/>
          </w:tcPr>
          <w:p>
            <w:pPr>
              <w:pStyle w:val="2986"/>
              <w:jc w:val="left"/>
              <w:rPr>
                <w:snapToGrid w:val="0"/>
                <w:color w:val="auto"/>
                <w:sz w:val="21"/>
                <w:szCs w:val="21"/>
              </w:rPr>
            </w:pPr>
            <w:r>
              <w:rPr>
                <w:snapToGrid w:val="0"/>
                <w:color w:val="auto"/>
                <w:sz w:val="21"/>
                <w:szCs w:val="21"/>
              </w:rPr>
              <w:t>效益费用比</w:t>
            </w:r>
          </w:p>
        </w:tc>
        <w:tc>
          <w:tcPr>
            <w:tcW w:w="411" w:type="pct"/>
            <w:noWrap w:val="0"/>
            <w:vAlign w:val="center"/>
          </w:tcPr>
          <w:p>
            <w:pPr>
              <w:pStyle w:val="2986"/>
              <w:rPr>
                <w:snapToGrid w:val="0"/>
                <w:color w:val="auto"/>
                <w:sz w:val="21"/>
                <w:szCs w:val="21"/>
              </w:rPr>
            </w:pPr>
          </w:p>
        </w:tc>
        <w:tc>
          <w:tcPr>
            <w:tcW w:w="961" w:type="pct"/>
            <w:noWrap w:val="0"/>
            <w:vAlign w:val="center"/>
          </w:tcPr>
          <w:p>
            <w:pPr>
              <w:pStyle w:val="2986"/>
              <w:rPr>
                <w:snapToGrid w:val="0"/>
                <w:color w:val="auto"/>
                <w:sz w:val="21"/>
                <w:szCs w:val="21"/>
              </w:rPr>
            </w:pPr>
            <w:r>
              <w:rPr>
                <w:snapToGrid w:val="0"/>
                <w:color w:val="auto"/>
                <w:sz w:val="21"/>
                <w:szCs w:val="21"/>
              </w:rPr>
              <w:t>1.11</w:t>
            </w:r>
          </w:p>
        </w:tc>
        <w:tc>
          <w:tcPr>
            <w:tcW w:w="2086" w:type="pct"/>
            <w:noWrap w:val="0"/>
            <w:vAlign w:val="center"/>
          </w:tcPr>
          <w:p>
            <w:pPr>
              <w:pStyle w:val="2986"/>
              <w:rPr>
                <w:snapToGrid w:val="0"/>
                <w:color w:val="auto"/>
                <w:sz w:val="21"/>
                <w:szCs w:val="21"/>
              </w:rPr>
            </w:pP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lang w:val="zh-CN" w:eastAsia="zh-CN" w:bidi="zh-CN"/>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lang w:val="zh-CN" w:eastAsia="zh-CN" w:bidi="zh-CN"/>
        </w:rPr>
      </w:pPr>
      <w:r>
        <w:rPr>
          <w:rFonts w:hint="default" w:ascii="Times New Roman" w:hAnsi="Times New Roman" w:eastAsia="宋体" w:cs="Times New Roman"/>
          <w:sz w:val="24"/>
          <w:szCs w:val="24"/>
          <w:lang w:val="zh-CN" w:eastAsia="zh-CN" w:bidi="zh-CN"/>
        </w:rPr>
        <w:t>1</w:t>
      </w:r>
      <w:r>
        <w:rPr>
          <w:rFonts w:hint="eastAsia" w:ascii="Times New Roman" w:hAnsi="Times New Roman" w:cs="Times New Roman"/>
          <w:sz w:val="24"/>
          <w:szCs w:val="24"/>
          <w:lang w:val="zh-CN" w:eastAsia="zh-CN" w:bidi="zh-CN"/>
        </w:rPr>
        <w:t>、</w:t>
      </w:r>
      <w:r>
        <w:rPr>
          <w:rFonts w:hint="default" w:ascii="Times New Roman" w:hAnsi="Times New Roman" w:eastAsia="宋体" w:cs="Times New Roman"/>
          <w:sz w:val="24"/>
          <w:szCs w:val="24"/>
          <w:lang w:val="zh-CN" w:eastAsia="zh-CN" w:bidi="zh-CN"/>
        </w:rPr>
        <w:t>护岸工程全长30.017km，其中太和堂段左岸12.546km，太和堂段右岸14.617km，祁水源段右岸2.483km</w:t>
      </w:r>
      <w:r>
        <w:rPr>
          <w:rFonts w:hint="eastAsia" w:ascii="Times New Roman" w:hAnsi="Times New Roman" w:cs="Times New Roman"/>
          <w:sz w:val="24"/>
          <w:szCs w:val="24"/>
          <w:lang w:val="zh-CN" w:eastAsia="zh-CN" w:bidi="zh-CN"/>
        </w:rPr>
        <w:t>。</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sz w:val="24"/>
          <w:szCs w:val="24"/>
          <w:lang w:val="en-US" w:eastAsia="zh-CN" w:bidi="zh-CN"/>
        </w:rPr>
      </w:pPr>
      <w:r>
        <w:rPr>
          <w:rFonts w:hint="default" w:ascii="Times New Roman" w:hAnsi="Times New Roman" w:eastAsia="宋体" w:cs="Times New Roman"/>
          <w:b/>
          <w:sz w:val="24"/>
          <w:szCs w:val="24"/>
          <w:lang w:val="zh-CN" w:eastAsia="zh-CN" w:bidi="zh-CN"/>
        </w:rPr>
        <w:t>表</w:t>
      </w:r>
      <w:r>
        <w:rPr>
          <w:rFonts w:hint="eastAsia" w:ascii="Times New Roman" w:hAnsi="Times New Roman" w:eastAsia="宋体" w:cs="Times New Roman"/>
          <w:b/>
          <w:sz w:val="24"/>
          <w:szCs w:val="24"/>
          <w:lang w:val="en-US" w:eastAsia="zh-CN" w:bidi="zh-CN"/>
        </w:rPr>
        <w:t>3.2</w:t>
      </w:r>
      <w:r>
        <w:rPr>
          <w:rFonts w:hint="default" w:ascii="Times New Roman" w:hAnsi="Times New Roman" w:eastAsia="宋体" w:cs="Times New Roman"/>
          <w:b/>
          <w:sz w:val="24"/>
          <w:szCs w:val="24"/>
          <w:lang w:val="zh-CN" w:eastAsia="zh-CN" w:bidi="zh-CN"/>
        </w:rPr>
        <w:t>-</w:t>
      </w:r>
      <w:r>
        <w:rPr>
          <w:rFonts w:hint="eastAsia" w:ascii="Times New Roman" w:hAnsi="Times New Roman" w:cs="Times New Roman"/>
          <w:b/>
          <w:sz w:val="24"/>
          <w:szCs w:val="24"/>
          <w:lang w:val="en-US" w:eastAsia="zh-CN" w:bidi="zh-CN"/>
        </w:rPr>
        <w:t>3</w:t>
      </w:r>
      <w:r>
        <w:rPr>
          <w:rFonts w:hint="default" w:ascii="Times New Roman" w:hAnsi="Times New Roman" w:eastAsia="宋体" w:cs="Times New Roman"/>
          <w:b/>
          <w:sz w:val="24"/>
          <w:szCs w:val="24"/>
          <w:lang w:val="zh-CN" w:eastAsia="zh-CN" w:bidi="zh-CN"/>
        </w:rPr>
        <w:t>祁水祁东县治理工程护岸措施明细表</w:t>
      </w:r>
    </w:p>
    <w:tbl>
      <w:tblPr>
        <w:tblStyle w:val="89"/>
        <w:tblW w:w="8513" w:type="dxa"/>
        <w:jc w:val="center"/>
        <w:tblLayout w:type="fixed"/>
        <w:tblCellMar>
          <w:top w:w="0" w:type="dxa"/>
          <w:left w:w="108" w:type="dxa"/>
          <w:bottom w:w="0" w:type="dxa"/>
          <w:right w:w="108" w:type="dxa"/>
        </w:tblCellMar>
      </w:tblPr>
      <w:tblGrid>
        <w:gridCol w:w="727"/>
        <w:gridCol w:w="549"/>
        <w:gridCol w:w="1418"/>
        <w:gridCol w:w="1169"/>
        <w:gridCol w:w="825"/>
        <w:gridCol w:w="720"/>
        <w:gridCol w:w="930"/>
        <w:gridCol w:w="855"/>
        <w:gridCol w:w="660"/>
        <w:gridCol w:w="660"/>
      </w:tblGrid>
      <w:tr>
        <w:tblPrEx>
          <w:tblCellMar>
            <w:top w:w="0" w:type="dxa"/>
            <w:left w:w="108" w:type="dxa"/>
            <w:bottom w:w="0" w:type="dxa"/>
            <w:right w:w="108" w:type="dxa"/>
          </w:tblCellMar>
        </w:tblPrEx>
        <w:trPr>
          <w:trHeight w:val="397" w:hRule="atLeast"/>
          <w:tblHeader/>
          <w:jc w:val="center"/>
        </w:trPr>
        <w:tc>
          <w:tcPr>
            <w:tcW w:w="727" w:type="dxa"/>
            <w:tcBorders>
              <w:top w:val="single" w:color="auto" w:sz="12" w:space="0"/>
              <w:left w:val="single" w:color="auto" w:sz="12" w:space="0"/>
              <w:bottom w:val="single" w:color="auto" w:sz="4" w:space="0"/>
              <w:right w:val="single" w:color="auto" w:sz="4" w:space="0"/>
            </w:tcBorders>
            <w:shd w:val="clear" w:color="auto" w:fill="auto"/>
            <w:noWrap/>
            <w:vAlign w:val="center"/>
          </w:tcPr>
          <w:p>
            <w:pPr>
              <w:pStyle w:val="2986"/>
            </w:pPr>
            <w:r>
              <w:rPr>
                <w:rFonts w:hint="eastAsia"/>
              </w:rPr>
              <w:t>名称</w:t>
            </w:r>
          </w:p>
        </w:tc>
        <w:tc>
          <w:tcPr>
            <w:tcW w:w="549" w:type="dxa"/>
            <w:tcBorders>
              <w:top w:val="single" w:color="auto" w:sz="12" w:space="0"/>
              <w:left w:val="nil"/>
              <w:bottom w:val="single" w:color="auto" w:sz="4" w:space="0"/>
              <w:right w:val="single" w:color="auto" w:sz="4" w:space="0"/>
            </w:tcBorders>
            <w:shd w:val="clear" w:color="auto" w:fill="auto"/>
            <w:noWrap/>
            <w:vAlign w:val="center"/>
          </w:tcPr>
          <w:p>
            <w:pPr>
              <w:pStyle w:val="2986"/>
            </w:pPr>
            <w:r>
              <w:rPr>
                <w:rFonts w:hint="eastAsia"/>
              </w:rPr>
              <w:t>序号</w:t>
            </w:r>
          </w:p>
        </w:tc>
        <w:tc>
          <w:tcPr>
            <w:tcW w:w="1418" w:type="dxa"/>
            <w:tcBorders>
              <w:top w:val="single" w:color="auto" w:sz="12" w:space="0"/>
              <w:left w:val="nil"/>
              <w:bottom w:val="single" w:color="auto" w:sz="4" w:space="0"/>
              <w:right w:val="single" w:color="auto" w:sz="4" w:space="0"/>
            </w:tcBorders>
            <w:shd w:val="clear" w:color="auto" w:fill="auto"/>
            <w:noWrap w:val="0"/>
            <w:vAlign w:val="center"/>
          </w:tcPr>
          <w:p>
            <w:pPr>
              <w:pStyle w:val="2986"/>
              <w:rPr>
                <w:szCs w:val="21"/>
              </w:rPr>
            </w:pPr>
            <w:r>
              <w:rPr>
                <w:rFonts w:hint="eastAsia"/>
                <w:szCs w:val="21"/>
              </w:rPr>
              <w:t>起点桩号</w:t>
            </w:r>
          </w:p>
        </w:tc>
        <w:tc>
          <w:tcPr>
            <w:tcW w:w="1169" w:type="dxa"/>
            <w:tcBorders>
              <w:top w:val="single" w:color="auto" w:sz="12" w:space="0"/>
              <w:left w:val="nil"/>
              <w:bottom w:val="single" w:color="auto" w:sz="4" w:space="0"/>
              <w:right w:val="single" w:color="auto" w:sz="4" w:space="0"/>
            </w:tcBorders>
            <w:shd w:val="clear" w:color="auto" w:fill="auto"/>
            <w:noWrap w:val="0"/>
            <w:vAlign w:val="center"/>
          </w:tcPr>
          <w:p>
            <w:pPr>
              <w:pStyle w:val="2986"/>
              <w:rPr>
                <w:szCs w:val="21"/>
              </w:rPr>
            </w:pPr>
            <w:r>
              <w:rPr>
                <w:rFonts w:hint="eastAsia"/>
                <w:szCs w:val="21"/>
              </w:rPr>
              <w:t>止点桩号</w:t>
            </w:r>
          </w:p>
        </w:tc>
        <w:tc>
          <w:tcPr>
            <w:tcW w:w="825" w:type="dxa"/>
            <w:tcBorders>
              <w:top w:val="single" w:color="auto" w:sz="12" w:space="0"/>
              <w:left w:val="nil"/>
              <w:bottom w:val="single" w:color="auto" w:sz="4" w:space="0"/>
              <w:right w:val="single" w:color="auto" w:sz="4" w:space="0"/>
            </w:tcBorders>
            <w:shd w:val="clear" w:color="auto" w:fill="auto"/>
            <w:noWrap w:val="0"/>
            <w:vAlign w:val="center"/>
          </w:tcPr>
          <w:p>
            <w:pPr>
              <w:pStyle w:val="2986"/>
              <w:rPr>
                <w:szCs w:val="21"/>
              </w:rPr>
            </w:pPr>
            <w:r>
              <w:rPr>
                <w:rFonts w:hint="eastAsia"/>
                <w:szCs w:val="21"/>
              </w:rPr>
              <w:t>长度</w:t>
            </w:r>
          </w:p>
        </w:tc>
        <w:tc>
          <w:tcPr>
            <w:tcW w:w="720" w:type="dxa"/>
            <w:tcBorders>
              <w:top w:val="single" w:color="auto" w:sz="12" w:space="0"/>
              <w:left w:val="nil"/>
              <w:bottom w:val="single" w:color="auto" w:sz="4" w:space="0"/>
              <w:right w:val="single" w:color="auto" w:sz="4" w:space="0"/>
            </w:tcBorders>
            <w:shd w:val="clear" w:color="auto" w:fill="auto"/>
            <w:noWrap w:val="0"/>
            <w:vAlign w:val="center"/>
          </w:tcPr>
          <w:p>
            <w:pPr>
              <w:pStyle w:val="2986"/>
            </w:pPr>
            <w:r>
              <w:rPr>
                <w:rFonts w:hint="eastAsia"/>
              </w:rPr>
              <w:t>格宾挡墙</w:t>
            </w:r>
          </w:p>
        </w:tc>
        <w:tc>
          <w:tcPr>
            <w:tcW w:w="930" w:type="dxa"/>
            <w:tcBorders>
              <w:top w:val="single" w:color="auto" w:sz="12" w:space="0"/>
              <w:left w:val="nil"/>
              <w:bottom w:val="single" w:color="auto" w:sz="4" w:space="0"/>
              <w:right w:val="single" w:color="auto" w:sz="4" w:space="0"/>
            </w:tcBorders>
            <w:shd w:val="clear" w:color="auto" w:fill="auto"/>
            <w:noWrap w:val="0"/>
            <w:vAlign w:val="center"/>
          </w:tcPr>
          <w:p>
            <w:pPr>
              <w:pStyle w:val="2986"/>
            </w:pPr>
            <w:r>
              <w:rPr>
                <w:rFonts w:hint="eastAsia"/>
              </w:rPr>
              <w:t>格宾护脚+雷诺护坡</w:t>
            </w:r>
          </w:p>
        </w:tc>
        <w:tc>
          <w:tcPr>
            <w:tcW w:w="855" w:type="dxa"/>
            <w:tcBorders>
              <w:top w:val="single" w:color="auto" w:sz="12" w:space="0"/>
              <w:left w:val="nil"/>
              <w:bottom w:val="single" w:color="auto" w:sz="4" w:space="0"/>
              <w:right w:val="single" w:color="auto" w:sz="4" w:space="0"/>
            </w:tcBorders>
            <w:shd w:val="clear" w:color="auto" w:fill="auto"/>
            <w:noWrap w:val="0"/>
            <w:vAlign w:val="center"/>
          </w:tcPr>
          <w:p>
            <w:pPr>
              <w:pStyle w:val="2986"/>
            </w:pPr>
            <w:r>
              <w:rPr>
                <w:rFonts w:hint="eastAsia"/>
              </w:rPr>
              <w:t>浆砌石挡墙</w:t>
            </w:r>
          </w:p>
        </w:tc>
        <w:tc>
          <w:tcPr>
            <w:tcW w:w="660" w:type="dxa"/>
            <w:tcBorders>
              <w:top w:val="single" w:color="auto" w:sz="12" w:space="0"/>
              <w:left w:val="nil"/>
              <w:bottom w:val="single" w:color="auto" w:sz="4" w:space="0"/>
              <w:right w:val="single" w:color="auto" w:sz="4" w:space="0"/>
            </w:tcBorders>
            <w:shd w:val="clear" w:color="auto" w:fill="auto"/>
            <w:noWrap w:val="0"/>
            <w:vAlign w:val="center"/>
          </w:tcPr>
          <w:p>
            <w:pPr>
              <w:pStyle w:val="2986"/>
            </w:pPr>
            <w:r>
              <w:rPr>
                <w:rFonts w:hint="eastAsia"/>
              </w:rPr>
              <w:t>格宾挡墙+植草砖</w:t>
            </w:r>
          </w:p>
        </w:tc>
        <w:tc>
          <w:tcPr>
            <w:tcW w:w="660" w:type="dxa"/>
            <w:tcBorders>
              <w:top w:val="single" w:color="auto" w:sz="12" w:space="0"/>
              <w:left w:val="nil"/>
              <w:bottom w:val="single" w:color="auto" w:sz="4" w:space="0"/>
              <w:right w:val="single" w:color="auto" w:sz="12" w:space="0"/>
            </w:tcBorders>
            <w:shd w:val="clear" w:color="auto" w:fill="auto"/>
            <w:noWrap w:val="0"/>
            <w:vAlign w:val="center"/>
          </w:tcPr>
          <w:p>
            <w:pPr>
              <w:pStyle w:val="2986"/>
            </w:pPr>
            <w:r>
              <w:rPr>
                <w:rFonts w:hint="eastAsia"/>
              </w:rPr>
              <w:t>草皮护坡</w:t>
            </w:r>
          </w:p>
        </w:tc>
      </w:tr>
      <w:tr>
        <w:tblPrEx>
          <w:tblCellMar>
            <w:top w:w="0" w:type="dxa"/>
            <w:left w:w="108" w:type="dxa"/>
            <w:bottom w:w="0" w:type="dxa"/>
            <w:right w:w="108" w:type="dxa"/>
          </w:tblCellMar>
        </w:tblPrEx>
        <w:trPr>
          <w:trHeight w:val="397" w:hRule="atLeast"/>
          <w:jc w:val="center"/>
        </w:trPr>
        <w:tc>
          <w:tcPr>
            <w:tcW w:w="727" w:type="dxa"/>
            <w:vMerge w:val="restart"/>
            <w:tcBorders>
              <w:top w:val="nil"/>
              <w:left w:val="single" w:color="auto" w:sz="12" w:space="0"/>
              <w:bottom w:val="single" w:color="auto" w:sz="4" w:space="0"/>
              <w:right w:val="single" w:color="auto" w:sz="4" w:space="0"/>
            </w:tcBorders>
            <w:shd w:val="clear" w:color="auto" w:fill="auto"/>
            <w:noWrap w:val="0"/>
            <w:vAlign w:val="center"/>
          </w:tcPr>
          <w:p>
            <w:pPr>
              <w:pStyle w:val="2986"/>
            </w:pPr>
            <w:r>
              <w:rPr>
                <w:rFonts w:hint="eastAsia"/>
              </w:rPr>
              <w:t>太和堂段左岸护岸工程</w:t>
            </w: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祁左11+521</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祁左11+944</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423</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423</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祁左12+078</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祁左12+251</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173</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173</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祁左12+281</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祁左12+558</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277</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277</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4</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祁左12+575</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祁左13+013</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438</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438</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祁左13+478</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祁左13+507</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29</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29</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6</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祁左13+507</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祁左13+722</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215</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215</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7</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祁左14+287</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祁左14+420</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133</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133</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8</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祁左14+539</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祁左15+047</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508</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508</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9</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祁左15+340</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祁左15+499</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159</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159</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10</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祁左15+653</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祁左15+755</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102</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102</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11</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祁左15+892</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祁左16+039</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147</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147</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12</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祁左16+977</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祁左17+085</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108</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108</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13</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祁左17+121</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祁左17+129</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8</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8</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14</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祁左17+657</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祁左17+720</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63</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63</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15</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祁左18+420</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祁左18+697</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277</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277</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16</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祁左18+742</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祁左19+010</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268</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268</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17</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祁左19+200</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祁左20+020</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820</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820</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18</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祁左20+084</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祁左20+734</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650</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650</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19</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祁左20+760</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祁左21+105</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345</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345</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20</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祁左21+824</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祁左22+321</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497</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497</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21</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祁左22+403</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祁左22+570</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167</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167</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22</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祁左22+600</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祁左23+233</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633</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633</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23</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祁左23+341</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祁左23+595</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254</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254</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24</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祁左23+711</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祁左23+843</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132</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132</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25</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祁左23+950</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祁左24+203</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253</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253</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26</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祁左24+328</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祁左24+344</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16</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16</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27</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祁左24+344</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祁左24+984</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640</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640</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28</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祁左25+017</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祁左25+249</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232</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232</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29</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祁左25+249</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祁左25+307</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58</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58</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30</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祁左25+514</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祁左25+604</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90</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90</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31</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祁左26+230</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祁左26+542</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312</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312</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32</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祁左27+226</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祁左27+303</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77</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77</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33</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祁左27+339</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祁左27+465</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126</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126</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34</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祁左27+510</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祁左27+970</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460</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460</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35</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祁左28+117</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祁左28+159</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42</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42</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36</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祁左28+170</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祁左28+228</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58</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58</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37</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祁左28+805</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祁左29+081</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276</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276</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38</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祁左29+097</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祁左29+233</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136</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136</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39</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祁左29+265</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祁左29+508</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243</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243</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40</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祁左29+900</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祁左30+016</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116</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116</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41</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祁左30+056</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祁左30+821</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765</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765</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42</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祁左30+821</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祁左31+078</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257</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257</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43</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祁左31+400</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祁左31+700</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300</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300</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44</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祁左31+735</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祁左32+261</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526</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526</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tcBorders>
              <w:top w:val="nil"/>
              <w:left w:val="single" w:color="auto" w:sz="12" w:space="0"/>
              <w:bottom w:val="single" w:color="auto" w:sz="4" w:space="0"/>
              <w:right w:val="single" w:color="auto" w:sz="4" w:space="0"/>
            </w:tcBorders>
            <w:shd w:val="clear" w:color="auto" w:fill="auto"/>
            <w:noWrap w:val="0"/>
            <w:vAlign w:val="center"/>
          </w:tcPr>
          <w:p>
            <w:pPr>
              <w:pStyle w:val="2986"/>
              <w:rPr>
                <w:b/>
                <w:bCs/>
                <w:szCs w:val="21"/>
              </w:rPr>
            </w:pPr>
            <w:r>
              <w:rPr>
                <w:rFonts w:hint="eastAsia"/>
                <w:b/>
                <w:bCs/>
                <w:szCs w:val="21"/>
              </w:rPr>
              <w:t>小计</w:t>
            </w:r>
          </w:p>
        </w:tc>
        <w:tc>
          <w:tcPr>
            <w:tcW w:w="549" w:type="dxa"/>
            <w:tcBorders>
              <w:top w:val="nil"/>
              <w:left w:val="nil"/>
              <w:bottom w:val="single" w:color="auto" w:sz="4" w:space="0"/>
              <w:right w:val="single" w:color="auto" w:sz="4" w:space="0"/>
            </w:tcBorders>
            <w:shd w:val="clear" w:color="auto" w:fill="auto"/>
            <w:noWrap/>
            <w:vAlign w:val="center"/>
          </w:tcPr>
          <w:p>
            <w:pPr>
              <w:pStyle w:val="2986"/>
              <w:rPr>
                <w:b/>
                <w:bCs/>
              </w:rPr>
            </w:pPr>
            <w:r>
              <w:rPr>
                <w:rFonts w:hint="eastAsia"/>
                <w:b/>
                <w:bCs/>
              </w:rPr>
              <w:t>　</w:t>
            </w:r>
          </w:p>
        </w:tc>
        <w:tc>
          <w:tcPr>
            <w:tcW w:w="1418" w:type="dxa"/>
            <w:tcBorders>
              <w:top w:val="nil"/>
              <w:left w:val="nil"/>
              <w:bottom w:val="nil"/>
              <w:right w:val="nil"/>
            </w:tcBorders>
            <w:shd w:val="clear" w:color="auto" w:fill="auto"/>
            <w:noWrap/>
            <w:vAlign w:val="center"/>
          </w:tcPr>
          <w:p>
            <w:pPr>
              <w:pStyle w:val="2986"/>
              <w:rPr>
                <w:b/>
                <w:bCs/>
              </w:rPr>
            </w:pPr>
          </w:p>
        </w:tc>
        <w:tc>
          <w:tcPr>
            <w:tcW w:w="1169" w:type="dxa"/>
            <w:tcBorders>
              <w:top w:val="nil"/>
              <w:left w:val="single" w:color="auto" w:sz="4" w:space="0"/>
              <w:bottom w:val="single" w:color="auto" w:sz="4" w:space="0"/>
              <w:right w:val="single" w:color="auto" w:sz="4" w:space="0"/>
            </w:tcBorders>
            <w:shd w:val="clear" w:color="auto" w:fill="auto"/>
            <w:noWrap/>
            <w:vAlign w:val="center"/>
          </w:tcPr>
          <w:p>
            <w:pPr>
              <w:pStyle w:val="2986"/>
              <w:rPr>
                <w:b/>
                <w:bCs/>
              </w:rPr>
            </w:pPr>
            <w:r>
              <w:rPr>
                <w:rFonts w:hint="eastAsia"/>
                <w:b/>
                <w:bCs/>
              </w:rPr>
              <w:t>　</w:t>
            </w:r>
          </w:p>
        </w:tc>
        <w:tc>
          <w:tcPr>
            <w:tcW w:w="825" w:type="dxa"/>
            <w:tcBorders>
              <w:top w:val="nil"/>
              <w:left w:val="nil"/>
              <w:bottom w:val="single" w:color="auto" w:sz="4" w:space="0"/>
              <w:right w:val="single" w:color="auto" w:sz="4" w:space="0"/>
            </w:tcBorders>
            <w:shd w:val="clear" w:color="auto" w:fill="auto"/>
            <w:noWrap/>
            <w:vAlign w:val="center"/>
          </w:tcPr>
          <w:p>
            <w:pPr>
              <w:pStyle w:val="2986"/>
              <w:rPr>
                <w:b/>
                <w:bCs/>
              </w:rPr>
            </w:pPr>
            <w:r>
              <w:rPr>
                <w:rFonts w:hint="eastAsia"/>
                <w:b/>
                <w:bCs/>
              </w:rPr>
              <w:t>11809</w:t>
            </w:r>
          </w:p>
        </w:tc>
        <w:tc>
          <w:tcPr>
            <w:tcW w:w="720" w:type="dxa"/>
            <w:tcBorders>
              <w:top w:val="nil"/>
              <w:left w:val="nil"/>
              <w:bottom w:val="single" w:color="auto" w:sz="4" w:space="0"/>
              <w:right w:val="single" w:color="auto" w:sz="4" w:space="0"/>
            </w:tcBorders>
            <w:shd w:val="clear" w:color="auto" w:fill="auto"/>
            <w:noWrap/>
            <w:vAlign w:val="center"/>
          </w:tcPr>
          <w:p>
            <w:pPr>
              <w:pStyle w:val="2986"/>
              <w:rPr>
                <w:b/>
                <w:bCs/>
              </w:rPr>
            </w:pPr>
            <w:r>
              <w:rPr>
                <w:rFonts w:hint="eastAsia"/>
                <w:b/>
                <w:bCs/>
              </w:rPr>
              <w:t>4382</w:t>
            </w:r>
          </w:p>
        </w:tc>
        <w:tc>
          <w:tcPr>
            <w:tcW w:w="930" w:type="dxa"/>
            <w:tcBorders>
              <w:top w:val="nil"/>
              <w:left w:val="nil"/>
              <w:bottom w:val="single" w:color="auto" w:sz="4" w:space="0"/>
              <w:right w:val="single" w:color="auto" w:sz="4" w:space="0"/>
            </w:tcBorders>
            <w:shd w:val="clear" w:color="auto" w:fill="auto"/>
            <w:noWrap/>
            <w:vAlign w:val="center"/>
          </w:tcPr>
          <w:p>
            <w:pPr>
              <w:pStyle w:val="2986"/>
              <w:rPr>
                <w:b/>
                <w:bCs/>
              </w:rPr>
            </w:pPr>
            <w:r>
              <w:rPr>
                <w:rFonts w:hint="eastAsia"/>
                <w:b/>
                <w:bCs/>
              </w:rPr>
              <w:t>5329</w:t>
            </w:r>
          </w:p>
        </w:tc>
        <w:tc>
          <w:tcPr>
            <w:tcW w:w="855" w:type="dxa"/>
            <w:tcBorders>
              <w:top w:val="nil"/>
              <w:left w:val="nil"/>
              <w:bottom w:val="single" w:color="auto" w:sz="4" w:space="0"/>
              <w:right w:val="single" w:color="auto" w:sz="4" w:space="0"/>
            </w:tcBorders>
            <w:shd w:val="clear" w:color="auto" w:fill="auto"/>
            <w:noWrap/>
            <w:vAlign w:val="center"/>
          </w:tcPr>
          <w:p>
            <w:pPr>
              <w:pStyle w:val="2986"/>
              <w:rPr>
                <w:b/>
                <w:bCs/>
              </w:rPr>
            </w:pPr>
            <w:r>
              <w:rPr>
                <w:rFonts w:hint="eastAsia"/>
                <w:b/>
                <w:bCs/>
              </w:rPr>
              <w:t>1798</w:t>
            </w:r>
          </w:p>
        </w:tc>
        <w:tc>
          <w:tcPr>
            <w:tcW w:w="660" w:type="dxa"/>
            <w:tcBorders>
              <w:top w:val="nil"/>
              <w:left w:val="nil"/>
              <w:bottom w:val="single" w:color="auto" w:sz="4" w:space="0"/>
              <w:right w:val="single" w:color="auto" w:sz="4" w:space="0"/>
            </w:tcBorders>
            <w:shd w:val="clear" w:color="auto" w:fill="auto"/>
            <w:noWrap/>
            <w:vAlign w:val="center"/>
          </w:tcPr>
          <w:p>
            <w:pPr>
              <w:pStyle w:val="2986"/>
              <w:rPr>
                <w:b/>
                <w:bCs/>
              </w:rPr>
            </w:pPr>
            <w:r>
              <w:rPr>
                <w:rFonts w:hint="eastAsia"/>
                <w:b/>
                <w:bCs/>
              </w:rPr>
              <w:t>300</w:t>
            </w:r>
          </w:p>
        </w:tc>
        <w:tc>
          <w:tcPr>
            <w:tcW w:w="660" w:type="dxa"/>
            <w:tcBorders>
              <w:top w:val="nil"/>
              <w:left w:val="nil"/>
              <w:bottom w:val="single" w:color="auto" w:sz="4" w:space="0"/>
              <w:right w:val="single" w:color="auto" w:sz="12" w:space="0"/>
            </w:tcBorders>
            <w:shd w:val="clear" w:color="auto" w:fill="auto"/>
            <w:noWrap/>
            <w:vAlign w:val="center"/>
          </w:tcPr>
          <w:p>
            <w:pPr>
              <w:pStyle w:val="2986"/>
              <w:rPr>
                <w:b/>
                <w:bCs/>
              </w:rPr>
            </w:pPr>
            <w:r>
              <w:rPr>
                <w:rFonts w:hint="eastAsia"/>
                <w:b/>
                <w:bCs/>
              </w:rPr>
              <w:t>0</w:t>
            </w:r>
          </w:p>
        </w:tc>
      </w:tr>
      <w:tr>
        <w:tblPrEx>
          <w:tblCellMar>
            <w:top w:w="0" w:type="dxa"/>
            <w:left w:w="108" w:type="dxa"/>
            <w:bottom w:w="0" w:type="dxa"/>
            <w:right w:w="108" w:type="dxa"/>
          </w:tblCellMar>
        </w:tblPrEx>
        <w:trPr>
          <w:trHeight w:val="397" w:hRule="atLeast"/>
          <w:jc w:val="center"/>
        </w:trPr>
        <w:tc>
          <w:tcPr>
            <w:tcW w:w="727" w:type="dxa"/>
            <w:vMerge w:val="restart"/>
            <w:tcBorders>
              <w:top w:val="nil"/>
              <w:left w:val="single" w:color="auto" w:sz="12" w:space="0"/>
              <w:bottom w:val="single" w:color="auto" w:sz="4" w:space="0"/>
              <w:right w:val="single" w:color="auto" w:sz="4" w:space="0"/>
            </w:tcBorders>
            <w:shd w:val="clear" w:color="auto" w:fill="auto"/>
            <w:noWrap w:val="0"/>
            <w:vAlign w:val="center"/>
          </w:tcPr>
          <w:p>
            <w:pPr>
              <w:pStyle w:val="2986"/>
            </w:pPr>
            <w:r>
              <w:rPr>
                <w:rFonts w:hint="eastAsia"/>
              </w:rPr>
              <w:t>太和堂段右岸护岸</w:t>
            </w: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pStyle w:val="2986"/>
            </w:pPr>
            <w:r>
              <w:rPr>
                <w:rFonts w:hint="eastAsia"/>
              </w:rPr>
              <w:t>祁右11+521</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祁右11+767</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246</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246</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祁右12+300</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祁右12+532</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232</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232</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祁右12+576</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祁右13+188</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612</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612</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4</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祁右13+298</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祁右13+444</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146</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146</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祁右13+478</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祁右13+495</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17</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17</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6</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祁右13+520</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祁右13+747</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227</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227</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7</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祁右13+761</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祁右13+920</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159</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159</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8</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祁右14+016</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祁右14+396</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380</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380</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9</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祁右14+467</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祁右14+698</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231</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231</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10</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祁右14+900</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祁右15+122</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222</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222</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11</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祁右15+250</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祁右15+437</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187</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187</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12</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祁右15+437</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祁右15+490</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53</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53</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13</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祁右15+800</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祁右16+672</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872</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872</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14</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祁右17+153</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祁右17+558</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405</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405</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15</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祁右17+808</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祁右18+392</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584</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584</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16</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祁右18+420</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祁右18+447</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27</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27</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17</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祁右18+742</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祁右18+824</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82</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82</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18</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祁右19+167</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祁右19+504</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337</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337</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19</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祁右19+504</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祁右20+021</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517</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517</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20</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祁右20+084</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祁右20+666</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582</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582</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21</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祁右21+131</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祁右21+400</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269</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269</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22</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祁右21+821</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祁右22+260</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439</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439</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23</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祁右22+297</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祁右22+575</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278</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278</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24</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祁右22+605</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祁右23+225</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620</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620</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25</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祁右23+315</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祁右23+405</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90</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90</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26</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祁右23+478</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祁右23+654</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176</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176</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27</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祁右23+680</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祁右24+232</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552</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552</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28</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祁右24+327</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祁右24+343</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16</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16</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29</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祁右24+343</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祁右24+979</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636</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636</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30</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祁右25+036</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祁右25+299</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263</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263</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31</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祁右25+299</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祁右25+318</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19</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19</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32</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祁右26+216</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祁右26+552</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336</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336</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33</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祁右28+241</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祁右28+291</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50</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50</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34</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祁右28+756</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祁右30+233</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1477</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1477</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35</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祁右30+236</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祁右30+831</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595</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595</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auto"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36</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祁右30+831</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祁右31+389</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558</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558</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tcBorders>
              <w:top w:val="nil"/>
              <w:left w:val="single" w:color="auto" w:sz="12" w:space="0"/>
              <w:bottom w:val="single" w:color="auto" w:sz="4" w:space="0"/>
              <w:right w:val="single" w:color="auto" w:sz="4" w:space="0"/>
            </w:tcBorders>
            <w:shd w:val="clear" w:color="auto" w:fill="auto"/>
            <w:noWrap w:val="0"/>
            <w:vAlign w:val="center"/>
          </w:tcPr>
          <w:p>
            <w:pPr>
              <w:pStyle w:val="2986"/>
            </w:pPr>
            <w:r>
              <w:rPr>
                <w:rFonts w:hint="eastAsia"/>
              </w:rPr>
              <w:t>　</w:t>
            </w: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37</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祁右31+493</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祁右31+730</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237</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237</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tcBorders>
              <w:top w:val="nil"/>
              <w:left w:val="single" w:color="auto" w:sz="12" w:space="0"/>
              <w:bottom w:val="single" w:color="auto" w:sz="4" w:space="0"/>
              <w:right w:val="single" w:color="auto" w:sz="4" w:space="0"/>
            </w:tcBorders>
            <w:shd w:val="clear" w:color="auto" w:fill="auto"/>
            <w:noWrap w:val="0"/>
            <w:vAlign w:val="center"/>
          </w:tcPr>
          <w:p>
            <w:pPr>
              <w:pStyle w:val="2986"/>
            </w:pPr>
            <w:r>
              <w:rPr>
                <w:rFonts w:hint="eastAsia"/>
              </w:rPr>
              <w:t>　</w:t>
            </w: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38</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祁右31+735</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祁右32+011</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276</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276</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tcBorders>
              <w:top w:val="nil"/>
              <w:left w:val="single" w:color="auto" w:sz="12" w:space="0"/>
              <w:bottom w:val="single" w:color="auto" w:sz="4" w:space="0"/>
              <w:right w:val="single" w:color="auto" w:sz="4" w:space="0"/>
            </w:tcBorders>
            <w:shd w:val="clear" w:color="auto" w:fill="auto"/>
            <w:noWrap w:val="0"/>
            <w:vAlign w:val="center"/>
          </w:tcPr>
          <w:p>
            <w:pPr>
              <w:pStyle w:val="2986"/>
            </w:pPr>
            <w:r>
              <w:rPr>
                <w:rFonts w:hint="eastAsia"/>
              </w:rPr>
              <w:t>　</w:t>
            </w: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39</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祁右32+175</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祁右32+345</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170</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170</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tcBorders>
              <w:top w:val="nil"/>
              <w:left w:val="single" w:color="auto" w:sz="12" w:space="0"/>
              <w:bottom w:val="single" w:color="auto" w:sz="4" w:space="0"/>
              <w:right w:val="single" w:color="auto" w:sz="4" w:space="0"/>
            </w:tcBorders>
            <w:shd w:val="clear" w:color="auto" w:fill="auto"/>
            <w:noWrap w:val="0"/>
            <w:vAlign w:val="center"/>
          </w:tcPr>
          <w:p>
            <w:pPr>
              <w:pStyle w:val="2986"/>
              <w:rPr>
                <w:b/>
                <w:bCs/>
                <w:szCs w:val="21"/>
              </w:rPr>
            </w:pPr>
            <w:r>
              <w:rPr>
                <w:rFonts w:hint="eastAsia"/>
                <w:b/>
                <w:bCs/>
                <w:szCs w:val="21"/>
              </w:rPr>
              <w:t>小计</w:t>
            </w:r>
          </w:p>
        </w:tc>
        <w:tc>
          <w:tcPr>
            <w:tcW w:w="549" w:type="dxa"/>
            <w:tcBorders>
              <w:top w:val="nil"/>
              <w:left w:val="nil"/>
              <w:bottom w:val="single" w:color="auto" w:sz="4" w:space="0"/>
              <w:right w:val="single" w:color="auto" w:sz="4" w:space="0"/>
            </w:tcBorders>
            <w:shd w:val="clear" w:color="auto" w:fill="auto"/>
            <w:noWrap/>
            <w:vAlign w:val="center"/>
          </w:tcPr>
          <w:p>
            <w:pPr>
              <w:pStyle w:val="2986"/>
              <w:rPr>
                <w:b/>
                <w:bCs/>
              </w:rPr>
            </w:pPr>
            <w:r>
              <w:rPr>
                <w:rFonts w:hint="eastAsia"/>
                <w:b/>
                <w:bCs/>
              </w:rPr>
              <w:t>　</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25" w:type="dxa"/>
            <w:tcBorders>
              <w:top w:val="nil"/>
              <w:left w:val="nil"/>
              <w:bottom w:val="single" w:color="auto" w:sz="4" w:space="0"/>
              <w:right w:val="single" w:color="auto" w:sz="4" w:space="0"/>
            </w:tcBorders>
            <w:shd w:val="clear" w:color="auto" w:fill="auto"/>
            <w:noWrap/>
            <w:vAlign w:val="center"/>
          </w:tcPr>
          <w:p>
            <w:pPr>
              <w:pStyle w:val="2986"/>
              <w:rPr>
                <w:b/>
                <w:bCs/>
              </w:rPr>
            </w:pPr>
            <w:r>
              <w:rPr>
                <w:rFonts w:hint="eastAsia"/>
                <w:b/>
                <w:bCs/>
              </w:rPr>
              <w:t>12492</w:t>
            </w:r>
          </w:p>
        </w:tc>
        <w:tc>
          <w:tcPr>
            <w:tcW w:w="720" w:type="dxa"/>
            <w:tcBorders>
              <w:top w:val="nil"/>
              <w:left w:val="nil"/>
              <w:bottom w:val="single" w:color="auto" w:sz="4" w:space="0"/>
              <w:right w:val="single" w:color="auto" w:sz="4" w:space="0"/>
            </w:tcBorders>
            <w:shd w:val="clear" w:color="auto" w:fill="auto"/>
            <w:noWrap/>
            <w:vAlign w:val="center"/>
          </w:tcPr>
          <w:p>
            <w:pPr>
              <w:pStyle w:val="2986"/>
              <w:rPr>
                <w:b/>
                <w:bCs/>
              </w:rPr>
            </w:pPr>
            <w:r>
              <w:rPr>
                <w:rFonts w:hint="eastAsia"/>
                <w:b/>
                <w:bCs/>
              </w:rPr>
              <w:t>3871</w:t>
            </w:r>
          </w:p>
        </w:tc>
        <w:tc>
          <w:tcPr>
            <w:tcW w:w="930" w:type="dxa"/>
            <w:tcBorders>
              <w:top w:val="nil"/>
              <w:left w:val="nil"/>
              <w:bottom w:val="single" w:color="auto" w:sz="4" w:space="0"/>
              <w:right w:val="single" w:color="auto" w:sz="4" w:space="0"/>
            </w:tcBorders>
            <w:shd w:val="clear" w:color="auto" w:fill="auto"/>
            <w:noWrap/>
            <w:vAlign w:val="center"/>
          </w:tcPr>
          <w:p>
            <w:pPr>
              <w:pStyle w:val="2986"/>
              <w:rPr>
                <w:b/>
                <w:bCs/>
              </w:rPr>
            </w:pPr>
            <w:r>
              <w:rPr>
                <w:rFonts w:hint="eastAsia"/>
                <w:b/>
                <w:bCs/>
              </w:rPr>
              <w:t>6924</w:t>
            </w:r>
          </w:p>
        </w:tc>
        <w:tc>
          <w:tcPr>
            <w:tcW w:w="855" w:type="dxa"/>
            <w:tcBorders>
              <w:top w:val="nil"/>
              <w:left w:val="nil"/>
              <w:bottom w:val="single" w:color="auto" w:sz="4" w:space="0"/>
              <w:right w:val="single" w:color="auto" w:sz="4" w:space="0"/>
            </w:tcBorders>
            <w:shd w:val="clear" w:color="auto" w:fill="auto"/>
            <w:noWrap/>
            <w:vAlign w:val="center"/>
          </w:tcPr>
          <w:p>
            <w:pPr>
              <w:pStyle w:val="2986"/>
              <w:rPr>
                <w:b/>
                <w:bCs/>
              </w:rPr>
            </w:pPr>
            <w:r>
              <w:rPr>
                <w:rFonts w:hint="eastAsia"/>
                <w:b/>
                <w:bCs/>
              </w:rPr>
              <w:t>1538</w:t>
            </w:r>
          </w:p>
        </w:tc>
        <w:tc>
          <w:tcPr>
            <w:tcW w:w="660" w:type="dxa"/>
            <w:tcBorders>
              <w:top w:val="nil"/>
              <w:left w:val="nil"/>
              <w:bottom w:val="single" w:color="auto" w:sz="4" w:space="0"/>
              <w:right w:val="single" w:color="auto" w:sz="4" w:space="0"/>
            </w:tcBorders>
            <w:shd w:val="clear" w:color="auto" w:fill="auto"/>
            <w:noWrap/>
            <w:vAlign w:val="center"/>
          </w:tcPr>
          <w:p>
            <w:pPr>
              <w:pStyle w:val="2986"/>
              <w:rPr>
                <w:b/>
                <w:bCs/>
              </w:rPr>
            </w:pPr>
            <w:r>
              <w:rPr>
                <w:rFonts w:hint="eastAsia"/>
                <w:b/>
                <w:bCs/>
              </w:rPr>
              <w:t>0</w:t>
            </w:r>
          </w:p>
        </w:tc>
        <w:tc>
          <w:tcPr>
            <w:tcW w:w="660" w:type="dxa"/>
            <w:tcBorders>
              <w:top w:val="nil"/>
              <w:left w:val="nil"/>
              <w:bottom w:val="single" w:color="auto" w:sz="4" w:space="0"/>
              <w:right w:val="single" w:color="auto" w:sz="12" w:space="0"/>
            </w:tcBorders>
            <w:shd w:val="clear" w:color="auto" w:fill="auto"/>
            <w:noWrap/>
            <w:vAlign w:val="center"/>
          </w:tcPr>
          <w:p>
            <w:pPr>
              <w:pStyle w:val="2986"/>
              <w:rPr>
                <w:b/>
                <w:bCs/>
              </w:rPr>
            </w:pPr>
            <w:r>
              <w:rPr>
                <w:rFonts w:hint="eastAsia"/>
                <w:b/>
                <w:bCs/>
              </w:rPr>
              <w:t>159</w:t>
            </w:r>
          </w:p>
        </w:tc>
      </w:tr>
      <w:tr>
        <w:tblPrEx>
          <w:tblCellMar>
            <w:top w:w="0" w:type="dxa"/>
            <w:left w:w="108" w:type="dxa"/>
            <w:bottom w:w="0" w:type="dxa"/>
            <w:right w:w="108" w:type="dxa"/>
          </w:tblCellMar>
        </w:tblPrEx>
        <w:trPr>
          <w:trHeight w:val="397" w:hRule="atLeast"/>
          <w:jc w:val="center"/>
        </w:trPr>
        <w:tc>
          <w:tcPr>
            <w:tcW w:w="727" w:type="dxa"/>
            <w:vMerge w:val="restart"/>
            <w:tcBorders>
              <w:top w:val="nil"/>
              <w:left w:val="single" w:color="auto" w:sz="12" w:space="0"/>
              <w:bottom w:val="single" w:color="000000" w:sz="4" w:space="0"/>
              <w:right w:val="single" w:color="auto" w:sz="4" w:space="0"/>
            </w:tcBorders>
            <w:shd w:val="clear" w:color="auto" w:fill="auto"/>
            <w:noWrap w:val="0"/>
            <w:vAlign w:val="center"/>
          </w:tcPr>
          <w:p>
            <w:pPr>
              <w:pStyle w:val="2986"/>
            </w:pPr>
            <w:r>
              <w:rPr>
                <w:rFonts w:hint="eastAsia"/>
              </w:rPr>
              <w:t>祁水源段</w:t>
            </w: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祁右0+270</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祁右2+722</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2452</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2452</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000000"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祁右3+127</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祁右3+158</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31</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31</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000000"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3</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祁右3+175</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祁右3+327</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152</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152</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vMerge w:val="continue"/>
            <w:tcBorders>
              <w:top w:val="nil"/>
              <w:left w:val="single" w:color="auto" w:sz="12" w:space="0"/>
              <w:bottom w:val="single" w:color="000000" w:sz="4" w:space="0"/>
              <w:right w:val="single" w:color="auto" w:sz="4" w:space="0"/>
            </w:tcBorders>
            <w:shd w:val="clear" w:color="auto" w:fill="auto"/>
            <w:noWrap w:val="0"/>
            <w:vAlign w:val="center"/>
          </w:tcPr>
          <w:p>
            <w:pPr>
              <w:pStyle w:val="2986"/>
            </w:pPr>
          </w:p>
        </w:tc>
        <w:tc>
          <w:tcPr>
            <w:tcW w:w="54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4</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祁右3+330</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祁右3+549</w:t>
            </w:r>
          </w:p>
        </w:tc>
        <w:tc>
          <w:tcPr>
            <w:tcW w:w="82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219</w:t>
            </w:r>
          </w:p>
        </w:tc>
        <w:tc>
          <w:tcPr>
            <w:tcW w:w="72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219</w:t>
            </w:r>
          </w:p>
        </w:tc>
        <w:tc>
          <w:tcPr>
            <w:tcW w:w="93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55"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660" w:type="dxa"/>
            <w:tcBorders>
              <w:top w:val="nil"/>
              <w:left w:val="nil"/>
              <w:bottom w:val="single" w:color="auto" w:sz="4" w:space="0"/>
              <w:right w:val="single" w:color="auto" w:sz="12" w:space="0"/>
            </w:tcBorders>
            <w:shd w:val="clear" w:color="auto" w:fill="auto"/>
            <w:noWrap/>
            <w:vAlign w:val="center"/>
          </w:tcPr>
          <w:p>
            <w:pPr>
              <w:pStyle w:val="2986"/>
            </w:pPr>
            <w:r>
              <w:rPr>
                <w:rFonts w:hint="eastAsia"/>
              </w:rPr>
              <w:t>　</w:t>
            </w:r>
          </w:p>
        </w:tc>
      </w:tr>
      <w:tr>
        <w:tblPrEx>
          <w:tblCellMar>
            <w:top w:w="0" w:type="dxa"/>
            <w:left w:w="108" w:type="dxa"/>
            <w:bottom w:w="0" w:type="dxa"/>
            <w:right w:w="108" w:type="dxa"/>
          </w:tblCellMar>
        </w:tblPrEx>
        <w:trPr>
          <w:trHeight w:val="397" w:hRule="atLeast"/>
          <w:jc w:val="center"/>
        </w:trPr>
        <w:tc>
          <w:tcPr>
            <w:tcW w:w="727" w:type="dxa"/>
            <w:tcBorders>
              <w:top w:val="nil"/>
              <w:left w:val="single" w:color="auto" w:sz="12" w:space="0"/>
              <w:bottom w:val="single" w:color="auto" w:sz="4" w:space="0"/>
              <w:right w:val="single" w:color="auto" w:sz="4" w:space="0"/>
            </w:tcBorders>
            <w:shd w:val="clear" w:color="auto" w:fill="auto"/>
            <w:noWrap w:val="0"/>
            <w:vAlign w:val="center"/>
          </w:tcPr>
          <w:p>
            <w:pPr>
              <w:pStyle w:val="2986"/>
              <w:rPr>
                <w:b/>
                <w:bCs/>
                <w:szCs w:val="21"/>
              </w:rPr>
            </w:pPr>
            <w:r>
              <w:rPr>
                <w:rFonts w:hint="eastAsia"/>
                <w:b/>
                <w:bCs/>
                <w:szCs w:val="21"/>
              </w:rPr>
              <w:t>小计</w:t>
            </w:r>
          </w:p>
        </w:tc>
        <w:tc>
          <w:tcPr>
            <w:tcW w:w="549" w:type="dxa"/>
            <w:tcBorders>
              <w:top w:val="nil"/>
              <w:left w:val="nil"/>
              <w:bottom w:val="single" w:color="auto" w:sz="4" w:space="0"/>
              <w:right w:val="single" w:color="auto" w:sz="4" w:space="0"/>
            </w:tcBorders>
            <w:shd w:val="clear" w:color="auto" w:fill="auto"/>
            <w:noWrap/>
            <w:vAlign w:val="center"/>
          </w:tcPr>
          <w:p>
            <w:pPr>
              <w:pStyle w:val="2986"/>
              <w:rPr>
                <w:b/>
                <w:bCs/>
              </w:rPr>
            </w:pPr>
            <w:r>
              <w:rPr>
                <w:rFonts w:hint="eastAsia"/>
                <w:b/>
                <w:bCs/>
              </w:rPr>
              <w:t>　</w:t>
            </w:r>
          </w:p>
        </w:tc>
        <w:tc>
          <w:tcPr>
            <w:tcW w:w="1418"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1169" w:type="dxa"/>
            <w:tcBorders>
              <w:top w:val="nil"/>
              <w:left w:val="nil"/>
              <w:bottom w:val="single" w:color="auto" w:sz="4" w:space="0"/>
              <w:right w:val="single" w:color="auto" w:sz="4" w:space="0"/>
            </w:tcBorders>
            <w:shd w:val="clear" w:color="auto" w:fill="auto"/>
            <w:noWrap/>
            <w:vAlign w:val="center"/>
          </w:tcPr>
          <w:p>
            <w:pPr>
              <w:pStyle w:val="2986"/>
            </w:pPr>
            <w:r>
              <w:rPr>
                <w:rFonts w:hint="eastAsia"/>
              </w:rPr>
              <w:t>　</w:t>
            </w:r>
          </w:p>
        </w:tc>
        <w:tc>
          <w:tcPr>
            <w:tcW w:w="825" w:type="dxa"/>
            <w:tcBorders>
              <w:top w:val="nil"/>
              <w:left w:val="nil"/>
              <w:bottom w:val="single" w:color="auto" w:sz="4" w:space="0"/>
              <w:right w:val="single" w:color="auto" w:sz="4" w:space="0"/>
            </w:tcBorders>
            <w:shd w:val="clear" w:color="auto" w:fill="auto"/>
            <w:noWrap/>
            <w:vAlign w:val="center"/>
          </w:tcPr>
          <w:p>
            <w:pPr>
              <w:pStyle w:val="2986"/>
              <w:rPr>
                <w:b/>
                <w:bCs/>
              </w:rPr>
            </w:pPr>
            <w:r>
              <w:rPr>
                <w:rFonts w:hint="eastAsia"/>
                <w:b/>
                <w:bCs/>
              </w:rPr>
              <w:t>2854</w:t>
            </w:r>
          </w:p>
        </w:tc>
        <w:tc>
          <w:tcPr>
            <w:tcW w:w="720" w:type="dxa"/>
            <w:tcBorders>
              <w:top w:val="nil"/>
              <w:left w:val="nil"/>
              <w:bottom w:val="single" w:color="auto" w:sz="4" w:space="0"/>
              <w:right w:val="single" w:color="auto" w:sz="4" w:space="0"/>
            </w:tcBorders>
            <w:shd w:val="clear" w:color="auto" w:fill="auto"/>
            <w:noWrap/>
            <w:vAlign w:val="center"/>
          </w:tcPr>
          <w:p>
            <w:pPr>
              <w:pStyle w:val="2986"/>
              <w:rPr>
                <w:b/>
                <w:bCs/>
              </w:rPr>
            </w:pPr>
            <w:r>
              <w:rPr>
                <w:rFonts w:hint="eastAsia"/>
                <w:b/>
                <w:bCs/>
              </w:rPr>
              <w:t>371</w:t>
            </w:r>
          </w:p>
        </w:tc>
        <w:tc>
          <w:tcPr>
            <w:tcW w:w="930" w:type="dxa"/>
            <w:tcBorders>
              <w:top w:val="nil"/>
              <w:left w:val="nil"/>
              <w:bottom w:val="single" w:color="auto" w:sz="4" w:space="0"/>
              <w:right w:val="single" w:color="auto" w:sz="4" w:space="0"/>
            </w:tcBorders>
            <w:shd w:val="clear" w:color="auto" w:fill="auto"/>
            <w:noWrap/>
            <w:vAlign w:val="center"/>
          </w:tcPr>
          <w:p>
            <w:pPr>
              <w:pStyle w:val="2986"/>
              <w:rPr>
                <w:b/>
                <w:bCs/>
              </w:rPr>
            </w:pPr>
            <w:r>
              <w:rPr>
                <w:rFonts w:hint="eastAsia"/>
                <w:b/>
                <w:bCs/>
              </w:rPr>
              <w:t>0</w:t>
            </w:r>
          </w:p>
        </w:tc>
        <w:tc>
          <w:tcPr>
            <w:tcW w:w="855" w:type="dxa"/>
            <w:tcBorders>
              <w:top w:val="nil"/>
              <w:left w:val="nil"/>
              <w:bottom w:val="single" w:color="auto" w:sz="4" w:space="0"/>
              <w:right w:val="single" w:color="auto" w:sz="4" w:space="0"/>
            </w:tcBorders>
            <w:shd w:val="clear" w:color="auto" w:fill="auto"/>
            <w:noWrap/>
            <w:vAlign w:val="center"/>
          </w:tcPr>
          <w:p>
            <w:pPr>
              <w:pStyle w:val="2986"/>
              <w:rPr>
                <w:b/>
                <w:bCs/>
              </w:rPr>
            </w:pPr>
            <w:r>
              <w:rPr>
                <w:rFonts w:hint="eastAsia"/>
                <w:b/>
                <w:bCs/>
              </w:rPr>
              <w:t>2483</w:t>
            </w:r>
          </w:p>
        </w:tc>
        <w:tc>
          <w:tcPr>
            <w:tcW w:w="660" w:type="dxa"/>
            <w:tcBorders>
              <w:top w:val="nil"/>
              <w:left w:val="nil"/>
              <w:bottom w:val="single" w:color="auto" w:sz="4" w:space="0"/>
              <w:right w:val="single" w:color="auto" w:sz="4" w:space="0"/>
            </w:tcBorders>
            <w:shd w:val="clear" w:color="auto" w:fill="auto"/>
            <w:noWrap/>
            <w:vAlign w:val="center"/>
          </w:tcPr>
          <w:p>
            <w:pPr>
              <w:pStyle w:val="2986"/>
              <w:rPr>
                <w:b/>
                <w:bCs/>
              </w:rPr>
            </w:pPr>
            <w:r>
              <w:rPr>
                <w:rFonts w:hint="eastAsia"/>
                <w:b/>
                <w:bCs/>
              </w:rPr>
              <w:t>0</w:t>
            </w:r>
          </w:p>
        </w:tc>
        <w:tc>
          <w:tcPr>
            <w:tcW w:w="660" w:type="dxa"/>
            <w:tcBorders>
              <w:top w:val="nil"/>
              <w:left w:val="nil"/>
              <w:bottom w:val="single" w:color="auto" w:sz="4" w:space="0"/>
              <w:right w:val="single" w:color="auto" w:sz="12" w:space="0"/>
            </w:tcBorders>
            <w:shd w:val="clear" w:color="auto" w:fill="auto"/>
            <w:noWrap/>
            <w:vAlign w:val="center"/>
          </w:tcPr>
          <w:p>
            <w:pPr>
              <w:pStyle w:val="2986"/>
              <w:rPr>
                <w:b/>
                <w:bCs/>
              </w:rPr>
            </w:pPr>
            <w:r>
              <w:rPr>
                <w:rFonts w:hint="eastAsia"/>
                <w:b/>
                <w:bCs/>
              </w:rPr>
              <w:t>0</w:t>
            </w:r>
          </w:p>
        </w:tc>
      </w:tr>
      <w:tr>
        <w:tblPrEx>
          <w:tblCellMar>
            <w:top w:w="0" w:type="dxa"/>
            <w:left w:w="108" w:type="dxa"/>
            <w:bottom w:w="0" w:type="dxa"/>
            <w:right w:w="108" w:type="dxa"/>
          </w:tblCellMar>
        </w:tblPrEx>
        <w:trPr>
          <w:trHeight w:val="397" w:hRule="atLeast"/>
          <w:jc w:val="center"/>
        </w:trPr>
        <w:tc>
          <w:tcPr>
            <w:tcW w:w="727" w:type="dxa"/>
            <w:tcBorders>
              <w:top w:val="nil"/>
              <w:left w:val="single" w:color="auto" w:sz="12" w:space="0"/>
              <w:bottom w:val="single" w:color="auto" w:sz="12" w:space="0"/>
              <w:right w:val="single" w:color="auto" w:sz="4" w:space="0"/>
            </w:tcBorders>
            <w:shd w:val="clear" w:color="auto" w:fill="auto"/>
            <w:noWrap/>
            <w:vAlign w:val="center"/>
          </w:tcPr>
          <w:p>
            <w:pPr>
              <w:pStyle w:val="2986"/>
              <w:rPr>
                <w:b/>
                <w:bCs/>
              </w:rPr>
            </w:pPr>
            <w:r>
              <w:rPr>
                <w:rFonts w:hint="eastAsia"/>
                <w:b/>
                <w:bCs/>
              </w:rPr>
              <w:t>合计</w:t>
            </w:r>
          </w:p>
        </w:tc>
        <w:tc>
          <w:tcPr>
            <w:tcW w:w="549" w:type="dxa"/>
            <w:tcBorders>
              <w:top w:val="nil"/>
              <w:left w:val="nil"/>
              <w:bottom w:val="single" w:color="auto" w:sz="12" w:space="0"/>
              <w:right w:val="single" w:color="auto" w:sz="4" w:space="0"/>
            </w:tcBorders>
            <w:shd w:val="clear" w:color="auto" w:fill="auto"/>
            <w:noWrap/>
            <w:vAlign w:val="center"/>
          </w:tcPr>
          <w:p>
            <w:pPr>
              <w:pStyle w:val="2986"/>
              <w:rPr>
                <w:b/>
                <w:bCs/>
              </w:rPr>
            </w:pPr>
            <w:r>
              <w:rPr>
                <w:rFonts w:hint="eastAsia"/>
                <w:b/>
                <w:bCs/>
              </w:rPr>
              <w:t>　</w:t>
            </w:r>
          </w:p>
        </w:tc>
        <w:tc>
          <w:tcPr>
            <w:tcW w:w="1418" w:type="dxa"/>
            <w:tcBorders>
              <w:top w:val="nil"/>
              <w:left w:val="nil"/>
              <w:bottom w:val="single" w:color="auto" w:sz="12" w:space="0"/>
              <w:right w:val="single" w:color="auto" w:sz="4" w:space="0"/>
            </w:tcBorders>
            <w:shd w:val="clear" w:color="auto" w:fill="auto"/>
            <w:noWrap/>
            <w:vAlign w:val="center"/>
          </w:tcPr>
          <w:p>
            <w:pPr>
              <w:pStyle w:val="2986"/>
            </w:pPr>
            <w:r>
              <w:rPr>
                <w:rFonts w:hint="eastAsia"/>
              </w:rPr>
              <w:t>　</w:t>
            </w:r>
          </w:p>
        </w:tc>
        <w:tc>
          <w:tcPr>
            <w:tcW w:w="1169" w:type="dxa"/>
            <w:tcBorders>
              <w:top w:val="nil"/>
              <w:left w:val="nil"/>
              <w:bottom w:val="single" w:color="auto" w:sz="12" w:space="0"/>
              <w:right w:val="single" w:color="auto" w:sz="4" w:space="0"/>
            </w:tcBorders>
            <w:shd w:val="clear" w:color="auto" w:fill="auto"/>
            <w:noWrap/>
            <w:vAlign w:val="center"/>
          </w:tcPr>
          <w:p>
            <w:pPr>
              <w:pStyle w:val="2986"/>
            </w:pPr>
            <w:r>
              <w:rPr>
                <w:rFonts w:hint="eastAsia"/>
              </w:rPr>
              <w:t>　</w:t>
            </w:r>
          </w:p>
        </w:tc>
        <w:tc>
          <w:tcPr>
            <w:tcW w:w="825" w:type="dxa"/>
            <w:tcBorders>
              <w:top w:val="nil"/>
              <w:left w:val="nil"/>
              <w:bottom w:val="single" w:color="auto" w:sz="12" w:space="0"/>
              <w:right w:val="single" w:color="auto" w:sz="4" w:space="0"/>
            </w:tcBorders>
            <w:shd w:val="clear" w:color="auto" w:fill="auto"/>
            <w:noWrap/>
            <w:vAlign w:val="center"/>
          </w:tcPr>
          <w:p>
            <w:pPr>
              <w:pStyle w:val="2986"/>
              <w:rPr>
                <w:b/>
                <w:bCs/>
              </w:rPr>
            </w:pPr>
            <w:r>
              <w:rPr>
                <w:rFonts w:hint="eastAsia"/>
                <w:b/>
                <w:bCs/>
              </w:rPr>
              <w:t>27155</w:t>
            </w:r>
          </w:p>
        </w:tc>
        <w:tc>
          <w:tcPr>
            <w:tcW w:w="720" w:type="dxa"/>
            <w:tcBorders>
              <w:top w:val="nil"/>
              <w:left w:val="nil"/>
              <w:bottom w:val="single" w:color="auto" w:sz="12" w:space="0"/>
              <w:right w:val="single" w:color="auto" w:sz="4" w:space="0"/>
            </w:tcBorders>
            <w:shd w:val="clear" w:color="auto" w:fill="auto"/>
            <w:noWrap/>
            <w:vAlign w:val="center"/>
          </w:tcPr>
          <w:p>
            <w:pPr>
              <w:pStyle w:val="2986"/>
              <w:rPr>
                <w:b/>
                <w:bCs/>
              </w:rPr>
            </w:pPr>
            <w:r>
              <w:rPr>
                <w:rFonts w:hint="eastAsia"/>
                <w:b/>
                <w:bCs/>
              </w:rPr>
              <w:t>8624</w:t>
            </w:r>
          </w:p>
        </w:tc>
        <w:tc>
          <w:tcPr>
            <w:tcW w:w="930" w:type="dxa"/>
            <w:tcBorders>
              <w:top w:val="nil"/>
              <w:left w:val="nil"/>
              <w:bottom w:val="single" w:color="auto" w:sz="12" w:space="0"/>
              <w:right w:val="single" w:color="auto" w:sz="4" w:space="0"/>
            </w:tcBorders>
            <w:shd w:val="clear" w:color="auto" w:fill="auto"/>
            <w:noWrap/>
            <w:vAlign w:val="center"/>
          </w:tcPr>
          <w:p>
            <w:pPr>
              <w:pStyle w:val="2986"/>
              <w:rPr>
                <w:b/>
                <w:bCs/>
              </w:rPr>
            </w:pPr>
            <w:r>
              <w:rPr>
                <w:rFonts w:hint="eastAsia"/>
                <w:b/>
                <w:bCs/>
              </w:rPr>
              <w:t>12253</w:t>
            </w:r>
          </w:p>
        </w:tc>
        <w:tc>
          <w:tcPr>
            <w:tcW w:w="855" w:type="dxa"/>
            <w:tcBorders>
              <w:top w:val="nil"/>
              <w:left w:val="nil"/>
              <w:bottom w:val="single" w:color="auto" w:sz="12" w:space="0"/>
              <w:right w:val="single" w:color="auto" w:sz="4" w:space="0"/>
            </w:tcBorders>
            <w:shd w:val="clear" w:color="auto" w:fill="auto"/>
            <w:noWrap/>
            <w:vAlign w:val="center"/>
          </w:tcPr>
          <w:p>
            <w:pPr>
              <w:pStyle w:val="2986"/>
              <w:rPr>
                <w:b/>
                <w:bCs/>
              </w:rPr>
            </w:pPr>
            <w:r>
              <w:rPr>
                <w:rFonts w:hint="eastAsia"/>
                <w:b/>
                <w:bCs/>
              </w:rPr>
              <w:t>5819</w:t>
            </w:r>
          </w:p>
        </w:tc>
        <w:tc>
          <w:tcPr>
            <w:tcW w:w="660" w:type="dxa"/>
            <w:tcBorders>
              <w:top w:val="nil"/>
              <w:left w:val="nil"/>
              <w:bottom w:val="single" w:color="auto" w:sz="12" w:space="0"/>
              <w:right w:val="single" w:color="auto" w:sz="4" w:space="0"/>
            </w:tcBorders>
            <w:shd w:val="clear" w:color="auto" w:fill="auto"/>
            <w:noWrap/>
            <w:vAlign w:val="center"/>
          </w:tcPr>
          <w:p>
            <w:pPr>
              <w:pStyle w:val="2986"/>
              <w:rPr>
                <w:b/>
                <w:bCs/>
              </w:rPr>
            </w:pPr>
            <w:r>
              <w:rPr>
                <w:rFonts w:hint="eastAsia"/>
                <w:b/>
                <w:bCs/>
              </w:rPr>
              <w:t>300</w:t>
            </w:r>
          </w:p>
        </w:tc>
        <w:tc>
          <w:tcPr>
            <w:tcW w:w="660" w:type="dxa"/>
            <w:tcBorders>
              <w:top w:val="nil"/>
              <w:left w:val="nil"/>
              <w:bottom w:val="single" w:color="auto" w:sz="12" w:space="0"/>
              <w:right w:val="single" w:color="auto" w:sz="12" w:space="0"/>
            </w:tcBorders>
            <w:shd w:val="clear" w:color="auto" w:fill="auto"/>
            <w:noWrap/>
            <w:vAlign w:val="center"/>
          </w:tcPr>
          <w:p>
            <w:pPr>
              <w:pStyle w:val="2986"/>
              <w:rPr>
                <w:b/>
                <w:bCs/>
              </w:rPr>
            </w:pPr>
            <w:r>
              <w:rPr>
                <w:rFonts w:hint="eastAsia"/>
                <w:b/>
                <w:bCs/>
              </w:rPr>
              <w:t>159</w:t>
            </w:r>
          </w:p>
        </w:tc>
      </w:tr>
    </w:tbl>
    <w:p>
      <w:pPr>
        <w:pStyle w:val="5"/>
        <w:tabs>
          <w:tab w:val="left" w:pos="766"/>
        </w:tabs>
        <w:autoSpaceDE/>
        <w:autoSpaceDN/>
        <w:adjustRightInd w:val="0"/>
        <w:snapToGrid w:val="0"/>
        <w:spacing w:before="0" w:line="360" w:lineRule="auto"/>
        <w:ind w:left="0" w:leftChars="0" w:firstLine="480" w:firstLineChars="200"/>
        <w:jc w:val="both"/>
        <w:rPr>
          <w:rFonts w:hint="default" w:ascii="Times New Roman" w:hAnsi="Times New Roman" w:eastAsia="宋体" w:cs="Times New Roman"/>
          <w:b w:val="0"/>
          <w:bCs w:val="0"/>
          <w:color w:val="auto"/>
          <w:sz w:val="24"/>
          <w:szCs w:val="24"/>
          <w:u w:val="none"/>
          <w:lang w:val="en-US" w:eastAsia="zh-CN" w:bidi="zh-CN"/>
        </w:rPr>
      </w:pPr>
      <w:r>
        <w:rPr>
          <w:rFonts w:hint="eastAsia" w:ascii="Times New Roman" w:hAnsi="Times New Roman" w:cs="Times New Roman"/>
          <w:b w:val="0"/>
          <w:bCs w:val="0"/>
          <w:color w:val="auto"/>
          <w:sz w:val="24"/>
          <w:szCs w:val="24"/>
          <w:u w:val="none"/>
          <w:lang w:val="en-US" w:eastAsia="zh-CN" w:bidi="zh-CN"/>
        </w:rPr>
        <w:t>2、本次治理河道清淤疏浚总长度14.619km，疏浚开挖坡比为1：2～1：3，总清淤量74368m</w:t>
      </w:r>
      <w:r>
        <w:rPr>
          <w:rFonts w:hint="eastAsia" w:ascii="Times New Roman" w:hAnsi="Times New Roman" w:cs="Times New Roman"/>
          <w:b w:val="0"/>
          <w:bCs w:val="0"/>
          <w:color w:val="auto"/>
          <w:sz w:val="24"/>
          <w:szCs w:val="24"/>
          <w:u w:val="none"/>
          <w:vertAlign w:val="superscript"/>
          <w:lang w:val="en-US" w:eastAsia="zh-CN" w:bidi="zh-CN"/>
        </w:rPr>
        <w:t>3</w:t>
      </w:r>
      <w:r>
        <w:rPr>
          <w:rFonts w:hint="eastAsia" w:ascii="Times New Roman" w:hAnsi="Times New Roman" w:cs="Times New Roman"/>
          <w:b w:val="0"/>
          <w:bCs w:val="0"/>
          <w:color w:val="auto"/>
          <w:sz w:val="24"/>
          <w:szCs w:val="24"/>
          <w:u w:val="none"/>
          <w:lang w:val="en-US" w:eastAsia="zh-CN" w:bidi="zh-CN"/>
        </w:rPr>
        <w:t>，总疏浚量19307.4m</w:t>
      </w:r>
      <w:r>
        <w:rPr>
          <w:rFonts w:hint="eastAsia" w:ascii="Times New Roman" w:hAnsi="Times New Roman" w:cs="Times New Roman"/>
          <w:b w:val="0"/>
          <w:bCs w:val="0"/>
          <w:color w:val="auto"/>
          <w:sz w:val="24"/>
          <w:szCs w:val="24"/>
          <w:u w:val="none"/>
          <w:vertAlign w:val="superscript"/>
          <w:lang w:val="en-US" w:eastAsia="zh-CN" w:bidi="zh-CN"/>
        </w:rPr>
        <w:t>3</w:t>
      </w:r>
      <w:r>
        <w:rPr>
          <w:rFonts w:hint="eastAsia" w:ascii="Times New Roman" w:hAnsi="Times New Roman" w:cs="Times New Roman"/>
          <w:b w:val="0"/>
          <w:bCs w:val="0"/>
          <w:color w:val="auto"/>
          <w:sz w:val="24"/>
          <w:szCs w:val="24"/>
          <w:u w:val="none"/>
          <w:lang w:val="en-US" w:eastAsia="zh-CN" w:bidi="zh-CN"/>
        </w:rPr>
        <w:t>，清除砂卵石、石渣2103.4m</w:t>
      </w:r>
      <w:r>
        <w:rPr>
          <w:rFonts w:hint="eastAsia" w:ascii="Times New Roman" w:hAnsi="Times New Roman" w:cs="Times New Roman"/>
          <w:b w:val="0"/>
          <w:bCs w:val="0"/>
          <w:color w:val="auto"/>
          <w:sz w:val="24"/>
          <w:szCs w:val="24"/>
          <w:u w:val="none"/>
          <w:vertAlign w:val="superscript"/>
          <w:lang w:val="en-US" w:eastAsia="zh-CN" w:bidi="zh-CN"/>
        </w:rPr>
        <w:t>3</w:t>
      </w:r>
      <w:r>
        <w:rPr>
          <w:rFonts w:hint="eastAsia" w:ascii="Times New Roman" w:hAnsi="Times New Roman" w:cs="Times New Roman"/>
          <w:b w:val="0"/>
          <w:bCs w:val="0"/>
          <w:color w:val="auto"/>
          <w:sz w:val="24"/>
          <w:szCs w:val="24"/>
          <w:u w:val="none"/>
          <w:lang w:val="en-US" w:eastAsia="zh-CN" w:bidi="zh-CN"/>
        </w:rPr>
        <w:t>，砌体拆除50.95m</w:t>
      </w:r>
      <w:r>
        <w:rPr>
          <w:rFonts w:hint="eastAsia" w:ascii="Times New Roman" w:hAnsi="Times New Roman" w:cs="Times New Roman"/>
          <w:b w:val="0"/>
          <w:bCs w:val="0"/>
          <w:color w:val="auto"/>
          <w:sz w:val="24"/>
          <w:szCs w:val="24"/>
          <w:u w:val="none"/>
          <w:vertAlign w:val="superscript"/>
          <w:lang w:val="en-US" w:eastAsia="zh-CN" w:bidi="zh-CN"/>
        </w:rPr>
        <w:t>3</w:t>
      </w:r>
      <w:r>
        <w:rPr>
          <w:rFonts w:hint="eastAsia" w:ascii="Times New Roman" w:hAnsi="Times New Roman" w:cs="Times New Roman"/>
          <w:b w:val="0"/>
          <w:bCs w:val="0"/>
          <w:color w:val="auto"/>
          <w:sz w:val="24"/>
          <w:szCs w:val="24"/>
          <w:u w:val="none"/>
          <w:lang w:val="en-US" w:eastAsia="zh-CN" w:bidi="zh-CN"/>
        </w:rPr>
        <w:t>。</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sz w:val="24"/>
          <w:szCs w:val="24"/>
          <w:lang w:val="en-US" w:eastAsia="zh-CN" w:bidi="zh-CN"/>
        </w:rPr>
      </w:pPr>
      <w:r>
        <w:rPr>
          <w:rFonts w:hint="default" w:ascii="Times New Roman" w:hAnsi="Times New Roman" w:eastAsia="宋体" w:cs="Times New Roman"/>
          <w:b/>
          <w:sz w:val="24"/>
          <w:szCs w:val="24"/>
          <w:lang w:val="zh-CN" w:eastAsia="zh-CN" w:bidi="zh-CN"/>
        </w:rPr>
        <w:t>表</w:t>
      </w:r>
      <w:r>
        <w:rPr>
          <w:rFonts w:hint="eastAsia" w:ascii="Times New Roman" w:hAnsi="Times New Roman" w:eastAsia="宋体" w:cs="Times New Roman"/>
          <w:b/>
          <w:sz w:val="24"/>
          <w:szCs w:val="24"/>
          <w:lang w:val="en-US" w:eastAsia="zh-CN" w:bidi="zh-CN"/>
        </w:rPr>
        <w:t>3.2</w:t>
      </w:r>
      <w:r>
        <w:rPr>
          <w:rFonts w:hint="default" w:ascii="Times New Roman" w:hAnsi="Times New Roman" w:eastAsia="宋体" w:cs="Times New Roman"/>
          <w:b/>
          <w:sz w:val="24"/>
          <w:szCs w:val="24"/>
          <w:lang w:val="zh-CN" w:eastAsia="zh-CN" w:bidi="zh-CN"/>
        </w:rPr>
        <w:t>-</w:t>
      </w:r>
      <w:r>
        <w:rPr>
          <w:rFonts w:hint="eastAsia" w:ascii="Times New Roman" w:hAnsi="Times New Roman" w:cs="Times New Roman"/>
          <w:b/>
          <w:sz w:val="24"/>
          <w:szCs w:val="24"/>
          <w:lang w:val="en-US" w:eastAsia="zh-CN" w:bidi="zh-CN"/>
        </w:rPr>
        <w:t>4</w:t>
      </w:r>
      <w:r>
        <w:rPr>
          <w:rFonts w:hint="default" w:ascii="Times New Roman" w:hAnsi="Times New Roman" w:eastAsia="宋体" w:cs="Times New Roman"/>
          <w:b/>
          <w:sz w:val="24"/>
          <w:szCs w:val="24"/>
          <w:lang w:val="zh-CN" w:eastAsia="zh-CN" w:bidi="zh-CN"/>
        </w:rPr>
        <w:t>祁水祁东县治理工程清淤疏浚明细表</w:t>
      </w:r>
    </w:p>
    <w:tbl>
      <w:tblPr>
        <w:tblStyle w:val="89"/>
        <w:tblW w:w="85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9"/>
        <w:gridCol w:w="3277"/>
        <w:gridCol w:w="992"/>
        <w:gridCol w:w="1231"/>
        <w:gridCol w:w="1019"/>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30" w:hRule="atLeast"/>
          <w:tblHeader/>
          <w:jc w:val="center"/>
        </w:trPr>
        <w:tc>
          <w:tcPr>
            <w:tcW w:w="879" w:type="dxa"/>
            <w:shd w:val="clear" w:color="auto" w:fill="auto"/>
            <w:noWrap/>
            <w:vAlign w:val="center"/>
          </w:tcPr>
          <w:p>
            <w:pPr>
              <w:pStyle w:val="2986"/>
              <w:rPr>
                <w:sz w:val="21"/>
                <w:szCs w:val="21"/>
              </w:rPr>
            </w:pPr>
            <w:r>
              <w:rPr>
                <w:rFonts w:hint="eastAsia"/>
                <w:sz w:val="21"/>
                <w:szCs w:val="21"/>
              </w:rPr>
              <w:t>序号</w:t>
            </w:r>
          </w:p>
        </w:tc>
        <w:tc>
          <w:tcPr>
            <w:tcW w:w="3277" w:type="dxa"/>
            <w:shd w:val="clear" w:color="auto" w:fill="auto"/>
            <w:noWrap w:val="0"/>
            <w:vAlign w:val="center"/>
          </w:tcPr>
          <w:p>
            <w:pPr>
              <w:pStyle w:val="2986"/>
              <w:rPr>
                <w:sz w:val="21"/>
                <w:szCs w:val="21"/>
              </w:rPr>
            </w:pPr>
            <w:r>
              <w:rPr>
                <w:rFonts w:hint="eastAsia"/>
                <w:sz w:val="21"/>
                <w:szCs w:val="21"/>
              </w:rPr>
              <w:t>桩号范围</w:t>
            </w:r>
          </w:p>
        </w:tc>
        <w:tc>
          <w:tcPr>
            <w:tcW w:w="992" w:type="dxa"/>
            <w:shd w:val="clear" w:color="auto" w:fill="auto"/>
            <w:noWrap w:val="0"/>
            <w:vAlign w:val="center"/>
          </w:tcPr>
          <w:p>
            <w:pPr>
              <w:pStyle w:val="2986"/>
              <w:rPr>
                <w:sz w:val="21"/>
                <w:szCs w:val="21"/>
              </w:rPr>
            </w:pPr>
            <w:r>
              <w:rPr>
                <w:rFonts w:hint="eastAsia"/>
                <w:sz w:val="21"/>
                <w:szCs w:val="21"/>
              </w:rPr>
              <w:t>清淤量</w:t>
            </w:r>
          </w:p>
        </w:tc>
        <w:tc>
          <w:tcPr>
            <w:tcW w:w="1231" w:type="dxa"/>
            <w:shd w:val="clear" w:color="auto" w:fill="auto"/>
            <w:noWrap w:val="0"/>
            <w:vAlign w:val="center"/>
          </w:tcPr>
          <w:p>
            <w:pPr>
              <w:pStyle w:val="2986"/>
              <w:rPr>
                <w:sz w:val="21"/>
                <w:szCs w:val="21"/>
              </w:rPr>
            </w:pPr>
            <w:r>
              <w:rPr>
                <w:rFonts w:hint="eastAsia"/>
                <w:sz w:val="21"/>
                <w:szCs w:val="21"/>
              </w:rPr>
              <w:t>疏浚量</w:t>
            </w:r>
          </w:p>
        </w:tc>
        <w:tc>
          <w:tcPr>
            <w:tcW w:w="1019" w:type="dxa"/>
            <w:shd w:val="clear" w:color="auto" w:fill="auto"/>
            <w:noWrap w:val="0"/>
            <w:vAlign w:val="center"/>
          </w:tcPr>
          <w:p>
            <w:pPr>
              <w:pStyle w:val="2986"/>
              <w:rPr>
                <w:sz w:val="21"/>
                <w:szCs w:val="21"/>
              </w:rPr>
            </w:pPr>
            <w:r>
              <w:rPr>
                <w:rFonts w:hint="eastAsia"/>
                <w:sz w:val="21"/>
                <w:szCs w:val="21"/>
              </w:rPr>
              <w:t>清除砂卵石、石渣</w:t>
            </w:r>
          </w:p>
        </w:tc>
        <w:tc>
          <w:tcPr>
            <w:tcW w:w="1200" w:type="dxa"/>
            <w:shd w:val="clear" w:color="auto" w:fill="auto"/>
            <w:noWrap w:val="0"/>
            <w:vAlign w:val="center"/>
          </w:tcPr>
          <w:p>
            <w:pPr>
              <w:pStyle w:val="2986"/>
              <w:rPr>
                <w:sz w:val="21"/>
                <w:szCs w:val="21"/>
              </w:rPr>
            </w:pPr>
            <w:r>
              <w:rPr>
                <w:rFonts w:hint="eastAsia"/>
                <w:sz w:val="21"/>
                <w:szCs w:val="21"/>
              </w:rPr>
              <w:t>砌体拆除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 w:type="dxa"/>
            <w:shd w:val="clear" w:color="auto" w:fill="auto"/>
            <w:noWrap/>
            <w:vAlign w:val="center"/>
          </w:tcPr>
          <w:p>
            <w:pPr>
              <w:pStyle w:val="2986"/>
              <w:rPr>
                <w:rFonts w:cs="宋体"/>
                <w:b/>
                <w:bCs/>
                <w:sz w:val="21"/>
                <w:szCs w:val="21"/>
              </w:rPr>
            </w:pPr>
            <w:r>
              <w:rPr>
                <w:rFonts w:hint="eastAsia" w:cs="宋体"/>
                <w:b/>
                <w:bCs/>
                <w:sz w:val="21"/>
                <w:szCs w:val="21"/>
              </w:rPr>
              <w:t>（一）</w:t>
            </w:r>
          </w:p>
        </w:tc>
        <w:tc>
          <w:tcPr>
            <w:tcW w:w="3277" w:type="dxa"/>
            <w:shd w:val="clear" w:color="auto" w:fill="auto"/>
            <w:noWrap/>
            <w:vAlign w:val="center"/>
          </w:tcPr>
          <w:p>
            <w:pPr>
              <w:pStyle w:val="2986"/>
              <w:jc w:val="left"/>
              <w:rPr>
                <w:rFonts w:cs="宋体"/>
                <w:b/>
                <w:bCs/>
                <w:sz w:val="21"/>
                <w:szCs w:val="21"/>
              </w:rPr>
            </w:pPr>
            <w:r>
              <w:rPr>
                <w:rFonts w:hint="eastAsia" w:cs="宋体"/>
                <w:b/>
                <w:bCs/>
                <w:sz w:val="21"/>
                <w:szCs w:val="21"/>
              </w:rPr>
              <w:t>祁水源段开挖疏浚(L=288m)</w:t>
            </w:r>
          </w:p>
        </w:tc>
        <w:tc>
          <w:tcPr>
            <w:tcW w:w="992" w:type="dxa"/>
            <w:shd w:val="clear" w:color="auto" w:fill="auto"/>
            <w:noWrap w:val="0"/>
            <w:vAlign w:val="center"/>
          </w:tcPr>
          <w:p>
            <w:pPr>
              <w:pStyle w:val="2986"/>
              <w:rPr>
                <w:b/>
                <w:bCs/>
                <w:sz w:val="21"/>
                <w:szCs w:val="21"/>
              </w:rPr>
            </w:pPr>
            <w:r>
              <w:rPr>
                <w:b/>
                <w:bCs/>
                <w:sz w:val="21"/>
                <w:szCs w:val="21"/>
              </w:rPr>
              <w:t>　</w:t>
            </w:r>
          </w:p>
        </w:tc>
        <w:tc>
          <w:tcPr>
            <w:tcW w:w="1231" w:type="dxa"/>
            <w:shd w:val="clear" w:color="auto" w:fill="auto"/>
            <w:noWrap/>
            <w:vAlign w:val="center"/>
          </w:tcPr>
          <w:p>
            <w:pPr>
              <w:pStyle w:val="2986"/>
              <w:rPr>
                <w:b/>
                <w:bCs/>
                <w:sz w:val="21"/>
                <w:szCs w:val="21"/>
              </w:rPr>
            </w:pPr>
            <w:r>
              <w:rPr>
                <w:b/>
                <w:bCs/>
                <w:sz w:val="21"/>
                <w:szCs w:val="21"/>
              </w:rPr>
              <w:t>339</w:t>
            </w:r>
          </w:p>
        </w:tc>
        <w:tc>
          <w:tcPr>
            <w:tcW w:w="1019" w:type="dxa"/>
            <w:shd w:val="clear" w:color="auto" w:fill="auto"/>
            <w:noWrap/>
            <w:vAlign w:val="center"/>
          </w:tcPr>
          <w:p>
            <w:pPr>
              <w:pStyle w:val="2986"/>
              <w:rPr>
                <w:b/>
                <w:bCs/>
                <w:sz w:val="21"/>
                <w:szCs w:val="21"/>
              </w:rPr>
            </w:pPr>
            <w:r>
              <w:rPr>
                <w:b/>
                <w:bCs/>
                <w:sz w:val="21"/>
                <w:szCs w:val="21"/>
              </w:rPr>
              <w:t>　</w:t>
            </w:r>
          </w:p>
        </w:tc>
        <w:tc>
          <w:tcPr>
            <w:tcW w:w="1200" w:type="dxa"/>
            <w:shd w:val="clear" w:color="auto" w:fill="auto"/>
            <w:noWrap/>
            <w:vAlign w:val="center"/>
          </w:tcPr>
          <w:p>
            <w:pPr>
              <w:pStyle w:val="2986"/>
              <w:rPr>
                <w:b/>
                <w:bCs/>
                <w:sz w:val="21"/>
                <w:szCs w:val="21"/>
              </w:rPr>
            </w:pPr>
            <w:r>
              <w:rPr>
                <w:b/>
                <w:bCs/>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 w:type="dxa"/>
            <w:shd w:val="clear" w:color="auto" w:fill="auto"/>
            <w:noWrap/>
            <w:vAlign w:val="center"/>
          </w:tcPr>
          <w:p>
            <w:pPr>
              <w:pStyle w:val="2986"/>
              <w:rPr>
                <w:rFonts w:cs="宋体"/>
                <w:sz w:val="21"/>
                <w:szCs w:val="21"/>
              </w:rPr>
            </w:pPr>
            <w:r>
              <w:rPr>
                <w:rFonts w:hint="eastAsia" w:cs="宋体"/>
                <w:sz w:val="21"/>
                <w:szCs w:val="21"/>
              </w:rPr>
              <w:t>1</w:t>
            </w:r>
          </w:p>
        </w:tc>
        <w:tc>
          <w:tcPr>
            <w:tcW w:w="3277" w:type="dxa"/>
            <w:shd w:val="clear" w:color="auto" w:fill="auto"/>
            <w:noWrap/>
            <w:vAlign w:val="center"/>
          </w:tcPr>
          <w:p>
            <w:pPr>
              <w:pStyle w:val="2986"/>
              <w:jc w:val="left"/>
              <w:rPr>
                <w:rFonts w:cs="宋体"/>
                <w:sz w:val="21"/>
                <w:szCs w:val="21"/>
              </w:rPr>
            </w:pPr>
            <w:r>
              <w:rPr>
                <w:rFonts w:hint="eastAsia" w:cs="宋体"/>
                <w:sz w:val="21"/>
                <w:szCs w:val="21"/>
              </w:rPr>
              <w:t>祁3+100～祁3+158(L=58m)</w:t>
            </w:r>
          </w:p>
        </w:tc>
        <w:tc>
          <w:tcPr>
            <w:tcW w:w="992" w:type="dxa"/>
            <w:shd w:val="clear" w:color="auto" w:fill="auto"/>
            <w:noWrap w:val="0"/>
            <w:vAlign w:val="center"/>
          </w:tcPr>
          <w:p>
            <w:pPr>
              <w:pStyle w:val="2986"/>
              <w:rPr>
                <w:sz w:val="21"/>
                <w:szCs w:val="21"/>
              </w:rPr>
            </w:pPr>
            <w:r>
              <w:rPr>
                <w:sz w:val="21"/>
                <w:szCs w:val="21"/>
              </w:rPr>
              <w:t>　</w:t>
            </w:r>
          </w:p>
        </w:tc>
        <w:tc>
          <w:tcPr>
            <w:tcW w:w="1231" w:type="dxa"/>
            <w:shd w:val="clear" w:color="auto" w:fill="auto"/>
            <w:noWrap/>
            <w:vAlign w:val="center"/>
          </w:tcPr>
          <w:p>
            <w:pPr>
              <w:pStyle w:val="2986"/>
              <w:rPr>
                <w:sz w:val="21"/>
                <w:szCs w:val="21"/>
              </w:rPr>
            </w:pPr>
            <w:r>
              <w:rPr>
                <w:sz w:val="21"/>
                <w:szCs w:val="21"/>
              </w:rPr>
              <w:t>48</w:t>
            </w:r>
          </w:p>
        </w:tc>
        <w:tc>
          <w:tcPr>
            <w:tcW w:w="1019" w:type="dxa"/>
            <w:shd w:val="clear" w:color="auto" w:fill="auto"/>
            <w:noWrap/>
            <w:vAlign w:val="center"/>
          </w:tcPr>
          <w:p>
            <w:pPr>
              <w:pStyle w:val="2986"/>
              <w:rPr>
                <w:sz w:val="21"/>
                <w:szCs w:val="21"/>
              </w:rPr>
            </w:pPr>
            <w:r>
              <w:rPr>
                <w:sz w:val="21"/>
                <w:szCs w:val="21"/>
              </w:rPr>
              <w:t>　</w:t>
            </w:r>
          </w:p>
        </w:tc>
        <w:tc>
          <w:tcPr>
            <w:tcW w:w="1200" w:type="dxa"/>
            <w:shd w:val="clear" w:color="auto" w:fill="auto"/>
            <w:noWrap/>
            <w:vAlign w:val="center"/>
          </w:tcPr>
          <w:p>
            <w:pPr>
              <w:pStyle w:val="2986"/>
              <w:rPr>
                <w:sz w:val="21"/>
                <w:szCs w:val="21"/>
              </w:rPr>
            </w:pPr>
            <w:r>
              <w:rPr>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 w:type="dxa"/>
            <w:shd w:val="clear" w:color="auto" w:fill="auto"/>
            <w:noWrap/>
            <w:vAlign w:val="center"/>
          </w:tcPr>
          <w:p>
            <w:pPr>
              <w:pStyle w:val="2986"/>
              <w:rPr>
                <w:rFonts w:cs="宋体"/>
                <w:sz w:val="21"/>
                <w:szCs w:val="21"/>
              </w:rPr>
            </w:pPr>
            <w:r>
              <w:rPr>
                <w:rFonts w:hint="eastAsia" w:cs="宋体"/>
                <w:sz w:val="21"/>
                <w:szCs w:val="21"/>
              </w:rPr>
              <w:t>2</w:t>
            </w:r>
          </w:p>
        </w:tc>
        <w:tc>
          <w:tcPr>
            <w:tcW w:w="3277" w:type="dxa"/>
            <w:shd w:val="clear" w:color="auto" w:fill="auto"/>
            <w:noWrap/>
            <w:vAlign w:val="center"/>
          </w:tcPr>
          <w:p>
            <w:pPr>
              <w:pStyle w:val="2986"/>
              <w:jc w:val="left"/>
              <w:rPr>
                <w:rFonts w:cs="宋体"/>
                <w:sz w:val="21"/>
                <w:szCs w:val="21"/>
              </w:rPr>
            </w:pPr>
            <w:r>
              <w:rPr>
                <w:rFonts w:hint="eastAsia" w:cs="宋体"/>
                <w:sz w:val="21"/>
                <w:szCs w:val="21"/>
              </w:rPr>
              <w:t>祁3+320～祁3+550(L=230m)</w:t>
            </w:r>
          </w:p>
        </w:tc>
        <w:tc>
          <w:tcPr>
            <w:tcW w:w="992" w:type="dxa"/>
            <w:shd w:val="clear" w:color="auto" w:fill="auto"/>
            <w:noWrap w:val="0"/>
            <w:vAlign w:val="center"/>
          </w:tcPr>
          <w:p>
            <w:pPr>
              <w:pStyle w:val="2986"/>
              <w:rPr>
                <w:sz w:val="21"/>
                <w:szCs w:val="21"/>
              </w:rPr>
            </w:pPr>
            <w:r>
              <w:rPr>
                <w:sz w:val="21"/>
                <w:szCs w:val="21"/>
              </w:rPr>
              <w:t>　</w:t>
            </w:r>
          </w:p>
        </w:tc>
        <w:tc>
          <w:tcPr>
            <w:tcW w:w="1231" w:type="dxa"/>
            <w:shd w:val="clear" w:color="auto" w:fill="auto"/>
            <w:noWrap/>
            <w:vAlign w:val="center"/>
          </w:tcPr>
          <w:p>
            <w:pPr>
              <w:pStyle w:val="2986"/>
              <w:rPr>
                <w:sz w:val="21"/>
                <w:szCs w:val="21"/>
              </w:rPr>
            </w:pPr>
            <w:r>
              <w:rPr>
                <w:sz w:val="21"/>
                <w:szCs w:val="21"/>
              </w:rPr>
              <w:t>291</w:t>
            </w:r>
          </w:p>
        </w:tc>
        <w:tc>
          <w:tcPr>
            <w:tcW w:w="1019" w:type="dxa"/>
            <w:shd w:val="clear" w:color="auto" w:fill="auto"/>
            <w:noWrap/>
            <w:vAlign w:val="center"/>
          </w:tcPr>
          <w:p>
            <w:pPr>
              <w:pStyle w:val="2986"/>
              <w:rPr>
                <w:sz w:val="21"/>
                <w:szCs w:val="21"/>
              </w:rPr>
            </w:pPr>
            <w:r>
              <w:rPr>
                <w:sz w:val="21"/>
                <w:szCs w:val="21"/>
              </w:rPr>
              <w:t>　</w:t>
            </w:r>
          </w:p>
        </w:tc>
        <w:tc>
          <w:tcPr>
            <w:tcW w:w="1200" w:type="dxa"/>
            <w:shd w:val="clear" w:color="auto" w:fill="auto"/>
            <w:noWrap/>
            <w:vAlign w:val="center"/>
          </w:tcPr>
          <w:p>
            <w:pPr>
              <w:pStyle w:val="2986"/>
              <w:rPr>
                <w:sz w:val="21"/>
                <w:szCs w:val="21"/>
              </w:rPr>
            </w:pPr>
            <w:r>
              <w:rPr>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 w:type="dxa"/>
            <w:shd w:val="clear" w:color="auto" w:fill="auto"/>
            <w:noWrap/>
            <w:vAlign w:val="center"/>
          </w:tcPr>
          <w:p>
            <w:pPr>
              <w:pStyle w:val="2986"/>
              <w:rPr>
                <w:rFonts w:cs="宋体"/>
                <w:b/>
                <w:bCs/>
                <w:sz w:val="21"/>
                <w:szCs w:val="21"/>
              </w:rPr>
            </w:pPr>
            <w:r>
              <w:rPr>
                <w:rFonts w:hint="eastAsia" w:cs="宋体"/>
                <w:b/>
                <w:bCs/>
                <w:sz w:val="21"/>
                <w:szCs w:val="21"/>
              </w:rPr>
              <w:t>（二）</w:t>
            </w:r>
          </w:p>
        </w:tc>
        <w:tc>
          <w:tcPr>
            <w:tcW w:w="3277" w:type="dxa"/>
            <w:shd w:val="clear" w:color="auto" w:fill="auto"/>
            <w:noWrap/>
            <w:vAlign w:val="center"/>
          </w:tcPr>
          <w:p>
            <w:pPr>
              <w:pStyle w:val="2986"/>
              <w:jc w:val="left"/>
              <w:rPr>
                <w:rFonts w:cs="宋体"/>
                <w:b/>
                <w:bCs/>
                <w:sz w:val="21"/>
                <w:szCs w:val="21"/>
              </w:rPr>
            </w:pPr>
            <w:r>
              <w:rPr>
                <w:rFonts w:hint="eastAsia" w:cs="宋体"/>
                <w:b/>
                <w:bCs/>
                <w:sz w:val="21"/>
                <w:szCs w:val="21"/>
              </w:rPr>
              <w:t>太和堂段开挖疏浚(L=8094m)</w:t>
            </w:r>
          </w:p>
        </w:tc>
        <w:tc>
          <w:tcPr>
            <w:tcW w:w="992" w:type="dxa"/>
            <w:shd w:val="clear" w:color="auto" w:fill="auto"/>
            <w:noWrap w:val="0"/>
            <w:vAlign w:val="center"/>
          </w:tcPr>
          <w:p>
            <w:pPr>
              <w:pStyle w:val="2986"/>
              <w:rPr>
                <w:b/>
                <w:bCs/>
                <w:sz w:val="21"/>
                <w:szCs w:val="21"/>
              </w:rPr>
            </w:pPr>
            <w:r>
              <w:rPr>
                <w:b/>
                <w:bCs/>
                <w:sz w:val="21"/>
                <w:szCs w:val="21"/>
              </w:rPr>
              <w:t>　</w:t>
            </w:r>
          </w:p>
        </w:tc>
        <w:tc>
          <w:tcPr>
            <w:tcW w:w="1231" w:type="dxa"/>
            <w:shd w:val="clear" w:color="auto" w:fill="auto"/>
            <w:noWrap/>
            <w:vAlign w:val="center"/>
          </w:tcPr>
          <w:p>
            <w:pPr>
              <w:pStyle w:val="2986"/>
              <w:rPr>
                <w:b/>
                <w:bCs/>
                <w:sz w:val="21"/>
                <w:szCs w:val="21"/>
              </w:rPr>
            </w:pPr>
            <w:r>
              <w:rPr>
                <w:b/>
                <w:bCs/>
                <w:sz w:val="21"/>
                <w:szCs w:val="21"/>
              </w:rPr>
              <w:t>18968.4</w:t>
            </w:r>
          </w:p>
        </w:tc>
        <w:tc>
          <w:tcPr>
            <w:tcW w:w="1019" w:type="dxa"/>
            <w:shd w:val="clear" w:color="auto" w:fill="auto"/>
            <w:noWrap/>
            <w:vAlign w:val="center"/>
          </w:tcPr>
          <w:p>
            <w:pPr>
              <w:pStyle w:val="2986"/>
              <w:rPr>
                <w:b/>
                <w:bCs/>
                <w:sz w:val="21"/>
                <w:szCs w:val="21"/>
              </w:rPr>
            </w:pPr>
            <w:r>
              <w:rPr>
                <w:b/>
                <w:bCs/>
                <w:sz w:val="21"/>
                <w:szCs w:val="21"/>
              </w:rPr>
              <w:t>2103.</w:t>
            </w:r>
            <w:r>
              <w:rPr>
                <w:rFonts w:hint="eastAsia"/>
                <w:b/>
                <w:bCs/>
                <w:sz w:val="21"/>
                <w:szCs w:val="21"/>
              </w:rPr>
              <w:t>4</w:t>
            </w:r>
          </w:p>
        </w:tc>
        <w:tc>
          <w:tcPr>
            <w:tcW w:w="1200" w:type="dxa"/>
            <w:shd w:val="clear" w:color="auto" w:fill="auto"/>
            <w:noWrap/>
            <w:vAlign w:val="center"/>
          </w:tcPr>
          <w:p>
            <w:pPr>
              <w:pStyle w:val="2986"/>
              <w:rPr>
                <w:b/>
                <w:bCs/>
                <w:sz w:val="21"/>
                <w:szCs w:val="21"/>
              </w:rPr>
            </w:pPr>
            <w:r>
              <w:rPr>
                <w:b/>
                <w:bCs/>
                <w:sz w:val="21"/>
                <w:szCs w:val="21"/>
              </w:rPr>
              <w:t>50.95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 w:type="dxa"/>
            <w:shd w:val="clear" w:color="auto" w:fill="auto"/>
            <w:noWrap/>
            <w:vAlign w:val="center"/>
          </w:tcPr>
          <w:p>
            <w:pPr>
              <w:pStyle w:val="2986"/>
              <w:rPr>
                <w:rFonts w:cs="宋体"/>
                <w:sz w:val="21"/>
                <w:szCs w:val="21"/>
              </w:rPr>
            </w:pPr>
            <w:r>
              <w:rPr>
                <w:rFonts w:hint="eastAsia" w:cs="宋体"/>
                <w:sz w:val="21"/>
                <w:szCs w:val="21"/>
              </w:rPr>
              <w:t>1</w:t>
            </w:r>
          </w:p>
        </w:tc>
        <w:tc>
          <w:tcPr>
            <w:tcW w:w="3277" w:type="dxa"/>
            <w:shd w:val="clear" w:color="auto" w:fill="auto"/>
            <w:noWrap/>
            <w:vAlign w:val="center"/>
          </w:tcPr>
          <w:p>
            <w:pPr>
              <w:pStyle w:val="2986"/>
              <w:jc w:val="left"/>
              <w:rPr>
                <w:rFonts w:cs="宋体"/>
                <w:sz w:val="21"/>
                <w:szCs w:val="21"/>
              </w:rPr>
            </w:pPr>
            <w:r>
              <w:rPr>
                <w:rFonts w:hint="eastAsia" w:cs="宋体"/>
                <w:sz w:val="21"/>
                <w:szCs w:val="21"/>
              </w:rPr>
              <w:t>祁11+413～祁12+618(L=1205m)</w:t>
            </w:r>
          </w:p>
        </w:tc>
        <w:tc>
          <w:tcPr>
            <w:tcW w:w="992" w:type="dxa"/>
            <w:shd w:val="clear" w:color="auto" w:fill="auto"/>
            <w:noWrap w:val="0"/>
            <w:vAlign w:val="center"/>
          </w:tcPr>
          <w:p>
            <w:pPr>
              <w:pStyle w:val="2986"/>
              <w:rPr>
                <w:sz w:val="21"/>
                <w:szCs w:val="21"/>
              </w:rPr>
            </w:pPr>
            <w:r>
              <w:rPr>
                <w:sz w:val="21"/>
                <w:szCs w:val="21"/>
              </w:rPr>
              <w:t>　</w:t>
            </w:r>
          </w:p>
        </w:tc>
        <w:tc>
          <w:tcPr>
            <w:tcW w:w="1231" w:type="dxa"/>
            <w:shd w:val="clear" w:color="auto" w:fill="auto"/>
            <w:noWrap/>
            <w:vAlign w:val="center"/>
          </w:tcPr>
          <w:p>
            <w:pPr>
              <w:pStyle w:val="2986"/>
              <w:rPr>
                <w:sz w:val="21"/>
                <w:szCs w:val="21"/>
              </w:rPr>
            </w:pPr>
            <w:r>
              <w:rPr>
                <w:sz w:val="21"/>
                <w:szCs w:val="21"/>
              </w:rPr>
              <w:t>3068.5</w:t>
            </w:r>
          </w:p>
        </w:tc>
        <w:tc>
          <w:tcPr>
            <w:tcW w:w="1019" w:type="dxa"/>
            <w:shd w:val="clear" w:color="auto" w:fill="auto"/>
            <w:noWrap/>
            <w:vAlign w:val="center"/>
          </w:tcPr>
          <w:p>
            <w:pPr>
              <w:pStyle w:val="2986"/>
              <w:rPr>
                <w:sz w:val="21"/>
                <w:szCs w:val="21"/>
              </w:rPr>
            </w:pPr>
            <w:r>
              <w:rPr>
                <w:sz w:val="21"/>
                <w:szCs w:val="21"/>
              </w:rPr>
              <w:t>296</w:t>
            </w:r>
          </w:p>
        </w:tc>
        <w:tc>
          <w:tcPr>
            <w:tcW w:w="1200" w:type="dxa"/>
            <w:shd w:val="clear" w:color="auto" w:fill="auto"/>
            <w:noWrap/>
            <w:vAlign w:val="center"/>
          </w:tcPr>
          <w:p>
            <w:pPr>
              <w:pStyle w:val="2986"/>
              <w:rPr>
                <w:sz w:val="21"/>
                <w:szCs w:val="21"/>
              </w:rPr>
            </w:pPr>
            <w:r>
              <w:rPr>
                <w:sz w:val="21"/>
                <w:szCs w:val="21"/>
              </w:rPr>
              <w:t>26.2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 w:type="dxa"/>
            <w:shd w:val="clear" w:color="auto" w:fill="auto"/>
            <w:noWrap/>
            <w:vAlign w:val="center"/>
          </w:tcPr>
          <w:p>
            <w:pPr>
              <w:pStyle w:val="2986"/>
              <w:rPr>
                <w:rFonts w:cs="宋体"/>
                <w:sz w:val="21"/>
                <w:szCs w:val="21"/>
              </w:rPr>
            </w:pPr>
            <w:r>
              <w:rPr>
                <w:rFonts w:hint="eastAsia" w:cs="宋体"/>
                <w:sz w:val="21"/>
                <w:szCs w:val="21"/>
              </w:rPr>
              <w:t>2</w:t>
            </w:r>
          </w:p>
        </w:tc>
        <w:tc>
          <w:tcPr>
            <w:tcW w:w="3277" w:type="dxa"/>
            <w:shd w:val="clear" w:color="auto" w:fill="auto"/>
            <w:noWrap/>
            <w:vAlign w:val="center"/>
          </w:tcPr>
          <w:p>
            <w:pPr>
              <w:pStyle w:val="2986"/>
              <w:jc w:val="left"/>
              <w:rPr>
                <w:rFonts w:cs="宋体"/>
                <w:sz w:val="21"/>
                <w:szCs w:val="21"/>
              </w:rPr>
            </w:pPr>
            <w:r>
              <w:rPr>
                <w:rFonts w:hint="eastAsia" w:cs="宋体"/>
                <w:sz w:val="21"/>
                <w:szCs w:val="21"/>
              </w:rPr>
              <w:t>祁13+454～祁13+510(L=56m)</w:t>
            </w:r>
          </w:p>
        </w:tc>
        <w:tc>
          <w:tcPr>
            <w:tcW w:w="992" w:type="dxa"/>
            <w:shd w:val="clear" w:color="auto" w:fill="auto"/>
            <w:noWrap w:val="0"/>
            <w:vAlign w:val="center"/>
          </w:tcPr>
          <w:p>
            <w:pPr>
              <w:pStyle w:val="2986"/>
              <w:rPr>
                <w:sz w:val="21"/>
                <w:szCs w:val="21"/>
              </w:rPr>
            </w:pPr>
            <w:r>
              <w:rPr>
                <w:sz w:val="21"/>
                <w:szCs w:val="21"/>
              </w:rPr>
              <w:t>　</w:t>
            </w:r>
          </w:p>
        </w:tc>
        <w:tc>
          <w:tcPr>
            <w:tcW w:w="1231" w:type="dxa"/>
            <w:shd w:val="clear" w:color="auto" w:fill="auto"/>
            <w:noWrap/>
            <w:vAlign w:val="center"/>
          </w:tcPr>
          <w:p>
            <w:pPr>
              <w:pStyle w:val="2986"/>
              <w:rPr>
                <w:sz w:val="21"/>
                <w:szCs w:val="21"/>
              </w:rPr>
            </w:pPr>
            <w:r>
              <w:rPr>
                <w:sz w:val="21"/>
                <w:szCs w:val="21"/>
              </w:rPr>
              <w:t>422</w:t>
            </w:r>
          </w:p>
        </w:tc>
        <w:tc>
          <w:tcPr>
            <w:tcW w:w="1019" w:type="dxa"/>
            <w:shd w:val="clear" w:color="auto" w:fill="auto"/>
            <w:noWrap/>
            <w:vAlign w:val="center"/>
          </w:tcPr>
          <w:p>
            <w:pPr>
              <w:pStyle w:val="2986"/>
              <w:rPr>
                <w:sz w:val="21"/>
                <w:szCs w:val="21"/>
              </w:rPr>
            </w:pPr>
            <w:r>
              <w:rPr>
                <w:sz w:val="21"/>
                <w:szCs w:val="21"/>
              </w:rPr>
              <w:t>　</w:t>
            </w:r>
          </w:p>
        </w:tc>
        <w:tc>
          <w:tcPr>
            <w:tcW w:w="1200" w:type="dxa"/>
            <w:shd w:val="clear" w:color="auto" w:fill="auto"/>
            <w:noWrap/>
            <w:vAlign w:val="center"/>
          </w:tcPr>
          <w:p>
            <w:pPr>
              <w:pStyle w:val="2986"/>
              <w:rPr>
                <w:sz w:val="21"/>
                <w:szCs w:val="21"/>
              </w:rPr>
            </w:pPr>
            <w:r>
              <w:rPr>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 w:type="dxa"/>
            <w:shd w:val="clear" w:color="auto" w:fill="auto"/>
            <w:noWrap/>
            <w:vAlign w:val="center"/>
          </w:tcPr>
          <w:p>
            <w:pPr>
              <w:pStyle w:val="2986"/>
              <w:rPr>
                <w:rFonts w:cs="宋体"/>
                <w:sz w:val="21"/>
                <w:szCs w:val="21"/>
              </w:rPr>
            </w:pPr>
            <w:r>
              <w:rPr>
                <w:rFonts w:hint="eastAsia" w:cs="宋体"/>
                <w:sz w:val="21"/>
                <w:szCs w:val="21"/>
              </w:rPr>
              <w:t>3</w:t>
            </w:r>
          </w:p>
        </w:tc>
        <w:tc>
          <w:tcPr>
            <w:tcW w:w="3277" w:type="dxa"/>
            <w:shd w:val="clear" w:color="auto" w:fill="auto"/>
            <w:noWrap/>
            <w:vAlign w:val="center"/>
          </w:tcPr>
          <w:p>
            <w:pPr>
              <w:pStyle w:val="2986"/>
              <w:jc w:val="left"/>
              <w:rPr>
                <w:rFonts w:cs="宋体"/>
                <w:sz w:val="21"/>
                <w:szCs w:val="21"/>
              </w:rPr>
            </w:pPr>
            <w:r>
              <w:rPr>
                <w:rFonts w:hint="eastAsia" w:cs="宋体"/>
                <w:sz w:val="21"/>
                <w:szCs w:val="21"/>
              </w:rPr>
              <w:t>祁13+640～祁13+780(L=140m)</w:t>
            </w:r>
          </w:p>
        </w:tc>
        <w:tc>
          <w:tcPr>
            <w:tcW w:w="992" w:type="dxa"/>
            <w:shd w:val="clear" w:color="auto" w:fill="auto"/>
            <w:noWrap w:val="0"/>
            <w:vAlign w:val="center"/>
          </w:tcPr>
          <w:p>
            <w:pPr>
              <w:pStyle w:val="2986"/>
              <w:rPr>
                <w:sz w:val="21"/>
                <w:szCs w:val="21"/>
              </w:rPr>
            </w:pPr>
            <w:r>
              <w:rPr>
                <w:sz w:val="21"/>
                <w:szCs w:val="21"/>
              </w:rPr>
              <w:t>　</w:t>
            </w:r>
          </w:p>
        </w:tc>
        <w:tc>
          <w:tcPr>
            <w:tcW w:w="1231" w:type="dxa"/>
            <w:shd w:val="clear" w:color="auto" w:fill="auto"/>
            <w:noWrap/>
            <w:vAlign w:val="center"/>
          </w:tcPr>
          <w:p>
            <w:pPr>
              <w:pStyle w:val="2986"/>
              <w:rPr>
                <w:sz w:val="21"/>
                <w:szCs w:val="21"/>
              </w:rPr>
            </w:pPr>
            <w:r>
              <w:rPr>
                <w:sz w:val="21"/>
                <w:szCs w:val="21"/>
              </w:rPr>
              <w:t>152.5</w:t>
            </w:r>
          </w:p>
        </w:tc>
        <w:tc>
          <w:tcPr>
            <w:tcW w:w="1019" w:type="dxa"/>
            <w:shd w:val="clear" w:color="auto" w:fill="auto"/>
            <w:noWrap/>
            <w:vAlign w:val="center"/>
          </w:tcPr>
          <w:p>
            <w:pPr>
              <w:pStyle w:val="2986"/>
              <w:rPr>
                <w:sz w:val="21"/>
                <w:szCs w:val="21"/>
              </w:rPr>
            </w:pPr>
            <w:r>
              <w:rPr>
                <w:sz w:val="21"/>
                <w:szCs w:val="21"/>
              </w:rPr>
              <w:t>　</w:t>
            </w:r>
          </w:p>
        </w:tc>
        <w:tc>
          <w:tcPr>
            <w:tcW w:w="1200" w:type="dxa"/>
            <w:shd w:val="clear" w:color="auto" w:fill="auto"/>
            <w:noWrap/>
            <w:vAlign w:val="center"/>
          </w:tcPr>
          <w:p>
            <w:pPr>
              <w:pStyle w:val="2986"/>
              <w:rPr>
                <w:sz w:val="21"/>
                <w:szCs w:val="21"/>
              </w:rPr>
            </w:pPr>
            <w:r>
              <w:rPr>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 w:type="dxa"/>
            <w:shd w:val="clear" w:color="auto" w:fill="auto"/>
            <w:noWrap/>
            <w:vAlign w:val="center"/>
          </w:tcPr>
          <w:p>
            <w:pPr>
              <w:pStyle w:val="2986"/>
              <w:rPr>
                <w:rFonts w:cs="宋体"/>
                <w:sz w:val="21"/>
                <w:szCs w:val="21"/>
              </w:rPr>
            </w:pPr>
            <w:r>
              <w:rPr>
                <w:rFonts w:hint="eastAsia" w:cs="宋体"/>
                <w:sz w:val="21"/>
                <w:szCs w:val="21"/>
              </w:rPr>
              <w:t>4</w:t>
            </w:r>
          </w:p>
        </w:tc>
        <w:tc>
          <w:tcPr>
            <w:tcW w:w="3277" w:type="dxa"/>
            <w:shd w:val="clear" w:color="auto" w:fill="auto"/>
            <w:noWrap/>
            <w:vAlign w:val="center"/>
          </w:tcPr>
          <w:p>
            <w:pPr>
              <w:pStyle w:val="2986"/>
              <w:jc w:val="left"/>
              <w:rPr>
                <w:rFonts w:cs="宋体"/>
                <w:sz w:val="21"/>
                <w:szCs w:val="21"/>
              </w:rPr>
            </w:pPr>
            <w:r>
              <w:rPr>
                <w:rFonts w:hint="eastAsia" w:cs="宋体"/>
                <w:sz w:val="21"/>
                <w:szCs w:val="21"/>
              </w:rPr>
              <w:t>祁14+420～祁14+500(L=80m)</w:t>
            </w:r>
          </w:p>
        </w:tc>
        <w:tc>
          <w:tcPr>
            <w:tcW w:w="992" w:type="dxa"/>
            <w:shd w:val="clear" w:color="auto" w:fill="auto"/>
            <w:noWrap w:val="0"/>
            <w:vAlign w:val="center"/>
          </w:tcPr>
          <w:p>
            <w:pPr>
              <w:pStyle w:val="2986"/>
              <w:rPr>
                <w:sz w:val="21"/>
                <w:szCs w:val="21"/>
              </w:rPr>
            </w:pPr>
            <w:r>
              <w:rPr>
                <w:sz w:val="21"/>
                <w:szCs w:val="21"/>
              </w:rPr>
              <w:t>　</w:t>
            </w:r>
          </w:p>
        </w:tc>
        <w:tc>
          <w:tcPr>
            <w:tcW w:w="1231" w:type="dxa"/>
            <w:shd w:val="clear" w:color="auto" w:fill="auto"/>
            <w:noWrap/>
            <w:vAlign w:val="center"/>
          </w:tcPr>
          <w:p>
            <w:pPr>
              <w:pStyle w:val="2986"/>
              <w:rPr>
                <w:sz w:val="21"/>
                <w:szCs w:val="21"/>
              </w:rPr>
            </w:pPr>
            <w:r>
              <w:rPr>
                <w:sz w:val="21"/>
                <w:szCs w:val="21"/>
              </w:rPr>
              <w:t>212</w:t>
            </w:r>
          </w:p>
        </w:tc>
        <w:tc>
          <w:tcPr>
            <w:tcW w:w="1019" w:type="dxa"/>
            <w:shd w:val="clear" w:color="auto" w:fill="auto"/>
            <w:noWrap/>
            <w:vAlign w:val="center"/>
          </w:tcPr>
          <w:p>
            <w:pPr>
              <w:pStyle w:val="2986"/>
              <w:rPr>
                <w:sz w:val="21"/>
                <w:szCs w:val="21"/>
              </w:rPr>
            </w:pPr>
            <w:r>
              <w:rPr>
                <w:sz w:val="21"/>
                <w:szCs w:val="21"/>
              </w:rPr>
              <w:t>　</w:t>
            </w:r>
          </w:p>
        </w:tc>
        <w:tc>
          <w:tcPr>
            <w:tcW w:w="1200" w:type="dxa"/>
            <w:shd w:val="clear" w:color="auto" w:fill="auto"/>
            <w:noWrap/>
            <w:vAlign w:val="center"/>
          </w:tcPr>
          <w:p>
            <w:pPr>
              <w:pStyle w:val="2986"/>
              <w:rPr>
                <w:sz w:val="21"/>
                <w:szCs w:val="21"/>
              </w:rPr>
            </w:pPr>
            <w:r>
              <w:rPr>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 w:type="dxa"/>
            <w:shd w:val="clear" w:color="auto" w:fill="auto"/>
            <w:noWrap/>
            <w:vAlign w:val="center"/>
          </w:tcPr>
          <w:p>
            <w:pPr>
              <w:pStyle w:val="2986"/>
              <w:rPr>
                <w:rFonts w:cs="宋体"/>
                <w:sz w:val="21"/>
                <w:szCs w:val="21"/>
              </w:rPr>
            </w:pPr>
            <w:r>
              <w:rPr>
                <w:rFonts w:hint="eastAsia" w:cs="宋体"/>
                <w:sz w:val="21"/>
                <w:szCs w:val="21"/>
              </w:rPr>
              <w:t>5</w:t>
            </w:r>
          </w:p>
        </w:tc>
        <w:tc>
          <w:tcPr>
            <w:tcW w:w="3277" w:type="dxa"/>
            <w:shd w:val="clear" w:color="auto" w:fill="auto"/>
            <w:noWrap/>
            <w:vAlign w:val="center"/>
          </w:tcPr>
          <w:p>
            <w:pPr>
              <w:pStyle w:val="2986"/>
              <w:jc w:val="left"/>
              <w:rPr>
                <w:rFonts w:cs="宋体"/>
                <w:sz w:val="21"/>
                <w:szCs w:val="21"/>
              </w:rPr>
            </w:pPr>
            <w:r>
              <w:rPr>
                <w:rFonts w:hint="eastAsia" w:cs="宋体"/>
                <w:sz w:val="21"/>
                <w:szCs w:val="21"/>
              </w:rPr>
              <w:t>祁15+437～祁15+767(L=330m)</w:t>
            </w:r>
          </w:p>
        </w:tc>
        <w:tc>
          <w:tcPr>
            <w:tcW w:w="992" w:type="dxa"/>
            <w:shd w:val="clear" w:color="auto" w:fill="auto"/>
            <w:noWrap w:val="0"/>
            <w:vAlign w:val="center"/>
          </w:tcPr>
          <w:p>
            <w:pPr>
              <w:pStyle w:val="2986"/>
              <w:rPr>
                <w:sz w:val="21"/>
                <w:szCs w:val="21"/>
              </w:rPr>
            </w:pPr>
            <w:r>
              <w:rPr>
                <w:sz w:val="21"/>
                <w:szCs w:val="21"/>
              </w:rPr>
              <w:t>　</w:t>
            </w:r>
          </w:p>
        </w:tc>
        <w:tc>
          <w:tcPr>
            <w:tcW w:w="1231" w:type="dxa"/>
            <w:shd w:val="clear" w:color="auto" w:fill="auto"/>
            <w:noWrap/>
            <w:vAlign w:val="center"/>
          </w:tcPr>
          <w:p>
            <w:pPr>
              <w:pStyle w:val="2986"/>
              <w:rPr>
                <w:sz w:val="21"/>
                <w:szCs w:val="21"/>
              </w:rPr>
            </w:pPr>
            <w:r>
              <w:rPr>
                <w:sz w:val="21"/>
                <w:szCs w:val="21"/>
              </w:rPr>
              <w:t>1118.5</w:t>
            </w:r>
          </w:p>
        </w:tc>
        <w:tc>
          <w:tcPr>
            <w:tcW w:w="1019" w:type="dxa"/>
            <w:shd w:val="clear" w:color="auto" w:fill="auto"/>
            <w:noWrap/>
            <w:vAlign w:val="center"/>
          </w:tcPr>
          <w:p>
            <w:pPr>
              <w:pStyle w:val="2986"/>
              <w:rPr>
                <w:sz w:val="21"/>
                <w:szCs w:val="21"/>
              </w:rPr>
            </w:pPr>
            <w:r>
              <w:rPr>
                <w:sz w:val="21"/>
                <w:szCs w:val="21"/>
              </w:rPr>
              <w:t>999.372</w:t>
            </w:r>
          </w:p>
        </w:tc>
        <w:tc>
          <w:tcPr>
            <w:tcW w:w="1200" w:type="dxa"/>
            <w:shd w:val="clear" w:color="auto" w:fill="auto"/>
            <w:noWrap/>
            <w:vAlign w:val="center"/>
          </w:tcPr>
          <w:p>
            <w:pPr>
              <w:pStyle w:val="2986"/>
              <w:rPr>
                <w:sz w:val="21"/>
                <w:szCs w:val="21"/>
              </w:rPr>
            </w:pPr>
            <w:r>
              <w:rPr>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 w:type="dxa"/>
            <w:shd w:val="clear" w:color="auto" w:fill="auto"/>
            <w:noWrap/>
            <w:vAlign w:val="center"/>
          </w:tcPr>
          <w:p>
            <w:pPr>
              <w:pStyle w:val="2986"/>
              <w:rPr>
                <w:rFonts w:cs="宋体"/>
                <w:sz w:val="21"/>
                <w:szCs w:val="21"/>
              </w:rPr>
            </w:pPr>
            <w:r>
              <w:rPr>
                <w:rFonts w:hint="eastAsia" w:cs="宋体"/>
                <w:sz w:val="21"/>
                <w:szCs w:val="21"/>
              </w:rPr>
              <w:t>6</w:t>
            </w:r>
          </w:p>
        </w:tc>
        <w:tc>
          <w:tcPr>
            <w:tcW w:w="3277" w:type="dxa"/>
            <w:shd w:val="clear" w:color="auto" w:fill="auto"/>
            <w:noWrap/>
            <w:vAlign w:val="center"/>
          </w:tcPr>
          <w:p>
            <w:pPr>
              <w:pStyle w:val="2986"/>
              <w:jc w:val="left"/>
              <w:rPr>
                <w:rFonts w:cs="宋体"/>
                <w:sz w:val="21"/>
                <w:szCs w:val="21"/>
              </w:rPr>
            </w:pPr>
            <w:r>
              <w:rPr>
                <w:rFonts w:hint="eastAsia" w:cs="宋体"/>
                <w:sz w:val="21"/>
                <w:szCs w:val="21"/>
              </w:rPr>
              <w:t>祁16+222～祁16+313(L=91m)</w:t>
            </w:r>
          </w:p>
        </w:tc>
        <w:tc>
          <w:tcPr>
            <w:tcW w:w="992" w:type="dxa"/>
            <w:shd w:val="clear" w:color="auto" w:fill="auto"/>
            <w:noWrap w:val="0"/>
            <w:vAlign w:val="center"/>
          </w:tcPr>
          <w:p>
            <w:pPr>
              <w:pStyle w:val="2986"/>
              <w:rPr>
                <w:sz w:val="21"/>
                <w:szCs w:val="21"/>
              </w:rPr>
            </w:pPr>
            <w:r>
              <w:rPr>
                <w:sz w:val="21"/>
                <w:szCs w:val="21"/>
              </w:rPr>
              <w:t>　</w:t>
            </w:r>
          </w:p>
        </w:tc>
        <w:tc>
          <w:tcPr>
            <w:tcW w:w="1231" w:type="dxa"/>
            <w:shd w:val="clear" w:color="auto" w:fill="auto"/>
            <w:noWrap/>
            <w:vAlign w:val="center"/>
          </w:tcPr>
          <w:p>
            <w:pPr>
              <w:pStyle w:val="2986"/>
              <w:rPr>
                <w:sz w:val="21"/>
                <w:szCs w:val="21"/>
              </w:rPr>
            </w:pPr>
            <w:r>
              <w:rPr>
                <w:sz w:val="21"/>
                <w:szCs w:val="21"/>
              </w:rPr>
              <w:t>162</w:t>
            </w:r>
          </w:p>
        </w:tc>
        <w:tc>
          <w:tcPr>
            <w:tcW w:w="1019" w:type="dxa"/>
            <w:shd w:val="clear" w:color="auto" w:fill="auto"/>
            <w:noWrap/>
            <w:vAlign w:val="center"/>
          </w:tcPr>
          <w:p>
            <w:pPr>
              <w:pStyle w:val="2986"/>
              <w:rPr>
                <w:sz w:val="21"/>
                <w:szCs w:val="21"/>
              </w:rPr>
            </w:pPr>
            <w:r>
              <w:rPr>
                <w:sz w:val="21"/>
                <w:szCs w:val="21"/>
              </w:rPr>
              <w:t>　</w:t>
            </w:r>
          </w:p>
        </w:tc>
        <w:tc>
          <w:tcPr>
            <w:tcW w:w="1200" w:type="dxa"/>
            <w:shd w:val="clear" w:color="auto" w:fill="auto"/>
            <w:noWrap/>
            <w:vAlign w:val="center"/>
          </w:tcPr>
          <w:p>
            <w:pPr>
              <w:pStyle w:val="2986"/>
              <w:rPr>
                <w:sz w:val="21"/>
                <w:szCs w:val="21"/>
              </w:rPr>
            </w:pPr>
            <w:r>
              <w:rPr>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 w:type="dxa"/>
            <w:shd w:val="clear" w:color="auto" w:fill="auto"/>
            <w:noWrap/>
            <w:vAlign w:val="center"/>
          </w:tcPr>
          <w:p>
            <w:pPr>
              <w:pStyle w:val="2986"/>
              <w:rPr>
                <w:rFonts w:cs="宋体"/>
                <w:sz w:val="21"/>
                <w:szCs w:val="21"/>
              </w:rPr>
            </w:pPr>
            <w:r>
              <w:rPr>
                <w:rFonts w:hint="eastAsia" w:cs="宋体"/>
                <w:sz w:val="21"/>
                <w:szCs w:val="21"/>
              </w:rPr>
              <w:t>7</w:t>
            </w:r>
          </w:p>
        </w:tc>
        <w:tc>
          <w:tcPr>
            <w:tcW w:w="3277" w:type="dxa"/>
            <w:shd w:val="clear" w:color="auto" w:fill="auto"/>
            <w:noWrap/>
            <w:vAlign w:val="center"/>
          </w:tcPr>
          <w:p>
            <w:pPr>
              <w:pStyle w:val="2986"/>
              <w:jc w:val="left"/>
              <w:rPr>
                <w:rFonts w:cs="宋体"/>
                <w:sz w:val="21"/>
                <w:szCs w:val="21"/>
              </w:rPr>
            </w:pPr>
            <w:r>
              <w:rPr>
                <w:rFonts w:hint="eastAsia" w:cs="宋体"/>
                <w:sz w:val="21"/>
                <w:szCs w:val="21"/>
              </w:rPr>
              <w:t>祁17+570～祁17+930(L=360m)</w:t>
            </w:r>
          </w:p>
        </w:tc>
        <w:tc>
          <w:tcPr>
            <w:tcW w:w="992" w:type="dxa"/>
            <w:shd w:val="clear" w:color="auto" w:fill="auto"/>
            <w:noWrap w:val="0"/>
            <w:vAlign w:val="center"/>
          </w:tcPr>
          <w:p>
            <w:pPr>
              <w:pStyle w:val="2986"/>
              <w:rPr>
                <w:sz w:val="21"/>
                <w:szCs w:val="21"/>
              </w:rPr>
            </w:pPr>
            <w:r>
              <w:rPr>
                <w:sz w:val="21"/>
                <w:szCs w:val="21"/>
              </w:rPr>
              <w:t>　</w:t>
            </w:r>
          </w:p>
        </w:tc>
        <w:tc>
          <w:tcPr>
            <w:tcW w:w="1231" w:type="dxa"/>
            <w:shd w:val="clear" w:color="auto" w:fill="auto"/>
            <w:noWrap/>
            <w:vAlign w:val="center"/>
          </w:tcPr>
          <w:p>
            <w:pPr>
              <w:pStyle w:val="2986"/>
              <w:rPr>
                <w:sz w:val="21"/>
                <w:szCs w:val="21"/>
              </w:rPr>
            </w:pPr>
            <w:r>
              <w:rPr>
                <w:sz w:val="21"/>
                <w:szCs w:val="21"/>
              </w:rPr>
              <w:t>743</w:t>
            </w:r>
          </w:p>
        </w:tc>
        <w:tc>
          <w:tcPr>
            <w:tcW w:w="1019" w:type="dxa"/>
            <w:shd w:val="clear" w:color="auto" w:fill="auto"/>
            <w:noWrap/>
            <w:vAlign w:val="center"/>
          </w:tcPr>
          <w:p>
            <w:pPr>
              <w:pStyle w:val="2986"/>
              <w:rPr>
                <w:sz w:val="21"/>
                <w:szCs w:val="21"/>
              </w:rPr>
            </w:pPr>
            <w:r>
              <w:rPr>
                <w:sz w:val="21"/>
                <w:szCs w:val="21"/>
              </w:rPr>
              <w:t>　</w:t>
            </w:r>
          </w:p>
        </w:tc>
        <w:tc>
          <w:tcPr>
            <w:tcW w:w="1200" w:type="dxa"/>
            <w:shd w:val="clear" w:color="auto" w:fill="auto"/>
            <w:noWrap/>
            <w:vAlign w:val="center"/>
          </w:tcPr>
          <w:p>
            <w:pPr>
              <w:pStyle w:val="2986"/>
              <w:rPr>
                <w:sz w:val="21"/>
                <w:szCs w:val="21"/>
              </w:rPr>
            </w:pPr>
            <w:r>
              <w:rPr>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 w:type="dxa"/>
            <w:shd w:val="clear" w:color="auto" w:fill="auto"/>
            <w:noWrap/>
            <w:vAlign w:val="center"/>
          </w:tcPr>
          <w:p>
            <w:pPr>
              <w:pStyle w:val="2986"/>
              <w:rPr>
                <w:rFonts w:cs="宋体"/>
                <w:sz w:val="21"/>
                <w:szCs w:val="21"/>
              </w:rPr>
            </w:pPr>
            <w:r>
              <w:rPr>
                <w:rFonts w:hint="eastAsia" w:cs="宋体"/>
                <w:sz w:val="21"/>
                <w:szCs w:val="21"/>
              </w:rPr>
              <w:t>8</w:t>
            </w:r>
          </w:p>
        </w:tc>
        <w:tc>
          <w:tcPr>
            <w:tcW w:w="3277" w:type="dxa"/>
            <w:shd w:val="clear" w:color="auto" w:fill="auto"/>
            <w:noWrap/>
            <w:vAlign w:val="center"/>
          </w:tcPr>
          <w:p>
            <w:pPr>
              <w:pStyle w:val="2986"/>
              <w:jc w:val="left"/>
              <w:rPr>
                <w:rFonts w:cs="宋体"/>
                <w:sz w:val="21"/>
                <w:szCs w:val="21"/>
              </w:rPr>
            </w:pPr>
            <w:r>
              <w:rPr>
                <w:rFonts w:hint="eastAsia" w:cs="宋体"/>
                <w:sz w:val="21"/>
                <w:szCs w:val="21"/>
              </w:rPr>
              <w:t>祁18+231～祁18+540(L=309m)</w:t>
            </w:r>
          </w:p>
        </w:tc>
        <w:tc>
          <w:tcPr>
            <w:tcW w:w="992" w:type="dxa"/>
            <w:shd w:val="clear" w:color="auto" w:fill="auto"/>
            <w:noWrap/>
            <w:vAlign w:val="center"/>
          </w:tcPr>
          <w:p>
            <w:pPr>
              <w:pStyle w:val="2986"/>
              <w:rPr>
                <w:sz w:val="21"/>
                <w:szCs w:val="21"/>
              </w:rPr>
            </w:pPr>
            <w:r>
              <w:rPr>
                <w:sz w:val="21"/>
                <w:szCs w:val="21"/>
              </w:rPr>
              <w:t>　</w:t>
            </w:r>
          </w:p>
        </w:tc>
        <w:tc>
          <w:tcPr>
            <w:tcW w:w="1231" w:type="dxa"/>
            <w:shd w:val="clear" w:color="auto" w:fill="auto"/>
            <w:noWrap/>
            <w:vAlign w:val="center"/>
          </w:tcPr>
          <w:p>
            <w:pPr>
              <w:pStyle w:val="2986"/>
              <w:rPr>
                <w:sz w:val="21"/>
                <w:szCs w:val="21"/>
              </w:rPr>
            </w:pPr>
            <w:r>
              <w:rPr>
                <w:sz w:val="21"/>
                <w:szCs w:val="21"/>
              </w:rPr>
              <w:t>452.5</w:t>
            </w:r>
          </w:p>
        </w:tc>
        <w:tc>
          <w:tcPr>
            <w:tcW w:w="1019" w:type="dxa"/>
            <w:shd w:val="clear" w:color="auto" w:fill="auto"/>
            <w:noWrap/>
            <w:vAlign w:val="center"/>
          </w:tcPr>
          <w:p>
            <w:pPr>
              <w:pStyle w:val="2986"/>
              <w:rPr>
                <w:sz w:val="21"/>
                <w:szCs w:val="21"/>
              </w:rPr>
            </w:pPr>
            <w:r>
              <w:rPr>
                <w:sz w:val="21"/>
                <w:szCs w:val="21"/>
              </w:rPr>
              <w:t>　</w:t>
            </w:r>
          </w:p>
        </w:tc>
        <w:tc>
          <w:tcPr>
            <w:tcW w:w="1200" w:type="dxa"/>
            <w:shd w:val="clear" w:color="auto" w:fill="auto"/>
            <w:noWrap/>
            <w:vAlign w:val="center"/>
          </w:tcPr>
          <w:p>
            <w:pPr>
              <w:pStyle w:val="2986"/>
              <w:rPr>
                <w:sz w:val="21"/>
                <w:szCs w:val="21"/>
              </w:rPr>
            </w:pPr>
            <w:r>
              <w:rPr>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 w:type="dxa"/>
            <w:shd w:val="clear" w:color="auto" w:fill="auto"/>
            <w:noWrap/>
            <w:vAlign w:val="center"/>
          </w:tcPr>
          <w:p>
            <w:pPr>
              <w:pStyle w:val="2986"/>
              <w:rPr>
                <w:rFonts w:cs="宋体"/>
                <w:sz w:val="21"/>
                <w:szCs w:val="21"/>
              </w:rPr>
            </w:pPr>
            <w:r>
              <w:rPr>
                <w:rFonts w:hint="eastAsia" w:cs="宋体"/>
                <w:sz w:val="21"/>
                <w:szCs w:val="21"/>
              </w:rPr>
              <w:t>9</w:t>
            </w:r>
          </w:p>
        </w:tc>
        <w:tc>
          <w:tcPr>
            <w:tcW w:w="3277" w:type="dxa"/>
            <w:shd w:val="clear" w:color="auto" w:fill="auto"/>
            <w:noWrap/>
            <w:vAlign w:val="center"/>
          </w:tcPr>
          <w:p>
            <w:pPr>
              <w:pStyle w:val="2986"/>
              <w:jc w:val="left"/>
              <w:rPr>
                <w:rFonts w:cs="宋体"/>
                <w:sz w:val="21"/>
                <w:szCs w:val="21"/>
              </w:rPr>
            </w:pPr>
            <w:r>
              <w:rPr>
                <w:rFonts w:hint="eastAsia" w:cs="宋体"/>
                <w:sz w:val="21"/>
                <w:szCs w:val="21"/>
              </w:rPr>
              <w:t>祁18+900～祁18+960(L=60m)</w:t>
            </w:r>
          </w:p>
        </w:tc>
        <w:tc>
          <w:tcPr>
            <w:tcW w:w="992" w:type="dxa"/>
            <w:shd w:val="clear" w:color="auto" w:fill="auto"/>
            <w:noWrap/>
            <w:vAlign w:val="center"/>
          </w:tcPr>
          <w:p>
            <w:pPr>
              <w:pStyle w:val="2986"/>
              <w:rPr>
                <w:sz w:val="21"/>
                <w:szCs w:val="21"/>
              </w:rPr>
            </w:pPr>
            <w:r>
              <w:rPr>
                <w:sz w:val="21"/>
                <w:szCs w:val="21"/>
              </w:rPr>
              <w:t>　</w:t>
            </w:r>
          </w:p>
        </w:tc>
        <w:tc>
          <w:tcPr>
            <w:tcW w:w="1231" w:type="dxa"/>
            <w:shd w:val="clear" w:color="auto" w:fill="auto"/>
            <w:noWrap/>
            <w:vAlign w:val="center"/>
          </w:tcPr>
          <w:p>
            <w:pPr>
              <w:pStyle w:val="2986"/>
              <w:rPr>
                <w:sz w:val="21"/>
                <w:szCs w:val="21"/>
              </w:rPr>
            </w:pPr>
            <w:r>
              <w:rPr>
                <w:sz w:val="21"/>
                <w:szCs w:val="21"/>
              </w:rPr>
              <w:t>181</w:t>
            </w:r>
          </w:p>
        </w:tc>
        <w:tc>
          <w:tcPr>
            <w:tcW w:w="1019" w:type="dxa"/>
            <w:shd w:val="clear" w:color="auto" w:fill="auto"/>
            <w:noWrap/>
            <w:vAlign w:val="center"/>
          </w:tcPr>
          <w:p>
            <w:pPr>
              <w:pStyle w:val="2986"/>
              <w:rPr>
                <w:sz w:val="21"/>
                <w:szCs w:val="21"/>
              </w:rPr>
            </w:pPr>
            <w:r>
              <w:rPr>
                <w:sz w:val="21"/>
                <w:szCs w:val="21"/>
              </w:rPr>
              <w:t>　</w:t>
            </w:r>
          </w:p>
        </w:tc>
        <w:tc>
          <w:tcPr>
            <w:tcW w:w="1200" w:type="dxa"/>
            <w:shd w:val="clear" w:color="auto" w:fill="auto"/>
            <w:noWrap/>
            <w:vAlign w:val="center"/>
          </w:tcPr>
          <w:p>
            <w:pPr>
              <w:pStyle w:val="2986"/>
              <w:rPr>
                <w:sz w:val="21"/>
                <w:szCs w:val="21"/>
              </w:rPr>
            </w:pPr>
            <w:r>
              <w:rPr>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 w:type="dxa"/>
            <w:shd w:val="clear" w:color="auto" w:fill="auto"/>
            <w:noWrap/>
            <w:vAlign w:val="center"/>
          </w:tcPr>
          <w:p>
            <w:pPr>
              <w:pStyle w:val="2986"/>
              <w:rPr>
                <w:rFonts w:cs="宋体"/>
                <w:sz w:val="21"/>
                <w:szCs w:val="21"/>
              </w:rPr>
            </w:pPr>
            <w:r>
              <w:rPr>
                <w:rFonts w:hint="eastAsia" w:cs="宋体"/>
                <w:sz w:val="21"/>
                <w:szCs w:val="21"/>
              </w:rPr>
              <w:t>10</w:t>
            </w:r>
          </w:p>
        </w:tc>
        <w:tc>
          <w:tcPr>
            <w:tcW w:w="3277" w:type="dxa"/>
            <w:shd w:val="clear" w:color="auto" w:fill="auto"/>
            <w:noWrap/>
            <w:vAlign w:val="center"/>
          </w:tcPr>
          <w:p>
            <w:pPr>
              <w:pStyle w:val="2986"/>
              <w:jc w:val="left"/>
              <w:rPr>
                <w:rFonts w:cs="宋体"/>
                <w:sz w:val="21"/>
                <w:szCs w:val="21"/>
              </w:rPr>
            </w:pPr>
            <w:r>
              <w:rPr>
                <w:rFonts w:hint="eastAsia" w:cs="宋体"/>
                <w:sz w:val="21"/>
                <w:szCs w:val="21"/>
              </w:rPr>
              <w:t>祁19+167～祁19+620(L=453m)</w:t>
            </w:r>
          </w:p>
        </w:tc>
        <w:tc>
          <w:tcPr>
            <w:tcW w:w="992" w:type="dxa"/>
            <w:shd w:val="clear" w:color="auto" w:fill="auto"/>
            <w:noWrap/>
            <w:vAlign w:val="center"/>
          </w:tcPr>
          <w:p>
            <w:pPr>
              <w:pStyle w:val="2986"/>
              <w:rPr>
                <w:sz w:val="21"/>
                <w:szCs w:val="21"/>
              </w:rPr>
            </w:pPr>
            <w:r>
              <w:rPr>
                <w:sz w:val="21"/>
                <w:szCs w:val="21"/>
              </w:rPr>
              <w:t>　</w:t>
            </w:r>
          </w:p>
        </w:tc>
        <w:tc>
          <w:tcPr>
            <w:tcW w:w="1231" w:type="dxa"/>
            <w:shd w:val="clear" w:color="auto" w:fill="auto"/>
            <w:noWrap/>
            <w:vAlign w:val="center"/>
          </w:tcPr>
          <w:p>
            <w:pPr>
              <w:pStyle w:val="2986"/>
              <w:rPr>
                <w:sz w:val="21"/>
                <w:szCs w:val="21"/>
              </w:rPr>
            </w:pPr>
            <w:r>
              <w:rPr>
                <w:sz w:val="21"/>
                <w:szCs w:val="21"/>
              </w:rPr>
              <w:t>1289.5</w:t>
            </w:r>
          </w:p>
        </w:tc>
        <w:tc>
          <w:tcPr>
            <w:tcW w:w="1019" w:type="dxa"/>
            <w:shd w:val="clear" w:color="auto" w:fill="auto"/>
            <w:noWrap/>
            <w:vAlign w:val="center"/>
          </w:tcPr>
          <w:p>
            <w:pPr>
              <w:pStyle w:val="2986"/>
              <w:rPr>
                <w:sz w:val="21"/>
                <w:szCs w:val="21"/>
              </w:rPr>
            </w:pPr>
            <w:r>
              <w:rPr>
                <w:sz w:val="21"/>
                <w:szCs w:val="21"/>
              </w:rPr>
              <w:t>　</w:t>
            </w:r>
          </w:p>
        </w:tc>
        <w:tc>
          <w:tcPr>
            <w:tcW w:w="1200" w:type="dxa"/>
            <w:shd w:val="clear" w:color="auto" w:fill="auto"/>
            <w:noWrap/>
            <w:vAlign w:val="center"/>
          </w:tcPr>
          <w:p>
            <w:pPr>
              <w:pStyle w:val="2986"/>
              <w:rPr>
                <w:sz w:val="21"/>
                <w:szCs w:val="21"/>
              </w:rPr>
            </w:pPr>
            <w:r>
              <w:rPr>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 w:type="dxa"/>
            <w:shd w:val="clear" w:color="auto" w:fill="auto"/>
            <w:noWrap/>
            <w:vAlign w:val="center"/>
          </w:tcPr>
          <w:p>
            <w:pPr>
              <w:pStyle w:val="2986"/>
              <w:rPr>
                <w:rFonts w:cs="宋体"/>
                <w:sz w:val="21"/>
                <w:szCs w:val="21"/>
              </w:rPr>
            </w:pPr>
            <w:r>
              <w:rPr>
                <w:rFonts w:hint="eastAsia" w:cs="宋体"/>
                <w:sz w:val="21"/>
                <w:szCs w:val="21"/>
              </w:rPr>
              <w:t>11</w:t>
            </w:r>
          </w:p>
        </w:tc>
        <w:tc>
          <w:tcPr>
            <w:tcW w:w="3277" w:type="dxa"/>
            <w:shd w:val="clear" w:color="auto" w:fill="auto"/>
            <w:noWrap/>
            <w:vAlign w:val="center"/>
          </w:tcPr>
          <w:p>
            <w:pPr>
              <w:pStyle w:val="2986"/>
              <w:jc w:val="left"/>
              <w:rPr>
                <w:rFonts w:cs="宋体"/>
                <w:sz w:val="21"/>
                <w:szCs w:val="21"/>
              </w:rPr>
            </w:pPr>
            <w:r>
              <w:rPr>
                <w:rFonts w:hint="eastAsia" w:cs="宋体"/>
                <w:sz w:val="21"/>
                <w:szCs w:val="21"/>
              </w:rPr>
              <w:t>祁20+000～祁22+650(L=2650m)</w:t>
            </w:r>
          </w:p>
        </w:tc>
        <w:tc>
          <w:tcPr>
            <w:tcW w:w="992" w:type="dxa"/>
            <w:shd w:val="clear" w:color="auto" w:fill="auto"/>
            <w:noWrap/>
            <w:vAlign w:val="center"/>
          </w:tcPr>
          <w:p>
            <w:pPr>
              <w:pStyle w:val="2986"/>
              <w:rPr>
                <w:sz w:val="21"/>
                <w:szCs w:val="21"/>
              </w:rPr>
            </w:pPr>
            <w:r>
              <w:rPr>
                <w:sz w:val="21"/>
                <w:szCs w:val="21"/>
              </w:rPr>
              <w:t>　</w:t>
            </w:r>
          </w:p>
        </w:tc>
        <w:tc>
          <w:tcPr>
            <w:tcW w:w="1231" w:type="dxa"/>
            <w:shd w:val="clear" w:color="auto" w:fill="auto"/>
            <w:noWrap/>
            <w:vAlign w:val="center"/>
          </w:tcPr>
          <w:p>
            <w:pPr>
              <w:pStyle w:val="2986"/>
              <w:rPr>
                <w:sz w:val="21"/>
                <w:szCs w:val="21"/>
              </w:rPr>
            </w:pPr>
            <w:r>
              <w:rPr>
                <w:sz w:val="21"/>
                <w:szCs w:val="21"/>
              </w:rPr>
              <w:t>2124.9</w:t>
            </w:r>
          </w:p>
        </w:tc>
        <w:tc>
          <w:tcPr>
            <w:tcW w:w="1019" w:type="dxa"/>
            <w:shd w:val="clear" w:color="auto" w:fill="auto"/>
            <w:noWrap/>
            <w:vAlign w:val="center"/>
          </w:tcPr>
          <w:p>
            <w:pPr>
              <w:pStyle w:val="2986"/>
              <w:rPr>
                <w:sz w:val="21"/>
                <w:szCs w:val="21"/>
              </w:rPr>
            </w:pPr>
            <w:r>
              <w:rPr>
                <w:sz w:val="21"/>
                <w:szCs w:val="21"/>
              </w:rPr>
              <w:t>272</w:t>
            </w:r>
          </w:p>
        </w:tc>
        <w:tc>
          <w:tcPr>
            <w:tcW w:w="1200" w:type="dxa"/>
            <w:shd w:val="clear" w:color="auto" w:fill="auto"/>
            <w:noWrap/>
            <w:vAlign w:val="center"/>
          </w:tcPr>
          <w:p>
            <w:pPr>
              <w:pStyle w:val="2986"/>
              <w:rPr>
                <w:sz w:val="21"/>
                <w:szCs w:val="21"/>
              </w:rPr>
            </w:pPr>
            <w:r>
              <w:rPr>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 w:type="dxa"/>
            <w:shd w:val="clear" w:color="auto" w:fill="auto"/>
            <w:noWrap/>
            <w:vAlign w:val="center"/>
          </w:tcPr>
          <w:p>
            <w:pPr>
              <w:pStyle w:val="2986"/>
              <w:rPr>
                <w:rFonts w:cs="宋体"/>
                <w:sz w:val="21"/>
                <w:szCs w:val="21"/>
              </w:rPr>
            </w:pPr>
            <w:r>
              <w:rPr>
                <w:rFonts w:hint="eastAsia" w:cs="宋体"/>
                <w:sz w:val="21"/>
                <w:szCs w:val="21"/>
              </w:rPr>
              <w:t>12</w:t>
            </w:r>
          </w:p>
        </w:tc>
        <w:tc>
          <w:tcPr>
            <w:tcW w:w="3277" w:type="dxa"/>
            <w:shd w:val="clear" w:color="auto" w:fill="auto"/>
            <w:noWrap/>
            <w:vAlign w:val="center"/>
          </w:tcPr>
          <w:p>
            <w:pPr>
              <w:pStyle w:val="2986"/>
              <w:jc w:val="left"/>
              <w:rPr>
                <w:rFonts w:cs="宋体"/>
                <w:sz w:val="21"/>
                <w:szCs w:val="21"/>
              </w:rPr>
            </w:pPr>
            <w:r>
              <w:rPr>
                <w:rFonts w:hint="eastAsia" w:cs="宋体"/>
                <w:sz w:val="21"/>
                <w:szCs w:val="21"/>
              </w:rPr>
              <w:t>祁23+315～祁23+420(L=105m)</w:t>
            </w:r>
          </w:p>
        </w:tc>
        <w:tc>
          <w:tcPr>
            <w:tcW w:w="992" w:type="dxa"/>
            <w:shd w:val="clear" w:color="auto" w:fill="auto"/>
            <w:noWrap/>
            <w:vAlign w:val="center"/>
          </w:tcPr>
          <w:p>
            <w:pPr>
              <w:pStyle w:val="2986"/>
              <w:rPr>
                <w:sz w:val="21"/>
                <w:szCs w:val="21"/>
              </w:rPr>
            </w:pPr>
            <w:r>
              <w:rPr>
                <w:sz w:val="21"/>
                <w:szCs w:val="21"/>
              </w:rPr>
              <w:t>　</w:t>
            </w:r>
          </w:p>
        </w:tc>
        <w:tc>
          <w:tcPr>
            <w:tcW w:w="1231" w:type="dxa"/>
            <w:shd w:val="clear" w:color="auto" w:fill="auto"/>
            <w:noWrap/>
            <w:vAlign w:val="center"/>
          </w:tcPr>
          <w:p>
            <w:pPr>
              <w:pStyle w:val="2986"/>
              <w:rPr>
                <w:sz w:val="21"/>
                <w:szCs w:val="21"/>
              </w:rPr>
            </w:pPr>
            <w:r>
              <w:rPr>
                <w:sz w:val="21"/>
                <w:szCs w:val="21"/>
              </w:rPr>
              <w:t>251.5</w:t>
            </w:r>
          </w:p>
        </w:tc>
        <w:tc>
          <w:tcPr>
            <w:tcW w:w="1019" w:type="dxa"/>
            <w:shd w:val="clear" w:color="auto" w:fill="auto"/>
            <w:noWrap/>
            <w:vAlign w:val="center"/>
          </w:tcPr>
          <w:p>
            <w:pPr>
              <w:pStyle w:val="2986"/>
              <w:rPr>
                <w:sz w:val="21"/>
                <w:szCs w:val="21"/>
              </w:rPr>
            </w:pPr>
            <w:r>
              <w:rPr>
                <w:sz w:val="21"/>
                <w:szCs w:val="21"/>
              </w:rPr>
              <w:t>　</w:t>
            </w:r>
          </w:p>
        </w:tc>
        <w:tc>
          <w:tcPr>
            <w:tcW w:w="1200" w:type="dxa"/>
            <w:shd w:val="clear" w:color="auto" w:fill="auto"/>
            <w:noWrap/>
            <w:vAlign w:val="center"/>
          </w:tcPr>
          <w:p>
            <w:pPr>
              <w:pStyle w:val="2986"/>
              <w:rPr>
                <w:sz w:val="21"/>
                <w:szCs w:val="21"/>
              </w:rPr>
            </w:pPr>
            <w:r>
              <w:rPr>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 w:type="dxa"/>
            <w:shd w:val="clear" w:color="auto" w:fill="auto"/>
            <w:noWrap/>
            <w:vAlign w:val="center"/>
          </w:tcPr>
          <w:p>
            <w:pPr>
              <w:pStyle w:val="2986"/>
              <w:rPr>
                <w:rFonts w:cs="宋体"/>
                <w:sz w:val="21"/>
                <w:szCs w:val="21"/>
              </w:rPr>
            </w:pPr>
            <w:r>
              <w:rPr>
                <w:rFonts w:hint="eastAsia" w:cs="宋体"/>
                <w:sz w:val="21"/>
                <w:szCs w:val="21"/>
              </w:rPr>
              <w:t>13</w:t>
            </w:r>
          </w:p>
        </w:tc>
        <w:tc>
          <w:tcPr>
            <w:tcW w:w="3277" w:type="dxa"/>
            <w:shd w:val="clear" w:color="auto" w:fill="auto"/>
            <w:noWrap/>
            <w:vAlign w:val="center"/>
          </w:tcPr>
          <w:p>
            <w:pPr>
              <w:pStyle w:val="2986"/>
              <w:jc w:val="left"/>
              <w:rPr>
                <w:rFonts w:cs="宋体"/>
                <w:sz w:val="21"/>
                <w:szCs w:val="21"/>
              </w:rPr>
            </w:pPr>
            <w:r>
              <w:rPr>
                <w:rFonts w:hint="eastAsia" w:cs="宋体"/>
                <w:sz w:val="21"/>
                <w:szCs w:val="21"/>
              </w:rPr>
              <w:t>祁24+330～祁25+040(L=710m)</w:t>
            </w:r>
          </w:p>
        </w:tc>
        <w:tc>
          <w:tcPr>
            <w:tcW w:w="992" w:type="dxa"/>
            <w:shd w:val="clear" w:color="auto" w:fill="auto"/>
            <w:noWrap/>
            <w:vAlign w:val="center"/>
          </w:tcPr>
          <w:p>
            <w:pPr>
              <w:pStyle w:val="2986"/>
              <w:rPr>
                <w:sz w:val="21"/>
                <w:szCs w:val="21"/>
              </w:rPr>
            </w:pPr>
            <w:r>
              <w:rPr>
                <w:sz w:val="21"/>
                <w:szCs w:val="21"/>
              </w:rPr>
              <w:t>　</w:t>
            </w:r>
          </w:p>
        </w:tc>
        <w:tc>
          <w:tcPr>
            <w:tcW w:w="1231" w:type="dxa"/>
            <w:shd w:val="clear" w:color="auto" w:fill="auto"/>
            <w:noWrap/>
            <w:vAlign w:val="center"/>
          </w:tcPr>
          <w:p>
            <w:pPr>
              <w:pStyle w:val="2986"/>
              <w:rPr>
                <w:sz w:val="21"/>
                <w:szCs w:val="21"/>
              </w:rPr>
            </w:pPr>
            <w:r>
              <w:rPr>
                <w:sz w:val="21"/>
                <w:szCs w:val="21"/>
              </w:rPr>
              <w:t>898.5</w:t>
            </w:r>
          </w:p>
        </w:tc>
        <w:tc>
          <w:tcPr>
            <w:tcW w:w="1019" w:type="dxa"/>
            <w:shd w:val="clear" w:color="auto" w:fill="auto"/>
            <w:noWrap/>
            <w:vAlign w:val="center"/>
          </w:tcPr>
          <w:p>
            <w:pPr>
              <w:pStyle w:val="2986"/>
              <w:rPr>
                <w:sz w:val="21"/>
                <w:szCs w:val="21"/>
              </w:rPr>
            </w:pPr>
            <w:r>
              <w:rPr>
                <w:sz w:val="21"/>
                <w:szCs w:val="21"/>
              </w:rPr>
              <w:t>　</w:t>
            </w:r>
          </w:p>
        </w:tc>
        <w:tc>
          <w:tcPr>
            <w:tcW w:w="1200" w:type="dxa"/>
            <w:shd w:val="clear" w:color="auto" w:fill="auto"/>
            <w:noWrap/>
            <w:vAlign w:val="center"/>
          </w:tcPr>
          <w:p>
            <w:pPr>
              <w:pStyle w:val="2986"/>
              <w:rPr>
                <w:sz w:val="21"/>
                <w:szCs w:val="21"/>
              </w:rPr>
            </w:pPr>
            <w:r>
              <w:rPr>
                <w:sz w:val="21"/>
                <w:szCs w:val="21"/>
              </w:rPr>
              <w:t>24.75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 w:type="dxa"/>
            <w:shd w:val="clear" w:color="auto" w:fill="auto"/>
            <w:noWrap/>
            <w:vAlign w:val="center"/>
          </w:tcPr>
          <w:p>
            <w:pPr>
              <w:pStyle w:val="2986"/>
              <w:rPr>
                <w:rFonts w:cs="宋体"/>
                <w:sz w:val="21"/>
                <w:szCs w:val="21"/>
              </w:rPr>
            </w:pPr>
            <w:r>
              <w:rPr>
                <w:rFonts w:hint="eastAsia" w:cs="宋体"/>
                <w:sz w:val="21"/>
                <w:szCs w:val="21"/>
              </w:rPr>
              <w:t>14</w:t>
            </w:r>
          </w:p>
        </w:tc>
        <w:tc>
          <w:tcPr>
            <w:tcW w:w="3277" w:type="dxa"/>
            <w:shd w:val="clear" w:color="auto" w:fill="auto"/>
            <w:noWrap/>
            <w:vAlign w:val="center"/>
          </w:tcPr>
          <w:p>
            <w:pPr>
              <w:pStyle w:val="2986"/>
              <w:jc w:val="left"/>
              <w:rPr>
                <w:rFonts w:cs="宋体"/>
                <w:sz w:val="21"/>
                <w:szCs w:val="21"/>
              </w:rPr>
            </w:pPr>
            <w:r>
              <w:rPr>
                <w:rFonts w:hint="eastAsia" w:cs="宋体"/>
                <w:sz w:val="21"/>
                <w:szCs w:val="21"/>
              </w:rPr>
              <w:t>祁29+360～祁29+870(L=510m)</w:t>
            </w:r>
          </w:p>
        </w:tc>
        <w:tc>
          <w:tcPr>
            <w:tcW w:w="992" w:type="dxa"/>
            <w:shd w:val="clear" w:color="auto" w:fill="auto"/>
            <w:noWrap/>
            <w:vAlign w:val="center"/>
          </w:tcPr>
          <w:p>
            <w:pPr>
              <w:pStyle w:val="2986"/>
              <w:rPr>
                <w:sz w:val="21"/>
                <w:szCs w:val="21"/>
              </w:rPr>
            </w:pPr>
            <w:r>
              <w:rPr>
                <w:sz w:val="21"/>
                <w:szCs w:val="21"/>
              </w:rPr>
              <w:t>　</w:t>
            </w:r>
          </w:p>
        </w:tc>
        <w:tc>
          <w:tcPr>
            <w:tcW w:w="1231" w:type="dxa"/>
            <w:shd w:val="clear" w:color="auto" w:fill="auto"/>
            <w:noWrap/>
            <w:vAlign w:val="center"/>
          </w:tcPr>
          <w:p>
            <w:pPr>
              <w:pStyle w:val="2986"/>
              <w:rPr>
                <w:sz w:val="21"/>
                <w:szCs w:val="21"/>
              </w:rPr>
            </w:pPr>
            <w:r>
              <w:rPr>
                <w:sz w:val="21"/>
                <w:szCs w:val="21"/>
              </w:rPr>
              <w:t>1615</w:t>
            </w:r>
          </w:p>
        </w:tc>
        <w:tc>
          <w:tcPr>
            <w:tcW w:w="1019" w:type="dxa"/>
            <w:shd w:val="clear" w:color="auto" w:fill="auto"/>
            <w:noWrap/>
            <w:vAlign w:val="center"/>
          </w:tcPr>
          <w:p>
            <w:pPr>
              <w:pStyle w:val="2986"/>
              <w:rPr>
                <w:sz w:val="21"/>
                <w:szCs w:val="21"/>
              </w:rPr>
            </w:pPr>
            <w:r>
              <w:rPr>
                <w:sz w:val="21"/>
                <w:szCs w:val="21"/>
              </w:rPr>
              <w:t>536</w:t>
            </w:r>
          </w:p>
        </w:tc>
        <w:tc>
          <w:tcPr>
            <w:tcW w:w="1200" w:type="dxa"/>
            <w:shd w:val="clear" w:color="auto" w:fill="auto"/>
            <w:noWrap/>
            <w:vAlign w:val="center"/>
          </w:tcPr>
          <w:p>
            <w:pPr>
              <w:pStyle w:val="2986"/>
              <w:rPr>
                <w:sz w:val="21"/>
                <w:szCs w:val="21"/>
              </w:rPr>
            </w:pPr>
            <w:r>
              <w:rPr>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 w:type="dxa"/>
            <w:shd w:val="clear" w:color="auto" w:fill="auto"/>
            <w:noWrap/>
            <w:vAlign w:val="center"/>
          </w:tcPr>
          <w:p>
            <w:pPr>
              <w:pStyle w:val="2986"/>
              <w:rPr>
                <w:rFonts w:cs="宋体"/>
                <w:sz w:val="21"/>
                <w:szCs w:val="21"/>
              </w:rPr>
            </w:pPr>
            <w:r>
              <w:rPr>
                <w:rFonts w:hint="eastAsia" w:cs="宋体"/>
                <w:sz w:val="21"/>
                <w:szCs w:val="21"/>
              </w:rPr>
              <w:t>15</w:t>
            </w:r>
          </w:p>
        </w:tc>
        <w:tc>
          <w:tcPr>
            <w:tcW w:w="3277" w:type="dxa"/>
            <w:shd w:val="clear" w:color="auto" w:fill="auto"/>
            <w:noWrap/>
            <w:vAlign w:val="center"/>
          </w:tcPr>
          <w:p>
            <w:pPr>
              <w:pStyle w:val="2986"/>
              <w:jc w:val="left"/>
              <w:rPr>
                <w:rFonts w:cs="宋体"/>
                <w:sz w:val="21"/>
                <w:szCs w:val="21"/>
              </w:rPr>
            </w:pPr>
            <w:r>
              <w:rPr>
                <w:rFonts w:hint="eastAsia" w:cs="宋体"/>
                <w:sz w:val="21"/>
                <w:szCs w:val="21"/>
              </w:rPr>
              <w:t>祁30+330～祁31+190(L=860m)</w:t>
            </w:r>
          </w:p>
        </w:tc>
        <w:tc>
          <w:tcPr>
            <w:tcW w:w="992" w:type="dxa"/>
            <w:shd w:val="clear" w:color="auto" w:fill="auto"/>
            <w:noWrap/>
            <w:vAlign w:val="center"/>
          </w:tcPr>
          <w:p>
            <w:pPr>
              <w:pStyle w:val="2986"/>
              <w:rPr>
                <w:sz w:val="21"/>
                <w:szCs w:val="21"/>
              </w:rPr>
            </w:pPr>
            <w:r>
              <w:rPr>
                <w:sz w:val="21"/>
                <w:szCs w:val="21"/>
              </w:rPr>
              <w:t>　</w:t>
            </w:r>
          </w:p>
        </w:tc>
        <w:tc>
          <w:tcPr>
            <w:tcW w:w="1231" w:type="dxa"/>
            <w:shd w:val="clear" w:color="auto" w:fill="auto"/>
            <w:noWrap/>
            <w:vAlign w:val="center"/>
          </w:tcPr>
          <w:p>
            <w:pPr>
              <w:pStyle w:val="2986"/>
              <w:rPr>
                <w:sz w:val="21"/>
                <w:szCs w:val="21"/>
              </w:rPr>
            </w:pPr>
            <w:r>
              <w:rPr>
                <w:sz w:val="21"/>
                <w:szCs w:val="21"/>
              </w:rPr>
              <w:t>3803.5</w:t>
            </w:r>
          </w:p>
        </w:tc>
        <w:tc>
          <w:tcPr>
            <w:tcW w:w="1019" w:type="dxa"/>
            <w:shd w:val="clear" w:color="auto" w:fill="auto"/>
            <w:noWrap/>
            <w:vAlign w:val="center"/>
          </w:tcPr>
          <w:p>
            <w:pPr>
              <w:pStyle w:val="2986"/>
              <w:rPr>
                <w:sz w:val="21"/>
                <w:szCs w:val="21"/>
              </w:rPr>
            </w:pPr>
            <w:r>
              <w:rPr>
                <w:sz w:val="21"/>
                <w:szCs w:val="21"/>
              </w:rPr>
              <w:t>　</w:t>
            </w:r>
          </w:p>
        </w:tc>
        <w:tc>
          <w:tcPr>
            <w:tcW w:w="1200" w:type="dxa"/>
            <w:shd w:val="clear" w:color="auto" w:fill="auto"/>
            <w:noWrap/>
            <w:vAlign w:val="center"/>
          </w:tcPr>
          <w:p>
            <w:pPr>
              <w:pStyle w:val="2986"/>
              <w:rPr>
                <w:sz w:val="21"/>
                <w:szCs w:val="21"/>
              </w:rPr>
            </w:pPr>
            <w:r>
              <w:rPr>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 w:type="dxa"/>
            <w:shd w:val="clear" w:color="auto" w:fill="auto"/>
            <w:noWrap/>
            <w:vAlign w:val="center"/>
          </w:tcPr>
          <w:p>
            <w:pPr>
              <w:pStyle w:val="2986"/>
              <w:rPr>
                <w:rFonts w:cs="宋体"/>
                <w:sz w:val="21"/>
                <w:szCs w:val="21"/>
              </w:rPr>
            </w:pPr>
            <w:r>
              <w:rPr>
                <w:rFonts w:hint="eastAsia" w:cs="宋体"/>
                <w:sz w:val="21"/>
                <w:szCs w:val="21"/>
              </w:rPr>
              <w:t>16</w:t>
            </w:r>
          </w:p>
        </w:tc>
        <w:tc>
          <w:tcPr>
            <w:tcW w:w="3277" w:type="dxa"/>
            <w:shd w:val="clear" w:color="auto" w:fill="auto"/>
            <w:noWrap/>
            <w:vAlign w:val="center"/>
          </w:tcPr>
          <w:p>
            <w:pPr>
              <w:pStyle w:val="2986"/>
              <w:jc w:val="left"/>
              <w:rPr>
                <w:rFonts w:cs="宋体"/>
                <w:sz w:val="21"/>
                <w:szCs w:val="21"/>
              </w:rPr>
            </w:pPr>
            <w:r>
              <w:rPr>
                <w:rFonts w:hint="eastAsia" w:cs="宋体"/>
                <w:sz w:val="21"/>
                <w:szCs w:val="21"/>
              </w:rPr>
              <w:t>祁32+000～祁32+175(L=175m)</w:t>
            </w:r>
          </w:p>
        </w:tc>
        <w:tc>
          <w:tcPr>
            <w:tcW w:w="992" w:type="dxa"/>
            <w:shd w:val="clear" w:color="auto" w:fill="auto"/>
            <w:noWrap/>
            <w:vAlign w:val="center"/>
          </w:tcPr>
          <w:p>
            <w:pPr>
              <w:pStyle w:val="2986"/>
              <w:rPr>
                <w:sz w:val="21"/>
                <w:szCs w:val="21"/>
              </w:rPr>
            </w:pPr>
            <w:r>
              <w:rPr>
                <w:sz w:val="21"/>
                <w:szCs w:val="21"/>
              </w:rPr>
              <w:t>　</w:t>
            </w:r>
          </w:p>
        </w:tc>
        <w:tc>
          <w:tcPr>
            <w:tcW w:w="1231" w:type="dxa"/>
            <w:shd w:val="clear" w:color="auto" w:fill="auto"/>
            <w:noWrap/>
            <w:vAlign w:val="center"/>
          </w:tcPr>
          <w:p>
            <w:pPr>
              <w:pStyle w:val="2986"/>
              <w:rPr>
                <w:sz w:val="21"/>
                <w:szCs w:val="21"/>
              </w:rPr>
            </w:pPr>
            <w:r>
              <w:rPr>
                <w:sz w:val="21"/>
                <w:szCs w:val="21"/>
              </w:rPr>
              <w:t>2473.5</w:t>
            </w:r>
          </w:p>
        </w:tc>
        <w:tc>
          <w:tcPr>
            <w:tcW w:w="1019" w:type="dxa"/>
            <w:shd w:val="clear" w:color="auto" w:fill="auto"/>
            <w:noWrap/>
            <w:vAlign w:val="center"/>
          </w:tcPr>
          <w:p>
            <w:pPr>
              <w:pStyle w:val="2986"/>
              <w:rPr>
                <w:sz w:val="21"/>
                <w:szCs w:val="21"/>
              </w:rPr>
            </w:pPr>
            <w:r>
              <w:rPr>
                <w:sz w:val="21"/>
                <w:szCs w:val="21"/>
              </w:rPr>
              <w:t>　</w:t>
            </w:r>
          </w:p>
        </w:tc>
        <w:tc>
          <w:tcPr>
            <w:tcW w:w="1200" w:type="dxa"/>
            <w:shd w:val="clear" w:color="auto" w:fill="auto"/>
            <w:noWrap/>
            <w:vAlign w:val="center"/>
          </w:tcPr>
          <w:p>
            <w:pPr>
              <w:pStyle w:val="2986"/>
              <w:rPr>
                <w:sz w:val="21"/>
                <w:szCs w:val="21"/>
              </w:rPr>
            </w:pPr>
            <w:r>
              <w:rPr>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 w:type="dxa"/>
            <w:shd w:val="clear" w:color="auto" w:fill="auto"/>
            <w:noWrap/>
            <w:vAlign w:val="center"/>
          </w:tcPr>
          <w:p>
            <w:pPr>
              <w:pStyle w:val="2986"/>
              <w:rPr>
                <w:rFonts w:cs="宋体"/>
                <w:b/>
                <w:bCs/>
                <w:sz w:val="21"/>
                <w:szCs w:val="21"/>
              </w:rPr>
            </w:pPr>
            <w:r>
              <w:rPr>
                <w:rFonts w:hint="eastAsia" w:cs="宋体"/>
                <w:b/>
                <w:bCs/>
                <w:sz w:val="21"/>
                <w:szCs w:val="21"/>
              </w:rPr>
              <w:t>（三）</w:t>
            </w:r>
          </w:p>
        </w:tc>
        <w:tc>
          <w:tcPr>
            <w:tcW w:w="3277" w:type="dxa"/>
            <w:shd w:val="clear" w:color="auto" w:fill="auto"/>
            <w:noWrap/>
            <w:vAlign w:val="center"/>
          </w:tcPr>
          <w:p>
            <w:pPr>
              <w:pStyle w:val="2986"/>
              <w:jc w:val="left"/>
              <w:rPr>
                <w:rFonts w:cs="宋体"/>
                <w:b/>
                <w:bCs/>
                <w:sz w:val="21"/>
                <w:szCs w:val="21"/>
              </w:rPr>
            </w:pPr>
            <w:r>
              <w:rPr>
                <w:rFonts w:hint="eastAsia" w:cs="宋体"/>
                <w:b/>
                <w:bCs/>
                <w:sz w:val="21"/>
                <w:szCs w:val="21"/>
              </w:rPr>
              <w:t>河道清淤(L=6237m)</w:t>
            </w:r>
          </w:p>
        </w:tc>
        <w:tc>
          <w:tcPr>
            <w:tcW w:w="992" w:type="dxa"/>
            <w:shd w:val="clear" w:color="auto" w:fill="auto"/>
            <w:noWrap/>
            <w:vAlign w:val="center"/>
          </w:tcPr>
          <w:p>
            <w:pPr>
              <w:jc w:val="center"/>
              <w:rPr>
                <w:rFonts w:ascii="Times New Roman" w:hAnsi="Times New Roman"/>
                <w:b/>
                <w:bCs/>
                <w:sz w:val="21"/>
                <w:szCs w:val="21"/>
              </w:rPr>
            </w:pPr>
            <w:r>
              <w:rPr>
                <w:rFonts w:ascii="Times New Roman" w:hAnsi="Times New Roman"/>
                <w:b/>
                <w:bCs/>
                <w:sz w:val="21"/>
                <w:szCs w:val="21"/>
              </w:rPr>
              <w:t>74368</w:t>
            </w:r>
          </w:p>
        </w:tc>
        <w:tc>
          <w:tcPr>
            <w:tcW w:w="1231" w:type="dxa"/>
            <w:shd w:val="clear" w:color="auto" w:fill="auto"/>
            <w:noWrap/>
            <w:vAlign w:val="center"/>
          </w:tcPr>
          <w:p>
            <w:pPr>
              <w:pStyle w:val="2986"/>
              <w:rPr>
                <w:b/>
                <w:bCs/>
                <w:sz w:val="21"/>
                <w:szCs w:val="21"/>
              </w:rPr>
            </w:pPr>
            <w:r>
              <w:rPr>
                <w:b/>
                <w:bCs/>
                <w:sz w:val="21"/>
                <w:szCs w:val="21"/>
              </w:rPr>
              <w:t>　</w:t>
            </w:r>
          </w:p>
        </w:tc>
        <w:tc>
          <w:tcPr>
            <w:tcW w:w="1019" w:type="dxa"/>
            <w:shd w:val="clear" w:color="auto" w:fill="auto"/>
            <w:noWrap/>
            <w:vAlign w:val="center"/>
          </w:tcPr>
          <w:p>
            <w:pPr>
              <w:pStyle w:val="2986"/>
              <w:rPr>
                <w:b/>
                <w:bCs/>
                <w:sz w:val="21"/>
                <w:szCs w:val="21"/>
              </w:rPr>
            </w:pPr>
            <w:r>
              <w:rPr>
                <w:b/>
                <w:bCs/>
                <w:sz w:val="21"/>
                <w:szCs w:val="21"/>
              </w:rPr>
              <w:t>　</w:t>
            </w:r>
          </w:p>
        </w:tc>
        <w:tc>
          <w:tcPr>
            <w:tcW w:w="1200" w:type="dxa"/>
            <w:shd w:val="clear" w:color="auto" w:fill="auto"/>
            <w:noWrap/>
            <w:vAlign w:val="center"/>
          </w:tcPr>
          <w:p>
            <w:pPr>
              <w:pStyle w:val="2986"/>
              <w:rPr>
                <w:b/>
                <w:bCs/>
                <w:sz w:val="21"/>
                <w:szCs w:val="21"/>
              </w:rPr>
            </w:pPr>
            <w:r>
              <w:rPr>
                <w:b/>
                <w:bCs/>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 w:type="dxa"/>
            <w:shd w:val="clear" w:color="auto" w:fill="auto"/>
            <w:noWrap/>
            <w:vAlign w:val="center"/>
          </w:tcPr>
          <w:p>
            <w:pPr>
              <w:pStyle w:val="2986"/>
              <w:rPr>
                <w:rFonts w:cs="宋体"/>
                <w:sz w:val="21"/>
                <w:szCs w:val="21"/>
              </w:rPr>
            </w:pPr>
            <w:r>
              <w:rPr>
                <w:rFonts w:hint="eastAsia" w:cs="宋体"/>
                <w:sz w:val="21"/>
                <w:szCs w:val="21"/>
              </w:rPr>
              <w:t>1</w:t>
            </w:r>
          </w:p>
        </w:tc>
        <w:tc>
          <w:tcPr>
            <w:tcW w:w="3277" w:type="dxa"/>
            <w:shd w:val="clear" w:color="auto" w:fill="auto"/>
            <w:noWrap/>
            <w:vAlign w:val="center"/>
          </w:tcPr>
          <w:p>
            <w:pPr>
              <w:pStyle w:val="2986"/>
              <w:jc w:val="left"/>
              <w:rPr>
                <w:rFonts w:cs="宋体"/>
                <w:sz w:val="21"/>
                <w:szCs w:val="21"/>
              </w:rPr>
            </w:pPr>
            <w:r>
              <w:rPr>
                <w:rFonts w:hint="eastAsia" w:cs="宋体"/>
                <w:sz w:val="21"/>
                <w:szCs w:val="21"/>
              </w:rPr>
              <w:t>祁25+363～祁31+600(L=6237m)</w:t>
            </w:r>
          </w:p>
        </w:tc>
        <w:tc>
          <w:tcPr>
            <w:tcW w:w="992" w:type="dxa"/>
            <w:shd w:val="clear" w:color="auto" w:fill="auto"/>
            <w:noWrap/>
            <w:vAlign w:val="center"/>
          </w:tcPr>
          <w:p>
            <w:pPr>
              <w:jc w:val="center"/>
              <w:rPr>
                <w:rFonts w:ascii="Times New Roman" w:hAnsi="Times New Roman"/>
                <w:sz w:val="21"/>
                <w:szCs w:val="21"/>
              </w:rPr>
            </w:pPr>
            <w:r>
              <w:rPr>
                <w:rFonts w:ascii="Times New Roman" w:hAnsi="Times New Roman"/>
                <w:sz w:val="21"/>
                <w:szCs w:val="21"/>
              </w:rPr>
              <w:t>69718</w:t>
            </w:r>
          </w:p>
        </w:tc>
        <w:tc>
          <w:tcPr>
            <w:tcW w:w="1231" w:type="dxa"/>
            <w:shd w:val="clear" w:color="auto" w:fill="auto"/>
            <w:noWrap/>
            <w:vAlign w:val="center"/>
          </w:tcPr>
          <w:p>
            <w:pPr>
              <w:pStyle w:val="2986"/>
              <w:rPr>
                <w:b/>
                <w:bCs/>
                <w:sz w:val="21"/>
                <w:szCs w:val="21"/>
              </w:rPr>
            </w:pPr>
            <w:r>
              <w:rPr>
                <w:b/>
                <w:bCs/>
                <w:sz w:val="21"/>
                <w:szCs w:val="21"/>
              </w:rPr>
              <w:t>　</w:t>
            </w:r>
          </w:p>
        </w:tc>
        <w:tc>
          <w:tcPr>
            <w:tcW w:w="1019" w:type="dxa"/>
            <w:shd w:val="clear" w:color="auto" w:fill="auto"/>
            <w:noWrap/>
            <w:vAlign w:val="center"/>
          </w:tcPr>
          <w:p>
            <w:pPr>
              <w:pStyle w:val="2986"/>
              <w:rPr>
                <w:b/>
                <w:bCs/>
                <w:sz w:val="21"/>
                <w:szCs w:val="21"/>
              </w:rPr>
            </w:pPr>
            <w:r>
              <w:rPr>
                <w:b/>
                <w:bCs/>
                <w:sz w:val="21"/>
                <w:szCs w:val="21"/>
              </w:rPr>
              <w:t>　</w:t>
            </w:r>
          </w:p>
        </w:tc>
        <w:tc>
          <w:tcPr>
            <w:tcW w:w="1200" w:type="dxa"/>
            <w:shd w:val="clear" w:color="auto" w:fill="auto"/>
            <w:noWrap/>
            <w:vAlign w:val="center"/>
          </w:tcPr>
          <w:p>
            <w:pPr>
              <w:pStyle w:val="2986"/>
              <w:rPr>
                <w:b/>
                <w:bCs/>
                <w:sz w:val="21"/>
                <w:szCs w:val="21"/>
              </w:rPr>
            </w:pPr>
            <w:r>
              <w:rPr>
                <w:b/>
                <w:bCs/>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 w:type="dxa"/>
            <w:shd w:val="clear" w:color="auto" w:fill="auto"/>
            <w:noWrap/>
            <w:vAlign w:val="center"/>
          </w:tcPr>
          <w:p>
            <w:pPr>
              <w:pStyle w:val="2986"/>
              <w:rPr>
                <w:rFonts w:cs="宋体"/>
                <w:sz w:val="21"/>
                <w:szCs w:val="21"/>
              </w:rPr>
            </w:pPr>
            <w:r>
              <w:rPr>
                <w:rFonts w:hint="eastAsia" w:cs="宋体"/>
                <w:sz w:val="21"/>
                <w:szCs w:val="21"/>
              </w:rPr>
              <w:t>2</w:t>
            </w:r>
          </w:p>
        </w:tc>
        <w:tc>
          <w:tcPr>
            <w:tcW w:w="3277" w:type="dxa"/>
            <w:shd w:val="clear" w:color="auto" w:fill="auto"/>
            <w:noWrap/>
            <w:vAlign w:val="center"/>
          </w:tcPr>
          <w:p>
            <w:pPr>
              <w:pStyle w:val="2986"/>
              <w:jc w:val="left"/>
              <w:rPr>
                <w:rFonts w:cs="宋体"/>
                <w:sz w:val="21"/>
                <w:szCs w:val="21"/>
              </w:rPr>
            </w:pPr>
            <w:r>
              <w:rPr>
                <w:rFonts w:hint="eastAsia" w:cs="宋体"/>
                <w:sz w:val="21"/>
                <w:szCs w:val="21"/>
              </w:rPr>
              <w:t>31处河坝清淤</w:t>
            </w:r>
          </w:p>
        </w:tc>
        <w:tc>
          <w:tcPr>
            <w:tcW w:w="992" w:type="dxa"/>
            <w:shd w:val="clear" w:color="auto" w:fill="auto"/>
            <w:noWrap/>
            <w:vAlign w:val="center"/>
          </w:tcPr>
          <w:p>
            <w:pPr>
              <w:jc w:val="center"/>
              <w:rPr>
                <w:rFonts w:ascii="Times New Roman" w:hAnsi="Times New Roman"/>
                <w:sz w:val="21"/>
                <w:szCs w:val="21"/>
              </w:rPr>
            </w:pPr>
            <w:r>
              <w:rPr>
                <w:rFonts w:ascii="Times New Roman" w:hAnsi="Times New Roman"/>
                <w:sz w:val="21"/>
                <w:szCs w:val="21"/>
              </w:rPr>
              <w:t>4650</w:t>
            </w:r>
          </w:p>
        </w:tc>
        <w:tc>
          <w:tcPr>
            <w:tcW w:w="1231" w:type="dxa"/>
            <w:shd w:val="clear" w:color="auto" w:fill="auto"/>
            <w:noWrap/>
            <w:vAlign w:val="center"/>
          </w:tcPr>
          <w:p>
            <w:pPr>
              <w:pStyle w:val="2986"/>
              <w:rPr>
                <w:b/>
                <w:bCs/>
                <w:sz w:val="21"/>
                <w:szCs w:val="21"/>
              </w:rPr>
            </w:pPr>
            <w:r>
              <w:rPr>
                <w:b/>
                <w:bCs/>
                <w:sz w:val="21"/>
                <w:szCs w:val="21"/>
              </w:rPr>
              <w:t>　</w:t>
            </w:r>
          </w:p>
        </w:tc>
        <w:tc>
          <w:tcPr>
            <w:tcW w:w="1019" w:type="dxa"/>
            <w:shd w:val="clear" w:color="auto" w:fill="auto"/>
            <w:noWrap/>
            <w:vAlign w:val="center"/>
          </w:tcPr>
          <w:p>
            <w:pPr>
              <w:pStyle w:val="2986"/>
              <w:rPr>
                <w:b/>
                <w:bCs/>
                <w:sz w:val="21"/>
                <w:szCs w:val="21"/>
              </w:rPr>
            </w:pPr>
            <w:r>
              <w:rPr>
                <w:b/>
                <w:bCs/>
                <w:sz w:val="21"/>
                <w:szCs w:val="21"/>
              </w:rPr>
              <w:t>　</w:t>
            </w:r>
          </w:p>
        </w:tc>
        <w:tc>
          <w:tcPr>
            <w:tcW w:w="1200" w:type="dxa"/>
            <w:shd w:val="clear" w:color="auto" w:fill="auto"/>
            <w:noWrap/>
            <w:vAlign w:val="center"/>
          </w:tcPr>
          <w:p>
            <w:pPr>
              <w:pStyle w:val="2986"/>
              <w:rPr>
                <w:b/>
                <w:bCs/>
                <w:sz w:val="21"/>
                <w:szCs w:val="21"/>
              </w:rPr>
            </w:pPr>
            <w:r>
              <w:rPr>
                <w:b/>
                <w:bCs/>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9" w:type="dxa"/>
            <w:shd w:val="clear" w:color="auto" w:fill="auto"/>
            <w:noWrap/>
            <w:vAlign w:val="center"/>
          </w:tcPr>
          <w:p>
            <w:pPr>
              <w:pStyle w:val="2986"/>
              <w:rPr>
                <w:rFonts w:cs="宋体"/>
                <w:b/>
                <w:sz w:val="21"/>
                <w:szCs w:val="21"/>
              </w:rPr>
            </w:pPr>
            <w:r>
              <w:rPr>
                <w:rFonts w:hint="eastAsia" w:cs="宋体"/>
                <w:b/>
                <w:sz w:val="21"/>
                <w:szCs w:val="21"/>
              </w:rPr>
              <w:t>合计　</w:t>
            </w:r>
          </w:p>
        </w:tc>
        <w:tc>
          <w:tcPr>
            <w:tcW w:w="3277" w:type="dxa"/>
            <w:shd w:val="clear" w:color="auto" w:fill="auto"/>
            <w:noWrap/>
            <w:vAlign w:val="center"/>
          </w:tcPr>
          <w:p>
            <w:pPr>
              <w:pStyle w:val="2986"/>
              <w:rPr>
                <w:rFonts w:cs="宋体"/>
                <w:b/>
                <w:bCs/>
                <w:sz w:val="21"/>
                <w:szCs w:val="21"/>
              </w:rPr>
            </w:pPr>
            <w:r>
              <w:rPr>
                <w:rFonts w:hint="eastAsia" w:cs="宋体"/>
                <w:b/>
                <w:bCs/>
                <w:sz w:val="21"/>
                <w:szCs w:val="21"/>
              </w:rPr>
              <w:t>清淤疏浚工程(L=14619m)</w:t>
            </w:r>
          </w:p>
        </w:tc>
        <w:tc>
          <w:tcPr>
            <w:tcW w:w="992" w:type="dxa"/>
            <w:shd w:val="clear" w:color="auto" w:fill="auto"/>
            <w:noWrap/>
            <w:vAlign w:val="center"/>
          </w:tcPr>
          <w:p>
            <w:pPr>
              <w:jc w:val="center"/>
              <w:rPr>
                <w:rFonts w:ascii="宋体" w:hAnsi="宋体" w:cs="宋体"/>
                <w:b/>
                <w:bCs/>
                <w:sz w:val="21"/>
                <w:szCs w:val="21"/>
              </w:rPr>
            </w:pPr>
            <w:r>
              <w:rPr>
                <w:rFonts w:hint="eastAsia"/>
                <w:b/>
                <w:bCs/>
                <w:sz w:val="21"/>
                <w:szCs w:val="21"/>
              </w:rPr>
              <w:t>74368</w:t>
            </w:r>
          </w:p>
        </w:tc>
        <w:tc>
          <w:tcPr>
            <w:tcW w:w="1231" w:type="dxa"/>
            <w:shd w:val="clear" w:color="auto" w:fill="auto"/>
            <w:noWrap/>
            <w:vAlign w:val="center"/>
          </w:tcPr>
          <w:p>
            <w:pPr>
              <w:pStyle w:val="2986"/>
              <w:rPr>
                <w:rFonts w:cs="宋体"/>
                <w:b/>
                <w:bCs/>
                <w:sz w:val="21"/>
                <w:szCs w:val="21"/>
              </w:rPr>
            </w:pPr>
            <w:r>
              <w:rPr>
                <w:rFonts w:hint="eastAsia" w:cs="宋体"/>
                <w:b/>
                <w:bCs/>
                <w:sz w:val="21"/>
                <w:szCs w:val="21"/>
              </w:rPr>
              <w:t>19307.4</w:t>
            </w:r>
          </w:p>
        </w:tc>
        <w:tc>
          <w:tcPr>
            <w:tcW w:w="1019" w:type="dxa"/>
            <w:shd w:val="clear" w:color="auto" w:fill="auto"/>
            <w:noWrap/>
            <w:vAlign w:val="center"/>
          </w:tcPr>
          <w:p>
            <w:pPr>
              <w:pStyle w:val="2986"/>
              <w:rPr>
                <w:rFonts w:cs="宋体"/>
                <w:b/>
                <w:bCs/>
                <w:sz w:val="21"/>
                <w:szCs w:val="21"/>
              </w:rPr>
            </w:pPr>
            <w:r>
              <w:rPr>
                <w:rFonts w:hint="eastAsia" w:cs="宋体"/>
                <w:b/>
                <w:bCs/>
                <w:sz w:val="21"/>
                <w:szCs w:val="21"/>
              </w:rPr>
              <w:t>2103.4</w:t>
            </w:r>
          </w:p>
        </w:tc>
        <w:tc>
          <w:tcPr>
            <w:tcW w:w="1200" w:type="dxa"/>
            <w:shd w:val="clear" w:color="auto" w:fill="auto"/>
            <w:noWrap/>
            <w:vAlign w:val="center"/>
          </w:tcPr>
          <w:p>
            <w:pPr>
              <w:pStyle w:val="2986"/>
              <w:rPr>
                <w:rFonts w:cs="宋体"/>
                <w:b/>
                <w:bCs/>
                <w:sz w:val="21"/>
                <w:szCs w:val="21"/>
              </w:rPr>
            </w:pPr>
            <w:r>
              <w:rPr>
                <w:rFonts w:hint="eastAsia" w:cs="宋体"/>
                <w:b/>
                <w:bCs/>
                <w:sz w:val="21"/>
                <w:szCs w:val="21"/>
              </w:rPr>
              <w:t>50.95</w:t>
            </w:r>
          </w:p>
        </w:tc>
      </w:tr>
    </w:tbl>
    <w:p>
      <w:pPr>
        <w:pStyle w:val="815"/>
        <w:ind w:left="0" w:leftChars="0" w:firstLine="480" w:firstLineChars="200"/>
        <w:rPr>
          <w:rFonts w:hint="eastAsia" w:eastAsia="宋体" w:cs="Times New Roman"/>
          <w:sz w:val="24"/>
          <w:szCs w:val="24"/>
          <w:lang w:val="en-US" w:eastAsia="zh-CN"/>
        </w:rPr>
      </w:pPr>
    </w:p>
    <w:p>
      <w:pPr>
        <w:pStyle w:val="815"/>
        <w:numPr>
          <w:ilvl w:val="0"/>
          <w:numId w:val="10"/>
        </w:numPr>
        <w:spacing w:line="360" w:lineRule="auto"/>
        <w:ind w:left="0" w:leftChars="0" w:firstLine="480" w:firstLineChars="200"/>
        <w:rPr>
          <w:rFonts w:hint="default" w:ascii="Times New Roman" w:hAnsi="Times New Roman" w:eastAsia="宋体" w:cs="Times New Roman"/>
          <w:snapToGrid w:val="0"/>
          <w:sz w:val="24"/>
          <w:szCs w:val="24"/>
        </w:rPr>
      </w:pPr>
      <w:r>
        <w:rPr>
          <w:rFonts w:hint="default" w:ascii="Times New Roman" w:hAnsi="Times New Roman" w:eastAsia="宋体" w:cs="Times New Roman"/>
          <w:sz w:val="24"/>
          <w:szCs w:val="24"/>
        </w:rPr>
        <w:t>本次设计对1#河坝（简坝）进行</w:t>
      </w:r>
      <w:r>
        <w:rPr>
          <w:rFonts w:hint="default" w:ascii="Times New Roman" w:hAnsi="Times New Roman" w:eastAsia="宋体" w:cs="Times New Roman"/>
          <w:snapToGrid w:val="0"/>
          <w:sz w:val="24"/>
          <w:szCs w:val="24"/>
        </w:rPr>
        <w:t>拆除重建，马黄山口边河坝、11#河坝（彭家坝）、13#河坝（乐家坝）、19#河坝（谭山岩河坝）及24#河坝（石湾河坝）改造加固，河坝现状及加固采取的措施具体如下表</w:t>
      </w:r>
      <w:r>
        <w:rPr>
          <w:rFonts w:hint="eastAsia" w:eastAsia="宋体" w:cs="Times New Roman"/>
          <w:snapToGrid w:val="0"/>
          <w:sz w:val="24"/>
          <w:szCs w:val="24"/>
          <w:lang w:val="en-US" w:eastAsia="zh-CN"/>
        </w:rPr>
        <w:t>3</w:t>
      </w:r>
      <w:r>
        <w:rPr>
          <w:rFonts w:hint="default" w:ascii="Times New Roman" w:hAnsi="Times New Roman" w:eastAsia="宋体" w:cs="Times New Roman"/>
          <w:snapToGrid w:val="0"/>
          <w:sz w:val="24"/>
          <w:szCs w:val="24"/>
        </w:rPr>
        <w:t>.</w:t>
      </w:r>
      <w:r>
        <w:rPr>
          <w:rFonts w:hint="eastAsia" w:eastAsia="宋体" w:cs="Times New Roman"/>
          <w:snapToGrid w:val="0"/>
          <w:sz w:val="24"/>
          <w:szCs w:val="24"/>
          <w:lang w:val="en-US" w:eastAsia="zh-CN"/>
        </w:rPr>
        <w:t>2</w:t>
      </w:r>
      <w:r>
        <w:rPr>
          <w:rFonts w:hint="default" w:ascii="Times New Roman" w:hAnsi="Times New Roman" w:eastAsia="宋体" w:cs="Times New Roman"/>
          <w:snapToGrid w:val="0"/>
          <w:sz w:val="24"/>
          <w:szCs w:val="24"/>
        </w:rPr>
        <w:t>-</w:t>
      </w:r>
      <w:r>
        <w:rPr>
          <w:rFonts w:hint="eastAsia" w:eastAsia="宋体" w:cs="Times New Roman"/>
          <w:snapToGrid w:val="0"/>
          <w:sz w:val="24"/>
          <w:szCs w:val="24"/>
          <w:lang w:val="en-US" w:eastAsia="zh-CN"/>
        </w:rPr>
        <w:t>5</w:t>
      </w:r>
      <w:r>
        <w:rPr>
          <w:rFonts w:hint="default" w:ascii="Times New Roman" w:hAnsi="Times New Roman" w:eastAsia="宋体" w:cs="Times New Roman"/>
          <w:snapToGrid w:val="0"/>
          <w:sz w:val="24"/>
          <w:szCs w:val="24"/>
        </w:rPr>
        <w:t>。</w:t>
      </w:r>
    </w:p>
    <w:p>
      <w:pPr>
        <w:pStyle w:val="815"/>
        <w:numPr>
          <w:ilvl w:val="0"/>
          <w:numId w:val="0"/>
        </w:numPr>
        <w:spacing w:line="360" w:lineRule="auto"/>
        <w:ind w:leftChars="200"/>
        <w:jc w:val="center"/>
        <w:rPr>
          <w:rFonts w:hint="default" w:ascii="Times New Roman" w:hAnsi="Times New Roman" w:eastAsia="宋体" w:cs="Times New Roman"/>
          <w:snapToGrid w:val="0"/>
          <w:sz w:val="24"/>
          <w:szCs w:val="24"/>
        </w:rPr>
      </w:pPr>
      <w:r>
        <w:rPr>
          <w:rFonts w:hint="eastAsia" w:ascii="Times New Roman" w:hAnsi="Times New Roman" w:eastAsia="宋体" w:cs="Times New Roman"/>
          <w:b/>
          <w:smallCaps w:val="0"/>
          <w:color w:val="auto"/>
          <w:kern w:val="0"/>
          <w:sz w:val="24"/>
          <w:szCs w:val="24"/>
          <w:lang w:val="zh-CN" w:eastAsia="zh-CN" w:bidi="zh-CN"/>
        </w:rPr>
        <w:t>表</w:t>
      </w:r>
      <w:r>
        <w:rPr>
          <w:rFonts w:hint="eastAsia" w:ascii="Times New Roman" w:hAnsi="Times New Roman" w:eastAsia="宋体" w:cs="Times New Roman"/>
          <w:b/>
          <w:smallCaps w:val="0"/>
          <w:color w:val="auto"/>
          <w:kern w:val="0"/>
          <w:sz w:val="24"/>
          <w:szCs w:val="24"/>
          <w:lang w:val="en-US" w:eastAsia="zh-CN" w:bidi="zh-CN"/>
        </w:rPr>
        <w:t>3.2-</w:t>
      </w:r>
      <w:r>
        <w:rPr>
          <w:rFonts w:hint="eastAsia" w:eastAsia="宋体" w:cs="Times New Roman"/>
          <w:b/>
          <w:smallCaps w:val="0"/>
          <w:color w:val="auto"/>
          <w:kern w:val="0"/>
          <w:sz w:val="24"/>
          <w:szCs w:val="24"/>
          <w:lang w:val="en-US" w:eastAsia="zh-CN" w:bidi="zh-CN"/>
        </w:rPr>
        <w:t>5</w:t>
      </w:r>
      <w:r>
        <w:rPr>
          <w:rFonts w:hint="default" w:ascii="Times New Roman" w:hAnsi="Times New Roman" w:eastAsia="宋体" w:cs="Times New Roman"/>
          <w:b/>
          <w:smallCaps w:val="0"/>
          <w:color w:val="auto"/>
          <w:kern w:val="0"/>
          <w:sz w:val="24"/>
          <w:szCs w:val="24"/>
          <w:lang w:val="zh-CN" w:eastAsia="zh-CN" w:bidi="zh-CN"/>
        </w:rPr>
        <w:t xml:space="preserve"> </w:t>
      </w:r>
      <w:bookmarkStart w:id="139" w:name="_Ref497897175"/>
      <w:r>
        <w:rPr>
          <w:rFonts w:hint="default" w:ascii="Times New Roman" w:hAnsi="Times New Roman" w:eastAsia="宋体" w:cs="Times New Roman"/>
          <w:b/>
          <w:smallCaps w:val="0"/>
          <w:color w:val="auto"/>
          <w:kern w:val="0"/>
          <w:sz w:val="24"/>
          <w:szCs w:val="24"/>
          <w:lang w:val="zh-CN" w:eastAsia="zh-CN" w:bidi="zh-CN"/>
        </w:rPr>
        <w:t>河坝工程</w:t>
      </w:r>
      <w:r>
        <w:rPr>
          <w:rFonts w:hint="eastAsia" w:ascii="Times New Roman" w:hAnsi="Times New Roman" w:eastAsia="宋体" w:cs="Times New Roman"/>
          <w:b/>
          <w:smallCaps w:val="0"/>
          <w:color w:val="auto"/>
          <w:kern w:val="0"/>
          <w:sz w:val="24"/>
          <w:szCs w:val="24"/>
          <w:lang w:val="zh-CN" w:eastAsia="zh-CN" w:bidi="zh-CN"/>
        </w:rPr>
        <w:t>内容</w:t>
      </w:r>
      <w:r>
        <w:rPr>
          <w:rFonts w:hint="default" w:ascii="Times New Roman" w:hAnsi="Times New Roman" w:eastAsia="宋体" w:cs="Times New Roman"/>
          <w:b/>
          <w:smallCaps w:val="0"/>
          <w:color w:val="auto"/>
          <w:kern w:val="0"/>
          <w:sz w:val="24"/>
          <w:szCs w:val="24"/>
          <w:lang w:val="zh-CN" w:eastAsia="zh-CN" w:bidi="zh-CN"/>
        </w:rPr>
        <w:t>表</w:t>
      </w:r>
      <w:bookmarkEnd w:id="139"/>
    </w:p>
    <w:tbl>
      <w:tblPr>
        <w:tblStyle w:val="89"/>
        <w:tblW w:w="86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482"/>
        <w:gridCol w:w="3101"/>
        <w:gridCol w:w="28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2"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桩号</w:t>
            </w:r>
          </w:p>
        </w:tc>
        <w:tc>
          <w:tcPr>
            <w:tcW w:w="1482"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名称</w:t>
            </w:r>
          </w:p>
        </w:tc>
        <w:tc>
          <w:tcPr>
            <w:tcW w:w="3101"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现状</w:t>
            </w:r>
          </w:p>
        </w:tc>
        <w:tc>
          <w:tcPr>
            <w:tcW w:w="2884"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改造方法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212" w:type="dxa"/>
            <w:noWrap w:val="0"/>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祁右2+157</w:t>
            </w:r>
          </w:p>
        </w:tc>
        <w:tc>
          <w:tcPr>
            <w:tcW w:w="1482"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马黄山口边河坝改造加固</w:t>
            </w:r>
          </w:p>
        </w:tc>
        <w:tc>
          <w:tcPr>
            <w:tcW w:w="3101"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1、下游无消能设施，已形成冲坑，影响坝体安全；</w:t>
            </w:r>
          </w:p>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2、下游右岸边墙及渠道被冲毁。</w:t>
            </w:r>
          </w:p>
        </w:tc>
        <w:tc>
          <w:tcPr>
            <w:tcW w:w="2884"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1、下游新建消能防冲设施；</w:t>
            </w:r>
          </w:p>
          <w:p>
            <w:pPr>
              <w:pStyle w:val="2986"/>
              <w:rPr>
                <w:rFonts w:hint="default" w:ascii="Times New Roman" w:hAnsi="Times New Roman" w:eastAsia="宋体" w:cs="Times New Roman"/>
                <w:sz w:val="21"/>
                <w:szCs w:val="21"/>
              </w:rPr>
            </w:pPr>
            <w:r>
              <w:rPr>
                <w:rFonts w:hint="default" w:ascii="Times New Roman" w:hAnsi="Times New Roman" w:eastAsia="宋体" w:cs="Times New Roman"/>
                <w:snapToGrid w:val="0"/>
                <w:sz w:val="21"/>
                <w:szCs w:val="21"/>
              </w:rPr>
              <w:t>2、新建下游右岸边墙及渠道。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6" w:hRule="atLeast"/>
          <w:jc w:val="center"/>
        </w:trPr>
        <w:tc>
          <w:tcPr>
            <w:tcW w:w="1212"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祁11+500</w:t>
            </w:r>
          </w:p>
        </w:tc>
        <w:tc>
          <w:tcPr>
            <w:tcW w:w="1482" w:type="dxa"/>
            <w:noWrap w:val="0"/>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napToGrid w:val="0"/>
                <w:sz w:val="21"/>
                <w:szCs w:val="21"/>
              </w:rPr>
              <w:t>1#河坝（简坝）</w:t>
            </w:r>
          </w:p>
        </w:tc>
        <w:tc>
          <w:tcPr>
            <w:tcW w:w="3101"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1、</w:t>
            </w:r>
            <w:r>
              <w:rPr>
                <w:rFonts w:hint="default" w:ascii="Times New Roman" w:hAnsi="Times New Roman" w:eastAsia="宋体" w:cs="Times New Roman"/>
                <w:sz w:val="21"/>
                <w:szCs w:val="21"/>
              </w:rPr>
              <w:t>坝身结构破坏严重</w:t>
            </w:r>
            <w:r>
              <w:rPr>
                <w:rFonts w:hint="default" w:ascii="Times New Roman" w:hAnsi="Times New Roman" w:eastAsia="宋体" w:cs="Times New Roman"/>
                <w:snapToGrid w:val="0"/>
                <w:sz w:val="21"/>
                <w:szCs w:val="21"/>
              </w:rPr>
              <w:t>；</w:t>
            </w:r>
          </w:p>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2、下游无消能设施，已形成冲坑，影响坝体安全；</w:t>
            </w:r>
          </w:p>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3、淤积较严重。</w:t>
            </w:r>
          </w:p>
        </w:tc>
        <w:tc>
          <w:tcPr>
            <w:tcW w:w="2884"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1、坝体拆除重建；</w:t>
            </w:r>
          </w:p>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2、下游新建消能防冲设施，两岸新建挡墙护岸；</w:t>
            </w:r>
          </w:p>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3、新建检修闸；</w:t>
            </w:r>
          </w:p>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4、新建渠道连接现有渠道。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1212"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祁16+947</w:t>
            </w:r>
          </w:p>
        </w:tc>
        <w:tc>
          <w:tcPr>
            <w:tcW w:w="1482"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11#河坝（彭家坝）</w:t>
            </w:r>
          </w:p>
        </w:tc>
        <w:tc>
          <w:tcPr>
            <w:tcW w:w="3101"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1、溢流面板砼老化破损严重；</w:t>
            </w:r>
          </w:p>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2、下游无消能设施，已形成冲坑，影响坝体安全；</w:t>
            </w:r>
          </w:p>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z w:val="21"/>
                <w:szCs w:val="21"/>
              </w:rPr>
              <w:t>3、淤积较严重。</w:t>
            </w:r>
          </w:p>
        </w:tc>
        <w:tc>
          <w:tcPr>
            <w:tcW w:w="2884"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1、坝体溢流面板拆除重建；</w:t>
            </w:r>
          </w:p>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2、下游新建消能防冲设施，左岸新建挡墙护岸；</w:t>
            </w:r>
          </w:p>
          <w:p>
            <w:pPr>
              <w:pStyle w:val="2986"/>
              <w:rPr>
                <w:rFonts w:hint="default" w:ascii="Times New Roman" w:hAnsi="Times New Roman" w:eastAsia="宋体" w:cs="Times New Roman"/>
                <w:sz w:val="21"/>
                <w:szCs w:val="21"/>
              </w:rPr>
            </w:pPr>
            <w:r>
              <w:rPr>
                <w:rFonts w:hint="default" w:ascii="Times New Roman" w:hAnsi="Times New Roman" w:eastAsia="宋体" w:cs="Times New Roman"/>
                <w:snapToGrid w:val="0"/>
                <w:sz w:val="21"/>
                <w:szCs w:val="21"/>
              </w:rPr>
              <w:t>3、左岸增设检修闸。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212"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祁17+635</w:t>
            </w:r>
          </w:p>
        </w:tc>
        <w:tc>
          <w:tcPr>
            <w:tcW w:w="1482"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13#河坝（乐家坝）</w:t>
            </w:r>
          </w:p>
        </w:tc>
        <w:tc>
          <w:tcPr>
            <w:tcW w:w="3101"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1、溢流面板砼老化破损严重；</w:t>
            </w:r>
          </w:p>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2、下游无消能设施，已形成冲坑，影响坝体安全；</w:t>
            </w:r>
          </w:p>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z w:val="21"/>
                <w:szCs w:val="21"/>
              </w:rPr>
              <w:t>3、淤积较严重。</w:t>
            </w:r>
          </w:p>
        </w:tc>
        <w:tc>
          <w:tcPr>
            <w:tcW w:w="2884"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1、坝体溢流面板拆除重建；</w:t>
            </w:r>
          </w:p>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2、下游新建消能防冲设施，左岸新建挡墙护岸；</w:t>
            </w:r>
          </w:p>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3、左岸增设检修闸。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212"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祁22+575</w:t>
            </w:r>
          </w:p>
        </w:tc>
        <w:tc>
          <w:tcPr>
            <w:tcW w:w="1482" w:type="dxa"/>
            <w:noWrap w:val="0"/>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napToGrid w:val="0"/>
                <w:sz w:val="21"/>
                <w:szCs w:val="21"/>
              </w:rPr>
              <w:t>19#河坝（谭山岩河坝）</w:t>
            </w:r>
          </w:p>
        </w:tc>
        <w:tc>
          <w:tcPr>
            <w:tcW w:w="3101"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下游无消能设施，已形成冲坑，影响坝体安全</w:t>
            </w:r>
            <w:r>
              <w:rPr>
                <w:rFonts w:hint="default" w:ascii="Times New Roman" w:hAnsi="Times New Roman" w:eastAsia="宋体" w:cs="Times New Roman"/>
                <w:sz w:val="21"/>
                <w:szCs w:val="21"/>
              </w:rPr>
              <w:t>。</w:t>
            </w:r>
          </w:p>
        </w:tc>
        <w:tc>
          <w:tcPr>
            <w:tcW w:w="2884"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下游新建消能防冲设施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1212"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祁24+991</w:t>
            </w:r>
          </w:p>
        </w:tc>
        <w:tc>
          <w:tcPr>
            <w:tcW w:w="1482"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24#河坝（石湾河坝）</w:t>
            </w:r>
          </w:p>
        </w:tc>
        <w:tc>
          <w:tcPr>
            <w:tcW w:w="3101"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1、坝体上下游溢流面板砼老化破损严重；</w:t>
            </w:r>
          </w:p>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2、下游无消能设施，已形成冲坑，影响坝体安全</w:t>
            </w:r>
            <w:r>
              <w:rPr>
                <w:rFonts w:hint="default" w:ascii="Times New Roman" w:hAnsi="Times New Roman" w:eastAsia="宋体" w:cs="Times New Roman"/>
                <w:sz w:val="21"/>
                <w:szCs w:val="21"/>
              </w:rPr>
              <w:t>。</w:t>
            </w:r>
          </w:p>
        </w:tc>
        <w:tc>
          <w:tcPr>
            <w:tcW w:w="2884" w:type="dxa"/>
            <w:noWrap w:val="0"/>
            <w:vAlign w:val="center"/>
          </w:tcPr>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1、坝体上下游溢流面板拆除重建；</w:t>
            </w:r>
          </w:p>
          <w:p>
            <w:pPr>
              <w:pStyle w:val="2986"/>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2、下游新建消能防冲设施，左岸新建挡墙护岸；</w:t>
            </w:r>
          </w:p>
        </w:tc>
      </w:tr>
    </w:tbl>
    <w:p>
      <w:pPr>
        <w:rPr>
          <w:rFonts w:hint="eastAsia" w:ascii="Times New Roman" w:hAnsi="Times New Roman" w:eastAsia="宋体" w:cs="Times New Roman"/>
          <w:b w:val="0"/>
          <w:bCs w:val="0"/>
          <w:color w:val="FF0000"/>
          <w:sz w:val="24"/>
          <w:szCs w:val="24"/>
          <w:u w:val="single"/>
          <w:lang w:val="en-US" w:eastAsia="zh-CN" w:bidi="zh-CN"/>
        </w:rPr>
      </w:pPr>
    </w:p>
    <w:p>
      <w:pPr>
        <w:pStyle w:val="815"/>
        <w:numPr>
          <w:ilvl w:val="0"/>
          <w:numId w:val="10"/>
        </w:numPr>
        <w:ind w:left="0" w:leftChars="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本次治理工程本次设计护岸段沿线新建涵管162处，其中新建φ1200涵管2处，新建φ1000涵管8处，新建φ500涵管20处，新建φ300涵管12处，新建φ200涵管120处</w:t>
      </w:r>
      <w:r>
        <w:rPr>
          <w:rFonts w:hint="default" w:ascii="Times New Roman" w:hAnsi="Times New Roman" w:eastAsia="宋体" w:cs="Times New Roman"/>
          <w:snapToGrid w:val="0"/>
          <w:sz w:val="24"/>
          <w:szCs w:val="24"/>
        </w:rPr>
        <w:t>。</w:t>
      </w:r>
      <w:r>
        <w:rPr>
          <w:rFonts w:hint="default" w:ascii="Times New Roman" w:hAnsi="Times New Roman" w:eastAsia="宋体" w:cs="Times New Roman"/>
          <w:sz w:val="24"/>
          <w:szCs w:val="24"/>
        </w:rPr>
        <w:t>具体设计参数见</w:t>
      </w:r>
      <w:r>
        <w:rPr>
          <w:rFonts w:hint="eastAsia" w:eastAsia="宋体" w:cs="Times New Roman"/>
          <w:sz w:val="24"/>
          <w:szCs w:val="24"/>
          <w:lang w:eastAsia="zh-CN"/>
        </w:rPr>
        <w:t>表</w:t>
      </w:r>
      <w:r>
        <w:rPr>
          <w:rFonts w:hint="eastAsia" w:eastAsia="宋体" w:cs="Times New Roman"/>
          <w:sz w:val="24"/>
          <w:szCs w:val="24"/>
          <w:lang w:val="en-US" w:eastAsia="zh-CN"/>
        </w:rPr>
        <w:t>3.2-6</w:t>
      </w:r>
      <w:r>
        <w:rPr>
          <w:rFonts w:hint="default" w:ascii="Times New Roman" w:hAnsi="Times New Roman" w:eastAsia="宋体" w:cs="Times New Roman"/>
          <w:sz w:val="24"/>
          <w:szCs w:val="24"/>
        </w:rPr>
        <w:t>。</w:t>
      </w:r>
    </w:p>
    <w:p>
      <w:pPr>
        <w:pStyle w:val="815"/>
        <w:numPr>
          <w:ilvl w:val="0"/>
          <w:numId w:val="0"/>
        </w:numPr>
        <w:ind w:leftChars="200"/>
        <w:jc w:val="center"/>
        <w:rPr>
          <w:rFonts w:hint="default" w:ascii="Times New Roman" w:hAnsi="Times New Roman" w:eastAsia="宋体" w:cs="Times New Roman"/>
          <w:sz w:val="24"/>
          <w:szCs w:val="24"/>
        </w:rPr>
      </w:pPr>
      <w:r>
        <w:rPr>
          <w:rFonts w:hint="eastAsia" w:ascii="Times New Roman" w:hAnsi="Times New Roman" w:eastAsia="宋体" w:cs="Times New Roman"/>
          <w:b/>
          <w:smallCaps w:val="0"/>
          <w:color w:val="auto"/>
          <w:kern w:val="0"/>
          <w:sz w:val="24"/>
          <w:szCs w:val="24"/>
          <w:lang w:val="zh-CN" w:eastAsia="zh-CN" w:bidi="zh-CN"/>
        </w:rPr>
        <w:t>表</w:t>
      </w:r>
      <w:r>
        <w:rPr>
          <w:rFonts w:hint="eastAsia" w:ascii="Times New Roman" w:hAnsi="Times New Roman" w:eastAsia="宋体" w:cs="Times New Roman"/>
          <w:b/>
          <w:smallCaps w:val="0"/>
          <w:color w:val="auto"/>
          <w:kern w:val="0"/>
          <w:sz w:val="24"/>
          <w:szCs w:val="24"/>
          <w:lang w:val="en-US" w:eastAsia="zh-CN" w:bidi="zh-CN"/>
        </w:rPr>
        <w:t>3.2-6</w:t>
      </w:r>
      <w:r>
        <w:rPr>
          <w:rFonts w:hint="default" w:ascii="Times New Roman" w:hAnsi="Times New Roman" w:eastAsia="宋体" w:cs="Times New Roman"/>
          <w:b/>
          <w:smallCaps w:val="0"/>
          <w:color w:val="auto"/>
          <w:kern w:val="0"/>
          <w:sz w:val="24"/>
          <w:szCs w:val="24"/>
          <w:lang w:val="zh-CN" w:eastAsia="zh-CN" w:bidi="zh-CN"/>
        </w:rPr>
        <w:t xml:space="preserve"> 涵管工程工程</w:t>
      </w:r>
      <w:r>
        <w:rPr>
          <w:rFonts w:hint="eastAsia" w:ascii="Times New Roman" w:hAnsi="Times New Roman" w:eastAsia="宋体" w:cs="Times New Roman"/>
          <w:b/>
          <w:smallCaps w:val="0"/>
          <w:color w:val="auto"/>
          <w:kern w:val="0"/>
          <w:sz w:val="24"/>
          <w:szCs w:val="24"/>
          <w:lang w:val="zh-CN" w:eastAsia="zh-CN" w:bidi="zh-CN"/>
        </w:rPr>
        <w:t>内容</w:t>
      </w:r>
      <w:r>
        <w:rPr>
          <w:rFonts w:hint="default" w:ascii="Times New Roman" w:hAnsi="Times New Roman" w:eastAsia="宋体" w:cs="Times New Roman"/>
          <w:b/>
          <w:smallCaps w:val="0"/>
          <w:color w:val="auto"/>
          <w:kern w:val="0"/>
          <w:sz w:val="24"/>
          <w:szCs w:val="24"/>
          <w:lang w:val="zh-CN" w:eastAsia="zh-CN" w:bidi="zh-CN"/>
        </w:rPr>
        <w:t>表</w:t>
      </w:r>
    </w:p>
    <w:tbl>
      <w:tblPr>
        <w:tblStyle w:val="8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5591"/>
        <w:gridCol w:w="17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涵管名称及桩号</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涵管长度（m）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（一）</w:t>
            </w:r>
          </w:p>
        </w:tc>
        <w:tc>
          <w:tcPr>
            <w:tcW w:w="3279" w:type="pct"/>
            <w:shd w:val="clear" w:color="auto" w:fill="auto"/>
            <w:noWrap/>
            <w:vAlign w:val="center"/>
          </w:tcPr>
          <w:p>
            <w:pPr>
              <w:pStyle w:val="2986"/>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新建φ1200涵管（2处）</w:t>
            </w:r>
          </w:p>
        </w:tc>
        <w:tc>
          <w:tcPr>
            <w:tcW w:w="1027" w:type="pct"/>
            <w:shd w:val="clear" w:color="auto" w:fill="auto"/>
            <w:noWrap/>
            <w:vAlign w:val="center"/>
          </w:tcPr>
          <w:p>
            <w:pPr>
              <w:pStyle w:val="2986"/>
              <w:rPr>
                <w:rFonts w:hint="default" w:ascii="Times New Roman" w:hAnsi="Times New Roman" w:eastAsia="宋体" w:cs="Times New Roman"/>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新建1#φ1200涵管（祁右13+647）</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新建2#φ1200涵管（祁左15+992）</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（二）</w:t>
            </w:r>
          </w:p>
        </w:tc>
        <w:tc>
          <w:tcPr>
            <w:tcW w:w="3279" w:type="pct"/>
            <w:shd w:val="clear" w:color="auto" w:fill="auto"/>
            <w:noWrap/>
            <w:vAlign w:val="center"/>
          </w:tcPr>
          <w:p>
            <w:pPr>
              <w:pStyle w:val="2986"/>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新建φ1000涵管（8处）</w:t>
            </w:r>
          </w:p>
        </w:tc>
        <w:tc>
          <w:tcPr>
            <w:tcW w:w="1027" w:type="pct"/>
            <w:shd w:val="clear" w:color="auto" w:fill="auto"/>
            <w:noWrap/>
            <w:vAlign w:val="center"/>
          </w:tcPr>
          <w:p>
            <w:pPr>
              <w:pStyle w:val="2986"/>
              <w:rPr>
                <w:rFonts w:hint="default" w:ascii="Times New Roman" w:hAnsi="Times New Roman" w:eastAsia="宋体" w:cs="Times New Roman"/>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新建1#φ1000涵管（祁左12+656）</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新建2#φ1000涵管（祁左15+913）</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新建3#φ1000涵管（祁右19+617）</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新建4#φ1000涵管（祁右23+594）</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新建5#φ1000涵管（祁左23+995）</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新建6#φ1000涵管（祁左24+834）</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新建7#φ1000涵管（祁右29+235）</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新建8#φ1000涵管（祁右29+335）</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（三）</w:t>
            </w:r>
          </w:p>
        </w:tc>
        <w:tc>
          <w:tcPr>
            <w:tcW w:w="3279" w:type="pct"/>
            <w:shd w:val="clear" w:color="auto" w:fill="auto"/>
            <w:noWrap/>
            <w:vAlign w:val="center"/>
          </w:tcPr>
          <w:p>
            <w:pPr>
              <w:pStyle w:val="2986"/>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新建φ500涵管（20处）</w:t>
            </w:r>
          </w:p>
        </w:tc>
        <w:tc>
          <w:tcPr>
            <w:tcW w:w="1027" w:type="pct"/>
            <w:shd w:val="clear" w:color="auto" w:fill="auto"/>
            <w:noWrap/>
            <w:vAlign w:val="center"/>
          </w:tcPr>
          <w:p>
            <w:pPr>
              <w:pStyle w:val="2986"/>
              <w:rPr>
                <w:rFonts w:hint="default" w:ascii="Times New Roman" w:hAnsi="Times New Roman" w:eastAsia="宋体" w:cs="Times New Roman"/>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新建1#φ500涵管（祁右12+691）</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新建2#φ500涵管（祁右13+188）</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新建3#φ500涵管（祁右13+276）</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新建4#φ500涵管（祁右13+487）</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新建5#φ500涵管（祁右15+098）</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新建6#φ500涵管（祁右16+313）</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新建7#φ500涵管（祁右17+153）</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新建8#φ500涵管（祁右18+246）</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新建9#φ500涵管（祁左19+580）</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新建10#φ500涵管（祁左20+669）</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新建11#φ500涵管（祁右23+375）</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新建12#φ500涵管（祁左27+644）</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新建13#φ500涵管（祁左29+397）</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新建14#φ500涵管（祁右29+455）</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新建15#φ500涵管（祁右29+576）</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新建16#φ500涵管（祁右29+632）</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新建17#φ500涵管（祁右29+676）</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新建18#φ500涵管（祁左30+070）</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新建19#φ500涵管（祁右31+648）</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新建20#φ500涵管（祁右31+940）</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（四）</w:t>
            </w:r>
          </w:p>
        </w:tc>
        <w:tc>
          <w:tcPr>
            <w:tcW w:w="3279" w:type="pct"/>
            <w:shd w:val="clear" w:color="auto" w:fill="auto"/>
            <w:noWrap/>
            <w:vAlign w:val="center"/>
          </w:tcPr>
          <w:p>
            <w:pPr>
              <w:pStyle w:val="2986"/>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新建φ300涵管（</w:t>
            </w:r>
            <w:r>
              <w:rPr>
                <w:rFonts w:hint="eastAsia" w:cs="Times New Roman"/>
                <w:b/>
                <w:bCs/>
                <w:sz w:val="21"/>
                <w:szCs w:val="21"/>
                <w:lang w:val="en-US" w:eastAsia="zh-CN"/>
              </w:rPr>
              <w:t>12</w:t>
            </w:r>
            <w:r>
              <w:rPr>
                <w:rFonts w:hint="default" w:ascii="Times New Roman" w:hAnsi="Times New Roman" w:eastAsia="宋体" w:cs="Times New Roman"/>
                <w:b/>
                <w:bCs/>
                <w:sz w:val="21"/>
                <w:szCs w:val="21"/>
              </w:rPr>
              <w:t>处）</w:t>
            </w:r>
          </w:p>
        </w:tc>
        <w:tc>
          <w:tcPr>
            <w:tcW w:w="1027" w:type="pct"/>
            <w:shd w:val="clear" w:color="auto" w:fill="auto"/>
            <w:noWrap/>
            <w:vAlign w:val="center"/>
          </w:tcPr>
          <w:p>
            <w:pPr>
              <w:pStyle w:val="2986"/>
              <w:rPr>
                <w:rFonts w:hint="default" w:ascii="Times New Roman" w:hAnsi="Times New Roman" w:eastAsia="宋体" w:cs="Times New Roman"/>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新建1#φ300涵管（祁左12+130）</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新建2#φ300涵管（祁左12+861）</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新建3#φ300涵管(祁右14+195)</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新建4#φ300涵管（祁右18+299）</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新建5#φ300涵管（祁右19+706）</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新建6#φ300涵管（祁左19+913）</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新建7#φ300涵管（祁左29+068）</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新建8#φ300涵管（祁左29+942）</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新建9#φ300涵管（祁左30+877）</w:t>
            </w:r>
          </w:p>
        </w:tc>
        <w:tc>
          <w:tcPr>
            <w:tcW w:w="1027"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新建9#φ300涵管（祁右29+45</w:t>
            </w:r>
            <w:r>
              <w:rPr>
                <w:rFonts w:hint="eastAsia" w:cs="Times New Roman"/>
                <w:sz w:val="21"/>
                <w:szCs w:val="21"/>
                <w:lang w:val="en-US" w:eastAsia="zh-CN"/>
              </w:rPr>
              <w:t>0</w:t>
            </w:r>
            <w:r>
              <w:rPr>
                <w:rFonts w:hint="default" w:ascii="Times New Roman" w:hAnsi="Times New Roman" w:eastAsia="宋体" w:cs="Times New Roman"/>
                <w:sz w:val="21"/>
                <w:szCs w:val="21"/>
              </w:rPr>
              <w:t>）</w:t>
            </w:r>
          </w:p>
        </w:tc>
        <w:tc>
          <w:tcPr>
            <w:tcW w:w="1027" w:type="pct"/>
            <w:shd w:val="clear" w:color="auto" w:fill="auto"/>
            <w:noWrap/>
            <w:vAlign w:val="center"/>
          </w:tcPr>
          <w:p>
            <w:pPr>
              <w:pStyle w:val="2986"/>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新建9#φ300涵管（祁右29+6</w:t>
            </w:r>
            <w:r>
              <w:rPr>
                <w:rFonts w:hint="eastAsia" w:cs="Times New Roman"/>
                <w:sz w:val="21"/>
                <w:szCs w:val="21"/>
                <w:lang w:val="en-US" w:eastAsia="zh-CN"/>
              </w:rPr>
              <w:t>8</w:t>
            </w:r>
            <w:r>
              <w:rPr>
                <w:rFonts w:hint="default" w:ascii="Times New Roman" w:hAnsi="Times New Roman" w:eastAsia="宋体" w:cs="Times New Roman"/>
                <w:sz w:val="21"/>
                <w:szCs w:val="21"/>
              </w:rPr>
              <w:t>8）</w:t>
            </w:r>
          </w:p>
        </w:tc>
        <w:tc>
          <w:tcPr>
            <w:tcW w:w="1027" w:type="pct"/>
            <w:shd w:val="clear" w:color="auto" w:fill="auto"/>
            <w:noWrap/>
            <w:vAlign w:val="center"/>
          </w:tcPr>
          <w:p>
            <w:pPr>
              <w:pStyle w:val="2986"/>
              <w:rPr>
                <w:rFonts w:hint="default" w:ascii="Times New Roman" w:hAnsi="Times New Roman" w:eastAsia="宋体" w:cs="Times New Roman"/>
                <w:sz w:val="21"/>
                <w:szCs w:val="21"/>
                <w:lang w:val="zh-CN" w:eastAsia="zh-CN" w:bidi="zh-CN"/>
              </w:rPr>
            </w:pPr>
            <w:r>
              <w:rPr>
                <w:rFonts w:hint="eastAsia" w:cs="Times New Roman"/>
                <w:sz w:val="21"/>
                <w:szCs w:val="21"/>
                <w:lang w:val="en-US" w:eastAsia="zh-CN"/>
              </w:rPr>
              <w:t>4</w:t>
            </w:r>
            <w:r>
              <w:rPr>
                <w:rFonts w:hint="default" w:ascii="Times New Roman" w:hAnsi="Times New Roman" w:eastAsia="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sz w:val="21"/>
                <w:szCs w:val="21"/>
                <w:lang w:val="en-US" w:eastAsia="zh-CN"/>
              </w:rPr>
            </w:pPr>
            <w:r>
              <w:rPr>
                <w:rFonts w:hint="eastAsia" w:cs="Times New Roman"/>
                <w:sz w:val="21"/>
                <w:szCs w:val="21"/>
                <w:lang w:val="en-US" w:eastAsia="zh-CN"/>
              </w:rPr>
              <w:t>12</w:t>
            </w:r>
          </w:p>
        </w:tc>
        <w:tc>
          <w:tcPr>
            <w:tcW w:w="327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新建9#φ300涵管（祁左3</w:t>
            </w:r>
            <w:r>
              <w:rPr>
                <w:rFonts w:hint="eastAsia" w:cs="Times New Roman"/>
                <w:sz w:val="21"/>
                <w:szCs w:val="21"/>
                <w:lang w:val="en-US" w:eastAsia="zh-CN"/>
              </w:rPr>
              <w:t>1</w:t>
            </w:r>
            <w:r>
              <w:rPr>
                <w:rFonts w:hint="default" w:ascii="Times New Roman" w:hAnsi="Times New Roman" w:eastAsia="宋体" w:cs="Times New Roman"/>
                <w:sz w:val="21"/>
                <w:szCs w:val="21"/>
              </w:rPr>
              <w:t>+8</w:t>
            </w:r>
            <w:r>
              <w:rPr>
                <w:rFonts w:hint="eastAsia" w:cs="Times New Roman"/>
                <w:sz w:val="21"/>
                <w:szCs w:val="21"/>
                <w:lang w:val="en-US" w:eastAsia="zh-CN"/>
              </w:rPr>
              <w:t>2</w:t>
            </w:r>
            <w:r>
              <w:rPr>
                <w:rFonts w:hint="default" w:ascii="Times New Roman" w:hAnsi="Times New Roman" w:eastAsia="宋体" w:cs="Times New Roman"/>
                <w:sz w:val="21"/>
                <w:szCs w:val="21"/>
              </w:rPr>
              <w:t>7）</w:t>
            </w:r>
          </w:p>
        </w:tc>
        <w:tc>
          <w:tcPr>
            <w:tcW w:w="1027" w:type="pct"/>
            <w:shd w:val="clear" w:color="auto" w:fill="auto"/>
            <w:noWrap/>
            <w:vAlign w:val="center"/>
          </w:tcPr>
          <w:p>
            <w:pPr>
              <w:pStyle w:val="2986"/>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pct"/>
            <w:shd w:val="clear" w:color="auto" w:fill="auto"/>
            <w:noWrap/>
            <w:vAlign w:val="center"/>
          </w:tcPr>
          <w:p>
            <w:pPr>
              <w:pStyle w:val="2986"/>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（五）</w:t>
            </w:r>
          </w:p>
        </w:tc>
        <w:tc>
          <w:tcPr>
            <w:tcW w:w="3279" w:type="pct"/>
            <w:shd w:val="clear" w:color="auto" w:fill="auto"/>
            <w:noWrap/>
            <w:vAlign w:val="center"/>
          </w:tcPr>
          <w:p>
            <w:pPr>
              <w:pStyle w:val="2986"/>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新建φ200涵管（1</w:t>
            </w:r>
            <w:r>
              <w:rPr>
                <w:rFonts w:hint="eastAsia" w:cs="Times New Roman"/>
                <w:b/>
                <w:bCs/>
                <w:sz w:val="21"/>
                <w:szCs w:val="21"/>
                <w:lang w:val="en-US" w:eastAsia="zh-CN"/>
              </w:rPr>
              <w:t>20</w:t>
            </w:r>
            <w:r>
              <w:rPr>
                <w:rFonts w:hint="default" w:ascii="Times New Roman" w:hAnsi="Times New Roman" w:eastAsia="宋体" w:cs="Times New Roman"/>
                <w:b/>
                <w:bCs/>
                <w:sz w:val="21"/>
                <w:szCs w:val="21"/>
              </w:rPr>
              <w:t>处）</w:t>
            </w:r>
          </w:p>
        </w:tc>
        <w:tc>
          <w:tcPr>
            <w:tcW w:w="1027" w:type="pct"/>
            <w:shd w:val="clear" w:color="auto" w:fill="auto"/>
            <w:noWrap/>
            <w:vAlign w:val="center"/>
          </w:tcPr>
          <w:p>
            <w:pPr>
              <w:pStyle w:val="2986"/>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1</w:t>
            </w:r>
            <w:r>
              <w:rPr>
                <w:rFonts w:hint="eastAsia" w:cs="Times New Roman"/>
                <w:b/>
                <w:bCs/>
                <w:sz w:val="21"/>
                <w:szCs w:val="21"/>
                <w:lang w:val="en-US" w:eastAsia="zh-CN"/>
              </w:rPr>
              <w:t>20</w:t>
            </w:r>
          </w:p>
        </w:tc>
      </w:tr>
    </w:tbl>
    <w:p>
      <w:pPr>
        <w:spacing w:line="360" w:lineRule="auto"/>
        <w:ind w:firstLine="480" w:firstLineChars="200"/>
        <w:rPr>
          <w:rFonts w:hint="eastAsia" w:ascii="Times New Roman" w:hAnsi="Times New Roman" w:eastAsia="宋体" w:cs="Times New Roman"/>
          <w:b w:val="0"/>
          <w:bCs w:val="0"/>
          <w:sz w:val="24"/>
          <w:szCs w:val="24"/>
          <w:lang w:val="en-US" w:eastAsia="zh-CN" w:bidi="zh-CN"/>
        </w:rPr>
      </w:pPr>
      <w:r>
        <w:rPr>
          <w:rFonts w:hint="eastAsia" w:ascii="Times New Roman" w:hAnsi="Times New Roman" w:cs="Times New Roman"/>
          <w:b w:val="0"/>
          <w:bCs w:val="0"/>
          <w:sz w:val="24"/>
          <w:szCs w:val="24"/>
          <w:lang w:val="en-US" w:eastAsia="zh-CN" w:bidi="zh-CN"/>
        </w:rPr>
        <w:t>5、</w:t>
      </w:r>
      <w:r>
        <w:rPr>
          <w:rFonts w:hint="default" w:ascii="Times New Roman" w:hAnsi="Times New Roman" w:eastAsia="宋体" w:cs="Times New Roman"/>
          <w:b w:val="0"/>
          <w:bCs w:val="0"/>
          <w:sz w:val="24"/>
          <w:szCs w:val="24"/>
          <w:lang w:val="en-US" w:eastAsia="zh-CN" w:bidi="zh-CN"/>
        </w:rPr>
        <w:t>祁水河沿河两岸稻田密布，为方便当地居民的生活生产，在人口居住比较集中的地方设踏步，总宽为2.6m，净宽2.0m，采用C20砼砌筑。本次治理河段范围内共设</w:t>
      </w:r>
      <w:r>
        <w:rPr>
          <w:rFonts w:hint="eastAsia" w:ascii="Times New Roman" w:hAnsi="Times New Roman" w:eastAsia="宋体" w:cs="Times New Roman"/>
          <w:b w:val="0"/>
          <w:bCs w:val="0"/>
          <w:sz w:val="24"/>
          <w:szCs w:val="24"/>
          <w:lang w:val="en-US" w:eastAsia="zh-CN" w:bidi="zh-CN"/>
        </w:rPr>
        <w:t>8</w:t>
      </w:r>
      <w:r>
        <w:rPr>
          <w:rFonts w:hint="default" w:ascii="Times New Roman" w:hAnsi="Times New Roman" w:eastAsia="宋体" w:cs="Times New Roman"/>
          <w:b w:val="0"/>
          <w:bCs w:val="0"/>
          <w:sz w:val="24"/>
          <w:szCs w:val="24"/>
          <w:lang w:val="en-US" w:eastAsia="zh-CN" w:bidi="zh-CN"/>
        </w:rPr>
        <w:t>0处踏步。</w:t>
      </w:r>
    </w:p>
    <w:p>
      <w:pPr>
        <w:rPr>
          <w:rFonts w:hint="eastAsia" w:ascii="Times New Roman" w:hAnsi="Times New Roman" w:eastAsia="宋体" w:cs="Times New Roman"/>
          <w:b w:val="0"/>
          <w:bCs w:val="0"/>
          <w:sz w:val="24"/>
          <w:szCs w:val="24"/>
          <w:lang w:val="en-US" w:eastAsia="zh-CN" w:bidi="zh-CN"/>
        </w:rPr>
      </w:pPr>
      <w:r>
        <w:rPr>
          <w:rFonts w:hint="eastAsia" w:ascii="Times New Roman" w:hAnsi="Times New Roman" w:eastAsia="宋体" w:cs="Times New Roman"/>
          <w:b w:val="0"/>
          <w:bCs w:val="0"/>
          <w:sz w:val="24"/>
          <w:szCs w:val="24"/>
          <w:lang w:val="en-US" w:eastAsia="zh-CN" w:bidi="zh-CN"/>
        </w:rPr>
        <w:br w:type="page"/>
      </w:r>
    </w:p>
    <w:p>
      <w:pPr>
        <w:pStyle w:val="5"/>
        <w:tabs>
          <w:tab w:val="left" w:pos="766"/>
        </w:tabs>
        <w:autoSpaceDE/>
        <w:autoSpaceDN/>
        <w:adjustRightInd w:val="0"/>
        <w:snapToGrid w:val="0"/>
        <w:spacing w:before="0" w:line="360" w:lineRule="auto"/>
        <w:ind w:left="0" w:firstLine="0"/>
        <w:jc w:val="both"/>
        <w:rPr>
          <w:rFonts w:ascii="Times New Roman" w:hAnsi="Times New Roman" w:cs="Times New Roman"/>
          <w:snapToGrid w:val="0"/>
        </w:rPr>
      </w:pPr>
      <w:bookmarkStart w:id="140" w:name="_Toc13664"/>
      <w:r>
        <w:rPr>
          <w:rFonts w:ascii="Times New Roman" w:hAnsi="Times New Roman" w:cs="Times New Roman"/>
          <w:snapToGrid w:val="0"/>
        </w:rPr>
        <w:t>3.3工程设计方案</w:t>
      </w:r>
      <w:bookmarkEnd w:id="140"/>
    </w:p>
    <w:p>
      <w:pPr>
        <w:pStyle w:val="5"/>
        <w:tabs>
          <w:tab w:val="left" w:pos="105"/>
        </w:tabs>
        <w:bidi w:val="0"/>
        <w:spacing w:line="360" w:lineRule="auto"/>
        <w:ind w:left="0" w:leftChars="0" w:firstLine="482" w:firstLineChars="200"/>
        <w:rPr>
          <w:rFonts w:hint="default" w:ascii="Times New Roman" w:hAnsi="Times New Roman" w:eastAsia="宋体" w:cs="Times New Roman"/>
          <w:b/>
          <w:bCs/>
          <w:sz w:val="24"/>
          <w:szCs w:val="24"/>
          <w:lang w:val="zh-CN" w:eastAsia="zh-CN" w:bidi="zh-CN"/>
        </w:rPr>
      </w:pPr>
      <w:bookmarkStart w:id="141" w:name="_bookmark18"/>
      <w:bookmarkEnd w:id="141"/>
      <w:bookmarkStart w:id="142" w:name="_bookmark19"/>
      <w:bookmarkEnd w:id="142"/>
      <w:bookmarkStart w:id="143" w:name="_bookmark20"/>
      <w:bookmarkEnd w:id="143"/>
      <w:bookmarkStart w:id="144" w:name="_Toc11638"/>
      <w:bookmarkStart w:id="145" w:name="_Toc4056"/>
      <w:r>
        <w:rPr>
          <w:rFonts w:hint="eastAsia" w:ascii="Times New Roman" w:hAnsi="Times New Roman" w:eastAsia="宋体" w:cs="Times New Roman"/>
          <w:b/>
          <w:bCs/>
          <w:sz w:val="24"/>
          <w:szCs w:val="24"/>
          <w:lang w:val="en-US" w:eastAsia="zh-CN" w:bidi="zh-CN"/>
        </w:rPr>
        <w:t>3.3.1</w:t>
      </w:r>
      <w:bookmarkEnd w:id="144"/>
      <w:bookmarkEnd w:id="145"/>
      <w:r>
        <w:rPr>
          <w:rFonts w:hint="default" w:ascii="Times New Roman" w:hAnsi="Times New Roman" w:eastAsia="宋体" w:cs="Times New Roman"/>
          <w:b/>
          <w:bCs/>
          <w:sz w:val="24"/>
          <w:szCs w:val="24"/>
          <w:lang w:val="en-US" w:eastAsia="zh-CN" w:bidi="zh-CN"/>
        </w:rPr>
        <w:t>设计标准</w:t>
      </w:r>
    </w:p>
    <w:p>
      <w:pPr>
        <w:pStyle w:val="5"/>
        <w:keepNext w:val="0"/>
        <w:keepLines w:val="0"/>
        <w:pageBreakBefore w:val="0"/>
        <w:widowControl w:val="0"/>
        <w:tabs>
          <w:tab w:val="left" w:pos="105"/>
        </w:tabs>
        <w:kinsoku/>
        <w:wordWrap/>
        <w:overflowPunct/>
        <w:topLinePunct w:val="0"/>
        <w:autoSpaceDE w:val="0"/>
        <w:autoSpaceDN w:val="0"/>
        <w:bidi w:val="0"/>
        <w:adjustRightInd/>
        <w:snapToGrid/>
        <w:spacing w:before="0" w:line="360" w:lineRule="auto"/>
        <w:ind w:left="0" w:firstLine="480" w:firstLineChars="200"/>
        <w:jc w:val="both"/>
        <w:textAlignment w:val="auto"/>
        <w:rPr>
          <w:rFonts w:hint="default" w:ascii="Times New Roman" w:hAnsi="Times New Roman" w:eastAsia="宋体" w:cs="Times New Roman"/>
          <w:b w:val="0"/>
          <w:bCs w:val="0"/>
          <w:sz w:val="24"/>
          <w:szCs w:val="24"/>
          <w:lang w:val="en-US" w:eastAsia="zh-CN" w:bidi="zh-CN"/>
        </w:rPr>
      </w:pPr>
      <w:bookmarkStart w:id="146" w:name="_Toc10799"/>
      <w:bookmarkStart w:id="147" w:name="_Toc15219"/>
      <w:r>
        <w:rPr>
          <w:rFonts w:hint="default" w:ascii="Times New Roman" w:hAnsi="Times New Roman" w:eastAsia="宋体" w:cs="Times New Roman"/>
          <w:b w:val="0"/>
          <w:bCs w:val="0"/>
          <w:sz w:val="24"/>
          <w:szCs w:val="24"/>
          <w:lang w:val="en-US" w:eastAsia="zh-CN" w:bidi="zh-CN"/>
        </w:rPr>
        <w:t>祁水祁东县治理工程范围涉及四明山乡、太和堂镇、蒋家桥镇、城连圩乡，保护区面积9.31km2，共有耕地1.40万亩、人口7.12万人和区内部分工矿企业。依据国家《防洪标准》（GB50201-2014）和《城市防洪工程设计规范》（GBT50805-2012）的规定，防洪堤保护对象为农村，保护区人口小于20万人，防护耕地面积小于30万亩，其工程等级为V级，防洪标准为10-20年一遇洪水标准，参照祁水二期洪水标准确定祁水三期河段防洪标准( 重现期 )为10年，护岸标准参照祁东其它同类工程采用2年一遇洪水标准。根据《堤防工程设计规范》（GB50286-2013）中的2.1.1条和2.1.5条的规定，确定蒋家桥镇防洪工程级别为5级，防洪堤及穿堤建筑物级别为5级。</w:t>
      </w:r>
    </w:p>
    <w:p>
      <w:pPr>
        <w:pStyle w:val="5"/>
        <w:tabs>
          <w:tab w:val="left" w:pos="105"/>
        </w:tabs>
        <w:bidi w:val="0"/>
        <w:spacing w:line="360" w:lineRule="auto"/>
        <w:ind w:left="0" w:leftChars="0" w:firstLine="482" w:firstLineChars="200"/>
        <w:rPr>
          <w:rFonts w:hint="default" w:ascii="Times New Roman" w:hAnsi="Times New Roman" w:eastAsia="宋体" w:cs="Times New Roman"/>
          <w:b/>
          <w:bCs/>
          <w:sz w:val="24"/>
          <w:szCs w:val="24"/>
          <w:lang w:val="zh-CN" w:eastAsia="zh-CN" w:bidi="zh-CN"/>
        </w:rPr>
      </w:pPr>
      <w:r>
        <w:rPr>
          <w:rFonts w:hint="eastAsia" w:ascii="Times New Roman" w:hAnsi="Times New Roman" w:eastAsia="宋体" w:cs="Times New Roman"/>
          <w:b/>
          <w:bCs/>
          <w:sz w:val="24"/>
          <w:szCs w:val="24"/>
          <w:lang w:val="en-US" w:eastAsia="zh-CN" w:bidi="zh-CN"/>
        </w:rPr>
        <w:t>3.3.</w:t>
      </w:r>
      <w:r>
        <w:rPr>
          <w:rFonts w:hint="eastAsia" w:ascii="Times New Roman" w:hAnsi="Times New Roman" w:cs="Times New Roman"/>
          <w:b/>
          <w:bCs/>
          <w:sz w:val="24"/>
          <w:szCs w:val="24"/>
          <w:lang w:val="en-US" w:eastAsia="zh-CN" w:bidi="zh-CN"/>
        </w:rPr>
        <w:t>2</w:t>
      </w:r>
      <w:r>
        <w:rPr>
          <w:rFonts w:hint="default" w:ascii="Times New Roman" w:hAnsi="Times New Roman" w:eastAsia="宋体" w:cs="Times New Roman"/>
          <w:b/>
          <w:bCs/>
          <w:sz w:val="24"/>
          <w:szCs w:val="24"/>
          <w:lang w:val="en-US" w:eastAsia="zh-CN" w:bidi="zh-CN"/>
        </w:rPr>
        <w:t>工程布置</w:t>
      </w:r>
    </w:p>
    <w:p>
      <w:pPr>
        <w:pStyle w:val="5"/>
        <w:keepNext w:val="0"/>
        <w:keepLines w:val="0"/>
        <w:pageBreakBefore w:val="0"/>
        <w:widowControl w:val="0"/>
        <w:tabs>
          <w:tab w:val="left" w:pos="105"/>
        </w:tabs>
        <w:kinsoku/>
        <w:wordWrap/>
        <w:overflowPunct/>
        <w:topLinePunct w:val="0"/>
        <w:autoSpaceDE w:val="0"/>
        <w:autoSpaceDN w:val="0"/>
        <w:bidi w:val="0"/>
        <w:adjustRightInd/>
        <w:snapToGrid/>
        <w:spacing w:before="0" w:line="360" w:lineRule="auto"/>
        <w:ind w:left="0" w:firstLine="480" w:firstLineChars="200"/>
        <w:jc w:val="both"/>
        <w:textAlignment w:val="auto"/>
        <w:rPr>
          <w:rFonts w:hint="default" w:ascii="Times New Roman" w:hAnsi="Times New Roman" w:eastAsia="宋体" w:cs="Times New Roman"/>
          <w:b w:val="0"/>
          <w:bCs w:val="0"/>
          <w:sz w:val="24"/>
          <w:szCs w:val="24"/>
          <w:lang w:val="en-US" w:eastAsia="zh-CN" w:bidi="zh-CN"/>
        </w:rPr>
      </w:pPr>
      <w:r>
        <w:rPr>
          <w:rFonts w:hint="default" w:ascii="Times New Roman" w:hAnsi="Times New Roman" w:eastAsia="宋体" w:cs="Times New Roman"/>
          <w:b w:val="0"/>
          <w:bCs w:val="0"/>
          <w:sz w:val="24"/>
          <w:szCs w:val="24"/>
          <w:lang w:val="en-US" w:eastAsia="zh-CN" w:bidi="zh-CN"/>
        </w:rPr>
        <w:t>本次祁水祁东县治理工程河道全长24.587km，根据项目区自然地理条件和防洪治涝工程现状，结合乡镇总体规划，项目区不新建堤防，以护岸为主，护岸措施以生态护坡为主，冲刷严重及岸顶已有道路房屋不宜破坏段采用硬质护坡，两岸滩地进行疏浚，并对部分河段进行拓宽，扩大河道行洪能力，沿线多处分布有砌石挡墙，大部基本完好，本次仅对破损段进行重建。</w:t>
      </w:r>
    </w:p>
    <w:p>
      <w:pPr>
        <w:pStyle w:val="5"/>
        <w:keepNext w:val="0"/>
        <w:keepLines w:val="0"/>
        <w:pageBreakBefore w:val="0"/>
        <w:widowControl w:val="0"/>
        <w:tabs>
          <w:tab w:val="left" w:pos="105"/>
        </w:tabs>
        <w:kinsoku/>
        <w:wordWrap/>
        <w:overflowPunct/>
        <w:topLinePunct w:val="0"/>
        <w:autoSpaceDE w:val="0"/>
        <w:autoSpaceDN w:val="0"/>
        <w:bidi w:val="0"/>
        <w:adjustRightInd/>
        <w:snapToGrid/>
        <w:spacing w:before="0" w:line="360" w:lineRule="auto"/>
        <w:ind w:left="0" w:firstLine="480" w:firstLineChars="200"/>
        <w:jc w:val="both"/>
        <w:textAlignment w:val="auto"/>
        <w:rPr>
          <w:rFonts w:hint="default" w:ascii="Times New Roman" w:hAnsi="Times New Roman" w:eastAsia="宋体" w:cs="Times New Roman"/>
          <w:b w:val="0"/>
          <w:bCs w:val="0"/>
          <w:sz w:val="24"/>
          <w:szCs w:val="24"/>
          <w:lang w:val="en-US" w:eastAsia="zh-CN" w:bidi="zh-CN"/>
        </w:rPr>
      </w:pPr>
    </w:p>
    <w:p>
      <w:pPr>
        <w:pStyle w:val="5"/>
        <w:keepNext w:val="0"/>
        <w:keepLines w:val="0"/>
        <w:pageBreakBefore w:val="0"/>
        <w:widowControl w:val="0"/>
        <w:tabs>
          <w:tab w:val="left" w:pos="105"/>
        </w:tabs>
        <w:kinsoku/>
        <w:wordWrap/>
        <w:overflowPunct/>
        <w:topLinePunct w:val="0"/>
        <w:autoSpaceDE w:val="0"/>
        <w:autoSpaceDN w:val="0"/>
        <w:bidi w:val="0"/>
        <w:adjustRightInd/>
        <w:snapToGrid/>
        <w:spacing w:before="0" w:line="360" w:lineRule="auto"/>
        <w:ind w:left="0" w:firstLine="480" w:firstLineChars="200"/>
        <w:jc w:val="both"/>
        <w:textAlignment w:val="auto"/>
        <w:rPr>
          <w:rFonts w:hint="default" w:ascii="Times New Roman" w:hAnsi="Times New Roman" w:eastAsia="宋体" w:cs="Times New Roman"/>
          <w:b w:val="0"/>
          <w:bCs w:val="0"/>
          <w:sz w:val="24"/>
          <w:szCs w:val="24"/>
          <w:lang w:val="en-US" w:eastAsia="zh-CN" w:bidi="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p>
    <w:bookmarkEnd w:id="146"/>
    <w:bookmarkEnd w:id="147"/>
    <w:p>
      <w:pPr>
        <w:pStyle w:val="5"/>
        <w:tabs>
          <w:tab w:val="left" w:pos="105"/>
        </w:tabs>
        <w:bidi w:val="0"/>
        <w:spacing w:line="240" w:lineRule="auto"/>
        <w:rPr>
          <w:rFonts w:hint="default" w:ascii="Times New Roman" w:hAnsi="Times New Roman" w:eastAsia="宋体" w:cs="Times New Roman"/>
          <w:b/>
          <w:bCs/>
          <w:sz w:val="24"/>
          <w:szCs w:val="24"/>
          <w:lang w:val="zh-CN" w:eastAsia="zh-CN" w:bidi="zh-CN"/>
        </w:rPr>
      </w:pPr>
      <w:bookmarkStart w:id="148" w:name="_Toc101865799"/>
      <w:r>
        <w:rPr>
          <w:rFonts w:hint="eastAsia" w:ascii="Times New Roman" w:hAnsi="Times New Roman" w:eastAsia="宋体" w:cs="Times New Roman"/>
          <w:b/>
          <w:bCs/>
          <w:sz w:val="24"/>
          <w:szCs w:val="24"/>
          <w:lang w:val="en-US" w:eastAsia="zh-CN" w:bidi="zh-CN"/>
        </w:rPr>
        <w:t>3.3.</w:t>
      </w:r>
      <w:r>
        <w:rPr>
          <w:rFonts w:hint="eastAsia" w:ascii="Times New Roman" w:hAnsi="Times New Roman" w:cs="Times New Roman"/>
          <w:b/>
          <w:bCs/>
          <w:sz w:val="24"/>
          <w:szCs w:val="24"/>
          <w:lang w:val="en-US" w:eastAsia="zh-CN" w:bidi="zh-CN"/>
        </w:rPr>
        <w:t>3</w:t>
      </w:r>
      <w:r>
        <w:rPr>
          <w:rFonts w:hint="default" w:ascii="Times New Roman" w:hAnsi="Times New Roman" w:eastAsia="宋体" w:cs="Times New Roman"/>
          <w:b/>
          <w:bCs/>
          <w:sz w:val="24"/>
          <w:szCs w:val="24"/>
          <w:lang w:val="en-US" w:eastAsia="zh-CN" w:bidi="zh-CN"/>
        </w:rPr>
        <w:t>工程</w:t>
      </w:r>
      <w:r>
        <w:rPr>
          <w:rFonts w:hint="eastAsia" w:ascii="Times New Roman" w:hAnsi="Times New Roman" w:cs="Times New Roman"/>
          <w:b/>
          <w:bCs/>
          <w:sz w:val="24"/>
          <w:szCs w:val="24"/>
          <w:lang w:val="en-US" w:eastAsia="zh-CN" w:bidi="zh-CN"/>
        </w:rPr>
        <w:t>设计</w:t>
      </w:r>
    </w:p>
    <w:p>
      <w:pPr>
        <w:pStyle w:val="2987"/>
        <w:spacing w:before="240" w:line="24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bidi="zh-CN"/>
        </w:rPr>
        <w:t>3.3.</w:t>
      </w:r>
      <w:r>
        <w:rPr>
          <w:rFonts w:hint="eastAsia" w:ascii="Times New Roman" w:hAnsi="Times New Roman" w:cs="Times New Roman"/>
          <w:b/>
          <w:bCs/>
          <w:sz w:val="24"/>
          <w:szCs w:val="24"/>
          <w:lang w:val="en-US" w:eastAsia="zh-CN" w:bidi="zh-CN"/>
        </w:rPr>
        <w:t>3.</w:t>
      </w:r>
      <w:r>
        <w:rPr>
          <w:rFonts w:hint="default" w:ascii="Times New Roman" w:hAnsi="Times New Roman" w:eastAsia="宋体" w:cs="Times New Roman"/>
          <w:sz w:val="24"/>
          <w:szCs w:val="24"/>
          <w:lang w:val="en-US" w:eastAsia="zh-CN"/>
        </w:rPr>
        <w:t>1</w:t>
      </w:r>
      <w:bookmarkEnd w:id="148"/>
      <w:r>
        <w:rPr>
          <w:rFonts w:hint="default" w:ascii="Times New Roman" w:hAnsi="Times New Roman" w:eastAsia="宋体" w:cs="Times New Roman"/>
          <w:sz w:val="24"/>
          <w:szCs w:val="24"/>
          <w:lang w:val="en-US" w:eastAsia="zh-CN"/>
        </w:rPr>
        <w:t>护坡护脚设计</w:t>
      </w:r>
    </w:p>
    <w:p>
      <w:pPr>
        <w:pStyle w:val="815"/>
        <w:spacing w:line="360" w:lineRule="auto"/>
        <w:ind w:left="0" w:leftChars="0" w:firstLine="482" w:firstLineChars="200"/>
        <w:rPr>
          <w:rFonts w:hint="default" w:ascii="Times New Roman" w:hAnsi="Times New Roman" w:eastAsia="宋体" w:cs="Times New Roman"/>
          <w:sz w:val="24"/>
          <w:szCs w:val="24"/>
        </w:rPr>
      </w:pPr>
      <w:r>
        <w:rPr>
          <w:rFonts w:hint="eastAsia" w:ascii="Times New Roman" w:hAnsi="Times New Roman" w:eastAsia="宋体" w:cs="Times New Roman"/>
          <w:b/>
          <w:bCs/>
          <w:smallCaps w:val="0"/>
          <w:color w:val="auto"/>
          <w:kern w:val="0"/>
          <w:sz w:val="24"/>
          <w:szCs w:val="24"/>
          <w:lang w:val="en-US" w:eastAsia="zh-CN" w:bidi="zh-CN"/>
        </w:rPr>
        <w:t>1、</w:t>
      </w:r>
      <w:bookmarkStart w:id="149" w:name="_Toc425921370"/>
      <w:bookmarkStart w:id="150" w:name="_Toc425921659"/>
      <w:r>
        <w:rPr>
          <w:rFonts w:hint="default" w:ascii="Times New Roman" w:hAnsi="Times New Roman" w:eastAsia="宋体" w:cs="Times New Roman"/>
          <w:b/>
          <w:bCs/>
          <w:smallCaps w:val="0"/>
          <w:color w:val="auto"/>
          <w:kern w:val="0"/>
          <w:sz w:val="24"/>
          <w:szCs w:val="24"/>
          <w:lang w:val="en-US" w:eastAsia="zh-CN" w:bidi="zh-CN"/>
        </w:rPr>
        <w:t>河岸护坡断面型式选择</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河堤护坡型式分为传统硬质护坡和生态护坡两类。</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1）传统硬质护坡</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传统硬质护坡主要有浆砌或干砌块石、现浇混凝土、预制混凝土块等，一般来讲，硬质护坡工程造价相对较低，它主要侧重于河道行洪、排涝基本功能，对环境、生态的影响考虑较少，而实际上这些工程建成后特别是全断面护砌的结构对环境和生态的负面影响还是较大的，主要表现在以下几方面：</w:t>
      </w:r>
    </w:p>
    <w:p>
      <w:pPr>
        <w:pStyle w:val="815"/>
        <w:spacing w:line="360" w:lineRule="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a</w:t>
      </w:r>
      <w:r>
        <w:rPr>
          <w:rFonts w:hint="default" w:ascii="Times New Roman" w:hAnsi="Times New Roman" w:eastAsia="宋体" w:cs="Times New Roman"/>
          <w:sz w:val="24"/>
          <w:szCs w:val="24"/>
        </w:rPr>
        <w:t xml:space="preserve"> 对生态环境的影响</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传统的护坡和护岸结构用一层坚硬的砼或砌石结构隔绝了生物和微生物与大地的接触，相当长的时间内使河道中的生物和微生物失去了赖以生存的环境，致使河道天然的自净能力降低，若河道护坡和护岸结构还采用了全断面护砌的结构，其后果和趋向更加严重。</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b 对人类活动环境的影响</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传统的护坡和护岸结构对天然河道的水质和水环境会产生了负面影响，在这种结构保护下的河道远离了生活在其附近的人，亲水场所遭到破坏，河道也因之失去了灵气和精神。</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 对景观环境的影响</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传统的护坡和护岸岸坡规整划一，虽然有整洁美，但其上水生生物和植物难以生长，违背了现代人们追求的回归自然、返璞归真的需要，与周围环境及田园风光不相协调，而且一旦这些结构遭到破坏以后，就更显得斑斑驳驳、破乱不堪，影响河道的容貌。</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2）生态护坡</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态护坡护岸是指恢复后的自然河岸或具有自然河岸“可渗透性”的人工护岸，它拥有渗透性的河床与河岸基底，可以充分保证河岸与河流水体之间的水分交换和调节功能，能恢复被破坏的自然生态环境，同时又能满足对岸坡稳定的要求。生态护坡护岸应是“既满足河道体系的防护标准，又有利于河道系统恢复生态平衡”的系统工程，能充分体现 “人与自然和环境协调发展”理念，生态护坡护岸的特点如下：</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 利用自然材料构建稳定的岸坡，能满足河道“泻洪、排涝、蓄水、引清、航运”等基本功能要求；</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b 滞洪补枯、调节水位</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态护坡护岸能形成一种“可渗透性”的界面，丰水期河水向堤岸外的地下水层渗透储存，缓解洪灾，枯水期地下水通过堤岸反渗入河，起着滞洪补枯、调节水位的作用。另外，生态护岸上的大量植被也有涵蓄水分的作用。</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 保护和建立丰富的生态系统</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态护坡护岸能为水生物和微生物及岸上植物等创造良好栖息地和生存环境，与岸边绿地、树林之间形成水、绿网络，营造和重建多种多样、丰富的环境条件，形成丰富、稳定的生态系统，河流的自净作用也有所提高。</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 形成优美的风景</w:t>
      </w:r>
    </w:p>
    <w:p>
      <w:pPr>
        <w:pStyle w:val="815"/>
        <w:spacing w:line="360" w:lineRule="auto"/>
        <w:ind w:firstLine="472"/>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生态护坡护岸不仅可以与周围环境形成相协调的河道景观，而且可以通过保护和建立丰富的生态系统，营造和恢复河水清澈见底、鱼虾涸游、水草茂盛的自然生态景</w:t>
      </w:r>
      <w:r>
        <w:rPr>
          <w:rFonts w:hint="default" w:ascii="Times New Roman" w:hAnsi="Times New Roman" w:eastAsia="宋体" w:cs="Times New Roman"/>
          <w:sz w:val="24"/>
          <w:szCs w:val="24"/>
        </w:rPr>
        <w:t>观。</w:t>
      </w:r>
    </w:p>
    <w:p>
      <w:pPr>
        <w:pStyle w:val="815"/>
        <w:spacing w:line="360" w:lineRule="auto"/>
        <w:ind w:firstLine="472"/>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生态护坡虽然具有以上优点，但其糙率相对较大，行洪能力不及传统护坡，且造价一般比较高。</w:t>
      </w:r>
      <w:r>
        <w:rPr>
          <w:rFonts w:hint="default" w:ascii="Times New Roman" w:hAnsi="Times New Roman" w:eastAsia="宋体" w:cs="Times New Roman"/>
          <w:sz w:val="24"/>
          <w:szCs w:val="24"/>
        </w:rPr>
        <w:t>从20世纪90年代后期以来，河道生态治理在我国得到了进一步的研究和应用，取得了一定的成果和效益。总结起来主要有两大类型式的生态护坡护岸：一种是单纯利用植物护坡护岸；一种是植物、工程措施复合护坡护岸技术。</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单纯植物护坡（自然原型护岸）：采用发达根系固土植物来保护河堤及生态，如利用活体木桩和活体枝条捆，可生根并生长，产生一个有生命力的根系网层，主要用于岸坡较平缓流速较小的河流，造价低，施工简单，效果较好，在我省的堤防护坡中得到了大范围的运用。</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植物、工程措施复合护坡护岸（人工自然型护坡护岸）：这种型式应用较广，是采用天然石材、石笼、砼或钢筋砼结构来确保岸坡的稳定，利用其“可渗透性”维持和恢复河流的生态系统，其上自然生长植被或人工种植植被。在河流生态治理中应用较多，效果较好的主要有以下几种：</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 植草砖：绿化混凝土的骨料不采用砂，而是大量使用玻璃、拆除的混凝土等再生材料，采用特殊的配比，使颗粒之间有较大的孔隙，并在其间添加一些辅助培养剂，使混凝土能够生长植被，美化环境。</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 铰接式护坡块：一种由缆索穿孔连接的连锁护坡块系统，可植草绿化保护生态。该系统是由一组尺寸、形状和重量一致的混凝土块体用若干根缆索相互连接在一起而形成的连锁矩阵。整体式柔性铺垫自重大，抗颠覆力强；对变形具有高度的适用性；抗冲刷能力强，高速水流及其他恶劣环境下能够保持铺面的完整性，能有效提高土壤的抗水流侵蚀能力；可利用机械整体式安装大大提高施工效率和安装精度，节省人力、降低劳动强度。但这种型式的生态护坡护岸造价较高，对岸坡较陡、高度不大的岸坡不宜应用。</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 雷诺石笼护坡：是一种由高强度、耐腐蚀的合金钢丝编织的长方体网箱结构，内填充卵石而构成护岸单元体，用镀锌或其他钢丝将单元体绞合构成整体护岸，施工现场经石头填充，构成具有柔韧性、透水性及整体性的结构。雷诺石笼护垫的高强度和抗腐蚀性能保证了工程的长期稳定；整体性、柔韧性和良好的压载能力能够防止水流的冲刷和掏刷，达到护坡和护根的根本目的；其透水性利于保持自然水体的原有天然循环条件，有利于水中微生物和水生物的生长，保持及保护生态环境；施工的便捷和经济性实现了在有限的投资条件下较好的河道整治效果。</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 多孔生态砖：是全立面的自挡土、自排水、自卡锁、自定位的生态化、花园花、人性化、景观化的耐污保洁的柔性结构，集合土工格栅加筋技术，可满足超大型高挡墙的需要。由于其外型美观、结构轻便，施工简单、生态效果好，自2005年推广至今，多孔生态砖在浙江、江苏、广东、上海、江西等省河道生态治理中已大量应用，但造价高。</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 生态袋：生态袋由土工织物制成，标准连接扣（如三维排水联结扣）由高强度的聚丙烯制成，抗拉强度高，抗老化可达120年。生态袋填装混有植物种子的当地泥土，工程后不久就恢复为天然岸坡，造价较为适中。</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本次生态护坡护岸设计具体根据河道所处河段的基本情况选取，为更好的区分其优劣性与适用性，初步选取雷诺护垫、植草砖、生态袋三种护坡类型进行比较。</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（a）方案一：雷诺护垫护坡</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（b）方案二：生态袋护坡</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（c）方案三：植草砖护坡</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取护砌高度5</w:t>
      </w:r>
      <w:r>
        <w:rPr>
          <w:rFonts w:hint="default" w:ascii="Times New Roman" w:hAnsi="Times New Roman" w:eastAsia="宋体" w:cs="Times New Roman"/>
          <w:b w:val="0"/>
          <w:bCs w:val="0"/>
          <w:smallCaps w:val="0"/>
          <w:color w:val="auto"/>
          <w:kern w:val="0"/>
          <w:sz w:val="24"/>
          <w:szCs w:val="24"/>
          <w:lang w:val="en-US" w:eastAsia="zh-CN" w:bidi="zh-CN"/>
        </w:rPr>
        <w:t>m</w:t>
      </w:r>
      <w:r>
        <w:rPr>
          <w:rFonts w:hint="default" w:ascii="Times New Roman" w:hAnsi="Times New Roman" w:eastAsia="宋体" w:cs="Times New Roman"/>
          <w:sz w:val="24"/>
          <w:szCs w:val="24"/>
        </w:rPr>
        <w:t>，单位米长度三种护坡形式工程量经济比较见表5.4-4。</w:t>
      </w:r>
    </w:p>
    <w:p>
      <w:pPr>
        <w:pStyle w:val="569"/>
        <w:spacing w:before="120"/>
        <w:rPr>
          <w:rFonts w:hint="default" w:ascii="Times New Roman" w:hAnsi="Times New Roman" w:eastAsia="宋体" w:cs="Times New Roman"/>
          <w:b/>
          <w:bCs/>
          <w:sz w:val="21"/>
          <w:szCs w:val="21"/>
        </w:rPr>
      </w:pPr>
      <w:bookmarkStart w:id="151" w:name="_Ref525998537"/>
      <w:r>
        <w:rPr>
          <w:rFonts w:hint="eastAsia" w:ascii="Times New Roman" w:hAnsi="Times New Roman" w:eastAsia="宋体" w:cs="Times New Roman"/>
          <w:b/>
          <w:bCs/>
          <w:sz w:val="21"/>
          <w:szCs w:val="21"/>
          <w:lang w:eastAsia="zh-CN"/>
        </w:rPr>
        <w:t>表</w:t>
      </w:r>
      <w:r>
        <w:rPr>
          <w:rFonts w:hint="eastAsia" w:ascii="Times New Roman" w:hAnsi="Times New Roman" w:eastAsia="宋体" w:cs="Times New Roman"/>
          <w:b/>
          <w:bCs/>
          <w:sz w:val="21"/>
          <w:szCs w:val="21"/>
          <w:lang w:val="en-US" w:eastAsia="zh-CN"/>
        </w:rPr>
        <w:t>3.3-</w:t>
      </w:r>
      <w:r>
        <w:rPr>
          <w:rFonts w:hint="eastAsia" w:ascii="Times New Roman" w:hAnsi="Times New Roman" w:cs="Times New Roman"/>
          <w:b/>
          <w:bCs/>
          <w:sz w:val="21"/>
          <w:szCs w:val="21"/>
          <w:lang w:val="en-US" w:eastAsia="zh-CN"/>
        </w:rPr>
        <w:t>1</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rPr>
        <w:t>生态护坡护岸型式比较表</w:t>
      </w:r>
      <w:bookmarkEnd w:id="151"/>
    </w:p>
    <w:tbl>
      <w:tblPr>
        <w:tblStyle w:val="89"/>
        <w:tblW w:w="486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0"/>
        <w:gridCol w:w="1875"/>
        <w:gridCol w:w="682"/>
        <w:gridCol w:w="1766"/>
        <w:gridCol w:w="1905"/>
        <w:gridCol w:w="16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247" w:type="pct"/>
            <w:vMerge w:val="restart"/>
            <w:noWrap w:val="0"/>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131" w:type="pct"/>
            <w:vMerge w:val="restart"/>
            <w:noWrap w:val="0"/>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411" w:type="pct"/>
            <w:vMerge w:val="restart"/>
            <w:noWrap w:val="0"/>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3209" w:type="pct"/>
            <w:gridSpan w:val="3"/>
            <w:noWrap w:val="0"/>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247" w:type="pct"/>
            <w:vMerge w:val="continue"/>
            <w:shd w:val="clear" w:color="auto" w:fill="auto"/>
            <w:noWrap w:val="0"/>
            <w:vAlign w:val="center"/>
          </w:tcPr>
          <w:p>
            <w:pPr>
              <w:pStyle w:val="2986"/>
              <w:rPr>
                <w:rFonts w:hint="default" w:ascii="Times New Roman" w:hAnsi="Times New Roman" w:eastAsia="宋体" w:cs="Times New Roman"/>
                <w:sz w:val="21"/>
                <w:szCs w:val="21"/>
              </w:rPr>
            </w:pPr>
          </w:p>
        </w:tc>
        <w:tc>
          <w:tcPr>
            <w:tcW w:w="1131" w:type="pct"/>
            <w:vMerge w:val="continue"/>
            <w:shd w:val="clear" w:color="auto" w:fill="auto"/>
            <w:noWrap w:val="0"/>
            <w:vAlign w:val="center"/>
          </w:tcPr>
          <w:p>
            <w:pPr>
              <w:pStyle w:val="2986"/>
              <w:rPr>
                <w:rFonts w:hint="default" w:ascii="Times New Roman" w:hAnsi="Times New Roman" w:eastAsia="宋体" w:cs="Times New Roman"/>
                <w:sz w:val="21"/>
                <w:szCs w:val="21"/>
              </w:rPr>
            </w:pPr>
          </w:p>
        </w:tc>
        <w:tc>
          <w:tcPr>
            <w:tcW w:w="411" w:type="pct"/>
            <w:vMerge w:val="continue"/>
            <w:shd w:val="clear" w:color="auto" w:fill="auto"/>
            <w:noWrap w:val="0"/>
            <w:vAlign w:val="center"/>
          </w:tcPr>
          <w:p>
            <w:pPr>
              <w:pStyle w:val="2986"/>
              <w:rPr>
                <w:rFonts w:hint="default" w:ascii="Times New Roman" w:hAnsi="Times New Roman" w:eastAsia="宋体" w:cs="Times New Roman"/>
                <w:sz w:val="21"/>
                <w:szCs w:val="21"/>
              </w:rPr>
            </w:pPr>
          </w:p>
        </w:tc>
        <w:tc>
          <w:tcPr>
            <w:tcW w:w="1065" w:type="pct"/>
            <w:shd w:val="clear" w:color="auto" w:fill="auto"/>
            <w:noWrap w:val="0"/>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方案一雷诺护坡</w:t>
            </w:r>
          </w:p>
        </w:tc>
        <w:tc>
          <w:tcPr>
            <w:tcW w:w="114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方案二生态袋护坡</w:t>
            </w:r>
          </w:p>
        </w:tc>
        <w:tc>
          <w:tcPr>
            <w:tcW w:w="993"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方案三植草砖护坡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7" w:type="pct"/>
            <w:shd w:val="clear" w:color="auto" w:fill="auto"/>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131" w:type="pct"/>
            <w:shd w:val="clear" w:color="auto" w:fill="auto"/>
            <w:noWrap w:val="0"/>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土方开挖</w:t>
            </w:r>
          </w:p>
        </w:tc>
        <w:tc>
          <w:tcPr>
            <w:tcW w:w="411" w:type="pct"/>
            <w:shd w:val="clear" w:color="auto" w:fill="auto"/>
            <w:noWrap w:val="0"/>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p>
        </w:tc>
        <w:tc>
          <w:tcPr>
            <w:tcW w:w="1065" w:type="pct"/>
            <w:shd w:val="clear" w:color="auto" w:fill="auto"/>
            <w:noWrap w:val="0"/>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w:t>
            </w:r>
          </w:p>
        </w:tc>
        <w:tc>
          <w:tcPr>
            <w:tcW w:w="114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c>
          <w:tcPr>
            <w:tcW w:w="993"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7" w:type="pct"/>
            <w:shd w:val="clear" w:color="auto" w:fill="auto"/>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131" w:type="pct"/>
            <w:shd w:val="clear" w:color="auto" w:fill="auto"/>
            <w:noWrap w:val="0"/>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土方回填</w:t>
            </w:r>
          </w:p>
        </w:tc>
        <w:tc>
          <w:tcPr>
            <w:tcW w:w="411" w:type="pct"/>
            <w:shd w:val="clear" w:color="auto" w:fill="auto"/>
            <w:noWrap w:val="0"/>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p>
        </w:tc>
        <w:tc>
          <w:tcPr>
            <w:tcW w:w="1065" w:type="pct"/>
            <w:shd w:val="clear" w:color="auto" w:fill="auto"/>
            <w:noWrap w:val="0"/>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14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993"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7" w:type="pct"/>
            <w:shd w:val="clear" w:color="auto" w:fill="auto"/>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131"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砼基座</w:t>
            </w:r>
          </w:p>
        </w:tc>
        <w:tc>
          <w:tcPr>
            <w:tcW w:w="411" w:type="pct"/>
            <w:shd w:val="clear" w:color="auto" w:fill="auto"/>
            <w:noWrap w:val="0"/>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p>
        </w:tc>
        <w:tc>
          <w:tcPr>
            <w:tcW w:w="1065" w:type="pct"/>
            <w:shd w:val="clear" w:color="auto" w:fill="auto"/>
            <w:noWrap w:val="0"/>
            <w:vAlign w:val="center"/>
          </w:tcPr>
          <w:p>
            <w:pPr>
              <w:pStyle w:val="2986"/>
              <w:rPr>
                <w:rFonts w:hint="default" w:ascii="Times New Roman" w:hAnsi="Times New Roman" w:eastAsia="宋体" w:cs="Times New Roman"/>
                <w:sz w:val="21"/>
                <w:szCs w:val="21"/>
              </w:rPr>
            </w:pPr>
          </w:p>
        </w:tc>
        <w:tc>
          <w:tcPr>
            <w:tcW w:w="114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0.155</w:t>
            </w:r>
          </w:p>
        </w:tc>
        <w:tc>
          <w:tcPr>
            <w:tcW w:w="993"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7" w:type="pct"/>
            <w:shd w:val="clear" w:color="auto" w:fill="auto"/>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131"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砼封顶</w:t>
            </w:r>
          </w:p>
        </w:tc>
        <w:tc>
          <w:tcPr>
            <w:tcW w:w="411" w:type="pct"/>
            <w:shd w:val="clear" w:color="auto" w:fill="auto"/>
            <w:noWrap w:val="0"/>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p>
        </w:tc>
        <w:tc>
          <w:tcPr>
            <w:tcW w:w="1065" w:type="pct"/>
            <w:shd w:val="clear" w:color="auto" w:fill="auto"/>
            <w:noWrap w:val="0"/>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0.178</w:t>
            </w:r>
          </w:p>
        </w:tc>
        <w:tc>
          <w:tcPr>
            <w:tcW w:w="1149" w:type="pct"/>
            <w:shd w:val="clear" w:color="auto" w:fill="auto"/>
            <w:noWrap/>
            <w:vAlign w:val="center"/>
          </w:tcPr>
          <w:p>
            <w:pPr>
              <w:pStyle w:val="2986"/>
              <w:rPr>
                <w:rFonts w:hint="default" w:ascii="Times New Roman" w:hAnsi="Times New Roman" w:eastAsia="宋体" w:cs="Times New Roman"/>
                <w:sz w:val="21"/>
                <w:szCs w:val="21"/>
              </w:rPr>
            </w:pPr>
          </w:p>
        </w:tc>
        <w:tc>
          <w:tcPr>
            <w:tcW w:w="993"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7" w:type="pct"/>
            <w:shd w:val="clear" w:color="auto" w:fill="auto"/>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131"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植草砖</w:t>
            </w:r>
          </w:p>
        </w:tc>
        <w:tc>
          <w:tcPr>
            <w:tcW w:w="411" w:type="pct"/>
            <w:shd w:val="clear" w:color="auto" w:fill="auto"/>
            <w:noWrap w:val="0"/>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p>
        </w:tc>
        <w:tc>
          <w:tcPr>
            <w:tcW w:w="1065" w:type="pct"/>
            <w:shd w:val="clear" w:color="auto" w:fill="auto"/>
            <w:noWrap w:val="0"/>
            <w:vAlign w:val="center"/>
          </w:tcPr>
          <w:p>
            <w:pPr>
              <w:pStyle w:val="2986"/>
              <w:rPr>
                <w:rFonts w:hint="default" w:ascii="Times New Roman" w:hAnsi="Times New Roman" w:eastAsia="宋体" w:cs="Times New Roman"/>
                <w:sz w:val="21"/>
                <w:szCs w:val="21"/>
              </w:rPr>
            </w:pPr>
          </w:p>
        </w:tc>
        <w:tc>
          <w:tcPr>
            <w:tcW w:w="1149" w:type="pct"/>
            <w:shd w:val="clear" w:color="auto" w:fill="auto"/>
            <w:noWrap/>
            <w:vAlign w:val="center"/>
          </w:tcPr>
          <w:p>
            <w:pPr>
              <w:pStyle w:val="2986"/>
              <w:rPr>
                <w:rFonts w:hint="default" w:ascii="Times New Roman" w:hAnsi="Times New Roman" w:eastAsia="宋体" w:cs="Times New Roman"/>
                <w:sz w:val="21"/>
                <w:szCs w:val="21"/>
              </w:rPr>
            </w:pPr>
          </w:p>
        </w:tc>
        <w:tc>
          <w:tcPr>
            <w:tcW w:w="993"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7" w:type="pct"/>
            <w:shd w:val="clear" w:color="auto" w:fill="auto"/>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131"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生态袋</w:t>
            </w:r>
          </w:p>
        </w:tc>
        <w:tc>
          <w:tcPr>
            <w:tcW w:w="411" w:type="pct"/>
            <w:shd w:val="clear" w:color="auto" w:fill="auto"/>
            <w:noWrap w:val="0"/>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p>
        </w:tc>
        <w:tc>
          <w:tcPr>
            <w:tcW w:w="1065" w:type="pct"/>
            <w:shd w:val="clear" w:color="auto" w:fill="auto"/>
            <w:noWrap w:val="0"/>
            <w:vAlign w:val="center"/>
          </w:tcPr>
          <w:p>
            <w:pPr>
              <w:pStyle w:val="2986"/>
              <w:rPr>
                <w:rFonts w:hint="default" w:ascii="Times New Roman" w:hAnsi="Times New Roman" w:eastAsia="宋体" w:cs="Times New Roman"/>
                <w:sz w:val="21"/>
                <w:szCs w:val="21"/>
              </w:rPr>
            </w:pPr>
          </w:p>
        </w:tc>
        <w:tc>
          <w:tcPr>
            <w:tcW w:w="114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11.2</w:t>
            </w:r>
          </w:p>
        </w:tc>
        <w:tc>
          <w:tcPr>
            <w:tcW w:w="993" w:type="pct"/>
            <w:shd w:val="clear" w:color="auto" w:fill="auto"/>
            <w:noWrap/>
            <w:vAlign w:val="center"/>
          </w:tcPr>
          <w:p>
            <w:pPr>
              <w:pStyle w:val="2986"/>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7" w:type="pct"/>
            <w:shd w:val="clear" w:color="auto" w:fill="auto"/>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131"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雷诺护垫</w:t>
            </w:r>
          </w:p>
        </w:tc>
        <w:tc>
          <w:tcPr>
            <w:tcW w:w="411" w:type="pct"/>
            <w:shd w:val="clear" w:color="auto" w:fill="auto"/>
            <w:noWrap w:val="0"/>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p>
        </w:tc>
        <w:tc>
          <w:tcPr>
            <w:tcW w:w="1065" w:type="pct"/>
            <w:shd w:val="clear" w:color="auto" w:fill="auto"/>
            <w:noWrap w:val="0"/>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11.2</w:t>
            </w:r>
          </w:p>
        </w:tc>
        <w:tc>
          <w:tcPr>
            <w:tcW w:w="1149" w:type="pct"/>
            <w:shd w:val="clear" w:color="auto" w:fill="auto"/>
            <w:noWrap/>
            <w:vAlign w:val="center"/>
          </w:tcPr>
          <w:p>
            <w:pPr>
              <w:pStyle w:val="2986"/>
              <w:rPr>
                <w:rFonts w:hint="default" w:ascii="Times New Roman" w:hAnsi="Times New Roman" w:eastAsia="宋体" w:cs="Times New Roman"/>
                <w:sz w:val="21"/>
                <w:szCs w:val="21"/>
              </w:rPr>
            </w:pPr>
          </w:p>
        </w:tc>
        <w:tc>
          <w:tcPr>
            <w:tcW w:w="993" w:type="pct"/>
            <w:shd w:val="clear" w:color="auto" w:fill="auto"/>
            <w:noWrap/>
            <w:vAlign w:val="center"/>
          </w:tcPr>
          <w:p>
            <w:pPr>
              <w:pStyle w:val="2986"/>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7" w:type="pct"/>
            <w:shd w:val="clear" w:color="auto" w:fill="auto"/>
            <w:noWrap/>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1131" w:type="pct"/>
            <w:shd w:val="clear" w:color="auto" w:fill="FFFFFF"/>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总投资</w:t>
            </w:r>
          </w:p>
        </w:tc>
        <w:tc>
          <w:tcPr>
            <w:tcW w:w="411" w:type="pct"/>
            <w:shd w:val="clear" w:color="auto" w:fill="auto"/>
            <w:noWrap w:val="0"/>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元</w:t>
            </w:r>
          </w:p>
        </w:tc>
        <w:tc>
          <w:tcPr>
            <w:tcW w:w="1065" w:type="pct"/>
            <w:shd w:val="clear" w:color="auto" w:fill="auto"/>
            <w:noWrap w:val="0"/>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1393.7</w:t>
            </w:r>
          </w:p>
        </w:tc>
        <w:tc>
          <w:tcPr>
            <w:tcW w:w="1149"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2659.2</w:t>
            </w:r>
          </w:p>
        </w:tc>
        <w:tc>
          <w:tcPr>
            <w:tcW w:w="993" w:type="pct"/>
            <w:shd w:val="clear" w:color="auto" w:fill="auto"/>
            <w:noWrap/>
            <w:vAlign w:val="center"/>
          </w:tcPr>
          <w:p>
            <w:pPr>
              <w:pStyle w:val="2986"/>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1799.0</w:t>
            </w:r>
          </w:p>
        </w:tc>
      </w:tr>
    </w:tbl>
    <w:p>
      <w:pPr>
        <w:pStyle w:val="2986"/>
        <w:rPr>
          <w:rFonts w:hint="default" w:ascii="Times New Roman" w:hAnsi="Times New Roman" w:eastAsia="宋体" w:cs="Times New Roman"/>
          <w:sz w:val="24"/>
          <w:szCs w:val="24"/>
        </w:rPr>
      </w:pP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经前述方案比较，三个方案的优、缺点如下：</w:t>
      </w:r>
    </w:p>
    <w:p>
      <w:pPr>
        <w:pStyle w:val="815"/>
        <w:ind w:firstLine="456"/>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从投资角度讲：同样是生态护坡护岸，雷诺护垫护坡护岸单位长度投资为1393.7元，生态袋护坡护岸单位长度投资为</w:t>
      </w:r>
      <w:r>
        <w:rPr>
          <w:rFonts w:hint="default" w:ascii="Times New Roman" w:hAnsi="Times New Roman" w:eastAsia="宋体" w:cs="Times New Roman"/>
          <w:sz w:val="24"/>
          <w:szCs w:val="24"/>
        </w:rPr>
        <w:t>2659.2</w:t>
      </w:r>
      <w:r>
        <w:rPr>
          <w:rFonts w:hint="default" w:ascii="Times New Roman" w:hAnsi="Times New Roman" w:eastAsia="宋体" w:cs="Times New Roman"/>
          <w:spacing w:val="-6"/>
          <w:sz w:val="24"/>
          <w:szCs w:val="24"/>
        </w:rPr>
        <w:t>元，植草砖护坡护岸单位长度投资为</w:t>
      </w:r>
      <w:r>
        <w:rPr>
          <w:rFonts w:hint="default" w:ascii="Times New Roman" w:hAnsi="Times New Roman" w:eastAsia="宋体" w:cs="Times New Roman"/>
          <w:sz w:val="24"/>
          <w:szCs w:val="24"/>
        </w:rPr>
        <w:t>1799.0</w:t>
      </w:r>
      <w:r>
        <w:rPr>
          <w:rFonts w:hint="default" w:ascii="Times New Roman" w:hAnsi="Times New Roman" w:eastAsia="宋体" w:cs="Times New Roman"/>
          <w:spacing w:val="-6"/>
          <w:sz w:val="24"/>
          <w:szCs w:val="24"/>
        </w:rPr>
        <w:t>元，单位长度投资方案三比方案一多405.3元，比方案二少860.2元</w:t>
      </w:r>
      <w:r>
        <w:rPr>
          <w:rFonts w:hint="default" w:ascii="Times New Roman" w:hAnsi="Times New Roman" w:eastAsia="宋体" w:cs="Times New Roman"/>
          <w:sz w:val="24"/>
          <w:szCs w:val="24"/>
        </w:rPr>
        <w:t>。</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从景观角度来看：根据各类已实施生态护坡效果来看，生态袋的景观效果最好（水下岸线规整，绿化覆盖均匀，且覆盖效果好）；其次是植草砖方案（植草砖绿化效果较好，但绿化护盖种类较为单一）；差一点的为雷诺护垫方案（绿化呈斑状）。</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从生态效果来看：最好的是雷诺护垫方案；其次是生态袋方案；差一点的是植草砖方案，因为它属于一种改良的工程护坡。</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从运行管理角度讲：植草砖投资管理最为简单；雷诺护垫方案其次，只要在汛期过后整理钩挂杂物；最后是生态袋，由于生态袋要防人为的踩踏破坏，还要防止火灾，在城区管理难度较大。</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从持久耐用角度讲：植草砖方案经时间证明，持久耐用性比较好，其它的生态护坡虽在技术参数上讲都可耐用30年以上，但由于其推广运用的时间还只有十来年，有待时间证明。</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从施工角度来看：雷诺护垫方案水下施工有着独特的优势，其它几种方案施工难易程度都差不多。</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综上所述，考虑到经济的合理性与实施后的景观与生态效果、所在位置需求及适应性再结合运行管理的难易程度，</w:t>
      </w:r>
      <w:r>
        <w:rPr>
          <w:rFonts w:hint="default" w:ascii="Times New Roman" w:hAnsi="Times New Roman" w:eastAsia="宋体" w:cs="Times New Roman"/>
          <w:b w:val="0"/>
          <w:bCs w:val="0"/>
          <w:sz w:val="24"/>
          <w:szCs w:val="24"/>
        </w:rPr>
        <w:t>本次拟定以雷诺护坡为主，人群聚集地采用连锁式植草砖护坡</w:t>
      </w:r>
      <w:r>
        <w:rPr>
          <w:rFonts w:hint="default" w:ascii="Times New Roman" w:hAnsi="Times New Roman" w:eastAsia="宋体" w:cs="Times New Roman"/>
          <w:sz w:val="24"/>
          <w:szCs w:val="24"/>
        </w:rPr>
        <w:t>。</w:t>
      </w:r>
    </w:p>
    <w:bookmarkEnd w:id="149"/>
    <w:bookmarkEnd w:id="150"/>
    <w:p>
      <w:pPr>
        <w:pStyle w:val="652"/>
        <w:spacing w:line="360" w:lineRule="auto"/>
        <w:ind w:firstLine="482" w:firstLineChars="200"/>
        <w:jc w:val="both"/>
        <w:rPr>
          <w:rFonts w:hint="default" w:ascii="Times New Roman" w:hAnsi="Times New Roman" w:eastAsia="宋体" w:cs="Times New Roman"/>
          <w:snapToGrid w:val="0"/>
          <w:sz w:val="24"/>
          <w:szCs w:val="24"/>
        </w:rPr>
      </w:pPr>
      <w:r>
        <w:rPr>
          <w:rFonts w:hint="eastAsia" w:ascii="Times New Roman" w:hAnsi="Times New Roman" w:eastAsia="宋体" w:cs="Times New Roman"/>
          <w:b/>
          <w:bCs/>
          <w:sz w:val="24"/>
          <w:szCs w:val="24"/>
          <w:lang w:val="en-US" w:eastAsia="zh-CN" w:bidi="zh-CN"/>
        </w:rPr>
        <w:t>2、</w:t>
      </w:r>
      <w:r>
        <w:rPr>
          <w:rFonts w:hint="default" w:ascii="Times New Roman" w:hAnsi="Times New Roman" w:eastAsia="宋体" w:cs="Times New Roman"/>
          <w:b/>
          <w:bCs/>
          <w:snapToGrid w:val="0"/>
          <w:sz w:val="24"/>
          <w:szCs w:val="24"/>
        </w:rPr>
        <w:t>护坡、护脚设计</w:t>
      </w:r>
    </w:p>
    <w:p>
      <w:pPr>
        <w:pStyle w:val="815"/>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w:t>
      </w:r>
      <w:r>
        <w:rPr>
          <w:rFonts w:hint="default" w:ascii="Times New Roman" w:hAnsi="Times New Roman" w:eastAsia="宋体" w:cs="Times New Roman"/>
          <w:snapToGrid w:val="0"/>
          <w:sz w:val="24"/>
          <w:szCs w:val="24"/>
        </w:rPr>
        <w:t>《堤防工程设计规范》（GB50286-2013）8.1.6的规定，护岸工程护坡与护脚应以设计</w:t>
      </w:r>
      <w:r>
        <w:rPr>
          <w:rFonts w:hint="default" w:ascii="Times New Roman" w:hAnsi="Times New Roman" w:eastAsia="宋体" w:cs="Times New Roman"/>
          <w:sz w:val="24"/>
          <w:szCs w:val="24"/>
        </w:rPr>
        <w:t>枯</w:t>
      </w:r>
      <w:r>
        <w:rPr>
          <w:rFonts w:hint="default" w:ascii="Times New Roman" w:hAnsi="Times New Roman" w:eastAsia="宋体" w:cs="Times New Roman"/>
          <w:snapToGrid w:val="0"/>
          <w:sz w:val="24"/>
          <w:szCs w:val="24"/>
        </w:rPr>
        <w:t>水位为界，</w:t>
      </w:r>
      <w:r>
        <w:rPr>
          <w:rFonts w:hint="default" w:ascii="Times New Roman" w:hAnsi="Times New Roman" w:eastAsia="宋体" w:cs="Times New Roman"/>
          <w:sz w:val="24"/>
          <w:szCs w:val="24"/>
        </w:rPr>
        <w:t>本次总体设计方案为：</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napToGrid w:val="0"/>
          <w:sz w:val="24"/>
          <w:szCs w:val="24"/>
        </w:rPr>
        <w:t>1）护坡</w:t>
      </w:r>
      <w:r>
        <w:rPr>
          <w:rFonts w:hint="default" w:ascii="Times New Roman" w:hAnsi="Times New Roman" w:eastAsia="宋体" w:cs="Times New Roman"/>
          <w:sz w:val="24"/>
          <w:szCs w:val="24"/>
        </w:rPr>
        <w:t>以雷诺护坡为主，人群聚集地采用连锁式植草砖护坡，护脚均采用格宾挡墙护至枯水位，</w:t>
      </w:r>
      <w:r>
        <w:rPr>
          <w:rFonts w:hint="default" w:ascii="Times New Roman" w:hAnsi="Times New Roman" w:eastAsia="宋体" w:cs="Times New Roman"/>
          <w:snapToGrid w:val="0"/>
          <w:sz w:val="24"/>
          <w:szCs w:val="24"/>
        </w:rPr>
        <w:t>护坡</w:t>
      </w:r>
      <w:r>
        <w:rPr>
          <w:rFonts w:hint="default" w:ascii="Times New Roman" w:hAnsi="Times New Roman" w:eastAsia="宋体" w:cs="Times New Roman"/>
          <w:sz w:val="24"/>
          <w:szCs w:val="24"/>
        </w:rPr>
        <w:t>护至2年一遇洪水位，其上采用草皮护坡；</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2）为减少占地及投资，2年一遇洪水位及现状岸坡较低段采用格宾挡墙护坡护脚；</w:t>
      </w:r>
    </w:p>
    <w:p>
      <w:pPr>
        <w:pStyle w:val="815"/>
        <w:rPr>
          <w:rFonts w:hint="default" w:ascii="Times New Roman" w:hAnsi="Times New Roman" w:eastAsia="宋体" w:cs="Times New Roman"/>
          <w:snapToGrid w:val="0"/>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napToGrid w:val="0"/>
          <w:sz w:val="24"/>
          <w:szCs w:val="24"/>
        </w:rPr>
        <w:t>冲刷严重及岸顶已有道路房屋不宜破坏段采用仰斜式浆砌石挡墙护坡护脚；</w:t>
      </w:r>
    </w:p>
    <w:p>
      <w:pPr>
        <w:pStyle w:val="815"/>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t>4）现有</w:t>
      </w:r>
      <w:r>
        <w:rPr>
          <w:rFonts w:hint="default" w:ascii="Times New Roman" w:hAnsi="Times New Roman" w:eastAsia="宋体" w:cs="Times New Roman"/>
          <w:sz w:val="24"/>
          <w:szCs w:val="24"/>
        </w:rPr>
        <w:t>砌石挡墙破损段拆除重建，采用原断面型式。</w:t>
      </w:r>
    </w:p>
    <w:p>
      <w:pPr>
        <w:pStyle w:val="459"/>
        <w:spacing w:line="360" w:lineRule="auto"/>
        <w:rPr>
          <w:rFonts w:hint="default" w:ascii="Times New Roman" w:hAnsi="Times New Roman" w:eastAsia="宋体" w:cs="Times New Roman"/>
          <w:snapToGrid w:val="0"/>
          <w:sz w:val="24"/>
          <w:szCs w:val="24"/>
        </w:rPr>
      </w:pPr>
      <w:r>
        <w:rPr>
          <w:rFonts w:hint="eastAsia" w:ascii="Times New Roman" w:hAnsi="Times New Roman" w:eastAsia="宋体" w:cs="Times New Roman"/>
          <w:snapToGrid w:val="0"/>
          <w:sz w:val="24"/>
          <w:szCs w:val="24"/>
          <w:lang w:val="en-US" w:eastAsia="zh-CN"/>
        </w:rPr>
        <w:t>3、</w:t>
      </w:r>
      <w:r>
        <w:rPr>
          <w:rFonts w:hint="default" w:ascii="Times New Roman" w:hAnsi="Times New Roman" w:eastAsia="宋体" w:cs="Times New Roman"/>
          <w:snapToGrid w:val="0"/>
          <w:sz w:val="24"/>
          <w:szCs w:val="24"/>
        </w:rPr>
        <w:t>护坡开挖回填设计</w:t>
      </w:r>
    </w:p>
    <w:p>
      <w:pPr>
        <w:pStyle w:val="815"/>
        <w:spacing w:line="360" w:lineRule="auto"/>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t>根据岸坡整治范围，祁水祁东县治理工程需整治岸坡22.790</w:t>
      </w:r>
      <w:r>
        <w:rPr>
          <w:rFonts w:hint="eastAsia" w:ascii="Times New Roman" w:hAnsi="Times New Roman" w:eastAsia="Times New Roman" w:cs="Times New Roman"/>
          <w:smallCaps w:val="0"/>
          <w:color w:val="auto"/>
          <w:spacing w:val="-2"/>
          <w:kern w:val="0"/>
          <w:sz w:val="24"/>
          <w:szCs w:val="24"/>
          <w:lang w:val="en-US" w:eastAsia="zh-CN"/>
        </w:rPr>
        <w:t>km</w:t>
      </w:r>
      <w:r>
        <w:rPr>
          <w:rFonts w:hint="default" w:ascii="Times New Roman" w:hAnsi="Times New Roman" w:eastAsia="宋体" w:cs="Times New Roman"/>
          <w:snapToGrid w:val="0"/>
          <w:sz w:val="24"/>
          <w:szCs w:val="24"/>
        </w:rPr>
        <w:t>，岸坡临时开挖坡比为1:1，开挖高度大于5</w:t>
      </w:r>
      <w:r>
        <w:rPr>
          <w:rFonts w:hint="default" w:ascii="Times New Roman" w:hAnsi="Times New Roman" w:eastAsia="宋体" w:cs="Times New Roman"/>
          <w:b w:val="0"/>
          <w:bCs w:val="0"/>
          <w:smallCaps w:val="0"/>
          <w:color w:val="auto"/>
          <w:kern w:val="0"/>
          <w:sz w:val="24"/>
          <w:szCs w:val="24"/>
          <w:lang w:val="en-US" w:eastAsia="zh-CN" w:bidi="zh-CN"/>
        </w:rPr>
        <w:t>m</w:t>
      </w:r>
      <w:r>
        <w:rPr>
          <w:rFonts w:hint="default" w:ascii="Times New Roman" w:hAnsi="Times New Roman" w:eastAsia="宋体" w:cs="Times New Roman"/>
          <w:snapToGrid w:val="0"/>
          <w:sz w:val="24"/>
          <w:szCs w:val="24"/>
        </w:rPr>
        <w:t>时需设平台。</w:t>
      </w:r>
    </w:p>
    <w:p>
      <w:pPr>
        <w:pStyle w:val="815"/>
        <w:spacing w:line="360" w:lineRule="auto"/>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t>岸坡填筑土料全部来自开挖利用料，需选用粘粒含量为10%～35%、塑性指数为7～20的黏性土，且不得含植物根茎、砖瓦垃圾等杂质，填筑料与最优含水率的允许偏差为±3%；填土之前必须彻底清除地面表层松土、软弱土层、腐质土及植物根茎等，清基厚度一般为30</w:t>
      </w:r>
      <w:r>
        <w:rPr>
          <w:rFonts w:hint="default" w:ascii="Times New Roman" w:hAnsi="Times New Roman" w:eastAsia="Times New Roman" w:cs="Times New Roman"/>
          <w:smallCaps w:val="0"/>
          <w:color w:val="auto"/>
          <w:spacing w:val="-2"/>
          <w:kern w:val="0"/>
          <w:sz w:val="24"/>
          <w:szCs w:val="24"/>
          <w:lang w:val="en-US" w:eastAsia="zh-CN"/>
        </w:rPr>
        <w:t>cm</w:t>
      </w:r>
      <w:r>
        <w:rPr>
          <w:rFonts w:hint="default" w:ascii="Times New Roman" w:hAnsi="Times New Roman" w:eastAsia="宋体" w:cs="Times New Roman"/>
          <w:snapToGrid w:val="0"/>
          <w:sz w:val="24"/>
          <w:szCs w:val="24"/>
        </w:rPr>
        <w:t>，土料填筑分层进行，层厚30</w:t>
      </w:r>
      <w:r>
        <w:rPr>
          <w:rFonts w:hint="default" w:ascii="Times New Roman" w:hAnsi="Times New Roman" w:eastAsia="Times New Roman" w:cs="Times New Roman"/>
          <w:smallCaps w:val="0"/>
          <w:color w:val="auto"/>
          <w:spacing w:val="-2"/>
          <w:kern w:val="0"/>
          <w:sz w:val="24"/>
          <w:szCs w:val="24"/>
          <w:lang w:val="en-US" w:eastAsia="zh-CN"/>
        </w:rPr>
        <w:t>cm</w:t>
      </w:r>
      <w:r>
        <w:rPr>
          <w:rFonts w:hint="default" w:ascii="Times New Roman" w:hAnsi="Times New Roman" w:eastAsia="宋体" w:cs="Times New Roman"/>
          <w:snapToGrid w:val="0"/>
          <w:sz w:val="24"/>
          <w:szCs w:val="24"/>
        </w:rPr>
        <w:t>～40</w:t>
      </w:r>
      <w:r>
        <w:rPr>
          <w:rFonts w:hint="default" w:ascii="Times New Roman" w:hAnsi="Times New Roman" w:eastAsia="Times New Roman" w:cs="Times New Roman"/>
          <w:smallCaps w:val="0"/>
          <w:color w:val="auto"/>
          <w:spacing w:val="-2"/>
          <w:kern w:val="0"/>
          <w:sz w:val="24"/>
          <w:szCs w:val="24"/>
          <w:lang w:val="en-US" w:eastAsia="zh-CN"/>
        </w:rPr>
        <w:t>cm</w:t>
      </w:r>
      <w:r>
        <w:rPr>
          <w:rFonts w:hint="default" w:ascii="Times New Roman" w:hAnsi="Times New Roman" w:eastAsia="宋体" w:cs="Times New Roman"/>
          <w:snapToGrid w:val="0"/>
          <w:sz w:val="24"/>
          <w:szCs w:val="24"/>
        </w:rPr>
        <w:t>，采用机械挖运土料，分层压实，填筑土料压实度不小于0.91。</w:t>
      </w:r>
    </w:p>
    <w:p>
      <w:pPr>
        <w:pStyle w:val="459"/>
        <w:spacing w:line="360" w:lineRule="auto"/>
        <w:rPr>
          <w:rFonts w:hint="default" w:ascii="Times New Roman" w:hAnsi="Times New Roman" w:eastAsia="宋体" w:cs="Times New Roman"/>
          <w:snapToGrid w:val="0"/>
          <w:sz w:val="24"/>
          <w:szCs w:val="24"/>
        </w:rPr>
      </w:pPr>
      <w:r>
        <w:rPr>
          <w:rFonts w:hint="eastAsia" w:ascii="Times New Roman" w:hAnsi="Times New Roman" w:eastAsia="宋体" w:cs="Times New Roman"/>
          <w:snapToGrid w:val="0"/>
          <w:sz w:val="24"/>
          <w:szCs w:val="24"/>
          <w:lang w:val="en-US" w:eastAsia="zh-CN"/>
        </w:rPr>
        <w:t>4、</w:t>
      </w:r>
      <w:r>
        <w:rPr>
          <w:rFonts w:hint="default" w:ascii="Times New Roman" w:hAnsi="Times New Roman" w:eastAsia="宋体" w:cs="Times New Roman"/>
          <w:snapToGrid w:val="0"/>
          <w:sz w:val="24"/>
          <w:szCs w:val="24"/>
        </w:rPr>
        <w:t>新建浆砌石挡墙护岸设计</w:t>
      </w:r>
    </w:p>
    <w:p>
      <w:pPr>
        <w:pStyle w:val="815"/>
        <w:spacing w:line="360" w:lineRule="auto"/>
        <w:jc w:val="left"/>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t>本次祁水祁东县治理工程的浆砌石挡墙护岸采用仰斜式挡土墙，总长度为5.819</w:t>
      </w:r>
      <w:r>
        <w:rPr>
          <w:rFonts w:hint="default" w:ascii="Times New Roman" w:hAnsi="Times New Roman" w:eastAsia="Times New Roman" w:cs="Times New Roman"/>
          <w:smallCaps w:val="0"/>
          <w:color w:val="auto"/>
          <w:spacing w:val="-2"/>
          <w:kern w:val="0"/>
          <w:sz w:val="24"/>
          <w:szCs w:val="24"/>
          <w:lang w:val="en-US" w:eastAsia="zh-CN"/>
        </w:rPr>
        <w:t>km</w:t>
      </w:r>
      <w:r>
        <w:rPr>
          <w:rFonts w:hint="default" w:ascii="Times New Roman" w:hAnsi="Times New Roman" w:eastAsia="宋体" w:cs="Times New Roman"/>
          <w:snapToGrid w:val="0"/>
          <w:sz w:val="24"/>
          <w:szCs w:val="24"/>
        </w:rPr>
        <w:t>，这种形式的挡土墙优点是减少了岸坡开挖，抗冲刷能力较强，较少永久占地面积。</w:t>
      </w:r>
    </w:p>
    <w:p>
      <w:pPr>
        <w:pStyle w:val="459"/>
        <w:rPr>
          <w:rFonts w:hint="default" w:ascii="Times New Roman" w:hAnsi="Times New Roman" w:eastAsia="宋体" w:cs="Times New Roman"/>
          <w:snapToGrid w:val="0"/>
          <w:sz w:val="24"/>
          <w:szCs w:val="24"/>
        </w:rPr>
      </w:pPr>
      <w:bookmarkStart w:id="152" w:name="_Toc250371892"/>
      <w:r>
        <w:rPr>
          <w:rFonts w:hint="eastAsia" w:ascii="Times New Roman" w:hAnsi="Times New Roman" w:eastAsia="宋体" w:cs="Times New Roman"/>
          <w:snapToGrid w:val="0"/>
          <w:sz w:val="24"/>
          <w:szCs w:val="24"/>
          <w:lang w:val="en-US" w:eastAsia="zh-CN"/>
        </w:rPr>
        <w:t>5、</w:t>
      </w:r>
      <w:r>
        <w:rPr>
          <w:rFonts w:hint="default" w:ascii="Times New Roman" w:hAnsi="Times New Roman" w:eastAsia="宋体" w:cs="Times New Roman"/>
          <w:snapToGrid w:val="0"/>
          <w:sz w:val="24"/>
          <w:szCs w:val="24"/>
        </w:rPr>
        <w:t>雷诺护坡设计</w:t>
      </w:r>
    </w:p>
    <w:bookmarkEnd w:id="152"/>
    <w:p>
      <w:pPr>
        <w:pStyle w:val="815"/>
        <w:rPr>
          <w:rFonts w:hint="default" w:ascii="Times New Roman" w:hAnsi="Times New Roman" w:eastAsia="宋体" w:cs="Times New Roman"/>
          <w:sz w:val="24"/>
          <w:szCs w:val="24"/>
        </w:rPr>
      </w:pPr>
      <w:bookmarkStart w:id="153" w:name="_Toc250371894"/>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）设计参数</w:t>
      </w:r>
      <w:bookmarkEnd w:id="153"/>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A雷诺护垫特有技术参数</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 雷诺护垫是将低碳钢丝经机器编制而成的双绞合六边形金属网格组合的工程构件，在构件中填石构成主要用于冲刷防护的结构。</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 雷诺护垫规格为ML×2×0.17GF，即长</w:t>
      </w:r>
      <w:r>
        <w:rPr>
          <w:rFonts w:hint="default" w:ascii="Times New Roman" w:hAnsi="Times New Roman" w:eastAsia="Times New Roman" w:cs="Times New Roman"/>
          <w:smallCaps w:val="0"/>
          <w:color w:val="auto"/>
          <w:spacing w:val="-2"/>
          <w:kern w:val="0"/>
          <w:sz w:val="24"/>
          <w:szCs w:val="24"/>
          <w:lang w:val="en-US" w:eastAsia="zh-CN"/>
        </w:rPr>
        <w:t>3m、4m、5m、6m，宽2m</w:t>
      </w:r>
      <w:r>
        <w:rPr>
          <w:rFonts w:hint="default" w:ascii="Times New Roman" w:hAnsi="Times New Roman" w:eastAsia="宋体" w:cs="Times New Roman"/>
          <w:sz w:val="24"/>
          <w:szCs w:val="24"/>
        </w:rPr>
        <w:t>，厚0.17</w:t>
      </w:r>
      <w:r>
        <w:rPr>
          <w:rFonts w:hint="default" w:ascii="Times New Roman" w:hAnsi="Times New Roman" w:eastAsia="宋体" w:cs="Times New Roman"/>
          <w:b w:val="0"/>
          <w:bCs w:val="0"/>
          <w:smallCaps w:val="0"/>
          <w:color w:val="auto"/>
          <w:kern w:val="0"/>
          <w:sz w:val="24"/>
          <w:szCs w:val="24"/>
          <w:lang w:val="en-US" w:eastAsia="zh-CN" w:bidi="zh-CN"/>
        </w:rPr>
        <w:t>m</w:t>
      </w:r>
      <w:r>
        <w:rPr>
          <w:rFonts w:hint="default" w:ascii="Times New Roman" w:hAnsi="Times New Roman" w:eastAsia="宋体" w:cs="Times New Roman"/>
          <w:sz w:val="24"/>
          <w:szCs w:val="24"/>
        </w:rPr>
        <w:t>，钢丝镀高尔凡防腐处理，隔板为双隔板，除盖板外，底板、隔板、边板、端板间均不可分割；长度、宽度厚度公差为±5％，厚度公差±10％；网孔规格为6×8，网面抗拉强度30</w:t>
      </w:r>
      <w:r>
        <w:rPr>
          <w:rFonts w:hint="default" w:ascii="Times New Roman" w:hAnsi="Times New Roman" w:eastAsia="宋体" w:cs="Times New Roman"/>
          <w:b w:val="0"/>
          <w:bCs w:val="0"/>
          <w:smallCaps w:val="0"/>
          <w:color w:val="auto"/>
          <w:kern w:val="0"/>
          <w:sz w:val="24"/>
          <w:szCs w:val="24"/>
          <w:lang w:val="en-US" w:eastAsia="zh-CN" w:bidi="zh-CN"/>
        </w:rPr>
        <w:t>KN/</w:t>
      </w:r>
      <w:r>
        <w:rPr>
          <w:rFonts w:hint="default" w:ascii="Times New Roman" w:hAnsi="Times New Roman" w:eastAsia="Times New Roman" w:cs="Times New Roman"/>
          <w:smallCaps w:val="0"/>
          <w:color w:val="auto"/>
          <w:spacing w:val="-2"/>
          <w:kern w:val="0"/>
          <w:sz w:val="24"/>
          <w:szCs w:val="24"/>
          <w:lang w:val="en-US" w:eastAsia="zh-CN"/>
        </w:rPr>
        <w:t>m</w:t>
      </w:r>
      <w:r>
        <w:rPr>
          <w:rFonts w:hint="default" w:ascii="Times New Roman" w:hAnsi="Times New Roman" w:eastAsia="宋体" w:cs="Times New Roman"/>
          <w:sz w:val="24"/>
          <w:szCs w:val="24"/>
        </w:rPr>
        <w:t>，雷诺护垫供货厂家需提供至少国家一级实验室以上资质单位出具的网面抗拉强度检测报告。</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③ </w:t>
      </w:r>
      <w:r>
        <w:rPr>
          <w:rFonts w:hint="default" w:ascii="Times New Roman" w:hAnsi="Times New Roman" w:eastAsia="Times New Roman" w:cs="Times New Roman"/>
          <w:smallCaps w:val="0"/>
          <w:color w:val="auto"/>
          <w:spacing w:val="-2"/>
          <w:kern w:val="0"/>
          <w:sz w:val="24"/>
          <w:szCs w:val="24"/>
          <w:lang w:val="en-US" w:eastAsia="zh-CN"/>
        </w:rPr>
        <w:t>钢丝标准及技术参数：钢丝抗拉强度350～550N/mm</w:t>
      </w:r>
      <w:r>
        <w:rPr>
          <w:rFonts w:hint="default" w:ascii="Times New Roman" w:hAnsi="Times New Roman" w:eastAsia="Times New Roman" w:cs="Times New Roman"/>
          <w:smallCaps w:val="0"/>
          <w:color w:val="auto"/>
          <w:spacing w:val="-2"/>
          <w:kern w:val="0"/>
          <w:sz w:val="24"/>
          <w:szCs w:val="24"/>
          <w:vertAlign w:val="superscript"/>
          <w:lang w:val="en-US" w:eastAsia="zh-CN"/>
        </w:rPr>
        <w:t>2</w:t>
      </w:r>
      <w:r>
        <w:rPr>
          <w:rFonts w:hint="default" w:ascii="Times New Roman" w:hAnsi="Times New Roman" w:eastAsia="Times New Roman" w:cs="Times New Roman"/>
          <w:smallCaps w:val="0"/>
          <w:color w:val="auto"/>
          <w:spacing w:val="-2"/>
          <w:kern w:val="0"/>
          <w:sz w:val="24"/>
          <w:szCs w:val="24"/>
          <w:lang w:val="en-US" w:eastAsia="zh-CN"/>
        </w:rPr>
        <w:t>，未经拉伸钢丝的延伸率不能低于12%（经过拉伸加工的成品钢丝延伸率不能低于7%）；网面钢丝直径φ2.2 mm，公差±0.05 mm，最小镀层量为215 g/m</w:t>
      </w:r>
      <w:r>
        <w:rPr>
          <w:rFonts w:hint="default" w:ascii="Times New Roman" w:hAnsi="Times New Roman" w:eastAsia="Times New Roman" w:cs="Times New Roman"/>
          <w:smallCaps w:val="0"/>
          <w:color w:val="auto"/>
          <w:spacing w:val="-2"/>
          <w:kern w:val="0"/>
          <w:sz w:val="24"/>
          <w:szCs w:val="24"/>
          <w:vertAlign w:val="superscript"/>
          <w:lang w:val="en-US" w:eastAsia="zh-CN"/>
        </w:rPr>
        <w:t>2</w:t>
      </w:r>
      <w:r>
        <w:rPr>
          <w:rFonts w:hint="default" w:ascii="Times New Roman" w:hAnsi="Times New Roman" w:eastAsia="Times New Roman" w:cs="Times New Roman"/>
          <w:smallCaps w:val="0"/>
          <w:color w:val="auto"/>
          <w:spacing w:val="-2"/>
          <w:kern w:val="0"/>
          <w:sz w:val="24"/>
          <w:szCs w:val="24"/>
          <w:lang w:val="en-US" w:eastAsia="zh-CN"/>
        </w:rPr>
        <w:t>；为加强构件刚度，钢丝面板边端采用直径为φ2.7mm的边端钢丝，镀层钢丝公差±0.06mm，最小镀层量为245g/m</w:t>
      </w:r>
      <w:r>
        <w:rPr>
          <w:rFonts w:hint="default" w:ascii="Times New Roman" w:hAnsi="Times New Roman" w:eastAsia="Times New Roman" w:cs="Times New Roman"/>
          <w:smallCaps w:val="0"/>
          <w:color w:val="auto"/>
          <w:spacing w:val="-2"/>
          <w:kern w:val="0"/>
          <w:sz w:val="24"/>
          <w:szCs w:val="24"/>
          <w:vertAlign w:val="superscript"/>
          <w:lang w:val="en-US" w:eastAsia="zh-CN"/>
        </w:rPr>
        <w:t>2</w:t>
      </w:r>
      <w:r>
        <w:rPr>
          <w:rFonts w:hint="default" w:ascii="Times New Roman" w:hAnsi="Times New Roman" w:eastAsia="Times New Roman" w:cs="Times New Roman"/>
          <w:smallCaps w:val="0"/>
          <w:color w:val="auto"/>
          <w:spacing w:val="-2"/>
          <w:kern w:val="0"/>
          <w:sz w:val="24"/>
          <w:szCs w:val="24"/>
          <w:lang w:val="en-US" w:eastAsia="zh-CN"/>
        </w:rPr>
        <w:t>；绑扎钢丝直径φ2.2 mm，公差±0.06mm，最小镀层量为230g/m</w:t>
      </w:r>
      <w:r>
        <w:rPr>
          <w:rFonts w:hint="default" w:ascii="Times New Roman" w:hAnsi="Times New Roman" w:eastAsia="Times New Roman" w:cs="Times New Roman"/>
          <w:smallCaps w:val="0"/>
          <w:color w:val="auto"/>
          <w:spacing w:val="-2"/>
          <w:kern w:val="0"/>
          <w:sz w:val="24"/>
          <w:szCs w:val="24"/>
          <w:vertAlign w:val="superscript"/>
          <w:lang w:val="en-US" w:eastAsia="zh-CN"/>
        </w:rPr>
        <w:t>2</w:t>
      </w:r>
      <w:r>
        <w:rPr>
          <w:rFonts w:hint="default" w:ascii="Times New Roman" w:hAnsi="Times New Roman" w:eastAsia="Times New Roman" w:cs="Times New Roman"/>
          <w:smallCaps w:val="0"/>
          <w:color w:val="auto"/>
          <w:spacing w:val="-2"/>
          <w:kern w:val="0"/>
          <w:sz w:val="24"/>
          <w:szCs w:val="24"/>
          <w:lang w:val="en-US" w:eastAsia="zh-CN"/>
        </w:rPr>
        <w:t>。</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B非覆塑产品共有参数</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 镀层附着性要求：镀高尔凡层附着力检验采用缠绕试验方法，并应达到如下标准，当镀高尔凡钢丝绕相当于自身直径2倍的芯轴紧密缠绕6圈时，用手指摩擦钢丝，其镀层不会剥落或开裂。</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 边端钢丝缠绕标准：</w:t>
      </w:r>
      <w:r>
        <w:rPr>
          <w:rFonts w:hint="default" w:ascii="Times New Roman" w:hAnsi="Times New Roman" w:eastAsia="宋体" w:cs="Times New Roman"/>
          <w:sz w:val="24"/>
          <w:szCs w:val="24"/>
          <w:lang w:val="zh-CN"/>
        </w:rPr>
        <w:t>网面裁剪后末端与边端钢丝的联接处是整个结构的薄弱环节，为加强网面与边端钢丝的连接强度，需采用专业的翻边机将网面钢丝缠绕在边端钢丝上≥2.5圈，不能采用手工绞。</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 绞边技术要求：钢丝必须采用与网面钢丝一样材质的钢丝，为保证联接强度需严格按照间隔10～15</w:t>
      </w:r>
      <w:r>
        <w:rPr>
          <w:rFonts w:hint="default" w:ascii="Times New Roman" w:hAnsi="Times New Roman" w:eastAsia="宋体" w:cs="Times New Roman"/>
          <w:b w:val="0"/>
          <w:bCs w:val="0"/>
          <w:smallCaps w:val="0"/>
          <w:color w:val="auto"/>
          <w:kern w:val="0"/>
          <w:sz w:val="24"/>
          <w:szCs w:val="24"/>
          <w:lang w:val="en-US" w:eastAsia="zh-CN" w:bidi="zh-CN"/>
        </w:rPr>
        <w:t>cm</w:t>
      </w:r>
      <w:r>
        <w:rPr>
          <w:rFonts w:hint="default" w:ascii="Times New Roman" w:hAnsi="Times New Roman" w:eastAsia="宋体" w:cs="Times New Roman"/>
          <w:sz w:val="24"/>
          <w:szCs w:val="24"/>
        </w:rPr>
        <w:t xml:space="preserve">单圈－双圈交替绞合。 </w:t>
      </w:r>
    </w:p>
    <w:p>
      <w:pPr>
        <w:pStyle w:val="815"/>
        <w:ind w:firstLine="909" w:firstLineChars="379"/>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4581525" cy="2124075"/>
            <wp:effectExtent l="0" t="0" r="9525" b="9525"/>
            <wp:docPr id="4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6"/>
                    <pic:cNvPicPr>
                      <a:picLocks noChangeAspect="1"/>
                    </pic:cNvPicPr>
                  </pic:nvPicPr>
                  <pic:blipFill>
                    <a:blip r:embed="rId16"/>
                    <a:stretch>
                      <a:fillRect/>
                    </a:stretch>
                  </pic:blipFill>
                  <pic:spPr>
                    <a:xfrm>
                      <a:off x="0" y="0"/>
                      <a:ext cx="4581525" cy="2124075"/>
                    </a:xfrm>
                    <a:prstGeom prst="rect">
                      <a:avLst/>
                    </a:prstGeom>
                    <a:noFill/>
                    <a:ln>
                      <a:noFill/>
                    </a:ln>
                  </pic:spPr>
                </pic:pic>
              </a:graphicData>
            </a:graphic>
          </wp:inline>
        </w:drawing>
      </w:r>
    </w:p>
    <w:p>
      <w:pPr>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C装填石料要求</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 填充物采用卵石、片石或块石，雷诺护垫要求石料粒径D75～150</w:t>
      </w:r>
      <w:r>
        <w:rPr>
          <w:rFonts w:hint="default" w:ascii="Times New Roman" w:hAnsi="Times New Roman" w:eastAsia="宋体" w:cs="Times New Roman"/>
          <w:b w:val="0"/>
          <w:bCs w:val="0"/>
          <w:smallCaps w:val="0"/>
          <w:color w:val="auto"/>
          <w:kern w:val="0"/>
          <w:sz w:val="24"/>
          <w:szCs w:val="24"/>
          <w:lang w:val="en-US" w:eastAsia="zh-CN" w:bidi="zh-CN"/>
        </w:rPr>
        <w:t>mm</w:t>
      </w:r>
      <w:r>
        <w:rPr>
          <w:rFonts w:hint="default" w:ascii="Times New Roman" w:hAnsi="Times New Roman" w:eastAsia="宋体" w:cs="Times New Roman"/>
          <w:sz w:val="24"/>
          <w:szCs w:val="24"/>
        </w:rPr>
        <w:t>为宜，要求石料质地坚硬，强度等级MU30，比重不小于2.5t/m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，遇水不易崩解和水解，抗风化</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 薄片、条状等形状的石料不宜采用。风化岩石、泥岩等亦不得用作充填石料。</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D土工布要求</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聚酯长纤无纺布，最大拉伸强度纵向11kN</w:t>
      </w:r>
      <w:r>
        <w:rPr>
          <w:rFonts w:hint="default" w:ascii="Times New Roman" w:hAnsi="Times New Roman" w:eastAsia="宋体" w:cs="Times New Roman"/>
          <w:b w:val="0"/>
          <w:bCs w:val="0"/>
          <w:smallCaps w:val="0"/>
          <w:color w:val="auto"/>
          <w:kern w:val="0"/>
          <w:sz w:val="24"/>
          <w:szCs w:val="24"/>
          <w:lang w:val="en-US" w:eastAsia="zh-CN" w:bidi="zh-CN"/>
        </w:rPr>
        <w:t>/m</w:t>
      </w:r>
      <w:r>
        <w:rPr>
          <w:rFonts w:hint="default" w:ascii="Times New Roman" w:hAnsi="Times New Roman" w:eastAsia="宋体" w:cs="Times New Roman"/>
          <w:sz w:val="24"/>
          <w:szCs w:val="24"/>
        </w:rPr>
        <w:t>，横向8kN/m；抗顶破强度1.8kN;握持强力纵向620N，横向540N；梯形撕裂强度纵向280N，横向230N。</w:t>
      </w:r>
    </w:p>
    <w:p>
      <w:pPr>
        <w:pStyle w:val="815"/>
        <w:ind w:firstLine="482"/>
        <w:rPr>
          <w:rFonts w:hint="default" w:ascii="Times New Roman" w:hAnsi="Times New Roman" w:eastAsia="宋体" w:cs="Times New Roman"/>
          <w:b w:val="0"/>
          <w:bCs/>
          <w:snapToGrid w:val="0"/>
          <w:sz w:val="24"/>
          <w:szCs w:val="24"/>
        </w:rPr>
      </w:pPr>
      <w:r>
        <w:rPr>
          <w:rFonts w:hint="default" w:ascii="Times New Roman" w:hAnsi="Times New Roman" w:eastAsia="宋体" w:cs="Times New Roman"/>
          <w:b w:val="0"/>
          <w:bCs/>
          <w:snapToGrid w:val="0"/>
          <w:sz w:val="24"/>
          <w:szCs w:val="24"/>
        </w:rPr>
        <w:t>2）雷诺护坡设计</w:t>
      </w:r>
    </w:p>
    <w:p>
      <w:pPr>
        <w:pStyle w:val="815"/>
        <w:rPr>
          <w:rFonts w:hint="default" w:ascii="Times New Roman" w:hAnsi="Times New Roman" w:eastAsia="Times New Roman" w:cs="Times New Roman"/>
          <w:smallCaps w:val="0"/>
          <w:color w:val="auto"/>
          <w:spacing w:val="-2"/>
          <w:kern w:val="0"/>
          <w:sz w:val="24"/>
          <w:szCs w:val="24"/>
          <w:lang w:val="en-US" w:eastAsia="zh-CN"/>
        </w:rPr>
      </w:pPr>
      <w:r>
        <w:rPr>
          <w:rFonts w:hint="default" w:ascii="Times New Roman" w:hAnsi="Times New Roman" w:eastAsia="Times New Roman" w:cs="Times New Roman"/>
          <w:smallCaps w:val="0"/>
          <w:color w:val="auto"/>
          <w:spacing w:val="-2"/>
          <w:kern w:val="0"/>
          <w:sz w:val="24"/>
          <w:szCs w:val="24"/>
          <w:lang w:val="en-US" w:eastAsia="zh-CN"/>
        </w:rPr>
        <w:t>雷诺护垫采用厂家定型产品，厚度为0.17m，本次护岸雷诺护坡总长度为12.253km。本次设计2年一遇水位至枯水位水位采用17cm厚雷诺护垫护坡，护坡坡比不小于1：1.5。由于雷诺护垫为定型产品，本次选用产品尺寸为CM5×2×0.17GF、CM6×2×0.17GF、CM4×2×0.17GF，雷诺护垫剩余0.15m钢丝网应浇筑进入上部C20压顶内，设计压顶尺寸为0.5m×0.2m。雷诺护垫底部铺设一层聚酯长纤无纺布反滤，雷诺护垫采用镀高尔凡防腐镀层，雷诺护垫网面抗拉强度为30KN/m，网面钢丝直径φ2.0mm、填石粒径D70～150mm。</w:t>
      </w:r>
    </w:p>
    <w:p>
      <w:pPr>
        <w:pStyle w:val="815"/>
        <w:rPr>
          <w:rFonts w:hint="default" w:ascii="Times New Roman" w:hAnsi="Times New Roman" w:eastAsia="Times New Roman" w:cs="Times New Roman"/>
          <w:smallCaps w:val="0"/>
          <w:color w:val="auto"/>
          <w:spacing w:val="-2"/>
          <w:kern w:val="0"/>
          <w:sz w:val="24"/>
          <w:szCs w:val="24"/>
          <w:lang w:val="en-US" w:eastAsia="zh-CN"/>
        </w:rPr>
      </w:pPr>
      <w:r>
        <w:rPr>
          <w:rFonts w:hint="default" w:ascii="Times New Roman" w:hAnsi="Times New Roman" w:eastAsia="Times New Roman" w:cs="Times New Roman"/>
          <w:smallCaps w:val="0"/>
          <w:color w:val="auto"/>
          <w:spacing w:val="-2"/>
          <w:kern w:val="0"/>
          <w:sz w:val="24"/>
          <w:szCs w:val="24"/>
          <w:lang w:val="en-US" w:eastAsia="zh-CN"/>
        </w:rPr>
        <w:t>3）格宾挡墙设计</w:t>
      </w:r>
    </w:p>
    <w:p>
      <w:pPr>
        <w:pStyle w:val="815"/>
        <w:rPr>
          <w:rFonts w:hint="default" w:ascii="Times New Roman" w:hAnsi="Times New Roman" w:eastAsia="Times New Roman" w:cs="Times New Roman"/>
          <w:smallCaps w:val="0"/>
          <w:color w:val="auto"/>
          <w:spacing w:val="-2"/>
          <w:kern w:val="0"/>
          <w:sz w:val="24"/>
          <w:szCs w:val="24"/>
          <w:lang w:val="en-US" w:eastAsia="zh-CN"/>
        </w:rPr>
      </w:pPr>
      <w:r>
        <w:rPr>
          <w:rFonts w:hint="default" w:ascii="Times New Roman" w:hAnsi="Times New Roman" w:eastAsia="Times New Roman" w:cs="Times New Roman"/>
          <w:smallCaps w:val="0"/>
          <w:color w:val="auto"/>
          <w:spacing w:val="-2"/>
          <w:kern w:val="0"/>
          <w:sz w:val="24"/>
          <w:szCs w:val="24"/>
          <w:lang w:val="en-US" w:eastAsia="zh-CN"/>
        </w:rPr>
        <w:t>本次设计生态护坡段护脚均采用格宾挡墙，全长21.177km，其中格宾挡墙护坡护脚8.624km，格宾挡墙护脚12.553km。格宾挡墙护砌至2年一遇水位，其上至岸顶采用草皮护坡，格宾挡墙最底级高1.5或1.0m，以上每级高1.0m，面墙每级退台0.5m，最高叠三层，背墙垂直，墙后铺设一层聚酯长纤无纺布反滤，格宾挡墙顶部铺设10cm厚碎石垫层，其中现浇10cm厚C20砼压顶；格宾挡墙底部高程为冲刷深度以下0.5m。采用格宾采用镀高尔凡防腐镀层，网面钢丝直径φ2.7mm，抗拉强度为50KN/m，填石粒径D100～300mm。</w:t>
      </w:r>
    </w:p>
    <w:p>
      <w:pPr>
        <w:pStyle w:val="815"/>
        <w:rPr>
          <w:rFonts w:hint="default" w:ascii="Times New Roman" w:hAnsi="Times New Roman" w:eastAsia="Times New Roman" w:cs="Times New Roman"/>
          <w:smallCaps w:val="0"/>
          <w:color w:val="auto"/>
          <w:spacing w:val="-2"/>
          <w:kern w:val="0"/>
          <w:sz w:val="24"/>
          <w:szCs w:val="24"/>
          <w:lang w:val="en-US" w:eastAsia="zh-CN"/>
        </w:rPr>
      </w:pPr>
      <w:r>
        <w:rPr>
          <w:rFonts w:hint="default" w:ascii="Times New Roman" w:hAnsi="Times New Roman" w:eastAsia="Times New Roman" w:cs="Times New Roman"/>
          <w:smallCaps w:val="0"/>
          <w:color w:val="auto"/>
          <w:spacing w:val="-2"/>
          <w:kern w:val="0"/>
          <w:sz w:val="24"/>
          <w:szCs w:val="24"/>
          <w:lang w:val="en-US" w:eastAsia="zh-CN"/>
        </w:rPr>
        <w:t>按挡墙复核格宾挡墙稳定，在常水位、设计水位以及骤降1m时抗滑稳定系数分为1.48、1.77和1.35，均大于1.15，满足要求。</w:t>
      </w:r>
    </w:p>
    <w:p>
      <w:pPr>
        <w:pStyle w:val="459"/>
        <w:spacing w:line="240" w:lineRule="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连锁式植草砖护坡设计</w:t>
      </w:r>
    </w:p>
    <w:p>
      <w:pPr>
        <w:pStyle w:val="815"/>
        <w:spacing w:line="24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①基本原理</w:t>
      </w:r>
    </w:p>
    <w:p>
      <w:pPr>
        <w:pStyle w:val="815"/>
        <w:rPr>
          <w:rFonts w:hint="default" w:ascii="Times New Roman" w:hAnsi="Times New Roman" w:eastAsia="宋体" w:cs="Times New Roman"/>
          <w:snapToGrid w:val="0"/>
          <w:sz w:val="24"/>
          <w:szCs w:val="24"/>
        </w:rPr>
      </w:pPr>
      <w:r>
        <w:rPr>
          <w:rFonts w:hint="default" w:ascii="Times New Roman" w:hAnsi="Times New Roman" w:eastAsia="宋体" w:cs="Times New Roman"/>
          <w:sz w:val="24"/>
          <w:szCs w:val="24"/>
        </w:rPr>
        <w:t>连锁式植草砖是一种集护坡、生态恢复、装饰于一体的生态建设系统。由于采用独特的连锁设计，每块砖与周围的6块砖产生超强连锁，使得铺面系统在水流的作用下具有良好的整体稳定性。同时，随着植被在砖孔和砖缝中生长，一方面铺面的耐久性和稳定性将进一步提高，另一方面起到增加植被、美化环境的作用。</w:t>
      </w:r>
    </w:p>
    <w:p>
      <w:pPr>
        <w:pStyle w:val="815"/>
        <w:jc w:val="center"/>
        <w:rPr>
          <w:rFonts w:hint="default" w:ascii="Times New Roman" w:hAnsi="Times New Roman" w:eastAsia="宋体" w:cs="Times New Roman"/>
          <w:snapToGrid w:val="0"/>
          <w:sz w:val="24"/>
          <w:szCs w:val="24"/>
        </w:rPr>
      </w:pPr>
      <w:r>
        <w:rPr>
          <w:rFonts w:hint="default" w:ascii="Times New Roman" w:hAnsi="Times New Roman" w:eastAsia="宋体" w:cs="Times New Roman"/>
          <w:sz w:val="24"/>
          <w:szCs w:val="24"/>
        </w:rPr>
        <w:drawing>
          <wp:inline distT="0" distB="0" distL="114300" distR="114300">
            <wp:extent cx="2494915" cy="1562735"/>
            <wp:effectExtent l="0" t="0" r="635" b="18415"/>
            <wp:docPr id="45" name="图片 37" descr="说明: armorloc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descr="说明: armorloc_pic2"/>
                    <pic:cNvPicPr>
                      <a:picLocks noChangeAspect="1"/>
                    </pic:cNvPicPr>
                  </pic:nvPicPr>
                  <pic:blipFill>
                    <a:blip r:embed="rId17"/>
                    <a:stretch>
                      <a:fillRect/>
                    </a:stretch>
                  </pic:blipFill>
                  <pic:spPr>
                    <a:xfrm>
                      <a:off x="0" y="0"/>
                      <a:ext cx="2494915" cy="1562735"/>
                    </a:xfrm>
                    <a:prstGeom prst="rect">
                      <a:avLst/>
                    </a:prstGeom>
                    <a:noFill/>
                    <a:ln>
                      <a:noFill/>
                    </a:ln>
                  </pic:spPr>
                </pic:pic>
              </a:graphicData>
            </a:graphic>
          </wp:inline>
        </w:drawing>
      </w:r>
    </w:p>
    <w:p>
      <w:pPr>
        <w:pStyle w:val="569"/>
        <w:spacing w:before="120"/>
        <w:rPr>
          <w:rFonts w:hint="default" w:ascii="Times New Roman" w:hAnsi="Times New Roman" w:eastAsia="宋体" w:cs="Times New Roman"/>
          <w:snapToGrid w:val="0"/>
          <w:sz w:val="24"/>
          <w:szCs w:val="24"/>
        </w:rPr>
      </w:pPr>
      <w:r>
        <w:rPr>
          <w:rFonts w:hint="eastAsia" w:ascii="Times New Roman" w:hAnsi="Times New Roman" w:eastAsia="宋体" w:cs="Times New Roman"/>
          <w:b/>
          <w:snapToGrid w:val="0"/>
          <w:sz w:val="24"/>
          <w:szCs w:val="24"/>
          <w:lang w:eastAsia="zh-CN"/>
        </w:rPr>
        <w:t>图</w:t>
      </w:r>
      <w:r>
        <w:rPr>
          <w:rFonts w:hint="eastAsia" w:ascii="Times New Roman" w:hAnsi="Times New Roman" w:eastAsia="宋体" w:cs="Times New Roman"/>
          <w:b/>
          <w:snapToGrid w:val="0"/>
          <w:sz w:val="24"/>
          <w:szCs w:val="24"/>
          <w:lang w:val="en-US" w:eastAsia="zh-CN"/>
        </w:rPr>
        <w:t>3.3-1</w:t>
      </w:r>
      <w:r>
        <w:rPr>
          <w:rFonts w:hint="default" w:ascii="Times New Roman" w:hAnsi="Times New Roman" w:eastAsia="宋体" w:cs="Times New Roman"/>
          <w:b/>
          <w:snapToGrid w:val="0"/>
          <w:sz w:val="24"/>
          <w:szCs w:val="24"/>
        </w:rPr>
        <w:t xml:space="preserve"> 超强连锁的结构设计</w:t>
      </w:r>
    </w:p>
    <w:p>
      <w:pPr>
        <w:pStyle w:val="2986"/>
        <w:rPr>
          <w:rFonts w:hint="default" w:ascii="Times New Roman" w:hAnsi="Times New Roman" w:eastAsia="宋体" w:cs="Times New Roman"/>
          <w:snapToGrid w:val="0"/>
          <w:sz w:val="24"/>
          <w:szCs w:val="24"/>
        </w:rPr>
      </w:pPr>
    </w:p>
    <w:p>
      <w:pPr>
        <w:pStyle w:val="815"/>
        <w:ind w:firstLine="424" w:firstLineChars="176"/>
        <w:rPr>
          <w:rFonts w:hint="default" w:ascii="Times New Roman" w:hAnsi="Times New Roman" w:eastAsia="宋体" w:cs="Times New Roman"/>
          <w:b/>
          <w:snapToGrid w:val="0"/>
          <w:sz w:val="24"/>
          <w:szCs w:val="24"/>
        </w:rPr>
      </w:pPr>
      <w:r>
        <w:rPr>
          <w:rFonts w:hint="default" w:ascii="Times New Roman" w:hAnsi="Times New Roman" w:eastAsia="宋体" w:cs="Times New Roman"/>
          <w:b/>
          <w:snapToGrid w:val="0"/>
          <w:sz w:val="24"/>
          <w:szCs w:val="24"/>
        </w:rPr>
        <w:t>②技术参数</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构件容重：1800kg/</w:t>
      </w:r>
      <w:r>
        <w:rPr>
          <w:rFonts w:hint="default" w:ascii="Times New Roman" w:hAnsi="Times New Roman" w:eastAsia="宋体" w:cs="Times New Roman"/>
          <w:b w:val="0"/>
          <w:bCs w:val="0"/>
          <w:smallCaps w:val="0"/>
          <w:color w:val="auto"/>
          <w:kern w:val="0"/>
          <w:sz w:val="24"/>
          <w:szCs w:val="24"/>
          <w:lang w:val="en-US" w:eastAsia="zh-CN" w:bidi="zh-CN"/>
        </w:rPr>
        <w:t>m</w:t>
      </w:r>
      <w:r>
        <w:rPr>
          <w:rFonts w:hint="default" w:ascii="Times New Roman" w:hAnsi="Times New Roman" w:eastAsia="宋体" w:cs="Times New Roman"/>
          <w:b w:val="0"/>
          <w:bCs w:val="0"/>
          <w:smallCaps w:val="0"/>
          <w:color w:val="auto"/>
          <w:kern w:val="0"/>
          <w:sz w:val="24"/>
          <w:szCs w:val="24"/>
          <w:vertAlign w:val="superscript"/>
          <w:lang w:val="en-US" w:eastAsia="zh-CN" w:bidi="zh-CN"/>
        </w:rPr>
        <w:t>3</w:t>
      </w:r>
      <w:r>
        <w:rPr>
          <w:rFonts w:hint="default" w:ascii="Times New Roman" w:hAnsi="Times New Roman" w:eastAsia="宋体" w:cs="Times New Roman"/>
          <w:sz w:val="24"/>
          <w:szCs w:val="24"/>
        </w:rPr>
        <w:t>（碎石、砾石骨料）；1700kg/</w:t>
      </w:r>
      <w:r>
        <w:rPr>
          <w:rFonts w:hint="default" w:ascii="Times New Roman" w:hAnsi="Times New Roman" w:eastAsia="宋体" w:cs="Times New Roman"/>
          <w:b w:val="0"/>
          <w:bCs w:val="0"/>
          <w:smallCaps w:val="0"/>
          <w:color w:val="auto"/>
          <w:kern w:val="0"/>
          <w:sz w:val="24"/>
          <w:szCs w:val="24"/>
          <w:lang w:val="en-US" w:eastAsia="zh-CN" w:bidi="zh-CN"/>
        </w:rPr>
        <w:t>m</w:t>
      </w:r>
      <w:r>
        <w:rPr>
          <w:rFonts w:hint="default" w:ascii="Times New Roman" w:hAnsi="Times New Roman" w:eastAsia="宋体" w:cs="Times New Roman"/>
          <w:b w:val="0"/>
          <w:bCs w:val="0"/>
          <w:smallCaps w:val="0"/>
          <w:color w:val="auto"/>
          <w:kern w:val="0"/>
          <w:sz w:val="24"/>
          <w:szCs w:val="24"/>
          <w:vertAlign w:val="superscript"/>
          <w:lang w:val="en-US" w:eastAsia="zh-CN" w:bidi="zh-CN"/>
        </w:rPr>
        <w:t>3</w:t>
      </w:r>
      <w:r>
        <w:rPr>
          <w:rFonts w:hint="default" w:ascii="Times New Roman" w:hAnsi="Times New Roman" w:eastAsia="宋体" w:cs="Times New Roman"/>
          <w:sz w:val="24"/>
          <w:szCs w:val="24"/>
        </w:rPr>
        <w:t>（砖石骨料）；</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抗压强度：P</w:t>
      </w:r>
      <w:r>
        <w:rPr>
          <w:rFonts w:hint="default" w:ascii="Times New Roman" w:hAnsi="Times New Roman" w:eastAsia="宋体" w:cs="Times New Roman"/>
          <w:sz w:val="24"/>
          <w:szCs w:val="24"/>
          <w:vertAlign w:val="subscript"/>
        </w:rPr>
        <w:t>外</w:t>
      </w:r>
      <w:r>
        <w:rPr>
          <w:rFonts w:hint="default" w:ascii="Times New Roman" w:hAnsi="Times New Roman" w:eastAsia="宋体" w:cs="Times New Roman"/>
          <w:sz w:val="24"/>
          <w:szCs w:val="24"/>
        </w:rPr>
        <w:t>≥C20，3MPa≤P</w:t>
      </w:r>
      <w:r>
        <w:rPr>
          <w:rFonts w:hint="default" w:ascii="Times New Roman" w:hAnsi="Times New Roman" w:eastAsia="宋体" w:cs="Times New Roman"/>
          <w:sz w:val="24"/>
          <w:szCs w:val="24"/>
          <w:vertAlign w:val="subscript"/>
        </w:rPr>
        <w:t>内</w:t>
      </w:r>
      <w:r>
        <w:rPr>
          <w:rFonts w:hint="default" w:ascii="Times New Roman" w:hAnsi="Times New Roman" w:eastAsia="宋体" w:cs="Times New Roman"/>
          <w:sz w:val="24"/>
          <w:szCs w:val="24"/>
        </w:rPr>
        <w:t>≤8 MPa；</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饱和冻融循环：（快冻）不少于50次；</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有效孔径：25～30%；</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孔隙填充长效复合营养材料有效期：≥8年；</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孔隙间水环境下表面PH值：7.0～7.5；</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播种密度：20g/</w:t>
      </w:r>
      <w:r>
        <w:rPr>
          <w:rFonts w:hint="default" w:ascii="Times New Roman" w:hAnsi="Times New Roman" w:eastAsia="宋体" w:cs="Times New Roman"/>
          <w:b w:val="0"/>
          <w:bCs w:val="0"/>
          <w:smallCaps w:val="0"/>
          <w:color w:val="auto"/>
          <w:kern w:val="0"/>
          <w:sz w:val="24"/>
          <w:szCs w:val="24"/>
          <w:lang w:val="en-US" w:eastAsia="zh-CN" w:bidi="zh-CN"/>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一次播种绿化年限：≥8年；</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绿化覆盖率：≥95%；</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植物选择：根据当地适用草种选定；</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拔重比：≥6（即构件长草生根后被拔起时的拔出力与构件净重之比）；</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抗冲流速：≥3</w:t>
      </w:r>
      <w:r>
        <w:rPr>
          <w:rFonts w:hint="default" w:ascii="Times New Roman" w:hAnsi="Times New Roman" w:eastAsia="宋体" w:cs="Times New Roman"/>
          <w:b w:val="0"/>
          <w:bCs w:val="0"/>
          <w:smallCaps w:val="0"/>
          <w:color w:val="auto"/>
          <w:kern w:val="0"/>
          <w:sz w:val="24"/>
          <w:szCs w:val="24"/>
          <w:lang w:val="en-US" w:eastAsia="zh-CN" w:bidi="zh-CN"/>
        </w:rPr>
        <w:t>m/s</w:t>
      </w:r>
      <w:r>
        <w:rPr>
          <w:rFonts w:hint="default" w:ascii="Times New Roman" w:hAnsi="Times New Roman" w:eastAsia="宋体" w:cs="Times New Roman"/>
          <w:sz w:val="24"/>
          <w:szCs w:val="24"/>
        </w:rPr>
        <w:t>（12</w:t>
      </w:r>
      <w:r>
        <w:rPr>
          <w:rFonts w:hint="default" w:ascii="Times New Roman" w:hAnsi="Times New Roman" w:eastAsia="宋体" w:cs="Times New Roman"/>
          <w:b w:val="0"/>
          <w:bCs w:val="0"/>
          <w:smallCaps w:val="0"/>
          <w:color w:val="auto"/>
          <w:kern w:val="0"/>
          <w:sz w:val="24"/>
          <w:szCs w:val="24"/>
          <w:lang w:val="en-US" w:eastAsia="zh-CN" w:bidi="zh-CN"/>
        </w:rPr>
        <w:t>cm</w:t>
      </w:r>
      <w:r>
        <w:rPr>
          <w:rFonts w:hint="default" w:ascii="Times New Roman" w:hAnsi="Times New Roman" w:eastAsia="宋体" w:cs="Times New Roman"/>
          <w:sz w:val="24"/>
          <w:szCs w:val="24"/>
        </w:rPr>
        <w:t>标准构件）。</w:t>
      </w:r>
    </w:p>
    <w:p>
      <w:pPr>
        <w:pStyle w:val="815"/>
        <w:ind w:firstLine="424" w:firstLineChars="176"/>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③构造要求</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①可种植当地适用草种，也可恢复自然植被。如生态砼内植草，要求绿化覆盖率不小于95%。表面客土不大于20</w:t>
      </w:r>
      <w:r>
        <w:rPr>
          <w:rFonts w:hint="default" w:ascii="Times New Roman" w:hAnsi="Times New Roman" w:eastAsia="宋体" w:cs="Times New Roman"/>
          <w:b w:val="0"/>
          <w:bCs w:val="0"/>
          <w:smallCaps w:val="0"/>
          <w:color w:val="auto"/>
          <w:kern w:val="0"/>
          <w:sz w:val="24"/>
          <w:szCs w:val="24"/>
          <w:lang w:val="en-US" w:eastAsia="zh-CN" w:bidi="zh-CN"/>
        </w:rPr>
        <w:t>mm</w:t>
      </w:r>
      <w:r>
        <w:rPr>
          <w:rFonts w:hint="default" w:ascii="Times New Roman" w:hAnsi="Times New Roman" w:eastAsia="宋体" w:cs="Times New Roman"/>
          <w:sz w:val="24"/>
          <w:szCs w:val="24"/>
        </w:rPr>
        <w:t>，要求植物根系必须穿透混凝土。</w:t>
      </w:r>
    </w:p>
    <w:p>
      <w:pPr>
        <w:pStyle w:val="815"/>
        <w:rPr>
          <w:rFonts w:hint="default" w:ascii="Times New Roman" w:hAnsi="Times New Roman" w:eastAsia="宋体" w:cs="Times New Roman"/>
          <w:snapToGrid w:val="0"/>
          <w:sz w:val="24"/>
          <w:szCs w:val="24"/>
        </w:rPr>
      </w:pPr>
      <w:r>
        <w:rPr>
          <w:rFonts w:hint="default" w:ascii="Times New Roman" w:hAnsi="Times New Roman" w:eastAsia="宋体" w:cs="Times New Roman"/>
          <w:sz w:val="24"/>
          <w:szCs w:val="24"/>
        </w:rPr>
        <w:t>②护坡在堤顶采用0.50m厚宽0.30m的砼压实牢固封顶，与雷诺护坡衔接段采用0.4</w:t>
      </w:r>
      <w:r>
        <w:rPr>
          <w:rFonts w:hint="default" w:ascii="Times New Roman" w:hAnsi="Times New Roman" w:eastAsia="宋体" w:cs="Times New Roman"/>
          <w:b w:val="0"/>
          <w:bCs w:val="0"/>
          <w:smallCaps w:val="0"/>
          <w:color w:val="auto"/>
          <w:kern w:val="0"/>
          <w:sz w:val="24"/>
          <w:szCs w:val="24"/>
          <w:lang w:val="en-US" w:eastAsia="zh-CN" w:bidi="zh-CN"/>
        </w:rPr>
        <w:t>m</w:t>
      </w:r>
      <w:r>
        <w:rPr>
          <w:rFonts w:hint="default" w:ascii="Times New Roman" w:hAnsi="Times New Roman" w:eastAsia="宋体" w:cs="Times New Roman"/>
          <w:sz w:val="24"/>
          <w:szCs w:val="24"/>
        </w:rPr>
        <w:t>宽，0.5</w:t>
      </w:r>
      <w:r>
        <w:rPr>
          <w:rFonts w:hint="default" w:ascii="Times New Roman" w:hAnsi="Times New Roman" w:eastAsia="宋体" w:cs="Times New Roman"/>
          <w:b w:val="0"/>
          <w:bCs w:val="0"/>
          <w:smallCaps w:val="0"/>
          <w:color w:val="auto"/>
          <w:kern w:val="0"/>
          <w:sz w:val="24"/>
          <w:szCs w:val="24"/>
          <w:lang w:val="en-US" w:eastAsia="zh-CN" w:bidi="zh-CN"/>
        </w:rPr>
        <w:t>m</w:t>
      </w:r>
      <w:r>
        <w:rPr>
          <w:rFonts w:hint="default" w:ascii="Times New Roman" w:hAnsi="Times New Roman" w:eastAsia="宋体" w:cs="Times New Roman"/>
          <w:sz w:val="24"/>
          <w:szCs w:val="24"/>
        </w:rPr>
        <w:t>高砼基座。</w:t>
      </w:r>
    </w:p>
    <w:p>
      <w:pPr>
        <w:pStyle w:val="2987"/>
        <w:spacing w:before="240"/>
        <w:rPr>
          <w:rFonts w:hint="default" w:ascii="Times New Roman" w:hAnsi="Times New Roman" w:eastAsia="宋体" w:cs="Times New Roman"/>
          <w:snapToGrid w:val="0"/>
          <w:sz w:val="24"/>
          <w:szCs w:val="24"/>
        </w:rPr>
      </w:pPr>
      <w:bookmarkStart w:id="154" w:name="_Toc269684383"/>
      <w:bookmarkStart w:id="155" w:name="_Toc101865800"/>
      <w:bookmarkStart w:id="156" w:name="_Toc6747"/>
      <w:bookmarkStart w:id="157" w:name="_Toc78602210"/>
      <w:r>
        <w:rPr>
          <w:rFonts w:hint="eastAsia" w:ascii="Times New Roman" w:hAnsi="Times New Roman" w:eastAsia="宋体" w:cs="Times New Roman"/>
          <w:b/>
          <w:bCs/>
          <w:sz w:val="24"/>
          <w:szCs w:val="24"/>
          <w:lang w:val="en-US" w:eastAsia="zh-CN" w:bidi="zh-CN"/>
        </w:rPr>
        <w:t>3.3.</w:t>
      </w:r>
      <w:r>
        <w:rPr>
          <w:rFonts w:hint="eastAsia" w:ascii="Times New Roman" w:hAnsi="Times New Roman" w:cs="Times New Roman"/>
          <w:b/>
          <w:bCs/>
          <w:sz w:val="24"/>
          <w:szCs w:val="24"/>
          <w:lang w:val="en-US" w:eastAsia="zh-CN" w:bidi="zh-CN"/>
        </w:rPr>
        <w:t xml:space="preserve">3.2 </w:t>
      </w:r>
      <w:r>
        <w:rPr>
          <w:rFonts w:hint="default" w:ascii="Times New Roman" w:hAnsi="Times New Roman" w:eastAsia="宋体" w:cs="Times New Roman"/>
          <w:snapToGrid w:val="0"/>
          <w:sz w:val="24"/>
          <w:szCs w:val="24"/>
        </w:rPr>
        <w:t>河道清障、疏浚工程设计</w:t>
      </w:r>
      <w:bookmarkEnd w:id="154"/>
      <w:bookmarkEnd w:id="155"/>
      <w:bookmarkEnd w:id="156"/>
    </w:p>
    <w:p>
      <w:pPr>
        <w:pStyle w:val="652"/>
        <w:ind w:firstLine="480" w:firstLineChars="200"/>
        <w:jc w:val="both"/>
        <w:rPr>
          <w:rFonts w:hint="default" w:ascii="Times New Roman" w:hAnsi="Times New Roman" w:eastAsia="宋体" w:cs="Times New Roman"/>
          <w:snapToGrid w:val="0"/>
          <w:sz w:val="24"/>
          <w:szCs w:val="24"/>
        </w:rPr>
      </w:pPr>
      <w:bookmarkStart w:id="158" w:name="_Toc359577617"/>
      <w:r>
        <w:rPr>
          <w:rFonts w:hint="eastAsia" w:ascii="Times New Roman" w:hAnsi="Times New Roman" w:eastAsia="宋体" w:cs="Times New Roman"/>
          <w:snapToGrid w:val="0"/>
          <w:sz w:val="24"/>
          <w:szCs w:val="24"/>
          <w:lang w:val="en-US" w:eastAsia="zh-CN"/>
        </w:rPr>
        <w:t>1、</w:t>
      </w:r>
      <w:r>
        <w:rPr>
          <w:rFonts w:hint="default" w:ascii="Times New Roman" w:hAnsi="Times New Roman" w:eastAsia="宋体" w:cs="Times New Roman"/>
          <w:snapToGrid w:val="0"/>
          <w:sz w:val="24"/>
          <w:szCs w:val="24"/>
        </w:rPr>
        <w:t>河道疏浚与取直原则</w:t>
      </w:r>
      <w:bookmarkEnd w:id="158"/>
    </w:p>
    <w:p>
      <w:pPr>
        <w:pStyle w:val="815"/>
        <w:ind w:left="0" w:leftChars="0" w:firstLine="480" w:firstLineChars="200"/>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t>由于人为及自然因素影响，造成水土流失，导致河床淤积，致使河道过流断面减少，沿河两岸的防洪能力明显降低，使浅丘区居民的生命财产受到威胁。本次河道治理采取河道疏浚作为河流治理的工程措施。</w:t>
      </w:r>
    </w:p>
    <w:p>
      <w:pPr>
        <w:pStyle w:val="815"/>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t>为保证祁水三期治理河段水流顺畅，河道疏挖时沿滩地较宽的一侧或凸岸扩挖，尽可能使河线顺直，疏挖段的进、出口处应与原河道渐变连接，疏挖后河槽与河岸要满足边坡稳定要求，保障原有河道比降顺接。</w:t>
      </w:r>
    </w:p>
    <w:p>
      <w:pPr>
        <w:pStyle w:val="652"/>
        <w:ind w:firstLine="480" w:firstLineChars="200"/>
        <w:jc w:val="both"/>
        <w:rPr>
          <w:rFonts w:hint="default" w:ascii="Times New Roman" w:hAnsi="Times New Roman" w:eastAsia="宋体" w:cs="Times New Roman"/>
          <w:snapToGrid w:val="0"/>
          <w:sz w:val="24"/>
          <w:szCs w:val="24"/>
        </w:rPr>
      </w:pPr>
      <w:bookmarkStart w:id="159" w:name="_Toc359577618"/>
      <w:r>
        <w:rPr>
          <w:rFonts w:hint="eastAsia" w:ascii="Times New Roman" w:hAnsi="Times New Roman" w:eastAsia="宋体" w:cs="Times New Roman"/>
          <w:snapToGrid w:val="0"/>
          <w:sz w:val="24"/>
          <w:szCs w:val="24"/>
          <w:lang w:val="en-US" w:eastAsia="zh-CN"/>
        </w:rPr>
        <w:t>2、</w:t>
      </w:r>
      <w:r>
        <w:rPr>
          <w:rFonts w:hint="default" w:ascii="Times New Roman" w:hAnsi="Times New Roman" w:eastAsia="宋体" w:cs="Times New Roman"/>
          <w:snapToGrid w:val="0"/>
          <w:sz w:val="24"/>
          <w:szCs w:val="24"/>
        </w:rPr>
        <w:t>河道疏浚与取直要求</w:t>
      </w:r>
      <w:bookmarkEnd w:id="159"/>
    </w:p>
    <w:p>
      <w:pPr>
        <w:pStyle w:val="815"/>
        <w:ind w:left="0" w:leftChars="0" w:firstLine="480" w:firstLineChars="200"/>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t>河道拓宽部分通过开挖后再进行护脚、护岸工程措施处理，由于枯水期水深浅，河床滩地外露，疏挖采用挖掘机直接疏挖，自卸汽车运输3</w:t>
      </w:r>
      <w:r>
        <w:rPr>
          <w:rFonts w:hint="default" w:ascii="Times New Roman" w:hAnsi="Times New Roman" w:eastAsia="宋体" w:cs="Times New Roman"/>
          <w:b w:val="0"/>
          <w:bCs w:val="0"/>
          <w:smallCaps w:val="0"/>
          <w:color w:val="auto"/>
          <w:kern w:val="0"/>
          <w:sz w:val="24"/>
          <w:szCs w:val="24"/>
          <w:lang w:val="en-US" w:eastAsia="zh-CN" w:bidi="zh-CN"/>
        </w:rPr>
        <w:t>km</w:t>
      </w:r>
      <w:r>
        <w:rPr>
          <w:rFonts w:hint="default" w:ascii="Times New Roman" w:hAnsi="Times New Roman" w:eastAsia="宋体" w:cs="Times New Roman"/>
          <w:snapToGrid w:val="0"/>
          <w:sz w:val="24"/>
          <w:szCs w:val="24"/>
        </w:rPr>
        <w:t>至弃渣场。一般不调整河道现状的纵坡，对淤积的河床及河岸滩地疏挖，使各分段内河道纵坡基本一致，原则上以切滩、平整河床、河滩为主。</w:t>
      </w:r>
      <w:bookmarkStart w:id="160" w:name="_Toc359577619"/>
    </w:p>
    <w:p>
      <w:pPr>
        <w:pStyle w:val="652"/>
        <w:ind w:firstLine="480" w:firstLineChars="200"/>
        <w:jc w:val="both"/>
        <w:rPr>
          <w:rFonts w:hint="default" w:ascii="Times New Roman" w:hAnsi="Times New Roman" w:eastAsia="宋体" w:cs="Times New Roman"/>
          <w:snapToGrid w:val="0"/>
          <w:sz w:val="24"/>
          <w:szCs w:val="24"/>
        </w:rPr>
      </w:pPr>
      <w:r>
        <w:rPr>
          <w:rFonts w:hint="eastAsia" w:ascii="Times New Roman" w:hAnsi="Times New Roman" w:eastAsia="宋体" w:cs="Times New Roman"/>
          <w:snapToGrid w:val="0"/>
          <w:sz w:val="24"/>
          <w:szCs w:val="24"/>
          <w:lang w:val="en-US" w:eastAsia="zh-CN"/>
        </w:rPr>
        <w:t>3、</w:t>
      </w:r>
      <w:r>
        <w:rPr>
          <w:rFonts w:hint="default" w:ascii="Times New Roman" w:hAnsi="Times New Roman" w:eastAsia="宋体" w:cs="Times New Roman"/>
          <w:snapToGrid w:val="0"/>
          <w:sz w:val="24"/>
          <w:szCs w:val="24"/>
        </w:rPr>
        <w:t>疏浚宽度、深度计算</w:t>
      </w:r>
      <w:bookmarkEnd w:id="160"/>
    </w:p>
    <w:p>
      <w:pPr>
        <w:pStyle w:val="815"/>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t>祁水三期治理河段局部河道淤积十分严重，坡降变缓，流速变慢，造成河道行洪不畅，防洪能力降低。本次设计对祁25+363～祁31+600(L=6237</w:t>
      </w:r>
      <w:r>
        <w:rPr>
          <w:rFonts w:hint="default" w:ascii="Times New Roman" w:hAnsi="Times New Roman" w:eastAsia="宋体" w:cs="Times New Roman"/>
          <w:b w:val="0"/>
          <w:bCs w:val="0"/>
          <w:smallCaps w:val="0"/>
          <w:color w:val="auto"/>
          <w:kern w:val="0"/>
          <w:sz w:val="24"/>
          <w:szCs w:val="24"/>
          <w:lang w:val="en-US" w:eastAsia="zh-CN" w:bidi="zh-CN"/>
        </w:rPr>
        <w:t>m</w:t>
      </w:r>
      <w:r>
        <w:rPr>
          <w:rFonts w:hint="default" w:ascii="Times New Roman" w:hAnsi="Times New Roman" w:eastAsia="宋体" w:cs="Times New Roman"/>
          <w:snapToGrid w:val="0"/>
          <w:sz w:val="24"/>
          <w:szCs w:val="24"/>
        </w:rPr>
        <w:t>)段淤积河段进行平整、疏浚清淤处理。</w:t>
      </w:r>
    </w:p>
    <w:p>
      <w:pPr>
        <w:pStyle w:val="815"/>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t>清淤疏浚工程根据《疏浚工程技术规范》（JTJ319-99）进行设计及布置，疏浚清淤断面为梯形断面，清淤深度及宽度采用以下公式进行计算：</w:t>
      </w:r>
    </w:p>
    <w:p>
      <w:pPr>
        <w:pStyle w:val="815"/>
        <w:jc w:val="center"/>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object>
          <v:shape id="_x0000_i1025" o:spt="75" type="#_x0000_t75" style="height:33.05pt;width:87.1pt;" o:ole="t" filled="f" o:preferrelative="t" stroked="f" coordsize="21600,21600">
            <v:path/>
            <v:fill on="f" focussize="0,0"/>
            <v:stroke on="f"/>
            <v:imagedata r:id="rId19" o:title=""/>
            <o:lock v:ext="edit" aspectratio="t"/>
            <w10:wrap type="none"/>
            <w10:anchorlock/>
          </v:shape>
          <o:OLEObject Type="Embed" ProgID="Equation.3" ShapeID="_x0000_i1025" DrawAspect="Content" ObjectID="_1468075725" r:id="rId18">
            <o:LockedField>false</o:LockedField>
          </o:OLEObject>
        </w:object>
      </w:r>
    </w:p>
    <w:p>
      <w:pPr>
        <w:pStyle w:val="815"/>
        <w:jc w:val="center"/>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object>
          <v:shape id="_x0000_i1026" o:spt="75" type="#_x0000_t75" style="height:35.05pt;width:38.05pt;" o:ole="t" filled="f" o:preferrelative="t" stroked="f" coordsize="21600,21600">
            <v:path/>
            <v:fill on="f" focussize="0,0"/>
            <v:stroke on="f"/>
            <v:imagedata r:id="rId21" o:title=""/>
            <o:lock v:ext="edit" aspectratio="t"/>
            <w10:wrap type="none"/>
            <w10:anchorlock/>
          </v:shape>
          <o:OLEObject Type="Embed" ProgID="Equation.3" ShapeID="_x0000_i1026" DrawAspect="Content" ObjectID="_1468075726" r:id="rId20">
            <o:LockedField>false</o:LockedField>
          </o:OLEObject>
        </w:object>
      </w:r>
    </w:p>
    <w:p>
      <w:pPr>
        <w:pStyle w:val="815"/>
        <w:jc w:val="center"/>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object>
          <v:shape id="_x0000_i1027" o:spt="75" type="#_x0000_t75" style="height:35.05pt;width:37.05pt;" o:ole="t" filled="f" o:preferrelative="t" stroked="f" coordsize="21600,21600">
            <v:path/>
            <v:fill on="f" focussize="0,0"/>
            <v:stroke on="f"/>
            <v:imagedata r:id="rId23" o:title=""/>
            <o:lock v:ext="edit" aspectratio="t"/>
            <w10:wrap type="none"/>
            <w10:anchorlock/>
          </v:shape>
          <o:OLEObject Type="Embed" ProgID="Equation.DSMT4" ShapeID="_x0000_i1027" DrawAspect="Content" ObjectID="_1468075727" r:id="rId22">
            <o:LockedField>false</o:LockedField>
          </o:OLEObject>
        </w:object>
      </w:r>
    </w:p>
    <w:p>
      <w:pPr>
        <w:pStyle w:val="815"/>
        <w:jc w:val="center"/>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object>
          <v:shape id="_x0000_i1028" o:spt="75" type="#_x0000_t75" style="height:35.05pt;width:37.05pt;" o:ole="t" filled="f" o:preferrelative="t" stroked="f" coordsize="21600,21600">
            <v:path/>
            <v:fill on="f" focussize="0,0"/>
            <v:stroke on="f"/>
            <v:imagedata r:id="rId25" o:title=""/>
            <o:lock v:ext="edit" aspectratio="t"/>
            <w10:wrap type="none"/>
            <w10:anchorlock/>
          </v:shape>
          <o:OLEObject Type="Embed" ProgID="Equation.DSMT4" ShapeID="_x0000_i1028" DrawAspect="Content" ObjectID="_1468075728" r:id="rId24">
            <o:LockedField>false</o:LockedField>
          </o:OLEObject>
        </w:object>
      </w:r>
    </w:p>
    <w:p>
      <w:pPr>
        <w:pStyle w:val="815"/>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t>式中： V</w:t>
      </w:r>
      <w:r>
        <w:rPr>
          <w:rFonts w:hint="default" w:ascii="Times New Roman" w:hAnsi="Times New Roman" w:eastAsia="宋体" w:cs="Times New Roman"/>
          <w:snapToGrid w:val="0"/>
          <w:sz w:val="24"/>
          <w:szCs w:val="24"/>
          <w:vertAlign w:val="subscript"/>
        </w:rPr>
        <w:t>0</w:t>
      </w:r>
      <w:r>
        <w:rPr>
          <w:rFonts w:hint="default" w:ascii="Times New Roman" w:hAnsi="Times New Roman" w:eastAsia="宋体" w:cs="Times New Roman"/>
          <w:snapToGrid w:val="0"/>
          <w:sz w:val="24"/>
          <w:szCs w:val="24"/>
        </w:rPr>
        <w:t>、h</w:t>
      </w:r>
      <w:r>
        <w:rPr>
          <w:rFonts w:hint="default" w:ascii="Times New Roman" w:hAnsi="Times New Roman" w:eastAsia="宋体" w:cs="Times New Roman"/>
          <w:snapToGrid w:val="0"/>
          <w:sz w:val="24"/>
          <w:szCs w:val="24"/>
          <w:vertAlign w:val="subscript"/>
        </w:rPr>
        <w:t>0</w:t>
      </w:r>
      <w:r>
        <w:rPr>
          <w:rFonts w:hint="default" w:ascii="Times New Roman" w:hAnsi="Times New Roman" w:eastAsia="宋体" w:cs="Times New Roman"/>
          <w:snapToGrid w:val="0"/>
          <w:sz w:val="24"/>
          <w:szCs w:val="24"/>
        </w:rPr>
        <w:t>、B</w:t>
      </w:r>
      <w:r>
        <w:rPr>
          <w:rFonts w:hint="default" w:ascii="Times New Roman" w:hAnsi="Times New Roman" w:eastAsia="宋体" w:cs="Times New Roman"/>
          <w:snapToGrid w:val="0"/>
          <w:sz w:val="24"/>
          <w:szCs w:val="24"/>
          <w:vertAlign w:val="subscript"/>
        </w:rPr>
        <w:t>0</w:t>
      </w:r>
      <w:r>
        <w:rPr>
          <w:rFonts w:hint="default" w:ascii="Times New Roman" w:hAnsi="Times New Roman" w:eastAsia="宋体" w:cs="Times New Roman"/>
          <w:snapToGrid w:val="0"/>
          <w:sz w:val="24"/>
          <w:szCs w:val="24"/>
        </w:rPr>
        <w:t>—清淤前的平均流速、平均水深、水面宽度；</w:t>
      </w:r>
    </w:p>
    <w:p>
      <w:pPr>
        <w:pStyle w:val="815"/>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t>V</w:t>
      </w:r>
      <w:r>
        <w:rPr>
          <w:rFonts w:hint="default" w:ascii="Times New Roman" w:hAnsi="Times New Roman" w:eastAsia="宋体" w:cs="Times New Roman"/>
          <w:snapToGrid w:val="0"/>
          <w:sz w:val="24"/>
          <w:szCs w:val="24"/>
          <w:vertAlign w:val="subscript"/>
        </w:rPr>
        <w:t>n</w:t>
      </w:r>
      <w:r>
        <w:rPr>
          <w:rFonts w:hint="default" w:ascii="Times New Roman" w:hAnsi="Times New Roman" w:eastAsia="宋体" w:cs="Times New Roman"/>
          <w:snapToGrid w:val="0"/>
          <w:sz w:val="24"/>
          <w:szCs w:val="24"/>
        </w:rPr>
        <w:t>、h</w:t>
      </w:r>
      <w:r>
        <w:rPr>
          <w:rFonts w:hint="default" w:ascii="Times New Roman" w:hAnsi="Times New Roman" w:eastAsia="宋体" w:cs="Times New Roman"/>
          <w:snapToGrid w:val="0"/>
          <w:sz w:val="24"/>
          <w:szCs w:val="24"/>
          <w:vertAlign w:val="subscript"/>
        </w:rPr>
        <w:t>n</w:t>
      </w:r>
      <w:r>
        <w:rPr>
          <w:rFonts w:hint="default" w:ascii="Times New Roman" w:hAnsi="Times New Roman" w:eastAsia="宋体" w:cs="Times New Roman"/>
          <w:snapToGrid w:val="0"/>
          <w:sz w:val="24"/>
          <w:szCs w:val="24"/>
        </w:rPr>
        <w:t>、B</w:t>
      </w:r>
      <w:r>
        <w:rPr>
          <w:rFonts w:hint="default" w:ascii="Times New Roman" w:hAnsi="Times New Roman" w:eastAsia="宋体" w:cs="Times New Roman"/>
          <w:snapToGrid w:val="0"/>
          <w:sz w:val="24"/>
          <w:szCs w:val="24"/>
          <w:vertAlign w:val="subscript"/>
        </w:rPr>
        <w:t>n</w:t>
      </w:r>
      <w:r>
        <w:rPr>
          <w:rFonts w:hint="default" w:ascii="Times New Roman" w:hAnsi="Times New Roman" w:eastAsia="宋体" w:cs="Times New Roman"/>
          <w:snapToGrid w:val="0"/>
          <w:sz w:val="24"/>
          <w:szCs w:val="24"/>
        </w:rPr>
        <w:t>—清淤后的平均流速、平均水深、水面宽度。</w:t>
      </w:r>
    </w:p>
    <w:p>
      <w:pPr>
        <w:pStyle w:val="815"/>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t>h</w:t>
      </w:r>
      <w:r>
        <w:rPr>
          <w:rFonts w:hint="default" w:ascii="Times New Roman" w:hAnsi="Times New Roman" w:eastAsia="宋体" w:cs="Times New Roman"/>
          <w:snapToGrid w:val="0"/>
          <w:sz w:val="24"/>
          <w:szCs w:val="24"/>
          <w:vertAlign w:val="subscript"/>
        </w:rPr>
        <w:t>0</w:t>
      </w:r>
      <w:r>
        <w:rPr>
          <w:rFonts w:hint="default" w:ascii="Times New Roman" w:hAnsi="Times New Roman" w:eastAsia="宋体" w:cs="Times New Roman"/>
          <w:snapToGrid w:val="0"/>
          <w:sz w:val="24"/>
          <w:szCs w:val="24"/>
        </w:rPr>
        <w:t>-h</w:t>
      </w:r>
      <w:r>
        <w:rPr>
          <w:rFonts w:hint="default" w:ascii="Times New Roman" w:hAnsi="Times New Roman" w:eastAsia="宋体" w:cs="Times New Roman"/>
          <w:snapToGrid w:val="0"/>
          <w:sz w:val="24"/>
          <w:szCs w:val="24"/>
          <w:vertAlign w:val="subscript"/>
        </w:rPr>
        <w:t>n</w:t>
      </w:r>
      <w:r>
        <w:rPr>
          <w:rFonts w:hint="default" w:ascii="Times New Roman" w:hAnsi="Times New Roman" w:eastAsia="宋体" w:cs="Times New Roman"/>
          <w:snapToGrid w:val="0"/>
          <w:sz w:val="24"/>
          <w:szCs w:val="24"/>
        </w:rPr>
        <w:t>为需要清淤深度，B</w:t>
      </w:r>
      <w:r>
        <w:rPr>
          <w:rFonts w:hint="default" w:ascii="Times New Roman" w:hAnsi="Times New Roman" w:eastAsia="宋体" w:cs="Times New Roman"/>
          <w:snapToGrid w:val="0"/>
          <w:sz w:val="24"/>
          <w:szCs w:val="24"/>
          <w:vertAlign w:val="subscript"/>
        </w:rPr>
        <w:t>0</w:t>
      </w:r>
      <w:r>
        <w:rPr>
          <w:rFonts w:hint="default" w:ascii="Times New Roman" w:hAnsi="Times New Roman" w:eastAsia="宋体" w:cs="Times New Roman"/>
          <w:snapToGrid w:val="0"/>
          <w:sz w:val="24"/>
          <w:szCs w:val="24"/>
        </w:rPr>
        <w:t>-B</w:t>
      </w:r>
      <w:r>
        <w:rPr>
          <w:rFonts w:hint="default" w:ascii="Times New Roman" w:hAnsi="Times New Roman" w:eastAsia="宋体" w:cs="Times New Roman"/>
          <w:snapToGrid w:val="0"/>
          <w:sz w:val="24"/>
          <w:szCs w:val="24"/>
          <w:vertAlign w:val="subscript"/>
        </w:rPr>
        <w:t>n</w:t>
      </w:r>
      <w:r>
        <w:rPr>
          <w:rFonts w:hint="default" w:ascii="Times New Roman" w:hAnsi="Times New Roman" w:eastAsia="宋体" w:cs="Times New Roman"/>
          <w:snapToGrid w:val="0"/>
          <w:sz w:val="24"/>
          <w:szCs w:val="24"/>
        </w:rPr>
        <w:t>为需要清淤宽度。</w:t>
      </w:r>
    </w:p>
    <w:p>
      <w:pPr>
        <w:pStyle w:val="815"/>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t>本次设计计算中，分别对各河床段典型横断面采用试算法进行计算，k值取值为1.1。在1/1000地形图中对该河道清淤段分别进行断面试算。</w:t>
      </w:r>
    </w:p>
    <w:p>
      <w:pPr>
        <w:pStyle w:val="815"/>
        <w:ind w:left="0" w:leftChars="0" w:firstLine="480" w:firstLineChars="200"/>
        <w:rPr>
          <w:rFonts w:hint="default" w:ascii="Times New Roman" w:hAnsi="Times New Roman" w:eastAsia="宋体" w:cs="Times New Roman"/>
          <w:b w:val="0"/>
          <w:bCs w:val="0"/>
          <w:smallCaps w:val="0"/>
          <w:color w:val="auto"/>
          <w:kern w:val="0"/>
          <w:sz w:val="24"/>
          <w:szCs w:val="24"/>
          <w:lang w:val="en-US" w:eastAsia="zh-CN" w:bidi="zh-CN"/>
        </w:rPr>
      </w:pPr>
      <w:r>
        <w:rPr>
          <w:rFonts w:hint="default" w:ascii="Times New Roman" w:hAnsi="Times New Roman" w:eastAsia="宋体" w:cs="Times New Roman"/>
          <w:snapToGrid w:val="0"/>
          <w:sz w:val="24"/>
          <w:szCs w:val="24"/>
        </w:rPr>
        <w:t>计算得洪水期最大清淤深度为0.68</w:t>
      </w:r>
      <w:r>
        <w:rPr>
          <w:rFonts w:hint="default" w:ascii="Times New Roman" w:hAnsi="Times New Roman" w:eastAsia="宋体" w:cs="Times New Roman"/>
          <w:b w:val="0"/>
          <w:bCs w:val="0"/>
          <w:smallCaps w:val="0"/>
          <w:color w:val="auto"/>
          <w:kern w:val="0"/>
          <w:sz w:val="24"/>
          <w:szCs w:val="24"/>
          <w:lang w:val="en-US" w:eastAsia="zh-CN" w:bidi="zh-CN"/>
        </w:rPr>
        <w:t>m，枯水位时最大清淤深度为0.1m（可以不作考虑）。</w:t>
      </w:r>
    </w:p>
    <w:p>
      <w:pPr>
        <w:pStyle w:val="815"/>
        <w:ind w:left="0" w:leftChars="0" w:firstLine="480" w:firstLineChars="200"/>
        <w:rPr>
          <w:rFonts w:hint="default" w:ascii="Times New Roman" w:hAnsi="Times New Roman" w:eastAsia="宋体" w:cs="Times New Roman"/>
          <w:b w:val="0"/>
          <w:bCs w:val="0"/>
          <w:smallCaps w:val="0"/>
          <w:color w:val="auto"/>
          <w:kern w:val="0"/>
          <w:sz w:val="24"/>
          <w:szCs w:val="24"/>
          <w:lang w:val="en-US" w:eastAsia="zh-CN" w:bidi="zh-CN"/>
        </w:rPr>
      </w:pPr>
      <w:r>
        <w:rPr>
          <w:rFonts w:hint="default" w:ascii="Times New Roman" w:hAnsi="Times New Roman" w:eastAsia="宋体" w:cs="Times New Roman"/>
          <w:b w:val="0"/>
          <w:bCs w:val="0"/>
          <w:smallCaps w:val="0"/>
          <w:color w:val="auto"/>
          <w:kern w:val="0"/>
          <w:sz w:val="24"/>
          <w:szCs w:val="24"/>
          <w:lang w:val="en-US" w:eastAsia="zh-CN" w:bidi="zh-CN"/>
        </w:rPr>
        <w:t>计算得洪水期最大清淤宽度为25m。枯水位时最大清淤深度为1m。</w:t>
      </w:r>
    </w:p>
    <w:p>
      <w:pPr>
        <w:pStyle w:val="815"/>
        <w:ind w:left="0" w:leftChars="0" w:firstLine="480" w:firstLineChars="200"/>
        <w:rPr>
          <w:rFonts w:hint="default" w:ascii="Times New Roman" w:hAnsi="Times New Roman" w:eastAsia="宋体" w:cs="Times New Roman"/>
          <w:snapToGrid w:val="0"/>
          <w:sz w:val="24"/>
          <w:szCs w:val="24"/>
        </w:rPr>
      </w:pPr>
      <w:r>
        <w:rPr>
          <w:rFonts w:hint="default" w:ascii="Times New Roman" w:hAnsi="Times New Roman" w:eastAsia="宋体" w:cs="Times New Roman"/>
          <w:b w:val="0"/>
          <w:bCs w:val="0"/>
          <w:smallCaps w:val="0"/>
          <w:color w:val="auto"/>
          <w:kern w:val="0"/>
          <w:sz w:val="24"/>
          <w:szCs w:val="24"/>
          <w:lang w:val="en-US" w:eastAsia="zh-CN" w:bidi="zh-CN"/>
        </w:rPr>
        <w:t>由于枯水期水深浅，河床滩地外露，疏挖采用挖掘机直接疏挖，自卸汽车运输。一般不调整河道现状的纵坡，对淤积的河床及河岸滩地疏挖，使各分段内河道纵坡基本一致，原则上以切滩、平整河床、河滩为主。根据祁水治理河段实际情况，综合考虑疏浚原则，确定河道疏浚深度0.1～1.0m，疏挖宽度为5～30m。沙洲及滩地个别位置稍深</w:t>
      </w:r>
      <w:r>
        <w:rPr>
          <w:rFonts w:hint="default" w:ascii="Times New Roman" w:hAnsi="Times New Roman" w:eastAsia="宋体" w:cs="Times New Roman"/>
          <w:snapToGrid w:val="0"/>
          <w:sz w:val="24"/>
          <w:szCs w:val="24"/>
        </w:rPr>
        <w:t>。</w:t>
      </w:r>
    </w:p>
    <w:p>
      <w:pPr>
        <w:pStyle w:val="652"/>
        <w:ind w:firstLine="480" w:firstLineChars="200"/>
        <w:jc w:val="both"/>
        <w:rPr>
          <w:rFonts w:hint="default" w:ascii="Times New Roman" w:hAnsi="Times New Roman" w:eastAsia="宋体" w:cs="Times New Roman"/>
          <w:snapToGrid w:val="0"/>
          <w:sz w:val="24"/>
          <w:szCs w:val="24"/>
        </w:rPr>
      </w:pPr>
      <w:r>
        <w:rPr>
          <w:rFonts w:hint="eastAsia" w:ascii="Times New Roman" w:hAnsi="Times New Roman" w:eastAsia="宋体" w:cs="Times New Roman"/>
          <w:snapToGrid w:val="0"/>
          <w:sz w:val="24"/>
          <w:szCs w:val="24"/>
          <w:lang w:val="en-US" w:eastAsia="zh-CN"/>
        </w:rPr>
        <w:t>4、</w:t>
      </w:r>
      <w:r>
        <w:rPr>
          <w:rFonts w:hint="default" w:ascii="Times New Roman" w:hAnsi="Times New Roman" w:eastAsia="宋体" w:cs="Times New Roman"/>
          <w:snapToGrid w:val="0"/>
          <w:sz w:val="24"/>
          <w:szCs w:val="24"/>
        </w:rPr>
        <w:t>疏浚主要内容</w:t>
      </w:r>
    </w:p>
    <w:p>
      <w:pPr>
        <w:pStyle w:val="815"/>
        <w:rPr>
          <w:rFonts w:hint="default" w:ascii="Times New Roman" w:hAnsi="Times New Roman" w:eastAsia="宋体" w:cs="Times New Roman"/>
          <w:b w:val="0"/>
          <w:bCs w:val="0"/>
          <w:smallCaps w:val="0"/>
          <w:color w:val="auto"/>
          <w:kern w:val="0"/>
          <w:sz w:val="24"/>
          <w:szCs w:val="24"/>
          <w:lang w:val="en-US" w:eastAsia="zh-CN" w:bidi="zh-CN"/>
        </w:rPr>
      </w:pPr>
      <w:bookmarkStart w:id="161" w:name="_Toc31760"/>
      <w:r>
        <w:rPr>
          <w:rFonts w:hint="default" w:ascii="Times New Roman" w:hAnsi="Times New Roman" w:eastAsia="宋体" w:cs="Times New Roman"/>
          <w:snapToGrid w:val="0"/>
          <w:sz w:val="24"/>
          <w:szCs w:val="24"/>
        </w:rPr>
        <w:t>根据祁水治理河段实际情况，本次对治理段阻水较严重的河段进行平整，疏浚清障，确定本次治理河道清淤疏浚总长度14.619</w:t>
      </w:r>
      <w:r>
        <w:rPr>
          <w:rFonts w:hint="default" w:ascii="Times New Roman" w:hAnsi="Times New Roman" w:eastAsia="宋体" w:cs="Times New Roman"/>
          <w:b w:val="0"/>
          <w:bCs w:val="0"/>
          <w:smallCaps w:val="0"/>
          <w:color w:val="auto"/>
          <w:kern w:val="0"/>
          <w:sz w:val="24"/>
          <w:szCs w:val="24"/>
          <w:lang w:val="en-US" w:eastAsia="zh-CN" w:bidi="zh-CN"/>
        </w:rPr>
        <w:t>km，疏浚开挖坡比为1：2～1：3，总清淤量74368m</w:t>
      </w:r>
      <w:r>
        <w:rPr>
          <w:rFonts w:hint="default" w:ascii="Times New Roman" w:hAnsi="Times New Roman" w:eastAsia="宋体" w:cs="Times New Roman"/>
          <w:b w:val="0"/>
          <w:bCs w:val="0"/>
          <w:smallCaps w:val="0"/>
          <w:color w:val="auto"/>
          <w:kern w:val="0"/>
          <w:sz w:val="24"/>
          <w:szCs w:val="24"/>
          <w:vertAlign w:val="superscript"/>
          <w:lang w:val="en-US" w:eastAsia="zh-CN" w:bidi="zh-CN"/>
        </w:rPr>
        <w:t>3</w:t>
      </w:r>
      <w:r>
        <w:rPr>
          <w:rFonts w:hint="default" w:ascii="Times New Roman" w:hAnsi="Times New Roman" w:eastAsia="宋体" w:cs="Times New Roman"/>
          <w:b w:val="0"/>
          <w:bCs w:val="0"/>
          <w:smallCaps w:val="0"/>
          <w:color w:val="auto"/>
          <w:kern w:val="0"/>
          <w:sz w:val="24"/>
          <w:szCs w:val="24"/>
          <w:lang w:val="en-US" w:eastAsia="zh-CN" w:bidi="zh-CN"/>
        </w:rPr>
        <w:t>，总疏浚量19307.4 m3，清除砂卵石、石渣2103.4m</w:t>
      </w:r>
      <w:r>
        <w:rPr>
          <w:rFonts w:hint="default" w:ascii="Times New Roman" w:hAnsi="Times New Roman" w:eastAsia="宋体" w:cs="Times New Roman"/>
          <w:b w:val="0"/>
          <w:bCs w:val="0"/>
          <w:smallCaps w:val="0"/>
          <w:color w:val="auto"/>
          <w:kern w:val="0"/>
          <w:sz w:val="24"/>
          <w:szCs w:val="24"/>
          <w:vertAlign w:val="superscript"/>
          <w:lang w:val="en-US" w:eastAsia="zh-CN" w:bidi="zh-CN"/>
        </w:rPr>
        <w:t>3</w:t>
      </w:r>
      <w:r>
        <w:rPr>
          <w:rFonts w:hint="default" w:ascii="Times New Roman" w:hAnsi="Times New Roman" w:eastAsia="宋体" w:cs="Times New Roman"/>
          <w:b w:val="0"/>
          <w:bCs w:val="0"/>
          <w:smallCaps w:val="0"/>
          <w:color w:val="auto"/>
          <w:kern w:val="0"/>
          <w:sz w:val="24"/>
          <w:szCs w:val="24"/>
          <w:lang w:val="en-US" w:eastAsia="zh-CN" w:bidi="zh-CN"/>
        </w:rPr>
        <w:t>，砌体拆除50.95m</w:t>
      </w:r>
      <w:r>
        <w:rPr>
          <w:rFonts w:hint="default" w:ascii="Times New Roman" w:hAnsi="Times New Roman" w:eastAsia="宋体" w:cs="Times New Roman"/>
          <w:b w:val="0"/>
          <w:bCs w:val="0"/>
          <w:smallCaps w:val="0"/>
          <w:color w:val="auto"/>
          <w:kern w:val="0"/>
          <w:sz w:val="24"/>
          <w:szCs w:val="24"/>
          <w:vertAlign w:val="superscript"/>
          <w:lang w:val="en-US" w:eastAsia="zh-CN" w:bidi="zh-CN"/>
        </w:rPr>
        <w:t>3</w:t>
      </w:r>
      <w:r>
        <w:rPr>
          <w:rFonts w:hint="default" w:ascii="Times New Roman" w:hAnsi="Times New Roman" w:eastAsia="宋体" w:cs="Times New Roman"/>
          <w:b w:val="0"/>
          <w:bCs w:val="0"/>
          <w:smallCaps w:val="0"/>
          <w:color w:val="auto"/>
          <w:kern w:val="0"/>
          <w:sz w:val="24"/>
          <w:szCs w:val="24"/>
          <w:lang w:val="en-US" w:eastAsia="zh-CN" w:bidi="zh-CN"/>
        </w:rPr>
        <w:t>。</w:t>
      </w:r>
    </w:p>
    <w:p>
      <w:pPr>
        <w:pStyle w:val="2987"/>
        <w:spacing w:before="240"/>
        <w:rPr>
          <w:rFonts w:hint="default" w:ascii="Times New Roman" w:hAnsi="Times New Roman" w:eastAsia="宋体" w:cs="Times New Roman"/>
          <w:snapToGrid w:val="0"/>
          <w:sz w:val="24"/>
          <w:szCs w:val="24"/>
        </w:rPr>
      </w:pPr>
      <w:bookmarkStart w:id="162" w:name="_Toc101865801"/>
      <w:r>
        <w:rPr>
          <w:rFonts w:hint="eastAsia" w:ascii="Times New Roman" w:hAnsi="Times New Roman" w:eastAsia="宋体" w:cs="Times New Roman"/>
          <w:b/>
          <w:bCs/>
          <w:sz w:val="24"/>
          <w:szCs w:val="24"/>
          <w:lang w:val="en-US" w:eastAsia="zh-CN" w:bidi="zh-CN"/>
        </w:rPr>
        <w:t>3.3.</w:t>
      </w:r>
      <w:r>
        <w:rPr>
          <w:rFonts w:hint="eastAsia" w:ascii="Times New Roman" w:hAnsi="Times New Roman" w:cs="Times New Roman"/>
          <w:b/>
          <w:bCs/>
          <w:sz w:val="24"/>
          <w:szCs w:val="24"/>
          <w:lang w:val="en-US" w:eastAsia="zh-CN" w:bidi="zh-CN"/>
        </w:rPr>
        <w:t xml:space="preserve">3.3 </w:t>
      </w:r>
      <w:r>
        <w:rPr>
          <w:rFonts w:hint="default" w:ascii="Times New Roman" w:hAnsi="Times New Roman" w:eastAsia="宋体" w:cs="Times New Roman"/>
          <w:snapToGrid w:val="0"/>
          <w:sz w:val="24"/>
          <w:szCs w:val="24"/>
        </w:rPr>
        <w:t>河坝工程</w:t>
      </w:r>
      <w:bookmarkEnd w:id="161"/>
      <w:bookmarkEnd w:id="162"/>
    </w:p>
    <w:p>
      <w:pPr>
        <w:pStyle w:val="652"/>
        <w:keepNext w:val="0"/>
        <w:keepLines w:val="0"/>
        <w:pageBreakBefore w:val="0"/>
        <w:widowControl w:val="0"/>
        <w:kinsoku/>
        <w:wordWrap/>
        <w:overflowPunct/>
        <w:topLinePunct w:val="0"/>
        <w:autoSpaceDE/>
        <w:autoSpaceDN/>
        <w:bidi w:val="0"/>
        <w:adjustRightInd/>
        <w:snapToGrid w:val="0"/>
        <w:ind w:firstLine="480" w:firstLineChars="200"/>
        <w:jc w:val="both"/>
        <w:textAlignment w:val="auto"/>
        <w:rPr>
          <w:rFonts w:hint="default" w:ascii="Times New Roman" w:hAnsi="Times New Roman" w:eastAsia="宋体" w:cs="Times New Roman"/>
          <w:snapToGrid w:val="0"/>
          <w:sz w:val="24"/>
          <w:szCs w:val="24"/>
        </w:rPr>
      </w:pPr>
      <w:r>
        <w:rPr>
          <w:rFonts w:hint="eastAsia" w:ascii="Times New Roman" w:hAnsi="Times New Roman" w:eastAsia="宋体" w:cs="Times New Roman"/>
          <w:snapToGrid w:val="0"/>
          <w:sz w:val="24"/>
          <w:szCs w:val="24"/>
          <w:lang w:val="en-US" w:eastAsia="zh-CN"/>
        </w:rPr>
        <w:t>1、</w:t>
      </w:r>
      <w:r>
        <w:rPr>
          <w:rFonts w:hint="default" w:ascii="Times New Roman" w:hAnsi="Times New Roman" w:eastAsia="宋体" w:cs="Times New Roman"/>
          <w:snapToGrid w:val="0"/>
          <w:sz w:val="24"/>
          <w:szCs w:val="24"/>
        </w:rPr>
        <w:t>河坝基本情况</w:t>
      </w:r>
    </w:p>
    <w:p>
      <w:pPr>
        <w:pStyle w:val="815"/>
        <w:keepNext w:val="0"/>
        <w:keepLines w:val="0"/>
        <w:pageBreakBefore w:val="0"/>
        <w:widowControl w:val="0"/>
        <w:kinsoku/>
        <w:wordWrap/>
        <w:overflowPunct/>
        <w:topLinePunct w:val="0"/>
        <w:autoSpaceDE/>
        <w:autoSpaceDN/>
        <w:bidi w:val="0"/>
        <w:adjustRightInd/>
        <w:snapToGrid w:val="0"/>
        <w:ind w:left="0" w:leftChars="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祁水三期太和堂段有河坝30处，祁水源段河坝1处，太和堂段由于砂砾石基础较厚，30处河坝基础大部分建于砂卵石基础上，现除1#河坝外其余坝体结构未发现明显破坏。1#河坝（简坝）坝体采用块石简易堆砌，现多处块石冲落，坝身结构破坏严重，11#河坝（彭家坝）、13#河坝（乐家坝）及24#河坝（石湾河坝）堰体表面开裂破损较严重，下游基础及两岸挡墙冲刷严重，19#河坝（谭山岩河坝）及祁水源段马黄山口边河坝下游基础冲刷严重。</w:t>
      </w:r>
    </w:p>
    <w:p>
      <w:pPr>
        <w:pStyle w:val="815"/>
        <w:keepNext w:val="0"/>
        <w:keepLines w:val="0"/>
        <w:pageBreakBefore w:val="0"/>
        <w:widowControl w:val="0"/>
        <w:kinsoku/>
        <w:wordWrap/>
        <w:overflowPunct/>
        <w:topLinePunct w:val="0"/>
        <w:autoSpaceDE/>
        <w:autoSpaceDN/>
        <w:bidi w:val="0"/>
        <w:adjustRightInd/>
        <w:snapToGrid w:val="0"/>
        <w:ind w:left="0" w:leftChars="0" w:firstLine="480" w:firstLineChars="200"/>
        <w:jc w:val="both"/>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本次设计对1#河坝（简坝）进行拆除重建，马黄山口边河坝、11#河坝（彭家坝）、13#河坝（乐家坝）、19#河坝（谭山岩河坝）及24#河坝（石湾河坝）改造加固</w:t>
      </w:r>
      <w:r>
        <w:rPr>
          <w:rFonts w:hint="eastAsia" w:eastAsia="宋体" w:cs="Times New Roman"/>
          <w:sz w:val="24"/>
          <w:szCs w:val="24"/>
          <w:lang w:eastAsia="zh-CN"/>
        </w:rPr>
        <w:t>。</w:t>
      </w:r>
    </w:p>
    <w:bookmarkEnd w:id="157"/>
    <w:p>
      <w:pPr>
        <w:pStyle w:val="2987"/>
        <w:spacing w:before="240"/>
        <w:rPr>
          <w:rFonts w:hint="default" w:ascii="Times New Roman" w:hAnsi="Times New Roman" w:eastAsia="宋体" w:cs="Times New Roman"/>
          <w:snapToGrid w:val="0"/>
          <w:sz w:val="24"/>
          <w:szCs w:val="24"/>
        </w:rPr>
      </w:pPr>
      <w:bookmarkStart w:id="163" w:name="_Toc10708"/>
      <w:bookmarkStart w:id="164" w:name="_Toc101865802"/>
      <w:bookmarkStart w:id="165" w:name="_Toc269684384"/>
      <w:bookmarkStart w:id="166" w:name="_Toc78602211"/>
      <w:r>
        <w:rPr>
          <w:rFonts w:hint="eastAsia" w:ascii="Times New Roman" w:hAnsi="Times New Roman" w:eastAsia="宋体" w:cs="Times New Roman"/>
          <w:b/>
          <w:bCs/>
          <w:sz w:val="24"/>
          <w:szCs w:val="24"/>
          <w:lang w:val="en-US" w:eastAsia="zh-CN" w:bidi="zh-CN"/>
        </w:rPr>
        <w:t>3.3.</w:t>
      </w:r>
      <w:r>
        <w:rPr>
          <w:rFonts w:hint="eastAsia" w:ascii="Times New Roman" w:hAnsi="Times New Roman" w:cs="Times New Roman"/>
          <w:b/>
          <w:bCs/>
          <w:sz w:val="24"/>
          <w:szCs w:val="24"/>
          <w:lang w:val="en-US" w:eastAsia="zh-CN" w:bidi="zh-CN"/>
        </w:rPr>
        <w:t xml:space="preserve">3.4 </w:t>
      </w:r>
      <w:r>
        <w:rPr>
          <w:rFonts w:hint="default" w:ascii="Times New Roman" w:hAnsi="Times New Roman" w:eastAsia="宋体" w:cs="Times New Roman"/>
          <w:snapToGrid w:val="0"/>
          <w:sz w:val="24"/>
          <w:szCs w:val="24"/>
        </w:rPr>
        <w:t>新建涵管设计</w:t>
      </w:r>
      <w:bookmarkEnd w:id="163"/>
      <w:bookmarkEnd w:id="164"/>
    </w:p>
    <w:p>
      <w:pPr>
        <w:pStyle w:val="652"/>
        <w:ind w:firstLine="480" w:firstLineChars="200"/>
        <w:jc w:val="both"/>
        <w:rPr>
          <w:rFonts w:hint="default" w:ascii="Times New Roman" w:hAnsi="Times New Roman" w:eastAsia="宋体" w:cs="Times New Roman"/>
          <w:sz w:val="24"/>
          <w:szCs w:val="24"/>
        </w:rPr>
      </w:pPr>
      <w:bookmarkStart w:id="167" w:name="_Toc345057906"/>
      <w:bookmarkStart w:id="168" w:name="_Toc345057905"/>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涵管排水标准</w:t>
      </w:r>
      <w:bookmarkEnd w:id="167"/>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涵管工程根据所处的位置，按其排水片区的对象及涵管要承担的不同功能拟定不同的排水标准：</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1）本次所涉及的城镇区域由于没有调蓄容积，涵管的排水标准按排洪考虑，结合湖南省过去已实施的工程，本次拟订城镇段涵管的排洪流量按十年一遇的一日暴雨洪峰流量考虑；</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本次所涉及的乡村段护岸一般以农田为主，村民居住区散落其中，由于农田基本为水田，作物种植以水稻为主，区域内有一定的调蓄能力和耐淹历时，本次涵管的排水标准按排涝考虑，依据《灌溉与排水工程设计规范》（GB 50288-2018）涵管的排涝流量按十年一遇的三日暴雨三日排至作物耐淹水深考虑，结合乡村的涵管工程大多数为已建工程，本次设计在考虑排涝标准的同时涵管的排水标准也不能小于已建涵管原有的标准。</w:t>
      </w:r>
    </w:p>
    <w:p>
      <w:pPr>
        <w:pStyle w:val="652"/>
        <w:ind w:firstLine="480" w:firstLineChars="200"/>
        <w:jc w:val="both"/>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涵管工程布置</w:t>
      </w:r>
      <w:bookmarkEnd w:id="168"/>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计涵管工程的布置不改变原有的排水体系，对新建堤防段的现有涵管，排水流量满足要求的，按原断面接长，重建的一般选在原址，以减少排水渠等改造的工程量；新建涵管选址也尽量与现状的排水线路吻合，以保证排水渠系畅通，汇流集中。根据功能不同，沿线新建涵管分以下几种情况：</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1）天然溪沟排水，分别位于桩号祁左12+656、祁右13+647、祁右13+487、祁左15+913、祁左15+992、祁右23+594、祁左24+834位置，采用暴雨查算手册计算洪峰流量；</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2）河坝引水渠进口涵管，位于桩号祁右19+617位置，过流量取灌溉设计流量；</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现有田间灌排渠出口，已衬砌且断面较大有三处，分别位于桩号祁左23+995、祁右29+235、祁右29+335，其余小断面田间排水渠28处，三处灌排渠由于水量来自上游山塘，考虑山塘需排水，采用暴雨查算手册计算洪峰流量，其它28处小断面田间排水渠按农田排涝计算流量；</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4）沿线田块设排水口1</w:t>
      </w:r>
      <w:r>
        <w:rPr>
          <w:rFonts w:hint="eastAsia" w:eastAsia="宋体" w:cs="Times New Roman"/>
          <w:sz w:val="24"/>
          <w:szCs w:val="24"/>
          <w:lang w:val="en-US" w:eastAsia="zh-CN"/>
        </w:rPr>
        <w:t>20</w:t>
      </w:r>
      <w:r>
        <w:rPr>
          <w:rFonts w:hint="default" w:ascii="Times New Roman" w:hAnsi="Times New Roman" w:eastAsia="宋体" w:cs="Times New Roman"/>
          <w:sz w:val="24"/>
          <w:szCs w:val="24"/>
        </w:rPr>
        <w:t>处，均采用φ200PE管埋管；</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5）城镇段基本为现有浆砌石挡墙，本次不再进行护砌，因此不增设涵管。</w:t>
      </w:r>
    </w:p>
    <w:p>
      <w:pPr>
        <w:pStyle w:val="652"/>
        <w:ind w:firstLine="480" w:firstLineChars="200"/>
        <w:jc w:val="both"/>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新建涵管管身设计</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新建涵管均为圆管形。涵管管身全部采用预制钢筋砼管结构，其中D1200、D1000、D500涵管均采用Ⅱ级承插管，D300涵管采用Ⅱ级平口管，D2000涵管采用1.6MPa PE管。管身长度由堤脚的宽度确定，涵管均为外购成品，2</w:t>
      </w:r>
      <w:r>
        <w:rPr>
          <w:rFonts w:hint="default" w:ascii="Times New Roman" w:hAnsi="Times New Roman" w:eastAsia="宋体" w:cs="Times New Roman"/>
          <w:b w:val="0"/>
          <w:bCs w:val="0"/>
          <w:smallCaps w:val="0"/>
          <w:color w:val="auto"/>
          <w:kern w:val="0"/>
          <w:sz w:val="24"/>
          <w:szCs w:val="24"/>
          <w:lang w:val="en-US" w:eastAsia="zh-CN" w:bidi="zh-CN"/>
        </w:rPr>
        <w:t>m</w:t>
      </w:r>
      <w:r>
        <w:rPr>
          <w:rFonts w:hint="default" w:ascii="Times New Roman" w:hAnsi="Times New Roman" w:eastAsia="宋体" w:cs="Times New Roman"/>
          <w:sz w:val="24"/>
          <w:szCs w:val="24"/>
        </w:rPr>
        <w:t>一节，管座一般按6～10</w:t>
      </w:r>
      <w:r>
        <w:rPr>
          <w:rFonts w:hint="default" w:ascii="Times New Roman" w:hAnsi="Times New Roman" w:eastAsia="宋体" w:cs="Times New Roman"/>
          <w:b w:val="0"/>
          <w:bCs w:val="0"/>
          <w:smallCaps w:val="0"/>
          <w:color w:val="auto"/>
          <w:kern w:val="0"/>
          <w:sz w:val="24"/>
          <w:szCs w:val="24"/>
          <w:lang w:val="en-US" w:eastAsia="zh-CN" w:bidi="zh-CN"/>
        </w:rPr>
        <w:t>m</w:t>
      </w:r>
      <w:r>
        <w:rPr>
          <w:rFonts w:hint="default" w:ascii="Times New Roman" w:hAnsi="Times New Roman" w:eastAsia="宋体" w:cs="Times New Roman"/>
          <w:sz w:val="24"/>
          <w:szCs w:val="24"/>
        </w:rPr>
        <w:t>设分缝。管壁厚度按照《混凝土和钢筋混凝土排水管》（GB/T 11836-2009）的规定确定。</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napToGrid w:val="0"/>
          <w:sz w:val="24"/>
          <w:szCs w:val="24"/>
        </w:rPr>
        <w:t>根据现场</w:t>
      </w:r>
      <w:r>
        <w:rPr>
          <w:rFonts w:hint="default" w:ascii="Times New Roman" w:hAnsi="Times New Roman" w:eastAsia="宋体" w:cs="Times New Roman"/>
          <w:sz w:val="24"/>
          <w:szCs w:val="24"/>
        </w:rPr>
        <w:t>调查及勘察，</w:t>
      </w:r>
      <w:r>
        <w:rPr>
          <w:rFonts w:hint="default" w:ascii="Times New Roman" w:hAnsi="Times New Roman" w:eastAsia="宋体" w:cs="Times New Roman"/>
          <w:snapToGrid w:val="0"/>
          <w:sz w:val="24"/>
          <w:szCs w:val="24"/>
        </w:rPr>
        <w:t>新建涵管均坐落在砂砾石基础上，地质条件一般。钢筋砼</w:t>
      </w:r>
      <w:r>
        <w:rPr>
          <w:rFonts w:hint="default" w:ascii="Times New Roman" w:hAnsi="Times New Roman" w:eastAsia="宋体" w:cs="Times New Roman"/>
          <w:snapToGrid w:val="0"/>
          <w:sz w:val="24"/>
          <w:szCs w:val="24"/>
          <w:lang w:bidi="ar"/>
        </w:rPr>
        <w:t>涵管</w:t>
      </w:r>
      <w:r>
        <w:rPr>
          <w:rFonts w:hint="default" w:ascii="Times New Roman" w:hAnsi="Times New Roman" w:eastAsia="宋体" w:cs="Times New Roman"/>
          <w:snapToGrid w:val="0"/>
          <w:sz w:val="24"/>
          <w:szCs w:val="24"/>
        </w:rPr>
        <w:t>管基地基承载力要求大于150</w:t>
      </w:r>
      <w:r>
        <w:rPr>
          <w:rFonts w:hint="default" w:ascii="Times New Roman" w:hAnsi="Times New Roman" w:eastAsia="宋体" w:cs="Times New Roman"/>
          <w:b w:val="0"/>
          <w:bCs w:val="0"/>
          <w:smallCaps w:val="0"/>
          <w:color w:val="auto"/>
          <w:kern w:val="0"/>
          <w:sz w:val="24"/>
          <w:szCs w:val="24"/>
          <w:lang w:val="en-US" w:eastAsia="zh-CN" w:bidi="zh-CN"/>
        </w:rPr>
        <w:t>kpa</w:t>
      </w:r>
      <w:r>
        <w:rPr>
          <w:rFonts w:hint="default" w:ascii="Times New Roman" w:hAnsi="Times New Roman" w:eastAsia="宋体" w:cs="Times New Roman"/>
          <w:snapToGrid w:val="0"/>
          <w:sz w:val="24"/>
          <w:szCs w:val="24"/>
        </w:rPr>
        <w:t>，基础</w:t>
      </w:r>
      <w:r>
        <w:rPr>
          <w:rFonts w:hint="default" w:ascii="Times New Roman" w:hAnsi="Times New Roman" w:eastAsia="宋体" w:cs="Times New Roman"/>
          <w:snapToGrid w:val="0"/>
          <w:sz w:val="24"/>
          <w:szCs w:val="24"/>
          <w:lang w:bidi="ar"/>
        </w:rPr>
        <w:t>设置C20砼管座，具体设计见涵管设计图。</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D2000涵管为田间排水口，为PE管埋管，基础不设管座，进出口不设挡墙。</w:t>
      </w:r>
    </w:p>
    <w:p>
      <w:pPr>
        <w:pStyle w:val="652"/>
        <w:ind w:firstLine="480" w:firstLineChars="200"/>
        <w:jc w:val="both"/>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新建涵管进出口设计</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新建涵管进、出口建筑物应能使水流平顺，并做到保护土堤，结构简单，施工方便。本次设计涵管进出口设M</w:t>
      </w:r>
      <w:r>
        <w:rPr>
          <w:rFonts w:hint="default" w:ascii="Times New Roman" w:hAnsi="Times New Roman" w:eastAsia="宋体" w:cs="Times New Roman"/>
          <w:b w:val="0"/>
          <w:bCs w:val="0"/>
          <w:smallCaps w:val="0"/>
          <w:color w:val="auto"/>
          <w:kern w:val="0"/>
          <w:sz w:val="24"/>
          <w:szCs w:val="24"/>
          <w:lang w:val="en-US" w:eastAsia="zh-CN" w:bidi="zh-CN"/>
        </w:rPr>
        <w:t>7.5浆砌石直墙，进口衔接段根据上游现状采用M7.5浆砌石扭曲面或M7.5直墙衬砌，长度为5.0m，底板分别铺设10cm厚粗砂垫层和30cm厚M7.5浆砌石，两端设齿坎；出口采用M7.5浆砌石八字翼墙，尺寸和现状岸坡基本保持一致，长度根据现状岸坡拟定，底部采用60cm厚M7.5</w:t>
      </w:r>
      <w:r>
        <w:rPr>
          <w:rFonts w:hint="default" w:ascii="Times New Roman" w:hAnsi="Times New Roman" w:eastAsia="宋体" w:cs="Times New Roman"/>
          <w:sz w:val="24"/>
          <w:szCs w:val="24"/>
        </w:rPr>
        <w:t>浆砌石衬砌。</w:t>
      </w:r>
    </w:p>
    <w:p>
      <w:pPr>
        <w:pStyle w:val="652"/>
        <w:ind w:firstLine="480" w:firstLineChars="200"/>
        <w:jc w:val="both"/>
        <w:rPr>
          <w:rFonts w:hint="default" w:ascii="Times New Roman" w:hAnsi="Times New Roman" w:eastAsia="宋体" w:cs="Times New Roman"/>
          <w:snapToGrid w:val="0"/>
          <w:sz w:val="24"/>
          <w:szCs w:val="24"/>
        </w:rPr>
      </w:pP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新建</w:t>
      </w:r>
      <w:r>
        <w:rPr>
          <w:rFonts w:hint="default" w:ascii="Times New Roman" w:hAnsi="Times New Roman" w:eastAsia="宋体" w:cs="Times New Roman"/>
          <w:snapToGrid w:val="0"/>
          <w:sz w:val="24"/>
          <w:szCs w:val="24"/>
        </w:rPr>
        <w:t>涵管开挖回填设计</w:t>
      </w:r>
    </w:p>
    <w:p>
      <w:pPr>
        <w:pStyle w:val="815"/>
        <w:rPr>
          <w:rFonts w:hint="default" w:ascii="Times New Roman" w:hAnsi="Times New Roman" w:eastAsia="宋体" w:cs="Times New Roman"/>
          <w:b w:val="0"/>
          <w:bCs w:val="0"/>
          <w:smallCaps w:val="0"/>
          <w:color w:val="auto"/>
          <w:kern w:val="0"/>
          <w:sz w:val="24"/>
          <w:szCs w:val="24"/>
          <w:lang w:val="en-US" w:eastAsia="zh-CN" w:bidi="zh-CN"/>
        </w:rPr>
      </w:pPr>
      <w:r>
        <w:rPr>
          <w:rFonts w:hint="default" w:ascii="Times New Roman" w:hAnsi="Times New Roman" w:eastAsia="宋体" w:cs="Times New Roman"/>
          <w:snapToGrid w:val="0"/>
          <w:sz w:val="24"/>
          <w:szCs w:val="24"/>
        </w:rPr>
        <w:t>涵管工程基础临时开挖坡比为1:1，新建涵管地基承载力要求不小于150</w:t>
      </w:r>
      <w:r>
        <w:rPr>
          <w:rFonts w:hint="default" w:ascii="Times New Roman" w:hAnsi="Times New Roman" w:eastAsia="宋体" w:cs="Times New Roman"/>
          <w:b w:val="0"/>
          <w:bCs w:val="0"/>
          <w:smallCaps w:val="0"/>
          <w:color w:val="auto"/>
          <w:kern w:val="0"/>
          <w:sz w:val="24"/>
          <w:szCs w:val="24"/>
          <w:lang w:val="en-US" w:eastAsia="zh-CN" w:bidi="zh-CN"/>
        </w:rPr>
        <w:t>kpa，否则应及时通知设计方进行地基处理。</w:t>
      </w:r>
    </w:p>
    <w:p>
      <w:pPr>
        <w:pStyle w:val="815"/>
        <w:rPr>
          <w:rFonts w:hint="default" w:ascii="Times New Roman" w:hAnsi="Times New Roman" w:eastAsia="宋体" w:cs="Times New Roman"/>
          <w:sz w:val="24"/>
          <w:szCs w:val="24"/>
        </w:rPr>
      </w:pPr>
      <w:r>
        <w:rPr>
          <w:rFonts w:hint="default" w:ascii="Times New Roman" w:hAnsi="Times New Roman" w:eastAsia="宋体" w:cs="Times New Roman"/>
          <w:b w:val="0"/>
          <w:bCs w:val="0"/>
          <w:smallCaps w:val="0"/>
          <w:color w:val="auto"/>
          <w:kern w:val="0"/>
          <w:sz w:val="24"/>
          <w:szCs w:val="24"/>
          <w:lang w:val="en-US" w:eastAsia="zh-CN" w:bidi="zh-CN"/>
        </w:rPr>
        <w:t>土方填筑在涵管安装完成后进行，回填土料小部分来自开挖土方，其余主要来自土料场。填筑之前必须彻底清除地面表层松土、软弱土层、腐质土及植物根茎等，清基厚度一般为30cm。原开挖利用土料宜选用粘粒含量为10%～35%、塑性指数为7～20的黏性土，且不得含植物根茎、砖瓦垃圾等杂质，填筑料与最优含水率的允许偏差为±3%。土方填筑时应于涵管两侧同时分层进行，层厚30cm～40cm</w:t>
      </w:r>
      <w:r>
        <w:rPr>
          <w:rFonts w:hint="default" w:ascii="Times New Roman" w:hAnsi="Times New Roman" w:eastAsia="宋体" w:cs="Times New Roman"/>
          <w:sz w:val="24"/>
          <w:szCs w:val="24"/>
        </w:rPr>
        <w:t>，采用机械挖运土料，分层压实，压实度不小于0.91。</w:t>
      </w:r>
    </w:p>
    <w:p>
      <w:pPr>
        <w:pStyle w:val="2987"/>
        <w:spacing w:before="240" w:line="360" w:lineRule="auto"/>
        <w:rPr>
          <w:rFonts w:hint="default" w:ascii="Times New Roman" w:hAnsi="Times New Roman" w:eastAsia="宋体" w:cs="Times New Roman"/>
          <w:snapToGrid w:val="0"/>
          <w:sz w:val="24"/>
          <w:szCs w:val="24"/>
        </w:rPr>
      </w:pPr>
      <w:bookmarkStart w:id="169" w:name="_Toc4239"/>
      <w:bookmarkStart w:id="170" w:name="_Toc101865803"/>
      <w:r>
        <w:rPr>
          <w:rFonts w:hint="eastAsia" w:ascii="Times New Roman" w:hAnsi="Times New Roman" w:eastAsia="宋体" w:cs="Times New Roman"/>
          <w:b/>
          <w:bCs/>
          <w:sz w:val="24"/>
          <w:szCs w:val="24"/>
          <w:lang w:val="en-US" w:eastAsia="zh-CN" w:bidi="zh-CN"/>
        </w:rPr>
        <w:t>3.3.</w:t>
      </w:r>
      <w:r>
        <w:rPr>
          <w:rFonts w:hint="eastAsia" w:ascii="Times New Roman" w:hAnsi="Times New Roman" w:cs="Times New Roman"/>
          <w:b/>
          <w:bCs/>
          <w:sz w:val="24"/>
          <w:szCs w:val="24"/>
          <w:lang w:val="en-US" w:eastAsia="zh-CN" w:bidi="zh-CN"/>
        </w:rPr>
        <w:t xml:space="preserve">3.5 </w:t>
      </w:r>
      <w:r>
        <w:rPr>
          <w:rFonts w:hint="default" w:ascii="Times New Roman" w:hAnsi="Times New Roman" w:eastAsia="宋体" w:cs="Times New Roman"/>
          <w:snapToGrid w:val="0"/>
          <w:sz w:val="24"/>
          <w:szCs w:val="24"/>
        </w:rPr>
        <w:t>下河踏步设计</w:t>
      </w:r>
      <w:bookmarkEnd w:id="169"/>
      <w:bookmarkEnd w:id="170"/>
    </w:p>
    <w:bookmarkEnd w:id="165"/>
    <w:bookmarkEnd w:id="166"/>
    <w:p>
      <w:pPr>
        <w:pStyle w:val="815"/>
        <w:spacing w:line="360" w:lineRule="auto"/>
        <w:ind w:left="0" w:leftChars="0" w:firstLine="480" w:firstLineChars="200"/>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t>祁水河沿河两岸稻田密布，为方便当地居民的生活生产，在人口居住比较集中的地方设踏步，总宽为</w:t>
      </w:r>
      <w:r>
        <w:rPr>
          <w:rFonts w:hint="default" w:ascii="Times New Roman" w:hAnsi="Times New Roman" w:eastAsia="宋体" w:cs="Times New Roman"/>
          <w:b w:val="0"/>
          <w:bCs w:val="0"/>
          <w:smallCaps w:val="0"/>
          <w:color w:val="auto"/>
          <w:kern w:val="0"/>
          <w:sz w:val="24"/>
          <w:szCs w:val="24"/>
          <w:lang w:val="en-US" w:eastAsia="zh-CN" w:bidi="zh-CN"/>
        </w:rPr>
        <w:t>2.6m，净宽2.0m，采用C20砼砌筑。本次治理河段范围内共设</w:t>
      </w:r>
      <w:r>
        <w:rPr>
          <w:rFonts w:hint="eastAsia" w:ascii="Times New Roman" w:hAnsi="Times New Roman" w:eastAsia="宋体" w:cs="Times New Roman"/>
          <w:b w:val="0"/>
          <w:bCs w:val="0"/>
          <w:smallCaps w:val="0"/>
          <w:color w:val="auto"/>
          <w:kern w:val="0"/>
          <w:sz w:val="24"/>
          <w:szCs w:val="24"/>
          <w:lang w:val="en-US" w:eastAsia="zh-CN" w:bidi="zh-CN"/>
        </w:rPr>
        <w:t>8</w:t>
      </w:r>
      <w:r>
        <w:rPr>
          <w:rFonts w:hint="default" w:ascii="Times New Roman" w:hAnsi="Times New Roman" w:eastAsia="宋体" w:cs="Times New Roman"/>
          <w:b w:val="0"/>
          <w:bCs w:val="0"/>
          <w:smallCaps w:val="0"/>
          <w:color w:val="auto"/>
          <w:kern w:val="0"/>
          <w:sz w:val="24"/>
          <w:szCs w:val="24"/>
          <w:lang w:val="en-US" w:eastAsia="zh-CN" w:bidi="zh-CN"/>
        </w:rPr>
        <w:t>0处踏步</w:t>
      </w:r>
      <w:r>
        <w:rPr>
          <w:rFonts w:hint="default" w:ascii="Times New Roman" w:hAnsi="Times New Roman" w:eastAsia="宋体" w:cs="Times New Roman"/>
          <w:snapToGrid w:val="0"/>
          <w:sz w:val="24"/>
          <w:szCs w:val="24"/>
        </w:rPr>
        <w:t>，具体见踏步设计图。</w:t>
      </w:r>
    </w:p>
    <w:p>
      <w:pPr>
        <w:rPr>
          <w:rFonts w:hint="default"/>
          <w:lang w:val="en-US" w:eastAsia="zh-CN"/>
        </w:rPr>
      </w:pPr>
    </w:p>
    <w:p>
      <w:pPr>
        <w:pStyle w:val="5"/>
        <w:tabs>
          <w:tab w:val="left" w:pos="105"/>
        </w:tabs>
        <w:bidi w:val="0"/>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p>
    <w:p>
      <w:pPr>
        <w:pStyle w:val="5"/>
        <w:tabs>
          <w:tab w:val="left" w:pos="766"/>
        </w:tabs>
        <w:autoSpaceDE/>
        <w:autoSpaceDN/>
        <w:adjustRightInd w:val="0"/>
        <w:snapToGrid w:val="0"/>
        <w:spacing w:before="0" w:line="360" w:lineRule="auto"/>
        <w:ind w:left="0" w:firstLine="0"/>
        <w:jc w:val="both"/>
        <w:rPr>
          <w:rFonts w:ascii="Times New Roman" w:hAnsi="Times New Roman" w:eastAsia="宋体" w:cs="Times New Roman"/>
          <w:snapToGrid w:val="0"/>
          <w:lang w:val="zh-CN" w:eastAsia="zh-CN"/>
        </w:rPr>
      </w:pPr>
      <w:bookmarkStart w:id="171" w:name="_Toc25200"/>
      <w:bookmarkStart w:id="172" w:name="_Toc6643"/>
      <w:bookmarkStart w:id="173" w:name="_Toc2210"/>
      <w:bookmarkStart w:id="174" w:name="_Toc69284573"/>
      <w:bookmarkStart w:id="175" w:name="_Toc82593113"/>
      <w:bookmarkStart w:id="176" w:name="_Toc66206048"/>
      <w:r>
        <w:rPr>
          <w:rFonts w:hint="eastAsia" w:ascii="Times New Roman" w:hAnsi="Times New Roman" w:eastAsia="宋体" w:cs="Times New Roman"/>
          <w:snapToGrid w:val="0"/>
          <w:lang w:val="en-US" w:eastAsia="zh-CN"/>
        </w:rPr>
        <w:t>3</w:t>
      </w:r>
      <w:r>
        <w:rPr>
          <w:rFonts w:hint="eastAsia" w:ascii="Times New Roman" w:hAnsi="Times New Roman" w:eastAsia="宋体" w:cs="Times New Roman"/>
          <w:snapToGrid w:val="0"/>
          <w:lang w:val="zh-CN" w:eastAsia="zh-CN"/>
        </w:rPr>
        <w:t>.4</w:t>
      </w:r>
      <w:bookmarkEnd w:id="171"/>
      <w:r>
        <w:rPr>
          <w:rFonts w:hint="eastAsia" w:ascii="Times New Roman" w:hAnsi="Times New Roman" w:eastAsia="宋体" w:cs="Times New Roman"/>
          <w:snapToGrid w:val="0"/>
          <w:lang w:val="zh-CN" w:eastAsia="zh-CN"/>
        </w:rPr>
        <w:t>施工组织</w:t>
      </w:r>
      <w:bookmarkEnd w:id="172"/>
      <w:bookmarkEnd w:id="173"/>
    </w:p>
    <w:p>
      <w:pPr>
        <w:pStyle w:val="2974"/>
        <w:rPr>
          <w:color w:val="auto"/>
          <w:u w:val="none" w:color="auto"/>
        </w:rPr>
      </w:pPr>
      <w:r>
        <w:rPr>
          <w:rFonts w:hint="eastAsia"/>
          <w:color w:val="auto"/>
          <w:u w:val="none" w:color="auto"/>
        </w:rPr>
        <w:t>根据《</w:t>
      </w:r>
      <w:r>
        <w:rPr>
          <w:rFonts w:hint="eastAsia"/>
          <w:color w:val="auto"/>
          <w:u w:val="none" w:color="auto"/>
          <w:lang w:eastAsia="zh-CN"/>
        </w:rPr>
        <w:t>祁水祁东县治理工程初步设计报告</w:t>
      </w:r>
      <w:r>
        <w:rPr>
          <w:rFonts w:hint="eastAsia"/>
          <w:color w:val="auto"/>
          <w:u w:val="none" w:color="auto"/>
        </w:rPr>
        <w:t>》（</w:t>
      </w:r>
      <w:r>
        <w:rPr>
          <w:rFonts w:hint="eastAsia"/>
          <w:color w:val="auto"/>
          <w:u w:val="none" w:color="auto"/>
          <w:lang w:eastAsia="zh-CN"/>
        </w:rPr>
        <w:t>广东中灏勘察设计咨询有限公司</w:t>
      </w:r>
      <w:r>
        <w:rPr>
          <w:rFonts w:hint="eastAsia"/>
          <w:color w:val="auto"/>
          <w:u w:val="none" w:color="auto"/>
        </w:rPr>
        <w:t>），本工程施工组织设计内容如下。</w:t>
      </w:r>
    </w:p>
    <w:p>
      <w:pPr>
        <w:pStyle w:val="2975"/>
        <w:rPr>
          <w:color w:val="auto"/>
          <w:u w:val="none" w:color="auto"/>
        </w:rPr>
      </w:pPr>
      <w:bookmarkStart w:id="177" w:name="_Toc16373"/>
      <w:r>
        <w:rPr>
          <w:rFonts w:hint="eastAsia"/>
          <w:color w:val="auto"/>
          <w:u w:val="none" w:color="auto"/>
          <w:lang w:val="en-US" w:eastAsia="zh-CN"/>
        </w:rPr>
        <w:t>3</w:t>
      </w:r>
      <w:r>
        <w:rPr>
          <w:rFonts w:hint="eastAsia"/>
          <w:color w:val="auto"/>
          <w:u w:val="none" w:color="auto"/>
        </w:rPr>
        <w:t>.4.1工程施工</w:t>
      </w:r>
      <w:bookmarkEnd w:id="177"/>
    </w:p>
    <w:p>
      <w:pPr>
        <w:pStyle w:val="2982"/>
        <w:rPr>
          <w:color w:val="auto"/>
          <w:u w:val="none" w:color="auto"/>
        </w:rPr>
      </w:pPr>
      <w:r>
        <w:rPr>
          <w:rFonts w:hint="eastAsia"/>
          <w:color w:val="auto"/>
          <w:u w:val="none" w:color="auto"/>
          <w:lang w:val="en-US" w:eastAsia="zh-CN"/>
        </w:rPr>
        <w:t>3</w:t>
      </w:r>
      <w:r>
        <w:rPr>
          <w:rFonts w:hint="eastAsia"/>
          <w:color w:val="auto"/>
          <w:u w:val="none" w:color="auto"/>
        </w:rPr>
        <w:t>.4.1.1施工条件</w:t>
      </w:r>
    </w:p>
    <w:p>
      <w:pPr>
        <w:pStyle w:val="2974"/>
        <w:rPr>
          <w:rFonts w:hint="eastAsia"/>
          <w:color w:val="auto"/>
          <w:u w:val="none" w:color="auto"/>
        </w:rPr>
      </w:pPr>
      <w:r>
        <w:rPr>
          <w:rFonts w:hint="eastAsia"/>
          <w:color w:val="auto"/>
          <w:u w:val="none" w:color="auto"/>
        </w:rPr>
        <w:t>（1）交通及建材供应条件</w:t>
      </w:r>
    </w:p>
    <w:p>
      <w:pPr>
        <w:pStyle w:val="2974"/>
        <w:rPr>
          <w:rFonts w:hint="eastAsia"/>
          <w:color w:val="auto"/>
          <w:u w:val="none" w:color="auto"/>
        </w:rPr>
      </w:pPr>
      <w:r>
        <w:rPr>
          <w:rFonts w:hint="eastAsia"/>
          <w:color w:val="auto"/>
          <w:u w:val="none" w:color="auto"/>
        </w:rPr>
        <w:t>本工程对外交通基本上已形成，治理段岸坡顶部大部分设有机耕路，便于土料和其它材料的运输。由于无新建堤防，因此无需外运土料；砂砾石料来从祁阳浯溪河沿岸采砂场购买，至工程区平均运距56km；碎石、块石料从砖塘镇块石料场购买，至工程区平均运距20km，利用汽车运输到工地；水泥、钢筋、木材、油料均从祁东县采购，运距65km。</w:t>
      </w:r>
    </w:p>
    <w:p>
      <w:pPr>
        <w:pStyle w:val="2974"/>
        <w:rPr>
          <w:rFonts w:hint="eastAsia"/>
          <w:color w:val="auto"/>
          <w:u w:val="none" w:color="auto"/>
        </w:rPr>
      </w:pPr>
      <w:r>
        <w:rPr>
          <w:rFonts w:hint="eastAsia"/>
          <w:color w:val="auto"/>
          <w:u w:val="none" w:color="auto"/>
        </w:rPr>
        <w:t>（</w:t>
      </w:r>
      <w:r>
        <w:rPr>
          <w:rFonts w:hint="eastAsia"/>
          <w:color w:val="auto"/>
          <w:u w:val="none" w:color="auto"/>
          <w:lang w:val="en-US" w:eastAsia="zh-CN"/>
        </w:rPr>
        <w:t>2</w:t>
      </w:r>
      <w:r>
        <w:rPr>
          <w:rFonts w:hint="eastAsia"/>
          <w:color w:val="auto"/>
          <w:u w:val="none" w:color="auto"/>
        </w:rPr>
        <w:t>）护岸工程组成</w:t>
      </w:r>
    </w:p>
    <w:p>
      <w:pPr>
        <w:pStyle w:val="2974"/>
        <w:rPr>
          <w:rFonts w:hint="eastAsia"/>
          <w:color w:val="auto"/>
          <w:u w:val="none" w:color="auto"/>
        </w:rPr>
      </w:pPr>
      <w:r>
        <w:rPr>
          <w:rFonts w:hint="eastAsia"/>
          <w:color w:val="auto"/>
          <w:u w:val="none" w:color="auto"/>
        </w:rPr>
        <w:t>本工程护岸方案主要采用雷诺护坡+格宾护脚，部分采用浆砌石挡墙护坡护脚，局部采用植草砖护坡+格宾护脚。</w:t>
      </w:r>
    </w:p>
    <w:p>
      <w:pPr>
        <w:pStyle w:val="2974"/>
        <w:rPr>
          <w:rFonts w:hint="eastAsia"/>
          <w:color w:val="auto"/>
          <w:u w:val="none" w:color="auto"/>
        </w:rPr>
      </w:pPr>
      <w:r>
        <w:rPr>
          <w:rFonts w:hint="eastAsia"/>
          <w:color w:val="auto"/>
          <w:u w:val="none" w:color="auto"/>
        </w:rPr>
        <w:t>（</w:t>
      </w:r>
      <w:r>
        <w:rPr>
          <w:rFonts w:hint="eastAsia"/>
          <w:color w:val="auto"/>
          <w:u w:val="none" w:color="auto"/>
          <w:lang w:val="en-US" w:eastAsia="zh-CN"/>
        </w:rPr>
        <w:t>3</w:t>
      </w:r>
      <w:r>
        <w:rPr>
          <w:rFonts w:hint="eastAsia"/>
          <w:color w:val="auto"/>
          <w:u w:val="none" w:color="auto"/>
        </w:rPr>
        <w:t>）施工特点</w:t>
      </w:r>
    </w:p>
    <w:p>
      <w:pPr>
        <w:pStyle w:val="2974"/>
        <w:rPr>
          <w:rFonts w:hint="eastAsia"/>
          <w:color w:val="auto"/>
          <w:u w:val="none" w:color="auto"/>
        </w:rPr>
      </w:pPr>
      <w:r>
        <w:rPr>
          <w:rFonts w:hint="eastAsia"/>
          <w:color w:val="auto"/>
          <w:u w:val="none" w:color="auto"/>
        </w:rPr>
        <w:t>本工程土方数量大，以卵石、碎石及块石料为主，砼工程量不多，水位对本工程施工影响不大，常年除洪水期间，其余时段都可以施工。项目类型多，施工场地较宽广。</w:t>
      </w:r>
    </w:p>
    <w:p>
      <w:pPr>
        <w:pStyle w:val="2974"/>
        <w:rPr>
          <w:rFonts w:hint="eastAsia"/>
          <w:color w:val="auto"/>
          <w:u w:val="none" w:color="auto"/>
        </w:rPr>
      </w:pPr>
      <w:r>
        <w:rPr>
          <w:rFonts w:hint="eastAsia"/>
          <w:color w:val="auto"/>
          <w:u w:val="none" w:color="auto"/>
        </w:rPr>
        <w:t>本工程交通方便，物资、劳动力、水电供应等条件良好。</w:t>
      </w:r>
    </w:p>
    <w:p>
      <w:pPr>
        <w:pStyle w:val="2974"/>
        <w:rPr>
          <w:rFonts w:hint="eastAsia"/>
          <w:color w:val="auto"/>
          <w:u w:val="none" w:color="auto"/>
        </w:rPr>
      </w:pPr>
      <w:r>
        <w:rPr>
          <w:rFonts w:hint="eastAsia"/>
          <w:color w:val="auto"/>
          <w:u w:val="none" w:color="auto"/>
        </w:rPr>
        <w:t>（</w:t>
      </w:r>
      <w:r>
        <w:rPr>
          <w:rFonts w:hint="eastAsia"/>
          <w:color w:val="auto"/>
          <w:u w:val="none" w:color="auto"/>
          <w:lang w:val="en-US" w:eastAsia="zh-CN"/>
        </w:rPr>
        <w:t>5</w:t>
      </w:r>
      <w:r>
        <w:rPr>
          <w:rFonts w:hint="eastAsia"/>
          <w:color w:val="auto"/>
          <w:u w:val="none" w:color="auto"/>
        </w:rPr>
        <w:t>）水电供应方式</w:t>
      </w:r>
    </w:p>
    <w:p>
      <w:pPr>
        <w:pStyle w:val="2974"/>
        <w:rPr>
          <w:rFonts w:hint="eastAsia"/>
          <w:color w:val="auto"/>
          <w:u w:val="none" w:color="auto"/>
        </w:rPr>
      </w:pPr>
      <w:r>
        <w:rPr>
          <w:rFonts w:hint="eastAsia"/>
          <w:color w:val="auto"/>
          <w:u w:val="none" w:color="auto"/>
        </w:rPr>
        <w:t>由于本工程用电量较小，负荷不大，可以从村级变压器接入电源，便可满足主要工程施工用电需要。</w:t>
      </w:r>
    </w:p>
    <w:p>
      <w:pPr>
        <w:pStyle w:val="2974"/>
        <w:rPr>
          <w:rFonts w:hint="eastAsia"/>
          <w:color w:val="auto"/>
          <w:u w:val="none" w:color="auto"/>
        </w:rPr>
      </w:pPr>
      <w:r>
        <w:rPr>
          <w:rFonts w:hint="eastAsia"/>
          <w:color w:val="auto"/>
          <w:u w:val="none" w:color="auto"/>
        </w:rPr>
        <w:t>施工用水主要由河内直接抽水，生活用水暂到附近村民压水井取水。</w:t>
      </w:r>
    </w:p>
    <w:p>
      <w:pPr>
        <w:pStyle w:val="2974"/>
        <w:rPr>
          <w:rFonts w:hint="eastAsia"/>
          <w:color w:val="auto"/>
          <w:u w:val="none" w:color="auto"/>
        </w:rPr>
      </w:pPr>
      <w:r>
        <w:rPr>
          <w:rFonts w:hint="eastAsia"/>
          <w:color w:val="auto"/>
          <w:u w:val="none" w:color="auto"/>
        </w:rPr>
        <w:t>施工对外及场内通讯主要利用移动电话。</w:t>
      </w:r>
    </w:p>
    <w:p>
      <w:pPr>
        <w:pStyle w:val="2982"/>
        <w:rPr>
          <w:color w:val="auto"/>
          <w:u w:val="none" w:color="auto"/>
        </w:rPr>
      </w:pPr>
      <w:r>
        <w:rPr>
          <w:rFonts w:hint="eastAsia"/>
          <w:color w:val="auto"/>
          <w:u w:val="none" w:color="auto"/>
          <w:lang w:val="en-US" w:eastAsia="zh-CN"/>
        </w:rPr>
        <w:t>3</w:t>
      </w:r>
      <w:r>
        <w:rPr>
          <w:rFonts w:hint="eastAsia"/>
          <w:color w:val="auto"/>
          <w:u w:val="none" w:color="auto"/>
        </w:rPr>
        <w:t>.4.1.2施工围堰及度汛</w:t>
      </w:r>
    </w:p>
    <w:p>
      <w:pPr>
        <w:pStyle w:val="2974"/>
        <w:rPr>
          <w:color w:val="auto"/>
          <w:u w:val="none" w:color="auto"/>
        </w:rPr>
      </w:pPr>
      <w:r>
        <w:rPr>
          <w:rFonts w:hint="eastAsia"/>
          <w:color w:val="auto"/>
          <w:u w:val="none" w:color="auto"/>
        </w:rPr>
        <w:t>本项目区根据施工内容、项目实际情况，根据《水利水电工程施工组织设计规范》（SL303-2017）和《水利水电工程等级划分及洪水标准》（SL 252-2017）的相关规定，本工程施工围堰、导流渡汛为枯期5年一遇洪水标准。根据本工程施工特点：即枯水时段施工、河床流量较小；单项工程施工工期短，一般在一个枯水期内完建；围堰设计堰高为相应堤段的枯期5年一遇洪水位+0.5m，堰顶宽2.0m，内外坡比为1：2.0，在本段河道治理内，堤防、护岸及5处河坝改造需要围堰。围堰采用土石围堰，分为左右岸两次围堰施工，以方便施工期洪水排放。本段河道治理工程施工时间安排为6个月，从第一年10月至第二年3月。5处河坝改造工程安排在第一年11月至第二年2月之间施工。</w:t>
      </w:r>
    </w:p>
    <w:p>
      <w:pPr>
        <w:pStyle w:val="2982"/>
        <w:rPr>
          <w:color w:val="auto"/>
          <w:u w:val="none" w:color="auto"/>
        </w:rPr>
      </w:pPr>
      <w:bookmarkStart w:id="178" w:name="_Toc11320"/>
      <w:r>
        <w:rPr>
          <w:rFonts w:hint="eastAsia"/>
          <w:color w:val="auto"/>
          <w:u w:val="none" w:color="auto"/>
          <w:lang w:val="en-US" w:eastAsia="zh-CN"/>
        </w:rPr>
        <w:t>3</w:t>
      </w:r>
      <w:r>
        <w:rPr>
          <w:rFonts w:hint="eastAsia"/>
          <w:color w:val="auto"/>
          <w:u w:val="none" w:color="auto"/>
        </w:rPr>
        <w:t>.4.2</w:t>
      </w:r>
      <w:bookmarkEnd w:id="178"/>
      <w:r>
        <w:rPr>
          <w:rFonts w:hint="eastAsia"/>
          <w:color w:val="auto"/>
          <w:u w:val="none" w:color="auto"/>
        </w:rPr>
        <w:t>施工总布置</w:t>
      </w:r>
    </w:p>
    <w:p>
      <w:pPr>
        <w:pStyle w:val="2974"/>
        <w:rPr>
          <w:rFonts w:hint="eastAsia"/>
          <w:color w:val="auto"/>
          <w:u w:val="none" w:color="auto"/>
        </w:rPr>
      </w:pPr>
      <w:r>
        <w:rPr>
          <w:rFonts w:hint="eastAsia"/>
          <w:color w:val="auto"/>
          <w:u w:val="none" w:color="auto"/>
        </w:rPr>
        <w:t>本工程施工线路较长，施工较分散，故施工布置采取沿线分段集中布置的方式。施工区一般布置在堤内开敞地带及需新建的建筑物附近，要求便于施工、节约能源、减少运输、提高效率。施工区主要包括施工工厂（机械设备停放场、钢筋加工厂）、施工仓库、办公生活用房等，其中办公生活用房主要考虑租用民房，部其他生产性用房采用简易工棚。</w:t>
      </w:r>
    </w:p>
    <w:p>
      <w:pPr>
        <w:pStyle w:val="2974"/>
        <w:rPr>
          <w:rFonts w:hint="eastAsia"/>
          <w:color w:val="auto"/>
          <w:u w:val="none" w:color="auto"/>
        </w:rPr>
      </w:pPr>
      <w:r>
        <w:rPr>
          <w:rFonts w:hint="eastAsia"/>
          <w:color w:val="auto"/>
          <w:u w:val="none" w:color="auto"/>
        </w:rPr>
        <w:t>本工程施工总布置遵照有利生产、方便生活、不占或少占耕地，尽量利用原有工程设施的基本原则。</w:t>
      </w:r>
    </w:p>
    <w:p>
      <w:pPr>
        <w:pStyle w:val="2974"/>
        <w:rPr>
          <w:rFonts w:hint="eastAsia"/>
          <w:color w:val="auto"/>
          <w:u w:val="none" w:color="auto"/>
        </w:rPr>
      </w:pPr>
      <w:r>
        <w:rPr>
          <w:rFonts w:hint="eastAsia"/>
          <w:color w:val="auto"/>
          <w:u w:val="none" w:color="auto"/>
        </w:rPr>
        <w:t>主要设施有场内临时道路5条，加工厂2处。</w:t>
      </w:r>
    </w:p>
    <w:p>
      <w:pPr>
        <w:pStyle w:val="2974"/>
        <w:rPr>
          <w:rFonts w:hint="eastAsia"/>
          <w:color w:val="auto"/>
          <w:u w:val="none" w:color="auto"/>
        </w:rPr>
      </w:pPr>
      <w:r>
        <w:rPr>
          <w:rFonts w:hint="eastAsia"/>
          <w:color w:val="auto"/>
          <w:u w:val="none" w:color="auto"/>
        </w:rPr>
        <w:t>仓库及生活福利设施均以各主要项目为中心，采用分散布置的方式进行布置。</w:t>
      </w:r>
    </w:p>
    <w:p>
      <w:pPr>
        <w:pStyle w:val="2982"/>
        <w:rPr>
          <w:color w:val="auto"/>
          <w:u w:val="none" w:color="auto"/>
        </w:rPr>
      </w:pPr>
      <w:r>
        <w:rPr>
          <w:rFonts w:hint="eastAsia"/>
          <w:color w:val="auto"/>
          <w:u w:val="none" w:color="auto"/>
          <w:lang w:val="en-US" w:eastAsia="zh-CN"/>
        </w:rPr>
        <w:t>3</w:t>
      </w:r>
      <w:r>
        <w:rPr>
          <w:rFonts w:hint="eastAsia"/>
          <w:color w:val="auto"/>
          <w:u w:val="none" w:color="auto"/>
        </w:rPr>
        <w:t>.4.</w:t>
      </w:r>
      <w:r>
        <w:rPr>
          <w:rFonts w:hint="eastAsia"/>
          <w:color w:val="auto"/>
          <w:u w:val="none" w:color="auto"/>
          <w:lang w:val="en-US" w:eastAsia="zh-CN"/>
        </w:rPr>
        <w:t>3</w:t>
      </w:r>
      <w:r>
        <w:rPr>
          <w:rFonts w:hint="eastAsia"/>
          <w:color w:val="auto"/>
          <w:u w:val="none" w:color="auto"/>
        </w:rPr>
        <w:t>土石方平衡规划</w:t>
      </w:r>
    </w:p>
    <w:p>
      <w:pPr>
        <w:pStyle w:val="2974"/>
        <w:rPr>
          <w:rFonts w:hint="eastAsia"/>
          <w:color w:val="FF0000"/>
          <w:u w:val="none" w:color="auto"/>
        </w:rPr>
      </w:pPr>
      <w:r>
        <w:rPr>
          <w:rFonts w:hint="eastAsia"/>
          <w:color w:val="auto"/>
          <w:u w:val="none" w:color="auto"/>
        </w:rPr>
        <w:t>经计算，工程共需开挖土方393053.9m</w:t>
      </w:r>
      <w:r>
        <w:rPr>
          <w:rFonts w:hint="eastAsia"/>
          <w:color w:val="auto"/>
          <w:u w:val="none" w:color="auto"/>
          <w:vertAlign w:val="superscript"/>
        </w:rPr>
        <w:t>3</w:t>
      </w:r>
      <w:r>
        <w:rPr>
          <w:rFonts w:hint="eastAsia"/>
          <w:color w:val="auto"/>
          <w:u w:val="none" w:color="auto"/>
        </w:rPr>
        <w:t>，其中利用料171306.2m</w:t>
      </w:r>
      <w:r>
        <w:rPr>
          <w:rFonts w:hint="eastAsia"/>
          <w:color w:val="auto"/>
          <w:u w:val="none" w:color="auto"/>
          <w:vertAlign w:val="superscript"/>
        </w:rPr>
        <w:t>3</w:t>
      </w:r>
      <w:r>
        <w:rPr>
          <w:rFonts w:hint="eastAsia"/>
          <w:color w:val="auto"/>
          <w:u w:val="none" w:color="auto"/>
        </w:rPr>
        <w:t>，弃料147379.7m</w:t>
      </w:r>
      <w:r>
        <w:rPr>
          <w:rFonts w:hint="eastAsia"/>
          <w:color w:val="auto"/>
          <w:u w:val="none" w:color="auto"/>
          <w:vertAlign w:val="superscript"/>
        </w:rPr>
        <w:t>3</w:t>
      </w:r>
      <w:r>
        <w:rPr>
          <w:rFonts w:hint="eastAsia"/>
          <w:color w:val="auto"/>
          <w:u w:val="none" w:color="auto"/>
        </w:rPr>
        <w:t>，河道清淤74368.0m</w:t>
      </w:r>
      <w:r>
        <w:rPr>
          <w:rFonts w:hint="eastAsia"/>
          <w:color w:val="auto"/>
          <w:u w:val="none" w:color="auto"/>
          <w:vertAlign w:val="superscript"/>
        </w:rPr>
        <w:t>3</w:t>
      </w:r>
      <w:r>
        <w:rPr>
          <w:rFonts w:hint="eastAsia"/>
          <w:color w:val="auto"/>
          <w:u w:val="none" w:color="auto"/>
        </w:rPr>
        <w:t>，土方回填为152516.5m</w:t>
      </w:r>
      <w:r>
        <w:rPr>
          <w:rFonts w:hint="eastAsia"/>
          <w:color w:val="auto"/>
          <w:u w:val="none" w:color="auto"/>
          <w:vertAlign w:val="superscript"/>
        </w:rPr>
        <w:t>3</w:t>
      </w:r>
      <w:r>
        <w:rPr>
          <w:rFonts w:hint="eastAsia"/>
          <w:color w:val="auto"/>
          <w:u w:val="none" w:color="auto"/>
        </w:rPr>
        <w:t>，全部为利用料，共需石方开挖147.6m</w:t>
      </w:r>
      <w:r>
        <w:rPr>
          <w:rFonts w:hint="eastAsia"/>
          <w:color w:val="auto"/>
          <w:u w:val="none" w:color="auto"/>
          <w:vertAlign w:val="superscript"/>
        </w:rPr>
        <w:t>3</w:t>
      </w:r>
      <w:r>
        <w:rPr>
          <w:rFonts w:hint="eastAsia"/>
          <w:color w:val="auto"/>
          <w:u w:val="none" w:color="auto"/>
        </w:rPr>
        <w:t>。工程区土石方平衡分析详见下</w:t>
      </w:r>
      <w:r>
        <w:rPr>
          <w:rFonts w:hint="eastAsia"/>
          <w:color w:val="auto"/>
          <w:u w:val="none" w:color="auto"/>
          <w:lang w:eastAsia="zh-CN"/>
        </w:rPr>
        <w:t>表</w:t>
      </w:r>
      <w:r>
        <w:rPr>
          <w:rFonts w:hint="eastAsia"/>
          <w:color w:val="auto"/>
          <w:u w:val="none" w:color="auto"/>
        </w:rPr>
        <w:t>。</w:t>
      </w:r>
    </w:p>
    <w:p>
      <w:pPr>
        <w:pStyle w:val="2"/>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FF0000"/>
          <w:u w:val="none" w:color="auto"/>
        </w:rPr>
      </w:pPr>
      <w:r>
        <w:rPr>
          <w:rFonts w:hint="default" w:ascii="Times New Roman" w:hAnsi="Times New Roman" w:eastAsia="宋体" w:cs="Times New Roman"/>
          <w:b/>
          <w:bCs/>
          <w:color w:val="auto"/>
          <w:sz w:val="24"/>
          <w:szCs w:val="24"/>
          <w:lang w:val="en-US" w:eastAsia="zh-CN"/>
        </w:rPr>
        <w:t>表</w:t>
      </w:r>
      <w:r>
        <w:rPr>
          <w:rFonts w:hint="eastAsia" w:ascii="Times New Roman" w:hAnsi="Times New Roman" w:cs="Times New Roman"/>
          <w:b/>
          <w:bCs/>
          <w:color w:val="auto"/>
          <w:sz w:val="24"/>
          <w:szCs w:val="24"/>
          <w:lang w:val="en-US" w:eastAsia="zh-CN"/>
        </w:rPr>
        <w:t>3.4.3</w:t>
      </w:r>
      <w:r>
        <w:rPr>
          <w:rFonts w:hint="default" w:ascii="Times New Roman" w:hAnsi="Times New Roman" w:eastAsia="宋体" w:cs="Times New Roman"/>
          <w:b/>
          <w:bCs/>
          <w:color w:val="auto"/>
          <w:sz w:val="24"/>
          <w:szCs w:val="24"/>
          <w:lang w:val="en-US" w:eastAsia="zh-CN"/>
        </w:rPr>
        <w:t>-1工程</w:t>
      </w:r>
      <w:r>
        <w:rPr>
          <w:rFonts w:hint="eastAsia" w:ascii="Times New Roman" w:hAnsi="Times New Roman" w:eastAsia="宋体" w:cs="Times New Roman"/>
          <w:b/>
          <w:bCs/>
          <w:color w:val="auto"/>
          <w:sz w:val="24"/>
          <w:szCs w:val="24"/>
          <w:lang w:val="en-US" w:eastAsia="zh-CN"/>
        </w:rPr>
        <w:t>土石方平衡</w:t>
      </w:r>
      <w:r>
        <w:rPr>
          <w:rFonts w:hint="default" w:ascii="Times New Roman" w:hAnsi="Times New Roman" w:eastAsia="宋体" w:cs="Times New Roman"/>
          <w:b/>
          <w:bCs/>
          <w:color w:val="auto"/>
          <w:sz w:val="24"/>
          <w:szCs w:val="24"/>
          <w:lang w:val="en-US" w:eastAsia="zh-CN"/>
        </w:rPr>
        <w:t>表</w:t>
      </w:r>
      <w:r>
        <w:rPr>
          <w:rFonts w:hint="eastAsia" w:ascii="Times New Roman" w:hAnsi="Times New Roman" w:eastAsia="宋体" w:cs="Times New Roman"/>
          <w:b/>
          <w:bCs/>
          <w:color w:val="auto"/>
          <w:sz w:val="24"/>
          <w:szCs w:val="24"/>
          <w:lang w:val="en-US" w:eastAsia="zh-CN"/>
        </w:rPr>
        <w:t>（m</w:t>
      </w:r>
      <w:r>
        <w:rPr>
          <w:rFonts w:hint="eastAsia" w:ascii="Times New Roman" w:hAnsi="Times New Roman" w:cs="Times New Roman"/>
          <w:b/>
          <w:bCs/>
          <w:color w:val="auto"/>
          <w:sz w:val="24"/>
          <w:szCs w:val="24"/>
          <w:vertAlign w:val="superscript"/>
          <w:lang w:val="en-US" w:eastAsia="zh-CN"/>
        </w:rPr>
        <w:t>3</w:t>
      </w:r>
      <w:r>
        <w:rPr>
          <w:rFonts w:hint="eastAsia" w:ascii="Times New Roman" w:hAnsi="Times New Roman" w:eastAsia="宋体" w:cs="Times New Roman"/>
          <w:b/>
          <w:bCs/>
          <w:color w:val="auto"/>
          <w:sz w:val="24"/>
          <w:szCs w:val="24"/>
          <w:lang w:val="en-US" w:eastAsia="zh-CN"/>
        </w:rPr>
        <w:t>）</w:t>
      </w:r>
    </w:p>
    <w:tbl>
      <w:tblPr>
        <w:tblStyle w:val="89"/>
        <w:tblW w:w="874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2977"/>
        <w:gridCol w:w="992"/>
        <w:gridCol w:w="1134"/>
        <w:gridCol w:w="851"/>
        <w:gridCol w:w="992"/>
        <w:gridCol w:w="9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blHeader/>
          <w:jc w:val="center"/>
        </w:trPr>
        <w:tc>
          <w:tcPr>
            <w:tcW w:w="850" w:type="dxa"/>
            <w:shd w:val="clear" w:color="auto" w:fill="auto"/>
            <w:noWrap/>
            <w:vAlign w:val="center"/>
          </w:tcPr>
          <w:p>
            <w:pPr>
              <w:pStyle w:val="2986"/>
              <w:rPr>
                <w:sz w:val="18"/>
                <w:szCs w:val="18"/>
              </w:rPr>
            </w:pPr>
            <w:r>
              <w:rPr>
                <w:rFonts w:hint="eastAsia"/>
                <w:sz w:val="18"/>
                <w:szCs w:val="18"/>
              </w:rPr>
              <w:t>序号</w:t>
            </w:r>
          </w:p>
        </w:tc>
        <w:tc>
          <w:tcPr>
            <w:tcW w:w="2977" w:type="dxa"/>
            <w:shd w:val="clear" w:color="auto" w:fill="auto"/>
            <w:noWrap/>
            <w:vAlign w:val="center"/>
          </w:tcPr>
          <w:p>
            <w:pPr>
              <w:pStyle w:val="2986"/>
              <w:rPr>
                <w:sz w:val="18"/>
                <w:szCs w:val="18"/>
              </w:rPr>
            </w:pPr>
            <w:r>
              <w:rPr>
                <w:rFonts w:hint="eastAsia"/>
                <w:sz w:val="18"/>
                <w:szCs w:val="18"/>
              </w:rPr>
              <w:t>工程或费用名称</w:t>
            </w:r>
          </w:p>
        </w:tc>
        <w:tc>
          <w:tcPr>
            <w:tcW w:w="992" w:type="dxa"/>
            <w:shd w:val="clear" w:color="auto" w:fill="auto"/>
            <w:noWrap w:val="0"/>
            <w:vAlign w:val="center"/>
          </w:tcPr>
          <w:p>
            <w:pPr>
              <w:pStyle w:val="2986"/>
              <w:rPr>
                <w:rFonts w:hint="eastAsia"/>
                <w:sz w:val="18"/>
                <w:szCs w:val="18"/>
              </w:rPr>
            </w:pPr>
            <w:r>
              <w:rPr>
                <w:rFonts w:hint="eastAsia"/>
                <w:sz w:val="18"/>
                <w:szCs w:val="18"/>
              </w:rPr>
              <w:t>土方开挖利用料</w:t>
            </w:r>
          </w:p>
          <w:p>
            <w:pPr>
              <w:pStyle w:val="2986"/>
              <w:rPr>
                <w:sz w:val="18"/>
                <w:szCs w:val="18"/>
              </w:rPr>
            </w:pPr>
            <w:r>
              <w:rPr>
                <w:rFonts w:hint="eastAsia"/>
                <w:sz w:val="18"/>
                <w:szCs w:val="18"/>
              </w:rPr>
              <w:t>(m³)</w:t>
            </w:r>
          </w:p>
        </w:tc>
        <w:tc>
          <w:tcPr>
            <w:tcW w:w="1134" w:type="dxa"/>
            <w:shd w:val="clear" w:color="auto" w:fill="auto"/>
            <w:noWrap w:val="0"/>
            <w:vAlign w:val="center"/>
          </w:tcPr>
          <w:p>
            <w:pPr>
              <w:pStyle w:val="2986"/>
              <w:rPr>
                <w:sz w:val="18"/>
                <w:szCs w:val="18"/>
              </w:rPr>
            </w:pPr>
            <w:r>
              <w:rPr>
                <w:rFonts w:hint="eastAsia"/>
                <w:sz w:val="18"/>
                <w:szCs w:val="18"/>
              </w:rPr>
              <w:t>土方开挖弃料(m³)</w:t>
            </w:r>
          </w:p>
        </w:tc>
        <w:tc>
          <w:tcPr>
            <w:tcW w:w="851" w:type="dxa"/>
            <w:shd w:val="clear" w:color="auto" w:fill="auto"/>
            <w:noWrap w:val="0"/>
            <w:vAlign w:val="center"/>
          </w:tcPr>
          <w:p>
            <w:pPr>
              <w:pStyle w:val="2986"/>
              <w:rPr>
                <w:sz w:val="18"/>
                <w:szCs w:val="18"/>
              </w:rPr>
            </w:pPr>
            <w:r>
              <w:rPr>
                <w:rFonts w:hint="eastAsia"/>
                <w:sz w:val="18"/>
                <w:szCs w:val="18"/>
              </w:rPr>
              <w:t>清淤</w:t>
            </w:r>
            <w:r>
              <w:rPr>
                <w:rFonts w:hint="eastAsia"/>
                <w:sz w:val="18"/>
                <w:szCs w:val="18"/>
              </w:rPr>
              <w:br w:type="textWrapping"/>
            </w:r>
            <w:r>
              <w:rPr>
                <w:rFonts w:hint="eastAsia"/>
                <w:sz w:val="18"/>
                <w:szCs w:val="18"/>
              </w:rPr>
              <w:t>(m³)</w:t>
            </w:r>
          </w:p>
        </w:tc>
        <w:tc>
          <w:tcPr>
            <w:tcW w:w="992" w:type="dxa"/>
            <w:shd w:val="clear" w:color="auto" w:fill="auto"/>
            <w:noWrap w:val="0"/>
            <w:vAlign w:val="center"/>
          </w:tcPr>
          <w:p>
            <w:pPr>
              <w:pStyle w:val="2986"/>
              <w:rPr>
                <w:sz w:val="18"/>
                <w:szCs w:val="18"/>
              </w:rPr>
            </w:pPr>
            <w:r>
              <w:rPr>
                <w:rFonts w:hint="eastAsia"/>
                <w:sz w:val="18"/>
                <w:szCs w:val="18"/>
              </w:rPr>
              <w:t>石方开挖</w:t>
            </w:r>
            <w:r>
              <w:rPr>
                <w:rFonts w:hint="eastAsia"/>
                <w:sz w:val="18"/>
                <w:szCs w:val="18"/>
              </w:rPr>
              <w:br w:type="textWrapping"/>
            </w:r>
            <w:r>
              <w:rPr>
                <w:rFonts w:hint="eastAsia"/>
                <w:sz w:val="18"/>
                <w:szCs w:val="18"/>
              </w:rPr>
              <w:t>(m³)</w:t>
            </w:r>
          </w:p>
        </w:tc>
        <w:tc>
          <w:tcPr>
            <w:tcW w:w="945" w:type="dxa"/>
            <w:shd w:val="clear" w:color="auto" w:fill="auto"/>
            <w:noWrap w:val="0"/>
            <w:vAlign w:val="center"/>
          </w:tcPr>
          <w:p>
            <w:pPr>
              <w:pStyle w:val="2986"/>
              <w:rPr>
                <w:rFonts w:hint="eastAsia"/>
                <w:sz w:val="18"/>
                <w:szCs w:val="18"/>
              </w:rPr>
            </w:pPr>
            <w:r>
              <w:rPr>
                <w:rFonts w:hint="eastAsia"/>
                <w:sz w:val="18"/>
                <w:szCs w:val="18"/>
              </w:rPr>
              <w:t>土方填筑利用料</w:t>
            </w:r>
          </w:p>
          <w:p>
            <w:pPr>
              <w:pStyle w:val="2986"/>
              <w:rPr>
                <w:sz w:val="18"/>
                <w:szCs w:val="18"/>
              </w:rPr>
            </w:pPr>
            <w:r>
              <w:rPr>
                <w:rFonts w:hint="eastAsia"/>
                <w:sz w:val="18"/>
                <w:szCs w:val="18"/>
              </w:rPr>
              <w:t>(m³)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shd w:val="clear" w:color="auto" w:fill="auto"/>
            <w:noWrap/>
            <w:vAlign w:val="center"/>
          </w:tcPr>
          <w:p>
            <w:pPr>
              <w:pStyle w:val="2986"/>
              <w:rPr>
                <w:b/>
                <w:bCs/>
                <w:sz w:val="18"/>
                <w:szCs w:val="18"/>
              </w:rPr>
            </w:pPr>
            <w:r>
              <w:rPr>
                <w:rFonts w:hint="eastAsia"/>
                <w:b/>
                <w:bCs/>
                <w:sz w:val="18"/>
                <w:szCs w:val="18"/>
              </w:rPr>
              <w:t>　</w:t>
            </w:r>
          </w:p>
        </w:tc>
        <w:tc>
          <w:tcPr>
            <w:tcW w:w="2977" w:type="dxa"/>
            <w:shd w:val="clear" w:color="auto" w:fill="auto"/>
            <w:noWrap w:val="0"/>
            <w:vAlign w:val="center"/>
          </w:tcPr>
          <w:p>
            <w:pPr>
              <w:pStyle w:val="2986"/>
              <w:rPr>
                <w:b/>
                <w:bCs/>
                <w:sz w:val="18"/>
                <w:szCs w:val="18"/>
              </w:rPr>
            </w:pPr>
            <w:r>
              <w:rPr>
                <w:rFonts w:hint="eastAsia"/>
                <w:b/>
                <w:bCs/>
                <w:sz w:val="18"/>
                <w:szCs w:val="18"/>
              </w:rPr>
              <w:t>第一部分 建筑工程</w:t>
            </w:r>
          </w:p>
        </w:tc>
        <w:tc>
          <w:tcPr>
            <w:tcW w:w="992" w:type="dxa"/>
            <w:shd w:val="clear" w:color="auto" w:fill="auto"/>
            <w:noWrap w:val="0"/>
            <w:vAlign w:val="center"/>
          </w:tcPr>
          <w:p>
            <w:pPr>
              <w:jc w:val="center"/>
              <w:rPr>
                <w:rFonts w:ascii="Times New Roman" w:hAnsi="Times New Roman"/>
                <w:b/>
                <w:bCs/>
                <w:sz w:val="18"/>
                <w:szCs w:val="18"/>
              </w:rPr>
            </w:pPr>
            <w:r>
              <w:rPr>
                <w:rFonts w:ascii="Times New Roman" w:hAnsi="Times New Roman"/>
                <w:b/>
                <w:bCs/>
                <w:sz w:val="18"/>
                <w:szCs w:val="18"/>
              </w:rPr>
              <w:t>171306.2</w:t>
            </w:r>
          </w:p>
        </w:tc>
        <w:tc>
          <w:tcPr>
            <w:tcW w:w="1134" w:type="dxa"/>
            <w:shd w:val="clear" w:color="auto" w:fill="auto"/>
            <w:noWrap w:val="0"/>
            <w:vAlign w:val="center"/>
          </w:tcPr>
          <w:p>
            <w:pPr>
              <w:jc w:val="center"/>
              <w:rPr>
                <w:rFonts w:ascii="Times New Roman" w:hAnsi="Times New Roman"/>
                <w:b/>
                <w:bCs/>
                <w:sz w:val="18"/>
                <w:szCs w:val="18"/>
              </w:rPr>
            </w:pPr>
            <w:r>
              <w:rPr>
                <w:rFonts w:ascii="Times New Roman" w:hAnsi="Times New Roman"/>
                <w:b/>
                <w:bCs/>
                <w:sz w:val="18"/>
                <w:szCs w:val="18"/>
              </w:rPr>
              <w:t>160795.4</w:t>
            </w:r>
          </w:p>
        </w:tc>
        <w:tc>
          <w:tcPr>
            <w:tcW w:w="851" w:type="dxa"/>
            <w:shd w:val="clear" w:color="auto" w:fill="auto"/>
            <w:noWrap w:val="0"/>
            <w:vAlign w:val="center"/>
          </w:tcPr>
          <w:p>
            <w:pPr>
              <w:pStyle w:val="2986"/>
              <w:rPr>
                <w:b/>
                <w:bCs/>
                <w:sz w:val="18"/>
                <w:szCs w:val="18"/>
              </w:rPr>
            </w:pPr>
            <w:r>
              <w:rPr>
                <w:rFonts w:hint="eastAsia"/>
                <w:b/>
                <w:bCs/>
                <w:sz w:val="18"/>
                <w:szCs w:val="18"/>
              </w:rPr>
              <w:t>74368.0</w:t>
            </w:r>
          </w:p>
        </w:tc>
        <w:tc>
          <w:tcPr>
            <w:tcW w:w="992" w:type="dxa"/>
            <w:shd w:val="clear" w:color="auto" w:fill="auto"/>
            <w:noWrap w:val="0"/>
            <w:vAlign w:val="center"/>
          </w:tcPr>
          <w:p>
            <w:pPr>
              <w:pStyle w:val="2986"/>
              <w:rPr>
                <w:b/>
                <w:bCs/>
                <w:sz w:val="18"/>
                <w:szCs w:val="18"/>
              </w:rPr>
            </w:pPr>
            <w:r>
              <w:rPr>
                <w:rFonts w:hint="eastAsia"/>
                <w:b/>
                <w:bCs/>
                <w:sz w:val="18"/>
                <w:szCs w:val="18"/>
              </w:rPr>
              <w:t>147.6</w:t>
            </w:r>
          </w:p>
        </w:tc>
        <w:tc>
          <w:tcPr>
            <w:tcW w:w="945" w:type="dxa"/>
            <w:shd w:val="clear" w:color="auto" w:fill="auto"/>
            <w:noWrap w:val="0"/>
            <w:vAlign w:val="center"/>
          </w:tcPr>
          <w:p>
            <w:pPr>
              <w:pStyle w:val="2986"/>
              <w:rPr>
                <w:b/>
                <w:bCs/>
                <w:sz w:val="18"/>
                <w:szCs w:val="18"/>
              </w:rPr>
            </w:pPr>
            <w:r>
              <w:rPr>
                <w:rFonts w:hint="eastAsia"/>
                <w:b/>
                <w:bCs/>
                <w:sz w:val="18"/>
                <w:szCs w:val="18"/>
              </w:rPr>
              <w:t>145610.3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shd w:val="clear" w:color="auto" w:fill="auto"/>
            <w:noWrap w:val="0"/>
            <w:vAlign w:val="center"/>
          </w:tcPr>
          <w:p>
            <w:pPr>
              <w:pStyle w:val="2986"/>
              <w:rPr>
                <w:b/>
                <w:bCs/>
                <w:sz w:val="18"/>
                <w:szCs w:val="18"/>
              </w:rPr>
            </w:pPr>
            <w:r>
              <w:rPr>
                <w:rFonts w:hint="eastAsia"/>
                <w:b/>
                <w:bCs/>
                <w:sz w:val="18"/>
                <w:szCs w:val="18"/>
              </w:rPr>
              <w:t>一</w:t>
            </w:r>
          </w:p>
        </w:tc>
        <w:tc>
          <w:tcPr>
            <w:tcW w:w="2977" w:type="dxa"/>
            <w:shd w:val="clear" w:color="auto" w:fill="auto"/>
            <w:noWrap w:val="0"/>
            <w:vAlign w:val="center"/>
          </w:tcPr>
          <w:p>
            <w:pPr>
              <w:pStyle w:val="2986"/>
              <w:rPr>
                <w:b/>
                <w:bCs/>
                <w:sz w:val="18"/>
                <w:szCs w:val="18"/>
              </w:rPr>
            </w:pPr>
            <w:r>
              <w:rPr>
                <w:rFonts w:hint="eastAsia"/>
                <w:b/>
                <w:bCs/>
                <w:sz w:val="18"/>
                <w:szCs w:val="18"/>
              </w:rPr>
              <w:t>护岸工程(L=27838m)</w:t>
            </w:r>
          </w:p>
        </w:tc>
        <w:tc>
          <w:tcPr>
            <w:tcW w:w="992" w:type="dxa"/>
            <w:shd w:val="clear" w:color="auto" w:fill="auto"/>
            <w:noWrap w:val="0"/>
            <w:vAlign w:val="center"/>
          </w:tcPr>
          <w:p>
            <w:pPr>
              <w:jc w:val="center"/>
              <w:rPr>
                <w:rFonts w:ascii="Times New Roman" w:hAnsi="Times New Roman"/>
                <w:b/>
                <w:bCs/>
                <w:sz w:val="18"/>
                <w:szCs w:val="18"/>
              </w:rPr>
            </w:pPr>
            <w:r>
              <w:rPr>
                <w:rFonts w:ascii="Times New Roman" w:hAnsi="Times New Roman"/>
                <w:b/>
                <w:bCs/>
                <w:sz w:val="18"/>
                <w:szCs w:val="18"/>
              </w:rPr>
              <w:t>168541.5</w:t>
            </w:r>
          </w:p>
        </w:tc>
        <w:tc>
          <w:tcPr>
            <w:tcW w:w="1134" w:type="dxa"/>
            <w:shd w:val="clear" w:color="auto" w:fill="auto"/>
            <w:noWrap w:val="0"/>
            <w:vAlign w:val="center"/>
          </w:tcPr>
          <w:p>
            <w:pPr>
              <w:jc w:val="center"/>
              <w:rPr>
                <w:rFonts w:ascii="Times New Roman" w:hAnsi="Times New Roman"/>
                <w:b/>
                <w:bCs/>
                <w:sz w:val="18"/>
                <w:szCs w:val="18"/>
              </w:rPr>
            </w:pPr>
            <w:r>
              <w:rPr>
                <w:rFonts w:ascii="Times New Roman" w:hAnsi="Times New Roman"/>
                <w:b/>
                <w:bCs/>
                <w:sz w:val="18"/>
                <w:szCs w:val="18"/>
              </w:rPr>
              <w:t>137254.7</w:t>
            </w:r>
          </w:p>
        </w:tc>
        <w:tc>
          <w:tcPr>
            <w:tcW w:w="851" w:type="dxa"/>
            <w:shd w:val="clear" w:color="auto" w:fill="auto"/>
            <w:noWrap w:val="0"/>
            <w:vAlign w:val="center"/>
          </w:tcPr>
          <w:p>
            <w:pPr>
              <w:pStyle w:val="2986"/>
              <w:rPr>
                <w:b/>
                <w:bCs/>
                <w:sz w:val="18"/>
                <w:szCs w:val="18"/>
              </w:rPr>
            </w:pPr>
            <w:r>
              <w:rPr>
                <w:rFonts w:hint="eastAsia"/>
                <w:b/>
                <w:bCs/>
                <w:sz w:val="18"/>
                <w:szCs w:val="18"/>
              </w:rPr>
              <w:t>　</w:t>
            </w:r>
          </w:p>
        </w:tc>
        <w:tc>
          <w:tcPr>
            <w:tcW w:w="992" w:type="dxa"/>
            <w:shd w:val="clear" w:color="auto" w:fill="auto"/>
            <w:noWrap/>
            <w:vAlign w:val="center"/>
          </w:tcPr>
          <w:p>
            <w:pPr>
              <w:pStyle w:val="2986"/>
              <w:rPr>
                <w:b/>
                <w:bCs/>
                <w:sz w:val="18"/>
                <w:szCs w:val="18"/>
              </w:rPr>
            </w:pPr>
            <w:r>
              <w:rPr>
                <w:rFonts w:hint="eastAsia"/>
                <w:b/>
                <w:bCs/>
                <w:sz w:val="18"/>
                <w:szCs w:val="18"/>
              </w:rPr>
              <w:t>　</w:t>
            </w:r>
          </w:p>
        </w:tc>
        <w:tc>
          <w:tcPr>
            <w:tcW w:w="945" w:type="dxa"/>
            <w:shd w:val="clear" w:color="auto" w:fill="auto"/>
            <w:noWrap w:val="0"/>
            <w:vAlign w:val="center"/>
          </w:tcPr>
          <w:p>
            <w:pPr>
              <w:pStyle w:val="2986"/>
              <w:rPr>
                <w:b/>
                <w:bCs/>
                <w:sz w:val="18"/>
                <w:szCs w:val="18"/>
              </w:rPr>
            </w:pPr>
            <w:r>
              <w:rPr>
                <w:rFonts w:hint="eastAsia"/>
                <w:b/>
                <w:bCs/>
                <w:sz w:val="18"/>
                <w:szCs w:val="18"/>
              </w:rPr>
              <w:t>143260.2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shd w:val="clear" w:color="auto" w:fill="auto"/>
            <w:noWrap w:val="0"/>
            <w:vAlign w:val="center"/>
          </w:tcPr>
          <w:p>
            <w:pPr>
              <w:pStyle w:val="2986"/>
              <w:rPr>
                <w:sz w:val="18"/>
                <w:szCs w:val="18"/>
              </w:rPr>
            </w:pPr>
            <w:r>
              <w:rPr>
                <w:rFonts w:hint="eastAsia"/>
                <w:sz w:val="18"/>
                <w:szCs w:val="18"/>
              </w:rPr>
              <w:t>（一）</w:t>
            </w:r>
          </w:p>
        </w:tc>
        <w:tc>
          <w:tcPr>
            <w:tcW w:w="2977" w:type="dxa"/>
            <w:shd w:val="clear" w:color="auto" w:fill="auto"/>
            <w:noWrap w:val="0"/>
            <w:vAlign w:val="center"/>
          </w:tcPr>
          <w:p>
            <w:pPr>
              <w:pStyle w:val="2986"/>
              <w:rPr>
                <w:sz w:val="18"/>
                <w:szCs w:val="18"/>
              </w:rPr>
            </w:pPr>
            <w:r>
              <w:rPr>
                <w:rFonts w:hint="eastAsia"/>
                <w:sz w:val="18"/>
                <w:szCs w:val="18"/>
              </w:rPr>
              <w:t>太和堂段左岸护岸工程(L=11809m)</w:t>
            </w:r>
          </w:p>
        </w:tc>
        <w:tc>
          <w:tcPr>
            <w:tcW w:w="992"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80709.4</w:t>
            </w:r>
          </w:p>
        </w:tc>
        <w:tc>
          <w:tcPr>
            <w:tcW w:w="1134"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68452.1</w:t>
            </w:r>
          </w:p>
        </w:tc>
        <w:tc>
          <w:tcPr>
            <w:tcW w:w="851" w:type="dxa"/>
            <w:shd w:val="clear" w:color="auto" w:fill="auto"/>
            <w:noWrap w:val="0"/>
            <w:vAlign w:val="center"/>
          </w:tcPr>
          <w:p>
            <w:pPr>
              <w:pStyle w:val="2986"/>
              <w:rPr>
                <w:sz w:val="18"/>
                <w:szCs w:val="18"/>
              </w:rPr>
            </w:pPr>
            <w:r>
              <w:rPr>
                <w:rFonts w:hint="eastAsia"/>
                <w:sz w:val="18"/>
                <w:szCs w:val="18"/>
              </w:rPr>
              <w:t>　</w:t>
            </w:r>
          </w:p>
        </w:tc>
        <w:tc>
          <w:tcPr>
            <w:tcW w:w="992" w:type="dxa"/>
            <w:shd w:val="clear" w:color="auto" w:fill="auto"/>
            <w:noWrap/>
            <w:vAlign w:val="center"/>
          </w:tcPr>
          <w:p>
            <w:pPr>
              <w:pStyle w:val="2986"/>
              <w:rPr>
                <w:sz w:val="18"/>
                <w:szCs w:val="18"/>
              </w:rPr>
            </w:pPr>
            <w:r>
              <w:rPr>
                <w:rFonts w:hint="eastAsia"/>
                <w:sz w:val="18"/>
                <w:szCs w:val="18"/>
              </w:rPr>
              <w:t>　</w:t>
            </w:r>
          </w:p>
        </w:tc>
        <w:tc>
          <w:tcPr>
            <w:tcW w:w="945" w:type="dxa"/>
            <w:shd w:val="clear" w:color="auto" w:fill="auto"/>
            <w:noWrap w:val="0"/>
            <w:vAlign w:val="center"/>
          </w:tcPr>
          <w:p>
            <w:pPr>
              <w:pStyle w:val="2986"/>
              <w:rPr>
                <w:sz w:val="18"/>
                <w:szCs w:val="18"/>
              </w:rPr>
            </w:pPr>
            <w:r>
              <w:rPr>
                <w:rFonts w:hint="eastAsia"/>
                <w:sz w:val="18"/>
                <w:szCs w:val="18"/>
              </w:rPr>
              <w:t>68603.0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shd w:val="clear" w:color="auto" w:fill="auto"/>
            <w:noWrap w:val="0"/>
            <w:vAlign w:val="center"/>
          </w:tcPr>
          <w:p>
            <w:pPr>
              <w:pStyle w:val="2986"/>
              <w:rPr>
                <w:sz w:val="18"/>
                <w:szCs w:val="18"/>
              </w:rPr>
            </w:pPr>
            <w:r>
              <w:rPr>
                <w:rFonts w:hint="eastAsia"/>
                <w:sz w:val="18"/>
                <w:szCs w:val="18"/>
              </w:rPr>
              <w:t>（二）</w:t>
            </w:r>
          </w:p>
        </w:tc>
        <w:tc>
          <w:tcPr>
            <w:tcW w:w="2977" w:type="dxa"/>
            <w:shd w:val="clear" w:color="auto" w:fill="auto"/>
            <w:noWrap w:val="0"/>
            <w:vAlign w:val="center"/>
          </w:tcPr>
          <w:p>
            <w:pPr>
              <w:pStyle w:val="2986"/>
              <w:rPr>
                <w:sz w:val="18"/>
                <w:szCs w:val="18"/>
              </w:rPr>
            </w:pPr>
            <w:r>
              <w:rPr>
                <w:rFonts w:hint="eastAsia"/>
                <w:sz w:val="18"/>
                <w:szCs w:val="18"/>
              </w:rPr>
              <w:t>太和堂段右岸护岸工程(L=13175m)</w:t>
            </w:r>
          </w:p>
        </w:tc>
        <w:tc>
          <w:tcPr>
            <w:tcW w:w="992"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86331.5</w:t>
            </w:r>
          </w:p>
        </w:tc>
        <w:tc>
          <w:tcPr>
            <w:tcW w:w="1134"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59503.2</w:t>
            </w:r>
          </w:p>
        </w:tc>
        <w:tc>
          <w:tcPr>
            <w:tcW w:w="851" w:type="dxa"/>
            <w:shd w:val="clear" w:color="auto" w:fill="auto"/>
            <w:noWrap w:val="0"/>
            <w:vAlign w:val="center"/>
          </w:tcPr>
          <w:p>
            <w:pPr>
              <w:pStyle w:val="2986"/>
              <w:rPr>
                <w:sz w:val="18"/>
                <w:szCs w:val="18"/>
              </w:rPr>
            </w:pPr>
            <w:r>
              <w:rPr>
                <w:rFonts w:hint="eastAsia"/>
                <w:sz w:val="18"/>
                <w:szCs w:val="18"/>
              </w:rPr>
              <w:t>　</w:t>
            </w:r>
          </w:p>
        </w:tc>
        <w:tc>
          <w:tcPr>
            <w:tcW w:w="992" w:type="dxa"/>
            <w:shd w:val="clear" w:color="auto" w:fill="auto"/>
            <w:noWrap/>
            <w:vAlign w:val="center"/>
          </w:tcPr>
          <w:p>
            <w:pPr>
              <w:pStyle w:val="2986"/>
              <w:rPr>
                <w:sz w:val="18"/>
                <w:szCs w:val="18"/>
              </w:rPr>
            </w:pPr>
            <w:r>
              <w:rPr>
                <w:rFonts w:hint="eastAsia"/>
                <w:sz w:val="18"/>
                <w:szCs w:val="18"/>
              </w:rPr>
              <w:t>　</w:t>
            </w:r>
          </w:p>
        </w:tc>
        <w:tc>
          <w:tcPr>
            <w:tcW w:w="945" w:type="dxa"/>
            <w:shd w:val="clear" w:color="auto" w:fill="auto"/>
            <w:noWrap w:val="0"/>
            <w:vAlign w:val="center"/>
          </w:tcPr>
          <w:p>
            <w:pPr>
              <w:pStyle w:val="2986"/>
              <w:rPr>
                <w:sz w:val="18"/>
                <w:szCs w:val="18"/>
              </w:rPr>
            </w:pPr>
            <w:r>
              <w:rPr>
                <w:rFonts w:hint="eastAsia"/>
                <w:sz w:val="18"/>
                <w:szCs w:val="18"/>
              </w:rPr>
              <w:t>73381.8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shd w:val="clear" w:color="auto" w:fill="auto"/>
            <w:noWrap w:val="0"/>
            <w:vAlign w:val="center"/>
          </w:tcPr>
          <w:p>
            <w:pPr>
              <w:pStyle w:val="2986"/>
              <w:rPr>
                <w:sz w:val="18"/>
                <w:szCs w:val="18"/>
              </w:rPr>
            </w:pPr>
            <w:r>
              <w:rPr>
                <w:rFonts w:hint="eastAsia"/>
                <w:sz w:val="18"/>
                <w:szCs w:val="18"/>
              </w:rPr>
              <w:t>（三）</w:t>
            </w:r>
          </w:p>
        </w:tc>
        <w:tc>
          <w:tcPr>
            <w:tcW w:w="2977" w:type="dxa"/>
            <w:shd w:val="clear" w:color="auto" w:fill="auto"/>
            <w:noWrap w:val="0"/>
            <w:vAlign w:val="center"/>
          </w:tcPr>
          <w:p>
            <w:pPr>
              <w:pStyle w:val="2986"/>
              <w:rPr>
                <w:sz w:val="18"/>
                <w:szCs w:val="18"/>
              </w:rPr>
            </w:pPr>
            <w:r>
              <w:rPr>
                <w:rFonts w:hint="eastAsia"/>
                <w:sz w:val="18"/>
                <w:szCs w:val="18"/>
              </w:rPr>
              <w:t>祁水源段岸坡整治(L=2854m)</w:t>
            </w:r>
          </w:p>
        </w:tc>
        <w:tc>
          <w:tcPr>
            <w:tcW w:w="992"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1500.6</w:t>
            </w:r>
          </w:p>
        </w:tc>
        <w:tc>
          <w:tcPr>
            <w:tcW w:w="1134"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9299.4</w:t>
            </w:r>
          </w:p>
        </w:tc>
        <w:tc>
          <w:tcPr>
            <w:tcW w:w="851" w:type="dxa"/>
            <w:shd w:val="clear" w:color="auto" w:fill="auto"/>
            <w:noWrap w:val="0"/>
            <w:vAlign w:val="center"/>
          </w:tcPr>
          <w:p>
            <w:pPr>
              <w:pStyle w:val="2986"/>
              <w:rPr>
                <w:sz w:val="18"/>
                <w:szCs w:val="18"/>
              </w:rPr>
            </w:pPr>
            <w:r>
              <w:rPr>
                <w:rFonts w:hint="eastAsia"/>
                <w:sz w:val="18"/>
                <w:szCs w:val="18"/>
              </w:rPr>
              <w:t>　</w:t>
            </w:r>
          </w:p>
        </w:tc>
        <w:tc>
          <w:tcPr>
            <w:tcW w:w="992" w:type="dxa"/>
            <w:shd w:val="clear" w:color="auto" w:fill="auto"/>
            <w:noWrap/>
            <w:vAlign w:val="center"/>
          </w:tcPr>
          <w:p>
            <w:pPr>
              <w:pStyle w:val="2986"/>
              <w:rPr>
                <w:sz w:val="18"/>
                <w:szCs w:val="18"/>
              </w:rPr>
            </w:pPr>
            <w:r>
              <w:rPr>
                <w:rFonts w:hint="eastAsia"/>
                <w:sz w:val="18"/>
                <w:szCs w:val="18"/>
              </w:rPr>
              <w:t>　</w:t>
            </w:r>
          </w:p>
        </w:tc>
        <w:tc>
          <w:tcPr>
            <w:tcW w:w="945" w:type="dxa"/>
            <w:shd w:val="clear" w:color="auto" w:fill="auto"/>
            <w:noWrap w:val="0"/>
            <w:vAlign w:val="center"/>
          </w:tcPr>
          <w:p>
            <w:pPr>
              <w:pStyle w:val="2986"/>
              <w:rPr>
                <w:sz w:val="18"/>
                <w:szCs w:val="18"/>
              </w:rPr>
            </w:pPr>
            <w:r>
              <w:rPr>
                <w:rFonts w:hint="eastAsia"/>
                <w:sz w:val="18"/>
                <w:szCs w:val="18"/>
              </w:rPr>
              <w:t>1275.5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shd w:val="clear" w:color="auto" w:fill="auto"/>
            <w:noWrap w:val="0"/>
            <w:vAlign w:val="center"/>
          </w:tcPr>
          <w:p>
            <w:pPr>
              <w:pStyle w:val="2986"/>
              <w:rPr>
                <w:b/>
                <w:bCs/>
                <w:sz w:val="18"/>
                <w:szCs w:val="18"/>
              </w:rPr>
            </w:pPr>
            <w:r>
              <w:rPr>
                <w:rFonts w:hint="eastAsia"/>
                <w:b/>
                <w:bCs/>
                <w:sz w:val="18"/>
                <w:szCs w:val="18"/>
              </w:rPr>
              <w:t>二</w:t>
            </w:r>
          </w:p>
        </w:tc>
        <w:tc>
          <w:tcPr>
            <w:tcW w:w="2977" w:type="dxa"/>
            <w:shd w:val="clear" w:color="auto" w:fill="auto"/>
            <w:noWrap w:val="0"/>
            <w:vAlign w:val="center"/>
          </w:tcPr>
          <w:p>
            <w:pPr>
              <w:pStyle w:val="2986"/>
              <w:rPr>
                <w:b/>
                <w:bCs/>
                <w:sz w:val="18"/>
                <w:szCs w:val="18"/>
              </w:rPr>
            </w:pPr>
            <w:r>
              <w:rPr>
                <w:rFonts w:hint="eastAsia"/>
                <w:b/>
                <w:bCs/>
                <w:sz w:val="18"/>
                <w:szCs w:val="18"/>
              </w:rPr>
              <w:t>清淤疏浚工程(L=14619m)</w:t>
            </w:r>
          </w:p>
        </w:tc>
        <w:tc>
          <w:tcPr>
            <w:tcW w:w="992"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　</w:t>
            </w:r>
          </w:p>
        </w:tc>
        <w:tc>
          <w:tcPr>
            <w:tcW w:w="1134"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20321.9</w:t>
            </w:r>
          </w:p>
        </w:tc>
        <w:tc>
          <w:tcPr>
            <w:tcW w:w="851" w:type="dxa"/>
            <w:shd w:val="clear" w:color="auto" w:fill="auto"/>
            <w:noWrap w:val="0"/>
            <w:vAlign w:val="center"/>
          </w:tcPr>
          <w:p>
            <w:pPr>
              <w:pStyle w:val="2986"/>
              <w:rPr>
                <w:b/>
                <w:bCs/>
                <w:sz w:val="18"/>
                <w:szCs w:val="18"/>
              </w:rPr>
            </w:pPr>
            <w:r>
              <w:rPr>
                <w:rFonts w:hint="eastAsia"/>
                <w:b/>
                <w:bCs/>
                <w:sz w:val="18"/>
                <w:szCs w:val="18"/>
              </w:rPr>
              <w:t>74368.0</w:t>
            </w:r>
          </w:p>
        </w:tc>
        <w:tc>
          <w:tcPr>
            <w:tcW w:w="992" w:type="dxa"/>
            <w:shd w:val="clear" w:color="auto" w:fill="auto"/>
            <w:noWrap/>
            <w:vAlign w:val="center"/>
          </w:tcPr>
          <w:p>
            <w:pPr>
              <w:pStyle w:val="2986"/>
              <w:rPr>
                <w:b/>
                <w:bCs/>
                <w:sz w:val="18"/>
                <w:szCs w:val="18"/>
              </w:rPr>
            </w:pPr>
            <w:r>
              <w:rPr>
                <w:rFonts w:hint="eastAsia"/>
                <w:b/>
                <w:bCs/>
                <w:sz w:val="18"/>
                <w:szCs w:val="18"/>
              </w:rPr>
              <w:t>　</w:t>
            </w:r>
          </w:p>
        </w:tc>
        <w:tc>
          <w:tcPr>
            <w:tcW w:w="945" w:type="dxa"/>
            <w:shd w:val="clear" w:color="auto" w:fill="auto"/>
            <w:noWrap/>
            <w:vAlign w:val="center"/>
          </w:tcPr>
          <w:p>
            <w:pPr>
              <w:pStyle w:val="2986"/>
              <w:rPr>
                <w:b/>
                <w:bCs/>
                <w:sz w:val="18"/>
                <w:szCs w:val="18"/>
              </w:rPr>
            </w:pPr>
            <w:r>
              <w:rPr>
                <w:rFonts w:hint="eastAsia"/>
                <w:b/>
                <w:bCs/>
                <w:sz w:val="18"/>
                <w:szCs w:val="18"/>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shd w:val="clear" w:color="auto" w:fill="auto"/>
            <w:noWrap w:val="0"/>
            <w:vAlign w:val="center"/>
          </w:tcPr>
          <w:p>
            <w:pPr>
              <w:pStyle w:val="2986"/>
              <w:rPr>
                <w:sz w:val="18"/>
                <w:szCs w:val="18"/>
              </w:rPr>
            </w:pPr>
            <w:r>
              <w:rPr>
                <w:rFonts w:hint="eastAsia"/>
                <w:sz w:val="18"/>
                <w:szCs w:val="18"/>
              </w:rPr>
              <w:t>（一）</w:t>
            </w:r>
          </w:p>
        </w:tc>
        <w:tc>
          <w:tcPr>
            <w:tcW w:w="2977" w:type="dxa"/>
            <w:shd w:val="clear" w:color="auto" w:fill="auto"/>
            <w:noWrap w:val="0"/>
            <w:vAlign w:val="center"/>
          </w:tcPr>
          <w:p>
            <w:pPr>
              <w:pStyle w:val="2986"/>
              <w:rPr>
                <w:sz w:val="18"/>
                <w:szCs w:val="18"/>
              </w:rPr>
            </w:pPr>
            <w:r>
              <w:rPr>
                <w:rFonts w:hint="eastAsia"/>
                <w:sz w:val="18"/>
                <w:szCs w:val="18"/>
              </w:rPr>
              <w:t>祁水源段开挖疏浚(L=288m)</w:t>
            </w:r>
          </w:p>
        </w:tc>
        <w:tc>
          <w:tcPr>
            <w:tcW w:w="992"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　</w:t>
            </w:r>
          </w:p>
        </w:tc>
        <w:tc>
          <w:tcPr>
            <w:tcW w:w="1134"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339.0</w:t>
            </w:r>
          </w:p>
        </w:tc>
        <w:tc>
          <w:tcPr>
            <w:tcW w:w="851" w:type="dxa"/>
            <w:shd w:val="clear" w:color="auto" w:fill="auto"/>
            <w:noWrap w:val="0"/>
            <w:vAlign w:val="center"/>
          </w:tcPr>
          <w:p>
            <w:pPr>
              <w:pStyle w:val="2986"/>
              <w:rPr>
                <w:sz w:val="18"/>
                <w:szCs w:val="18"/>
              </w:rPr>
            </w:pPr>
            <w:r>
              <w:rPr>
                <w:rFonts w:hint="eastAsia"/>
                <w:sz w:val="18"/>
                <w:szCs w:val="18"/>
              </w:rPr>
              <w:t>　</w:t>
            </w:r>
          </w:p>
        </w:tc>
        <w:tc>
          <w:tcPr>
            <w:tcW w:w="992" w:type="dxa"/>
            <w:shd w:val="clear" w:color="auto" w:fill="auto"/>
            <w:noWrap/>
            <w:vAlign w:val="center"/>
          </w:tcPr>
          <w:p>
            <w:pPr>
              <w:pStyle w:val="2986"/>
              <w:rPr>
                <w:sz w:val="18"/>
                <w:szCs w:val="18"/>
              </w:rPr>
            </w:pPr>
            <w:r>
              <w:rPr>
                <w:rFonts w:hint="eastAsia"/>
                <w:sz w:val="18"/>
                <w:szCs w:val="18"/>
              </w:rPr>
              <w:t>　</w:t>
            </w:r>
          </w:p>
        </w:tc>
        <w:tc>
          <w:tcPr>
            <w:tcW w:w="945" w:type="dxa"/>
            <w:shd w:val="clear" w:color="auto" w:fill="auto"/>
            <w:noWrap/>
            <w:vAlign w:val="center"/>
          </w:tcPr>
          <w:p>
            <w:pPr>
              <w:pStyle w:val="2986"/>
              <w:rPr>
                <w:sz w:val="18"/>
                <w:szCs w:val="18"/>
              </w:rPr>
            </w:pPr>
            <w:r>
              <w:rPr>
                <w:rFonts w:hint="eastAsia"/>
                <w:sz w:val="18"/>
                <w:szCs w:val="18"/>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shd w:val="clear" w:color="auto" w:fill="auto"/>
            <w:noWrap w:val="0"/>
            <w:vAlign w:val="center"/>
          </w:tcPr>
          <w:p>
            <w:pPr>
              <w:pStyle w:val="2986"/>
              <w:rPr>
                <w:sz w:val="18"/>
                <w:szCs w:val="18"/>
              </w:rPr>
            </w:pPr>
            <w:r>
              <w:rPr>
                <w:rFonts w:hint="eastAsia"/>
                <w:sz w:val="18"/>
                <w:szCs w:val="18"/>
              </w:rPr>
              <w:t>（二）</w:t>
            </w:r>
          </w:p>
        </w:tc>
        <w:tc>
          <w:tcPr>
            <w:tcW w:w="2977" w:type="dxa"/>
            <w:shd w:val="clear" w:color="auto" w:fill="auto"/>
            <w:noWrap w:val="0"/>
            <w:vAlign w:val="center"/>
          </w:tcPr>
          <w:p>
            <w:pPr>
              <w:pStyle w:val="2986"/>
              <w:rPr>
                <w:sz w:val="18"/>
                <w:szCs w:val="18"/>
              </w:rPr>
            </w:pPr>
            <w:r>
              <w:rPr>
                <w:rFonts w:hint="eastAsia"/>
                <w:sz w:val="18"/>
                <w:szCs w:val="18"/>
              </w:rPr>
              <w:t>太和堂段开挖疏浚(L=6525m)</w:t>
            </w:r>
          </w:p>
        </w:tc>
        <w:tc>
          <w:tcPr>
            <w:tcW w:w="992"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　</w:t>
            </w:r>
          </w:p>
        </w:tc>
        <w:tc>
          <w:tcPr>
            <w:tcW w:w="1134"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19982.9</w:t>
            </w:r>
          </w:p>
        </w:tc>
        <w:tc>
          <w:tcPr>
            <w:tcW w:w="851" w:type="dxa"/>
            <w:shd w:val="clear" w:color="auto" w:fill="auto"/>
            <w:noWrap w:val="0"/>
            <w:vAlign w:val="center"/>
          </w:tcPr>
          <w:p>
            <w:pPr>
              <w:pStyle w:val="2986"/>
              <w:rPr>
                <w:sz w:val="18"/>
                <w:szCs w:val="18"/>
              </w:rPr>
            </w:pPr>
            <w:r>
              <w:rPr>
                <w:rFonts w:hint="eastAsia"/>
                <w:sz w:val="18"/>
                <w:szCs w:val="18"/>
              </w:rPr>
              <w:t>　</w:t>
            </w:r>
          </w:p>
        </w:tc>
        <w:tc>
          <w:tcPr>
            <w:tcW w:w="992" w:type="dxa"/>
            <w:shd w:val="clear" w:color="auto" w:fill="auto"/>
            <w:noWrap/>
            <w:vAlign w:val="center"/>
          </w:tcPr>
          <w:p>
            <w:pPr>
              <w:pStyle w:val="2986"/>
              <w:rPr>
                <w:sz w:val="18"/>
                <w:szCs w:val="18"/>
              </w:rPr>
            </w:pPr>
            <w:r>
              <w:rPr>
                <w:rFonts w:hint="eastAsia"/>
                <w:sz w:val="18"/>
                <w:szCs w:val="18"/>
              </w:rPr>
              <w:t>　</w:t>
            </w:r>
          </w:p>
        </w:tc>
        <w:tc>
          <w:tcPr>
            <w:tcW w:w="945" w:type="dxa"/>
            <w:shd w:val="clear" w:color="auto" w:fill="auto"/>
            <w:noWrap/>
            <w:vAlign w:val="center"/>
          </w:tcPr>
          <w:p>
            <w:pPr>
              <w:pStyle w:val="2986"/>
              <w:rPr>
                <w:sz w:val="18"/>
                <w:szCs w:val="18"/>
              </w:rPr>
            </w:pPr>
            <w:r>
              <w:rPr>
                <w:rFonts w:hint="eastAsia"/>
                <w:sz w:val="18"/>
                <w:szCs w:val="18"/>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shd w:val="clear" w:color="auto" w:fill="auto"/>
            <w:noWrap w:val="0"/>
            <w:vAlign w:val="center"/>
          </w:tcPr>
          <w:p>
            <w:pPr>
              <w:pStyle w:val="2986"/>
              <w:rPr>
                <w:sz w:val="18"/>
                <w:szCs w:val="18"/>
              </w:rPr>
            </w:pPr>
            <w:r>
              <w:rPr>
                <w:rFonts w:hint="eastAsia"/>
                <w:sz w:val="18"/>
                <w:szCs w:val="18"/>
              </w:rPr>
              <w:t>（三）</w:t>
            </w:r>
          </w:p>
        </w:tc>
        <w:tc>
          <w:tcPr>
            <w:tcW w:w="2977" w:type="dxa"/>
            <w:shd w:val="clear" w:color="auto" w:fill="auto"/>
            <w:noWrap w:val="0"/>
            <w:vAlign w:val="center"/>
          </w:tcPr>
          <w:p>
            <w:pPr>
              <w:pStyle w:val="2986"/>
              <w:rPr>
                <w:sz w:val="18"/>
                <w:szCs w:val="18"/>
              </w:rPr>
            </w:pPr>
            <w:r>
              <w:rPr>
                <w:rFonts w:hint="eastAsia"/>
                <w:sz w:val="18"/>
                <w:szCs w:val="18"/>
              </w:rPr>
              <w:t>河道清淤(L=6237m)</w:t>
            </w:r>
          </w:p>
        </w:tc>
        <w:tc>
          <w:tcPr>
            <w:tcW w:w="992"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　</w:t>
            </w:r>
          </w:p>
        </w:tc>
        <w:tc>
          <w:tcPr>
            <w:tcW w:w="1134"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　</w:t>
            </w:r>
          </w:p>
        </w:tc>
        <w:tc>
          <w:tcPr>
            <w:tcW w:w="851" w:type="dxa"/>
            <w:shd w:val="clear" w:color="auto" w:fill="auto"/>
            <w:noWrap w:val="0"/>
            <w:vAlign w:val="center"/>
          </w:tcPr>
          <w:p>
            <w:pPr>
              <w:pStyle w:val="2986"/>
              <w:rPr>
                <w:sz w:val="18"/>
                <w:szCs w:val="18"/>
              </w:rPr>
            </w:pPr>
            <w:r>
              <w:rPr>
                <w:rFonts w:hint="eastAsia"/>
                <w:sz w:val="18"/>
                <w:szCs w:val="18"/>
              </w:rPr>
              <w:t>74368.0</w:t>
            </w:r>
          </w:p>
        </w:tc>
        <w:tc>
          <w:tcPr>
            <w:tcW w:w="992" w:type="dxa"/>
            <w:shd w:val="clear" w:color="auto" w:fill="auto"/>
            <w:noWrap/>
            <w:vAlign w:val="center"/>
          </w:tcPr>
          <w:p>
            <w:pPr>
              <w:pStyle w:val="2986"/>
              <w:rPr>
                <w:sz w:val="18"/>
                <w:szCs w:val="18"/>
              </w:rPr>
            </w:pPr>
            <w:r>
              <w:rPr>
                <w:rFonts w:hint="eastAsia"/>
                <w:sz w:val="18"/>
                <w:szCs w:val="18"/>
              </w:rPr>
              <w:t>　</w:t>
            </w:r>
          </w:p>
        </w:tc>
        <w:tc>
          <w:tcPr>
            <w:tcW w:w="945" w:type="dxa"/>
            <w:shd w:val="clear" w:color="auto" w:fill="auto"/>
            <w:noWrap/>
            <w:vAlign w:val="center"/>
          </w:tcPr>
          <w:p>
            <w:pPr>
              <w:pStyle w:val="2986"/>
              <w:rPr>
                <w:sz w:val="18"/>
                <w:szCs w:val="18"/>
              </w:rPr>
            </w:pPr>
            <w:r>
              <w:rPr>
                <w:rFonts w:hint="eastAsia"/>
                <w:sz w:val="18"/>
                <w:szCs w:val="18"/>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shd w:val="clear" w:color="auto" w:fill="auto"/>
            <w:noWrap w:val="0"/>
            <w:vAlign w:val="center"/>
          </w:tcPr>
          <w:p>
            <w:pPr>
              <w:pStyle w:val="2986"/>
              <w:rPr>
                <w:b/>
                <w:bCs/>
                <w:sz w:val="18"/>
                <w:szCs w:val="18"/>
              </w:rPr>
            </w:pPr>
            <w:r>
              <w:rPr>
                <w:rFonts w:hint="eastAsia"/>
                <w:b/>
                <w:bCs/>
                <w:sz w:val="18"/>
                <w:szCs w:val="18"/>
              </w:rPr>
              <w:t>三</w:t>
            </w:r>
          </w:p>
        </w:tc>
        <w:tc>
          <w:tcPr>
            <w:tcW w:w="2977" w:type="dxa"/>
            <w:shd w:val="clear" w:color="auto" w:fill="auto"/>
            <w:noWrap w:val="0"/>
            <w:vAlign w:val="center"/>
          </w:tcPr>
          <w:p>
            <w:pPr>
              <w:pStyle w:val="2986"/>
              <w:rPr>
                <w:b/>
                <w:bCs/>
                <w:sz w:val="18"/>
                <w:szCs w:val="18"/>
              </w:rPr>
            </w:pPr>
            <w:r>
              <w:rPr>
                <w:rFonts w:hint="eastAsia"/>
                <w:b/>
                <w:bCs/>
                <w:sz w:val="18"/>
                <w:szCs w:val="18"/>
              </w:rPr>
              <w:t>建筑物工程（216处）</w:t>
            </w:r>
          </w:p>
        </w:tc>
        <w:tc>
          <w:tcPr>
            <w:tcW w:w="992" w:type="dxa"/>
            <w:shd w:val="clear" w:color="auto" w:fill="auto"/>
            <w:noWrap w:val="0"/>
            <w:vAlign w:val="center"/>
          </w:tcPr>
          <w:p>
            <w:pPr>
              <w:jc w:val="center"/>
              <w:rPr>
                <w:rFonts w:ascii="Times New Roman" w:hAnsi="Times New Roman"/>
                <w:b/>
                <w:bCs/>
                <w:sz w:val="18"/>
                <w:szCs w:val="18"/>
              </w:rPr>
            </w:pPr>
            <w:r>
              <w:rPr>
                <w:rFonts w:ascii="Times New Roman" w:hAnsi="Times New Roman"/>
                <w:b/>
                <w:bCs/>
                <w:sz w:val="18"/>
                <w:szCs w:val="18"/>
              </w:rPr>
              <w:t>2764.8</w:t>
            </w:r>
          </w:p>
        </w:tc>
        <w:tc>
          <w:tcPr>
            <w:tcW w:w="1134" w:type="dxa"/>
            <w:shd w:val="clear" w:color="auto" w:fill="auto"/>
            <w:noWrap w:val="0"/>
            <w:vAlign w:val="center"/>
          </w:tcPr>
          <w:p>
            <w:pPr>
              <w:jc w:val="center"/>
              <w:rPr>
                <w:rFonts w:ascii="Times New Roman" w:hAnsi="Times New Roman"/>
                <w:b/>
                <w:bCs/>
                <w:sz w:val="18"/>
                <w:szCs w:val="18"/>
              </w:rPr>
            </w:pPr>
            <w:r>
              <w:rPr>
                <w:rFonts w:ascii="Times New Roman" w:hAnsi="Times New Roman"/>
                <w:b/>
                <w:bCs/>
                <w:sz w:val="18"/>
                <w:szCs w:val="18"/>
              </w:rPr>
              <w:t>3218.8</w:t>
            </w:r>
          </w:p>
        </w:tc>
        <w:tc>
          <w:tcPr>
            <w:tcW w:w="851" w:type="dxa"/>
            <w:shd w:val="clear" w:color="auto" w:fill="auto"/>
            <w:noWrap w:val="0"/>
            <w:vAlign w:val="center"/>
          </w:tcPr>
          <w:p>
            <w:pPr>
              <w:pStyle w:val="2986"/>
              <w:rPr>
                <w:b/>
                <w:bCs/>
                <w:sz w:val="18"/>
                <w:szCs w:val="18"/>
              </w:rPr>
            </w:pPr>
            <w:r>
              <w:rPr>
                <w:rFonts w:hint="eastAsia"/>
                <w:b/>
                <w:bCs/>
                <w:sz w:val="18"/>
                <w:szCs w:val="18"/>
              </w:rPr>
              <w:t>　</w:t>
            </w:r>
          </w:p>
        </w:tc>
        <w:tc>
          <w:tcPr>
            <w:tcW w:w="992" w:type="dxa"/>
            <w:shd w:val="clear" w:color="auto" w:fill="auto"/>
            <w:noWrap w:val="0"/>
            <w:vAlign w:val="center"/>
          </w:tcPr>
          <w:p>
            <w:pPr>
              <w:pStyle w:val="2986"/>
              <w:rPr>
                <w:b/>
                <w:bCs/>
                <w:sz w:val="18"/>
                <w:szCs w:val="18"/>
              </w:rPr>
            </w:pPr>
            <w:r>
              <w:rPr>
                <w:rFonts w:hint="eastAsia"/>
                <w:b/>
                <w:bCs/>
                <w:sz w:val="18"/>
                <w:szCs w:val="18"/>
              </w:rPr>
              <w:t>147.6</w:t>
            </w:r>
          </w:p>
        </w:tc>
        <w:tc>
          <w:tcPr>
            <w:tcW w:w="945" w:type="dxa"/>
            <w:shd w:val="clear" w:color="auto" w:fill="auto"/>
            <w:noWrap w:val="0"/>
            <w:vAlign w:val="center"/>
          </w:tcPr>
          <w:p>
            <w:pPr>
              <w:pStyle w:val="2986"/>
              <w:rPr>
                <w:b/>
                <w:bCs/>
                <w:sz w:val="18"/>
                <w:szCs w:val="18"/>
              </w:rPr>
            </w:pPr>
            <w:r>
              <w:rPr>
                <w:rFonts w:hint="eastAsia"/>
                <w:b/>
                <w:bCs/>
                <w:sz w:val="18"/>
                <w:szCs w:val="18"/>
              </w:rPr>
              <w:t>2350.1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shd w:val="clear" w:color="auto" w:fill="auto"/>
            <w:noWrap w:val="0"/>
            <w:vAlign w:val="center"/>
          </w:tcPr>
          <w:p>
            <w:pPr>
              <w:pStyle w:val="2986"/>
              <w:rPr>
                <w:sz w:val="18"/>
                <w:szCs w:val="18"/>
              </w:rPr>
            </w:pPr>
            <w:r>
              <w:rPr>
                <w:rFonts w:hint="eastAsia"/>
                <w:sz w:val="18"/>
                <w:szCs w:val="18"/>
              </w:rPr>
              <w:t>（一）</w:t>
            </w:r>
          </w:p>
        </w:tc>
        <w:tc>
          <w:tcPr>
            <w:tcW w:w="2977" w:type="dxa"/>
            <w:shd w:val="clear" w:color="auto" w:fill="auto"/>
            <w:noWrap w:val="0"/>
            <w:vAlign w:val="center"/>
          </w:tcPr>
          <w:p>
            <w:pPr>
              <w:pStyle w:val="2986"/>
              <w:rPr>
                <w:sz w:val="18"/>
                <w:szCs w:val="18"/>
              </w:rPr>
            </w:pPr>
            <w:r>
              <w:rPr>
                <w:rFonts w:hint="eastAsia"/>
                <w:sz w:val="18"/>
                <w:szCs w:val="18"/>
              </w:rPr>
              <w:t>河坝改造加固工程（6处）</w:t>
            </w:r>
          </w:p>
        </w:tc>
        <w:tc>
          <w:tcPr>
            <w:tcW w:w="992"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1874.6</w:t>
            </w:r>
          </w:p>
        </w:tc>
        <w:tc>
          <w:tcPr>
            <w:tcW w:w="1134"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1349.0</w:t>
            </w:r>
          </w:p>
        </w:tc>
        <w:tc>
          <w:tcPr>
            <w:tcW w:w="851" w:type="dxa"/>
            <w:shd w:val="clear" w:color="auto" w:fill="auto"/>
            <w:noWrap w:val="0"/>
            <w:vAlign w:val="center"/>
          </w:tcPr>
          <w:p>
            <w:pPr>
              <w:pStyle w:val="2986"/>
              <w:rPr>
                <w:sz w:val="18"/>
                <w:szCs w:val="18"/>
              </w:rPr>
            </w:pPr>
            <w:r>
              <w:rPr>
                <w:rFonts w:hint="eastAsia"/>
                <w:sz w:val="18"/>
                <w:szCs w:val="18"/>
              </w:rPr>
              <w:t>　</w:t>
            </w:r>
          </w:p>
        </w:tc>
        <w:tc>
          <w:tcPr>
            <w:tcW w:w="992" w:type="dxa"/>
            <w:shd w:val="clear" w:color="auto" w:fill="auto"/>
            <w:noWrap w:val="0"/>
            <w:vAlign w:val="center"/>
          </w:tcPr>
          <w:p>
            <w:pPr>
              <w:pStyle w:val="2986"/>
              <w:rPr>
                <w:sz w:val="18"/>
                <w:szCs w:val="18"/>
              </w:rPr>
            </w:pPr>
            <w:r>
              <w:rPr>
                <w:rFonts w:hint="eastAsia"/>
                <w:sz w:val="18"/>
                <w:szCs w:val="18"/>
              </w:rPr>
              <w:t>147.6</w:t>
            </w:r>
          </w:p>
        </w:tc>
        <w:tc>
          <w:tcPr>
            <w:tcW w:w="945" w:type="dxa"/>
            <w:shd w:val="clear" w:color="auto" w:fill="auto"/>
            <w:noWrap w:val="0"/>
            <w:vAlign w:val="center"/>
          </w:tcPr>
          <w:p>
            <w:pPr>
              <w:pStyle w:val="2986"/>
              <w:rPr>
                <w:sz w:val="18"/>
                <w:szCs w:val="18"/>
              </w:rPr>
            </w:pPr>
            <w:r>
              <w:rPr>
                <w:rFonts w:hint="eastAsia"/>
                <w:sz w:val="18"/>
                <w:szCs w:val="18"/>
              </w:rPr>
              <w:t>1593.4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shd w:val="clear" w:color="auto" w:fill="auto"/>
            <w:noWrap w:val="0"/>
            <w:vAlign w:val="center"/>
          </w:tcPr>
          <w:p>
            <w:pPr>
              <w:pStyle w:val="2986"/>
              <w:rPr>
                <w:sz w:val="18"/>
                <w:szCs w:val="18"/>
              </w:rPr>
            </w:pPr>
            <w:r>
              <w:rPr>
                <w:rFonts w:hint="eastAsia"/>
                <w:sz w:val="18"/>
                <w:szCs w:val="18"/>
              </w:rPr>
              <w:t>（二）</w:t>
            </w:r>
          </w:p>
        </w:tc>
        <w:tc>
          <w:tcPr>
            <w:tcW w:w="2977" w:type="dxa"/>
            <w:shd w:val="clear" w:color="auto" w:fill="auto"/>
            <w:noWrap w:val="0"/>
            <w:vAlign w:val="center"/>
          </w:tcPr>
          <w:p>
            <w:pPr>
              <w:pStyle w:val="2986"/>
              <w:rPr>
                <w:sz w:val="18"/>
                <w:szCs w:val="18"/>
              </w:rPr>
            </w:pPr>
            <w:r>
              <w:rPr>
                <w:rFonts w:hint="eastAsia"/>
                <w:sz w:val="18"/>
                <w:szCs w:val="18"/>
              </w:rPr>
              <w:t>新建φ1200涵管（2处）</w:t>
            </w:r>
          </w:p>
        </w:tc>
        <w:tc>
          <w:tcPr>
            <w:tcW w:w="992"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67.4</w:t>
            </w:r>
          </w:p>
        </w:tc>
        <w:tc>
          <w:tcPr>
            <w:tcW w:w="1134"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103.1</w:t>
            </w:r>
          </w:p>
        </w:tc>
        <w:tc>
          <w:tcPr>
            <w:tcW w:w="851" w:type="dxa"/>
            <w:shd w:val="clear" w:color="auto" w:fill="auto"/>
            <w:noWrap w:val="0"/>
            <w:vAlign w:val="center"/>
          </w:tcPr>
          <w:p>
            <w:pPr>
              <w:pStyle w:val="2986"/>
              <w:rPr>
                <w:sz w:val="18"/>
                <w:szCs w:val="18"/>
              </w:rPr>
            </w:pPr>
            <w:r>
              <w:rPr>
                <w:rFonts w:hint="eastAsia"/>
                <w:sz w:val="18"/>
                <w:szCs w:val="18"/>
              </w:rPr>
              <w:t>　</w:t>
            </w:r>
          </w:p>
        </w:tc>
        <w:tc>
          <w:tcPr>
            <w:tcW w:w="992" w:type="dxa"/>
            <w:shd w:val="clear" w:color="auto" w:fill="auto"/>
            <w:noWrap/>
            <w:vAlign w:val="center"/>
          </w:tcPr>
          <w:p>
            <w:pPr>
              <w:pStyle w:val="2986"/>
              <w:rPr>
                <w:sz w:val="18"/>
                <w:szCs w:val="18"/>
              </w:rPr>
            </w:pPr>
            <w:r>
              <w:rPr>
                <w:rFonts w:hint="eastAsia"/>
                <w:sz w:val="18"/>
                <w:szCs w:val="18"/>
              </w:rPr>
              <w:t>　</w:t>
            </w:r>
          </w:p>
        </w:tc>
        <w:tc>
          <w:tcPr>
            <w:tcW w:w="945" w:type="dxa"/>
            <w:shd w:val="clear" w:color="auto" w:fill="auto"/>
            <w:noWrap w:val="0"/>
            <w:vAlign w:val="center"/>
          </w:tcPr>
          <w:p>
            <w:pPr>
              <w:pStyle w:val="2986"/>
              <w:rPr>
                <w:sz w:val="18"/>
                <w:szCs w:val="18"/>
              </w:rPr>
            </w:pPr>
            <w:r>
              <w:rPr>
                <w:rFonts w:hint="eastAsia"/>
                <w:sz w:val="18"/>
                <w:szCs w:val="18"/>
              </w:rPr>
              <w:t>57.3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shd w:val="clear" w:color="auto" w:fill="auto"/>
            <w:noWrap w:val="0"/>
            <w:vAlign w:val="center"/>
          </w:tcPr>
          <w:p>
            <w:pPr>
              <w:pStyle w:val="2986"/>
              <w:rPr>
                <w:sz w:val="18"/>
                <w:szCs w:val="18"/>
              </w:rPr>
            </w:pPr>
            <w:r>
              <w:rPr>
                <w:rFonts w:hint="eastAsia"/>
                <w:sz w:val="18"/>
                <w:szCs w:val="18"/>
              </w:rPr>
              <w:t>（三）</w:t>
            </w:r>
          </w:p>
        </w:tc>
        <w:tc>
          <w:tcPr>
            <w:tcW w:w="2977" w:type="dxa"/>
            <w:shd w:val="clear" w:color="auto" w:fill="auto"/>
            <w:noWrap w:val="0"/>
            <w:vAlign w:val="center"/>
          </w:tcPr>
          <w:p>
            <w:pPr>
              <w:pStyle w:val="2986"/>
              <w:rPr>
                <w:sz w:val="18"/>
                <w:szCs w:val="18"/>
              </w:rPr>
            </w:pPr>
            <w:r>
              <w:rPr>
                <w:rFonts w:hint="eastAsia"/>
                <w:sz w:val="18"/>
                <w:szCs w:val="18"/>
              </w:rPr>
              <w:t>新建φ1000涵管（11处）</w:t>
            </w:r>
          </w:p>
        </w:tc>
        <w:tc>
          <w:tcPr>
            <w:tcW w:w="992"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316.6</w:t>
            </w:r>
          </w:p>
        </w:tc>
        <w:tc>
          <w:tcPr>
            <w:tcW w:w="1134"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467.8</w:t>
            </w:r>
          </w:p>
        </w:tc>
        <w:tc>
          <w:tcPr>
            <w:tcW w:w="851" w:type="dxa"/>
            <w:shd w:val="clear" w:color="auto" w:fill="auto"/>
            <w:noWrap w:val="0"/>
            <w:vAlign w:val="center"/>
          </w:tcPr>
          <w:p>
            <w:pPr>
              <w:pStyle w:val="2986"/>
              <w:rPr>
                <w:sz w:val="18"/>
                <w:szCs w:val="18"/>
              </w:rPr>
            </w:pPr>
            <w:r>
              <w:rPr>
                <w:rFonts w:hint="eastAsia"/>
                <w:sz w:val="18"/>
                <w:szCs w:val="18"/>
              </w:rPr>
              <w:t>　</w:t>
            </w:r>
          </w:p>
        </w:tc>
        <w:tc>
          <w:tcPr>
            <w:tcW w:w="992" w:type="dxa"/>
            <w:shd w:val="clear" w:color="auto" w:fill="auto"/>
            <w:noWrap/>
            <w:vAlign w:val="center"/>
          </w:tcPr>
          <w:p>
            <w:pPr>
              <w:pStyle w:val="2986"/>
              <w:rPr>
                <w:sz w:val="18"/>
                <w:szCs w:val="18"/>
              </w:rPr>
            </w:pPr>
            <w:r>
              <w:rPr>
                <w:rFonts w:hint="eastAsia"/>
                <w:sz w:val="18"/>
                <w:szCs w:val="18"/>
              </w:rPr>
              <w:t>　</w:t>
            </w:r>
          </w:p>
        </w:tc>
        <w:tc>
          <w:tcPr>
            <w:tcW w:w="945" w:type="dxa"/>
            <w:shd w:val="clear" w:color="auto" w:fill="auto"/>
            <w:noWrap w:val="0"/>
            <w:vAlign w:val="center"/>
          </w:tcPr>
          <w:p>
            <w:pPr>
              <w:pStyle w:val="2986"/>
              <w:rPr>
                <w:sz w:val="18"/>
                <w:szCs w:val="18"/>
              </w:rPr>
            </w:pPr>
            <w:r>
              <w:rPr>
                <w:rFonts w:hint="eastAsia"/>
                <w:sz w:val="18"/>
                <w:szCs w:val="18"/>
              </w:rPr>
              <w:t>269.1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shd w:val="clear" w:color="auto" w:fill="auto"/>
            <w:noWrap w:val="0"/>
            <w:vAlign w:val="center"/>
          </w:tcPr>
          <w:p>
            <w:pPr>
              <w:pStyle w:val="2986"/>
              <w:rPr>
                <w:sz w:val="18"/>
                <w:szCs w:val="18"/>
              </w:rPr>
            </w:pPr>
            <w:r>
              <w:rPr>
                <w:rFonts w:hint="eastAsia"/>
                <w:sz w:val="18"/>
                <w:szCs w:val="18"/>
              </w:rPr>
              <w:t>（四）</w:t>
            </w:r>
          </w:p>
        </w:tc>
        <w:tc>
          <w:tcPr>
            <w:tcW w:w="2977" w:type="dxa"/>
            <w:shd w:val="clear" w:color="auto" w:fill="auto"/>
            <w:noWrap w:val="0"/>
            <w:vAlign w:val="center"/>
          </w:tcPr>
          <w:p>
            <w:pPr>
              <w:pStyle w:val="2986"/>
              <w:rPr>
                <w:sz w:val="18"/>
                <w:szCs w:val="18"/>
              </w:rPr>
            </w:pPr>
            <w:r>
              <w:rPr>
                <w:rFonts w:hint="eastAsia"/>
                <w:sz w:val="18"/>
                <w:szCs w:val="18"/>
              </w:rPr>
              <w:t>新建φ500涵管（20处）</w:t>
            </w:r>
          </w:p>
        </w:tc>
        <w:tc>
          <w:tcPr>
            <w:tcW w:w="992"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391.4</w:t>
            </w:r>
          </w:p>
        </w:tc>
        <w:tc>
          <w:tcPr>
            <w:tcW w:w="1134"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900.8</w:t>
            </w:r>
          </w:p>
        </w:tc>
        <w:tc>
          <w:tcPr>
            <w:tcW w:w="851" w:type="dxa"/>
            <w:shd w:val="clear" w:color="auto" w:fill="auto"/>
            <w:noWrap w:val="0"/>
            <w:vAlign w:val="center"/>
          </w:tcPr>
          <w:p>
            <w:pPr>
              <w:pStyle w:val="2986"/>
              <w:rPr>
                <w:sz w:val="18"/>
                <w:szCs w:val="18"/>
              </w:rPr>
            </w:pPr>
            <w:r>
              <w:rPr>
                <w:rFonts w:hint="eastAsia"/>
                <w:sz w:val="18"/>
                <w:szCs w:val="18"/>
              </w:rPr>
              <w:t>　</w:t>
            </w:r>
          </w:p>
        </w:tc>
        <w:tc>
          <w:tcPr>
            <w:tcW w:w="992" w:type="dxa"/>
            <w:shd w:val="clear" w:color="auto" w:fill="auto"/>
            <w:noWrap/>
            <w:vAlign w:val="center"/>
          </w:tcPr>
          <w:p>
            <w:pPr>
              <w:pStyle w:val="2986"/>
              <w:rPr>
                <w:sz w:val="18"/>
                <w:szCs w:val="18"/>
              </w:rPr>
            </w:pPr>
            <w:r>
              <w:rPr>
                <w:rFonts w:hint="eastAsia"/>
                <w:sz w:val="18"/>
                <w:szCs w:val="18"/>
              </w:rPr>
              <w:t>　</w:t>
            </w:r>
          </w:p>
        </w:tc>
        <w:tc>
          <w:tcPr>
            <w:tcW w:w="945" w:type="dxa"/>
            <w:shd w:val="clear" w:color="auto" w:fill="auto"/>
            <w:noWrap w:val="0"/>
            <w:vAlign w:val="center"/>
          </w:tcPr>
          <w:p>
            <w:pPr>
              <w:pStyle w:val="2986"/>
              <w:rPr>
                <w:sz w:val="18"/>
                <w:szCs w:val="18"/>
              </w:rPr>
            </w:pPr>
            <w:r>
              <w:rPr>
                <w:rFonts w:hint="eastAsia"/>
                <w:sz w:val="18"/>
                <w:szCs w:val="18"/>
              </w:rPr>
              <w:t>332.7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shd w:val="clear" w:color="auto" w:fill="auto"/>
            <w:noWrap w:val="0"/>
            <w:vAlign w:val="center"/>
          </w:tcPr>
          <w:p>
            <w:pPr>
              <w:pStyle w:val="2986"/>
              <w:rPr>
                <w:sz w:val="18"/>
                <w:szCs w:val="18"/>
              </w:rPr>
            </w:pPr>
            <w:r>
              <w:rPr>
                <w:rFonts w:hint="eastAsia"/>
                <w:sz w:val="18"/>
                <w:szCs w:val="18"/>
              </w:rPr>
              <w:t>（五）</w:t>
            </w:r>
          </w:p>
        </w:tc>
        <w:tc>
          <w:tcPr>
            <w:tcW w:w="2977" w:type="dxa"/>
            <w:shd w:val="clear" w:color="auto" w:fill="auto"/>
            <w:noWrap w:val="0"/>
            <w:vAlign w:val="center"/>
          </w:tcPr>
          <w:p>
            <w:pPr>
              <w:pStyle w:val="2986"/>
              <w:rPr>
                <w:sz w:val="18"/>
                <w:szCs w:val="18"/>
              </w:rPr>
            </w:pPr>
            <w:r>
              <w:rPr>
                <w:rFonts w:hint="eastAsia"/>
                <w:sz w:val="18"/>
                <w:szCs w:val="18"/>
              </w:rPr>
              <w:t>新建φ300涵管（9处）</w:t>
            </w:r>
          </w:p>
        </w:tc>
        <w:tc>
          <w:tcPr>
            <w:tcW w:w="992"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114.8</w:t>
            </w:r>
          </w:p>
        </w:tc>
        <w:tc>
          <w:tcPr>
            <w:tcW w:w="1134"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191.7</w:t>
            </w:r>
          </w:p>
        </w:tc>
        <w:tc>
          <w:tcPr>
            <w:tcW w:w="851" w:type="dxa"/>
            <w:shd w:val="clear" w:color="auto" w:fill="auto"/>
            <w:noWrap w:val="0"/>
            <w:vAlign w:val="center"/>
          </w:tcPr>
          <w:p>
            <w:pPr>
              <w:pStyle w:val="2986"/>
              <w:rPr>
                <w:sz w:val="18"/>
                <w:szCs w:val="18"/>
              </w:rPr>
            </w:pPr>
            <w:r>
              <w:rPr>
                <w:rFonts w:hint="eastAsia"/>
                <w:sz w:val="18"/>
                <w:szCs w:val="18"/>
              </w:rPr>
              <w:t>　</w:t>
            </w:r>
          </w:p>
        </w:tc>
        <w:tc>
          <w:tcPr>
            <w:tcW w:w="992" w:type="dxa"/>
            <w:shd w:val="clear" w:color="auto" w:fill="auto"/>
            <w:noWrap/>
            <w:vAlign w:val="center"/>
          </w:tcPr>
          <w:p>
            <w:pPr>
              <w:pStyle w:val="2986"/>
              <w:rPr>
                <w:sz w:val="18"/>
                <w:szCs w:val="18"/>
              </w:rPr>
            </w:pPr>
            <w:r>
              <w:rPr>
                <w:rFonts w:hint="eastAsia"/>
                <w:sz w:val="18"/>
                <w:szCs w:val="18"/>
              </w:rPr>
              <w:t>　</w:t>
            </w:r>
          </w:p>
        </w:tc>
        <w:tc>
          <w:tcPr>
            <w:tcW w:w="945" w:type="dxa"/>
            <w:shd w:val="clear" w:color="auto" w:fill="auto"/>
            <w:noWrap w:val="0"/>
            <w:vAlign w:val="center"/>
          </w:tcPr>
          <w:p>
            <w:pPr>
              <w:pStyle w:val="2986"/>
              <w:rPr>
                <w:sz w:val="18"/>
                <w:szCs w:val="18"/>
              </w:rPr>
            </w:pPr>
            <w:r>
              <w:rPr>
                <w:rFonts w:hint="eastAsia"/>
                <w:sz w:val="18"/>
                <w:szCs w:val="18"/>
              </w:rPr>
              <w:t>97.6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shd w:val="clear" w:color="auto" w:fill="auto"/>
            <w:noWrap w:val="0"/>
            <w:vAlign w:val="center"/>
          </w:tcPr>
          <w:p>
            <w:pPr>
              <w:pStyle w:val="2986"/>
              <w:rPr>
                <w:sz w:val="18"/>
                <w:szCs w:val="18"/>
              </w:rPr>
            </w:pPr>
            <w:r>
              <w:rPr>
                <w:rFonts w:hint="eastAsia"/>
                <w:sz w:val="18"/>
                <w:szCs w:val="18"/>
              </w:rPr>
              <w:t>（六）</w:t>
            </w:r>
          </w:p>
        </w:tc>
        <w:tc>
          <w:tcPr>
            <w:tcW w:w="2977" w:type="dxa"/>
            <w:shd w:val="clear" w:color="auto" w:fill="auto"/>
            <w:noWrap w:val="0"/>
            <w:vAlign w:val="center"/>
          </w:tcPr>
          <w:p>
            <w:pPr>
              <w:pStyle w:val="2986"/>
              <w:rPr>
                <w:sz w:val="18"/>
                <w:szCs w:val="18"/>
              </w:rPr>
            </w:pPr>
            <w:r>
              <w:rPr>
                <w:rFonts w:hint="eastAsia"/>
                <w:sz w:val="18"/>
                <w:szCs w:val="18"/>
              </w:rPr>
              <w:t>新建φ200涵管（101处）</w:t>
            </w:r>
          </w:p>
        </w:tc>
        <w:tc>
          <w:tcPr>
            <w:tcW w:w="992"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　</w:t>
            </w:r>
          </w:p>
        </w:tc>
        <w:tc>
          <w:tcPr>
            <w:tcW w:w="1134"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　</w:t>
            </w:r>
          </w:p>
        </w:tc>
        <w:tc>
          <w:tcPr>
            <w:tcW w:w="851" w:type="dxa"/>
            <w:shd w:val="clear" w:color="auto" w:fill="auto"/>
            <w:noWrap w:val="0"/>
            <w:vAlign w:val="center"/>
          </w:tcPr>
          <w:p>
            <w:pPr>
              <w:pStyle w:val="2986"/>
              <w:rPr>
                <w:sz w:val="18"/>
                <w:szCs w:val="18"/>
              </w:rPr>
            </w:pPr>
            <w:r>
              <w:rPr>
                <w:rFonts w:hint="eastAsia"/>
                <w:sz w:val="18"/>
                <w:szCs w:val="18"/>
              </w:rPr>
              <w:t>　</w:t>
            </w:r>
          </w:p>
        </w:tc>
        <w:tc>
          <w:tcPr>
            <w:tcW w:w="992" w:type="dxa"/>
            <w:shd w:val="clear" w:color="auto" w:fill="auto"/>
            <w:noWrap/>
            <w:vAlign w:val="center"/>
          </w:tcPr>
          <w:p>
            <w:pPr>
              <w:pStyle w:val="2986"/>
              <w:rPr>
                <w:sz w:val="18"/>
                <w:szCs w:val="18"/>
              </w:rPr>
            </w:pPr>
            <w:r>
              <w:rPr>
                <w:rFonts w:hint="eastAsia"/>
                <w:sz w:val="18"/>
                <w:szCs w:val="18"/>
              </w:rPr>
              <w:t>　</w:t>
            </w:r>
          </w:p>
        </w:tc>
        <w:tc>
          <w:tcPr>
            <w:tcW w:w="945" w:type="dxa"/>
            <w:shd w:val="clear" w:color="auto" w:fill="auto"/>
            <w:noWrap/>
            <w:vAlign w:val="center"/>
          </w:tcPr>
          <w:p>
            <w:pPr>
              <w:pStyle w:val="2986"/>
              <w:rPr>
                <w:sz w:val="18"/>
                <w:szCs w:val="18"/>
              </w:rPr>
            </w:pPr>
            <w:r>
              <w:rPr>
                <w:rFonts w:hint="eastAsia"/>
                <w:sz w:val="18"/>
                <w:szCs w:val="18"/>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shd w:val="clear" w:color="auto" w:fill="auto"/>
            <w:noWrap w:val="0"/>
            <w:vAlign w:val="center"/>
          </w:tcPr>
          <w:p>
            <w:pPr>
              <w:pStyle w:val="2986"/>
              <w:rPr>
                <w:sz w:val="18"/>
                <w:szCs w:val="18"/>
              </w:rPr>
            </w:pPr>
            <w:r>
              <w:rPr>
                <w:rFonts w:hint="eastAsia"/>
                <w:sz w:val="18"/>
                <w:szCs w:val="18"/>
              </w:rPr>
              <w:t>（七）</w:t>
            </w:r>
          </w:p>
        </w:tc>
        <w:tc>
          <w:tcPr>
            <w:tcW w:w="2977" w:type="dxa"/>
            <w:shd w:val="clear" w:color="auto" w:fill="auto"/>
            <w:noWrap w:val="0"/>
            <w:vAlign w:val="center"/>
          </w:tcPr>
          <w:p>
            <w:pPr>
              <w:pStyle w:val="2986"/>
              <w:rPr>
                <w:sz w:val="18"/>
                <w:szCs w:val="18"/>
              </w:rPr>
            </w:pPr>
            <w:r>
              <w:rPr>
                <w:rFonts w:hint="eastAsia"/>
                <w:sz w:val="18"/>
                <w:szCs w:val="18"/>
              </w:rPr>
              <w:t>新建踏步（70处）</w:t>
            </w:r>
          </w:p>
        </w:tc>
        <w:tc>
          <w:tcPr>
            <w:tcW w:w="992" w:type="dxa"/>
            <w:shd w:val="clear" w:color="auto" w:fill="auto"/>
            <w:noWrap/>
            <w:vAlign w:val="center"/>
          </w:tcPr>
          <w:p>
            <w:pPr>
              <w:jc w:val="center"/>
              <w:rPr>
                <w:rFonts w:ascii="Times New Roman" w:hAnsi="Times New Roman"/>
                <w:sz w:val="18"/>
                <w:szCs w:val="18"/>
              </w:rPr>
            </w:pPr>
            <w:r>
              <w:rPr>
                <w:rFonts w:ascii="Times New Roman" w:hAnsi="Times New Roman"/>
                <w:sz w:val="18"/>
                <w:szCs w:val="18"/>
              </w:rPr>
              <w:t>　</w:t>
            </w:r>
          </w:p>
        </w:tc>
        <w:tc>
          <w:tcPr>
            <w:tcW w:w="1134" w:type="dxa"/>
            <w:shd w:val="clear" w:color="auto" w:fill="auto"/>
            <w:noWrap/>
            <w:vAlign w:val="center"/>
          </w:tcPr>
          <w:p>
            <w:pPr>
              <w:jc w:val="center"/>
              <w:rPr>
                <w:rFonts w:ascii="Times New Roman" w:hAnsi="Times New Roman"/>
                <w:sz w:val="18"/>
                <w:szCs w:val="18"/>
              </w:rPr>
            </w:pPr>
            <w:r>
              <w:rPr>
                <w:rFonts w:ascii="Times New Roman" w:hAnsi="Times New Roman"/>
                <w:sz w:val="18"/>
                <w:szCs w:val="18"/>
              </w:rPr>
              <w:t>206.4</w:t>
            </w:r>
          </w:p>
        </w:tc>
        <w:tc>
          <w:tcPr>
            <w:tcW w:w="851" w:type="dxa"/>
            <w:shd w:val="clear" w:color="auto" w:fill="auto"/>
            <w:noWrap/>
            <w:vAlign w:val="center"/>
          </w:tcPr>
          <w:p>
            <w:pPr>
              <w:pStyle w:val="2986"/>
              <w:rPr>
                <w:sz w:val="18"/>
                <w:szCs w:val="18"/>
              </w:rPr>
            </w:pPr>
            <w:r>
              <w:rPr>
                <w:rFonts w:hint="eastAsia"/>
                <w:sz w:val="18"/>
                <w:szCs w:val="18"/>
              </w:rPr>
              <w:t>　</w:t>
            </w:r>
          </w:p>
        </w:tc>
        <w:tc>
          <w:tcPr>
            <w:tcW w:w="992" w:type="dxa"/>
            <w:shd w:val="clear" w:color="auto" w:fill="auto"/>
            <w:noWrap/>
            <w:vAlign w:val="center"/>
          </w:tcPr>
          <w:p>
            <w:pPr>
              <w:pStyle w:val="2986"/>
              <w:rPr>
                <w:sz w:val="18"/>
                <w:szCs w:val="18"/>
              </w:rPr>
            </w:pPr>
            <w:r>
              <w:rPr>
                <w:rFonts w:hint="eastAsia"/>
                <w:sz w:val="18"/>
                <w:szCs w:val="18"/>
              </w:rPr>
              <w:t>　</w:t>
            </w:r>
          </w:p>
        </w:tc>
        <w:tc>
          <w:tcPr>
            <w:tcW w:w="945" w:type="dxa"/>
            <w:shd w:val="clear" w:color="auto" w:fill="auto"/>
            <w:noWrap/>
            <w:vAlign w:val="center"/>
          </w:tcPr>
          <w:p>
            <w:pPr>
              <w:pStyle w:val="2986"/>
              <w:rPr>
                <w:sz w:val="18"/>
                <w:szCs w:val="18"/>
              </w:rPr>
            </w:pPr>
            <w:r>
              <w:rPr>
                <w:rFonts w:hint="eastAsia"/>
                <w:sz w:val="18"/>
                <w:szCs w:val="18"/>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shd w:val="clear" w:color="auto" w:fill="auto"/>
            <w:noWrap/>
            <w:vAlign w:val="center"/>
          </w:tcPr>
          <w:p>
            <w:pPr>
              <w:pStyle w:val="2986"/>
              <w:rPr>
                <w:b/>
                <w:bCs/>
                <w:sz w:val="18"/>
                <w:szCs w:val="18"/>
              </w:rPr>
            </w:pPr>
            <w:r>
              <w:rPr>
                <w:rFonts w:hint="eastAsia"/>
                <w:b/>
                <w:bCs/>
                <w:sz w:val="18"/>
                <w:szCs w:val="18"/>
              </w:rPr>
              <w:t>　</w:t>
            </w:r>
          </w:p>
        </w:tc>
        <w:tc>
          <w:tcPr>
            <w:tcW w:w="2977" w:type="dxa"/>
            <w:shd w:val="clear" w:color="auto" w:fill="auto"/>
            <w:noWrap w:val="0"/>
            <w:vAlign w:val="center"/>
          </w:tcPr>
          <w:p>
            <w:pPr>
              <w:pStyle w:val="2986"/>
              <w:rPr>
                <w:b/>
                <w:bCs/>
                <w:sz w:val="18"/>
                <w:szCs w:val="18"/>
              </w:rPr>
            </w:pPr>
            <w:r>
              <w:rPr>
                <w:rFonts w:hint="eastAsia"/>
                <w:b/>
                <w:bCs/>
                <w:sz w:val="18"/>
                <w:szCs w:val="18"/>
              </w:rPr>
              <w:t>第四部分 施工临时工程</w:t>
            </w:r>
          </w:p>
        </w:tc>
        <w:tc>
          <w:tcPr>
            <w:tcW w:w="992" w:type="dxa"/>
            <w:shd w:val="clear" w:color="auto" w:fill="auto"/>
            <w:noWrap w:val="0"/>
            <w:vAlign w:val="center"/>
          </w:tcPr>
          <w:p>
            <w:pPr>
              <w:jc w:val="center"/>
              <w:rPr>
                <w:rFonts w:ascii="Times New Roman" w:hAnsi="Times New Roman"/>
                <w:b/>
                <w:bCs/>
                <w:sz w:val="18"/>
                <w:szCs w:val="18"/>
              </w:rPr>
            </w:pPr>
            <w:r>
              <w:rPr>
                <w:rFonts w:ascii="Times New Roman" w:hAnsi="Times New Roman"/>
                <w:b/>
                <w:bCs/>
                <w:sz w:val="18"/>
                <w:szCs w:val="18"/>
              </w:rPr>
              <w:t>　</w:t>
            </w:r>
          </w:p>
        </w:tc>
        <w:tc>
          <w:tcPr>
            <w:tcW w:w="1134" w:type="dxa"/>
            <w:shd w:val="clear" w:color="auto" w:fill="auto"/>
            <w:noWrap w:val="0"/>
            <w:vAlign w:val="center"/>
          </w:tcPr>
          <w:p>
            <w:pPr>
              <w:jc w:val="center"/>
              <w:rPr>
                <w:rFonts w:ascii="Times New Roman" w:hAnsi="Times New Roman"/>
                <w:b/>
                <w:bCs/>
                <w:sz w:val="18"/>
                <w:szCs w:val="18"/>
              </w:rPr>
            </w:pPr>
            <w:r>
              <w:rPr>
                <w:rFonts w:ascii="Times New Roman" w:hAnsi="Times New Roman"/>
                <w:b/>
                <w:bCs/>
                <w:sz w:val="18"/>
                <w:szCs w:val="18"/>
              </w:rPr>
              <w:t>6906.2</w:t>
            </w:r>
          </w:p>
        </w:tc>
        <w:tc>
          <w:tcPr>
            <w:tcW w:w="851" w:type="dxa"/>
            <w:shd w:val="clear" w:color="auto" w:fill="auto"/>
            <w:noWrap w:val="0"/>
            <w:vAlign w:val="center"/>
          </w:tcPr>
          <w:p>
            <w:pPr>
              <w:pStyle w:val="2986"/>
              <w:rPr>
                <w:b/>
                <w:bCs/>
                <w:sz w:val="18"/>
                <w:szCs w:val="18"/>
              </w:rPr>
            </w:pPr>
            <w:r>
              <w:rPr>
                <w:rFonts w:hint="eastAsia"/>
                <w:b/>
                <w:bCs/>
                <w:sz w:val="18"/>
                <w:szCs w:val="18"/>
              </w:rPr>
              <w:t>　</w:t>
            </w:r>
          </w:p>
        </w:tc>
        <w:tc>
          <w:tcPr>
            <w:tcW w:w="992" w:type="dxa"/>
            <w:shd w:val="clear" w:color="auto" w:fill="auto"/>
            <w:noWrap/>
            <w:vAlign w:val="center"/>
          </w:tcPr>
          <w:p>
            <w:pPr>
              <w:pStyle w:val="2986"/>
              <w:rPr>
                <w:b/>
                <w:bCs/>
                <w:sz w:val="18"/>
                <w:szCs w:val="18"/>
              </w:rPr>
            </w:pPr>
            <w:r>
              <w:rPr>
                <w:rFonts w:hint="eastAsia"/>
                <w:b/>
                <w:bCs/>
                <w:sz w:val="18"/>
                <w:szCs w:val="18"/>
              </w:rPr>
              <w:t>　</w:t>
            </w:r>
          </w:p>
        </w:tc>
        <w:tc>
          <w:tcPr>
            <w:tcW w:w="945" w:type="dxa"/>
            <w:shd w:val="clear" w:color="auto" w:fill="auto"/>
            <w:noWrap w:val="0"/>
            <w:vAlign w:val="center"/>
          </w:tcPr>
          <w:p>
            <w:pPr>
              <w:pStyle w:val="2986"/>
              <w:rPr>
                <w:b/>
                <w:bCs/>
                <w:sz w:val="18"/>
                <w:szCs w:val="18"/>
              </w:rPr>
            </w:pPr>
            <w:r>
              <w:rPr>
                <w:rFonts w:hint="eastAsia"/>
                <w:b/>
                <w:bCs/>
                <w:sz w:val="18"/>
                <w:szCs w:val="18"/>
              </w:rPr>
              <w:t>6906.2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shd w:val="clear" w:color="auto" w:fill="auto"/>
            <w:noWrap w:val="0"/>
            <w:vAlign w:val="center"/>
          </w:tcPr>
          <w:p>
            <w:pPr>
              <w:pStyle w:val="2986"/>
              <w:rPr>
                <w:sz w:val="18"/>
                <w:szCs w:val="18"/>
              </w:rPr>
            </w:pPr>
            <w:r>
              <w:rPr>
                <w:rFonts w:hint="eastAsia"/>
                <w:sz w:val="18"/>
                <w:szCs w:val="18"/>
              </w:rPr>
              <w:t>一</w:t>
            </w:r>
          </w:p>
        </w:tc>
        <w:tc>
          <w:tcPr>
            <w:tcW w:w="2977" w:type="dxa"/>
            <w:shd w:val="clear" w:color="auto" w:fill="auto"/>
            <w:noWrap w:val="0"/>
            <w:vAlign w:val="center"/>
          </w:tcPr>
          <w:p>
            <w:pPr>
              <w:pStyle w:val="2986"/>
              <w:rPr>
                <w:sz w:val="18"/>
                <w:szCs w:val="18"/>
              </w:rPr>
            </w:pPr>
            <w:r>
              <w:rPr>
                <w:rFonts w:hint="eastAsia"/>
                <w:sz w:val="18"/>
                <w:szCs w:val="18"/>
              </w:rPr>
              <w:t>导流工程</w:t>
            </w:r>
          </w:p>
        </w:tc>
        <w:tc>
          <w:tcPr>
            <w:tcW w:w="992"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　</w:t>
            </w:r>
          </w:p>
        </w:tc>
        <w:tc>
          <w:tcPr>
            <w:tcW w:w="1134" w:type="dxa"/>
            <w:shd w:val="clear" w:color="auto" w:fill="auto"/>
            <w:noWrap w:val="0"/>
            <w:vAlign w:val="center"/>
          </w:tcPr>
          <w:p>
            <w:pPr>
              <w:jc w:val="center"/>
              <w:rPr>
                <w:rFonts w:ascii="Times New Roman" w:hAnsi="Times New Roman"/>
                <w:sz w:val="18"/>
                <w:szCs w:val="18"/>
              </w:rPr>
            </w:pPr>
            <w:r>
              <w:rPr>
                <w:rFonts w:ascii="Times New Roman" w:hAnsi="Times New Roman"/>
                <w:sz w:val="18"/>
                <w:szCs w:val="18"/>
              </w:rPr>
              <w:t>6906.2</w:t>
            </w:r>
          </w:p>
        </w:tc>
        <w:tc>
          <w:tcPr>
            <w:tcW w:w="851" w:type="dxa"/>
            <w:shd w:val="clear" w:color="auto" w:fill="auto"/>
            <w:noWrap w:val="0"/>
            <w:vAlign w:val="center"/>
          </w:tcPr>
          <w:p>
            <w:pPr>
              <w:pStyle w:val="2986"/>
              <w:rPr>
                <w:sz w:val="18"/>
                <w:szCs w:val="18"/>
              </w:rPr>
            </w:pPr>
            <w:r>
              <w:rPr>
                <w:rFonts w:hint="eastAsia"/>
                <w:sz w:val="18"/>
                <w:szCs w:val="18"/>
              </w:rPr>
              <w:t>　</w:t>
            </w:r>
          </w:p>
        </w:tc>
        <w:tc>
          <w:tcPr>
            <w:tcW w:w="992" w:type="dxa"/>
            <w:shd w:val="clear" w:color="auto" w:fill="auto"/>
            <w:noWrap/>
            <w:vAlign w:val="center"/>
          </w:tcPr>
          <w:p>
            <w:pPr>
              <w:pStyle w:val="2986"/>
              <w:rPr>
                <w:sz w:val="18"/>
                <w:szCs w:val="18"/>
              </w:rPr>
            </w:pPr>
            <w:r>
              <w:rPr>
                <w:rFonts w:hint="eastAsia"/>
                <w:sz w:val="18"/>
                <w:szCs w:val="18"/>
              </w:rPr>
              <w:t>　</w:t>
            </w:r>
          </w:p>
        </w:tc>
        <w:tc>
          <w:tcPr>
            <w:tcW w:w="945" w:type="dxa"/>
            <w:shd w:val="clear" w:color="auto" w:fill="auto"/>
            <w:noWrap w:val="0"/>
            <w:vAlign w:val="center"/>
          </w:tcPr>
          <w:p>
            <w:pPr>
              <w:pStyle w:val="2986"/>
              <w:rPr>
                <w:sz w:val="18"/>
                <w:szCs w:val="18"/>
              </w:rPr>
            </w:pPr>
            <w:r>
              <w:rPr>
                <w:rFonts w:hint="eastAsia"/>
                <w:sz w:val="18"/>
                <w:szCs w:val="18"/>
              </w:rPr>
              <w:t>6906.2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shd w:val="clear" w:color="auto" w:fill="auto"/>
            <w:noWrap/>
            <w:vAlign w:val="center"/>
          </w:tcPr>
          <w:p>
            <w:pPr>
              <w:pStyle w:val="2986"/>
              <w:rPr>
                <w:b/>
                <w:bCs/>
                <w:sz w:val="18"/>
                <w:szCs w:val="18"/>
              </w:rPr>
            </w:pPr>
            <w:r>
              <w:rPr>
                <w:rFonts w:hint="eastAsia"/>
                <w:b/>
                <w:bCs/>
                <w:sz w:val="18"/>
                <w:szCs w:val="18"/>
              </w:rPr>
              <w:t>　</w:t>
            </w:r>
          </w:p>
        </w:tc>
        <w:tc>
          <w:tcPr>
            <w:tcW w:w="2977" w:type="dxa"/>
            <w:shd w:val="clear" w:color="auto" w:fill="auto"/>
            <w:noWrap w:val="0"/>
            <w:vAlign w:val="center"/>
          </w:tcPr>
          <w:p>
            <w:pPr>
              <w:pStyle w:val="2986"/>
              <w:rPr>
                <w:b/>
                <w:bCs/>
                <w:sz w:val="18"/>
                <w:szCs w:val="18"/>
              </w:rPr>
            </w:pPr>
            <w:r>
              <w:rPr>
                <w:rFonts w:hint="eastAsia"/>
                <w:b/>
                <w:bCs/>
                <w:sz w:val="18"/>
                <w:szCs w:val="18"/>
              </w:rPr>
              <w:t>合   计</w:t>
            </w:r>
          </w:p>
        </w:tc>
        <w:tc>
          <w:tcPr>
            <w:tcW w:w="992" w:type="dxa"/>
            <w:shd w:val="clear" w:color="auto" w:fill="auto"/>
            <w:noWrap w:val="0"/>
            <w:vAlign w:val="center"/>
          </w:tcPr>
          <w:p>
            <w:pPr>
              <w:jc w:val="center"/>
              <w:rPr>
                <w:rFonts w:ascii="Times New Roman" w:hAnsi="Times New Roman"/>
                <w:b/>
                <w:bCs/>
                <w:sz w:val="18"/>
                <w:szCs w:val="18"/>
              </w:rPr>
            </w:pPr>
            <w:r>
              <w:rPr>
                <w:rFonts w:ascii="Times New Roman" w:hAnsi="Times New Roman"/>
                <w:b/>
                <w:bCs/>
                <w:sz w:val="18"/>
                <w:szCs w:val="18"/>
              </w:rPr>
              <w:t>171306.2</w:t>
            </w:r>
          </w:p>
        </w:tc>
        <w:tc>
          <w:tcPr>
            <w:tcW w:w="1134" w:type="dxa"/>
            <w:shd w:val="clear" w:color="auto" w:fill="auto"/>
            <w:noWrap w:val="0"/>
            <w:vAlign w:val="center"/>
          </w:tcPr>
          <w:p>
            <w:pPr>
              <w:jc w:val="center"/>
              <w:rPr>
                <w:rFonts w:ascii="Times New Roman" w:hAnsi="Times New Roman"/>
                <w:b/>
                <w:bCs/>
                <w:sz w:val="18"/>
                <w:szCs w:val="18"/>
              </w:rPr>
            </w:pPr>
            <w:r>
              <w:rPr>
                <w:rFonts w:ascii="Times New Roman" w:hAnsi="Times New Roman"/>
                <w:b/>
                <w:bCs/>
                <w:sz w:val="18"/>
                <w:szCs w:val="18"/>
              </w:rPr>
              <w:t>167701.6</w:t>
            </w:r>
          </w:p>
        </w:tc>
        <w:tc>
          <w:tcPr>
            <w:tcW w:w="851" w:type="dxa"/>
            <w:shd w:val="clear" w:color="auto" w:fill="auto"/>
            <w:noWrap w:val="0"/>
            <w:vAlign w:val="center"/>
          </w:tcPr>
          <w:p>
            <w:pPr>
              <w:pStyle w:val="2986"/>
              <w:rPr>
                <w:b/>
                <w:bCs/>
                <w:sz w:val="18"/>
                <w:szCs w:val="18"/>
              </w:rPr>
            </w:pPr>
            <w:r>
              <w:rPr>
                <w:rFonts w:hint="eastAsia"/>
                <w:b/>
                <w:bCs/>
                <w:sz w:val="18"/>
                <w:szCs w:val="18"/>
              </w:rPr>
              <w:t>74368.0</w:t>
            </w:r>
          </w:p>
        </w:tc>
        <w:tc>
          <w:tcPr>
            <w:tcW w:w="992" w:type="dxa"/>
            <w:shd w:val="clear" w:color="auto" w:fill="auto"/>
            <w:noWrap w:val="0"/>
            <w:vAlign w:val="center"/>
          </w:tcPr>
          <w:p>
            <w:pPr>
              <w:pStyle w:val="2986"/>
              <w:rPr>
                <w:b/>
                <w:bCs/>
                <w:sz w:val="18"/>
                <w:szCs w:val="18"/>
              </w:rPr>
            </w:pPr>
            <w:r>
              <w:rPr>
                <w:rFonts w:hint="eastAsia"/>
                <w:b/>
                <w:bCs/>
                <w:sz w:val="18"/>
                <w:szCs w:val="18"/>
              </w:rPr>
              <w:t>147.6</w:t>
            </w:r>
          </w:p>
        </w:tc>
        <w:tc>
          <w:tcPr>
            <w:tcW w:w="945" w:type="dxa"/>
            <w:shd w:val="clear" w:color="auto" w:fill="auto"/>
            <w:noWrap w:val="0"/>
            <w:vAlign w:val="center"/>
          </w:tcPr>
          <w:p>
            <w:pPr>
              <w:pStyle w:val="2986"/>
              <w:rPr>
                <w:b/>
                <w:bCs/>
                <w:sz w:val="18"/>
                <w:szCs w:val="18"/>
              </w:rPr>
            </w:pPr>
            <w:r>
              <w:rPr>
                <w:rFonts w:hint="eastAsia"/>
                <w:b/>
                <w:bCs/>
                <w:sz w:val="18"/>
                <w:szCs w:val="18"/>
              </w:rPr>
              <w:t>152516.5</w:t>
            </w:r>
          </w:p>
        </w:tc>
      </w:tr>
    </w:tbl>
    <w:p>
      <w:pPr>
        <w:pStyle w:val="652"/>
        <w:jc w:val="both"/>
        <w:rPr>
          <w:rFonts w:hint="eastAsia" w:eastAsia="黑体"/>
          <w:snapToGrid w:val="0"/>
          <w:lang w:eastAsia="zh-CN"/>
        </w:rPr>
      </w:pPr>
      <w:r>
        <w:rPr>
          <w:rFonts w:hint="eastAsia"/>
          <w:color w:val="auto"/>
          <w:u w:val="none" w:color="auto"/>
          <w:lang w:val="en-US" w:eastAsia="zh-CN"/>
        </w:rPr>
        <w:t>3</w:t>
      </w:r>
      <w:r>
        <w:rPr>
          <w:rFonts w:hint="eastAsia"/>
          <w:color w:val="auto"/>
          <w:u w:val="none" w:color="auto"/>
        </w:rPr>
        <w:t>.4.</w:t>
      </w:r>
      <w:r>
        <w:rPr>
          <w:rFonts w:hint="eastAsia"/>
          <w:color w:val="auto"/>
          <w:u w:val="none" w:color="auto"/>
          <w:lang w:val="en-US" w:eastAsia="zh-CN"/>
        </w:rPr>
        <w:t xml:space="preserve">4 </w:t>
      </w:r>
      <w:r>
        <w:rPr>
          <w:snapToGrid w:val="0"/>
        </w:rPr>
        <w:t>弃渣场</w:t>
      </w:r>
      <w:r>
        <w:rPr>
          <w:rFonts w:hint="eastAsia"/>
          <w:snapToGrid w:val="0"/>
          <w:lang w:eastAsia="zh-CN"/>
        </w:rPr>
        <w:t>选址</w:t>
      </w:r>
    </w:p>
    <w:p>
      <w:pPr>
        <w:pStyle w:val="815"/>
        <w:rPr>
          <w:rFonts w:hint="eastAsia" w:ascii="Times New Roman" w:hAnsi="Times New Roman" w:eastAsia="宋体" w:cs="Times New Roman"/>
          <w:smallCaps w:val="0"/>
          <w:color w:val="auto"/>
          <w:kern w:val="2"/>
          <w:sz w:val="24"/>
          <w:szCs w:val="24"/>
          <w:u w:val="none" w:color="auto"/>
          <w:lang w:val="en-US" w:eastAsia="zh-CN" w:bidi="ar-SA"/>
        </w:rPr>
      </w:pPr>
      <w:r>
        <w:rPr>
          <w:rFonts w:hint="eastAsia" w:ascii="Times New Roman" w:hAnsi="Times New Roman" w:eastAsia="宋体" w:cs="Times New Roman"/>
          <w:smallCaps w:val="0"/>
          <w:color w:val="auto"/>
          <w:kern w:val="2"/>
          <w:sz w:val="24"/>
          <w:szCs w:val="24"/>
          <w:u w:val="none" w:color="auto"/>
          <w:lang w:val="en-US" w:eastAsia="zh-CN" w:bidi="ar-SA"/>
        </w:rPr>
        <w:t>本工程弃渣场沿线设五处，总弃料量242069.6m</w:t>
      </w:r>
      <w:r>
        <w:rPr>
          <w:rFonts w:hint="eastAsia" w:ascii="Times New Roman" w:hAnsi="Times New Roman" w:eastAsia="宋体" w:cs="Times New Roman"/>
          <w:smallCaps w:val="0"/>
          <w:color w:val="auto"/>
          <w:kern w:val="2"/>
          <w:sz w:val="24"/>
          <w:szCs w:val="24"/>
          <w:u w:val="none" w:color="auto"/>
          <w:vertAlign w:val="superscript"/>
          <w:lang w:val="en-US" w:eastAsia="zh-CN" w:bidi="ar-SA"/>
        </w:rPr>
        <w:t>3</w:t>
      </w:r>
      <w:r>
        <w:rPr>
          <w:rFonts w:hint="eastAsia" w:ascii="Times New Roman" w:hAnsi="Times New Roman" w:eastAsia="宋体" w:cs="Times New Roman"/>
          <w:smallCaps w:val="0"/>
          <w:color w:val="auto"/>
          <w:kern w:val="2"/>
          <w:sz w:val="24"/>
          <w:szCs w:val="24"/>
          <w:u w:val="none" w:color="auto"/>
          <w:lang w:val="en-US" w:eastAsia="zh-CN" w:bidi="ar-SA"/>
        </w:rPr>
        <w:t>，按平均运距3km进行堆弃，总占地面积24207.0m</w:t>
      </w:r>
      <w:r>
        <w:rPr>
          <w:rFonts w:hint="eastAsia" w:ascii="Times New Roman" w:hAnsi="Times New Roman" w:eastAsia="宋体" w:cs="Times New Roman"/>
          <w:smallCaps w:val="0"/>
          <w:color w:val="auto"/>
          <w:kern w:val="2"/>
          <w:sz w:val="24"/>
          <w:szCs w:val="24"/>
          <w:u w:val="none" w:color="auto"/>
          <w:vertAlign w:val="superscript"/>
          <w:lang w:val="en-US" w:eastAsia="zh-CN" w:bidi="ar-SA"/>
        </w:rPr>
        <w:t>2</w:t>
      </w:r>
      <w:r>
        <w:rPr>
          <w:rFonts w:hint="eastAsia" w:ascii="Times New Roman" w:hAnsi="Times New Roman" w:eastAsia="宋体" w:cs="Times New Roman"/>
          <w:smallCaps w:val="0"/>
          <w:color w:val="auto"/>
          <w:kern w:val="2"/>
          <w:sz w:val="24"/>
          <w:szCs w:val="24"/>
          <w:u w:val="none" w:color="auto"/>
          <w:lang w:val="en-US" w:eastAsia="zh-CN" w:bidi="ar-SA"/>
        </w:rPr>
        <w:t>。弃渣场特性见</w:t>
      </w:r>
      <w:r>
        <w:rPr>
          <w:rFonts w:hint="eastAsia" w:ascii="Times New Roman" w:hAnsi="Times New Roman" w:eastAsia="宋体" w:cs="Times New Roman"/>
          <w:smallCaps w:val="0"/>
          <w:color w:val="auto"/>
          <w:kern w:val="2"/>
          <w:sz w:val="24"/>
          <w:szCs w:val="24"/>
          <w:u w:val="none" w:color="auto"/>
          <w:lang w:val="en-US" w:eastAsia="zh-CN" w:bidi="ar-SA"/>
        </w:rPr>
        <w:fldChar w:fldCharType="begin"/>
      </w:r>
      <w:r>
        <w:rPr>
          <w:rFonts w:hint="eastAsia" w:ascii="Times New Roman" w:hAnsi="Times New Roman" w:eastAsia="宋体" w:cs="Times New Roman"/>
          <w:smallCaps w:val="0"/>
          <w:color w:val="auto"/>
          <w:kern w:val="2"/>
          <w:sz w:val="24"/>
          <w:szCs w:val="24"/>
          <w:u w:val="none" w:color="auto"/>
          <w:lang w:val="en-US" w:eastAsia="zh-CN" w:bidi="ar-SA"/>
        </w:rPr>
        <w:instrText xml:space="preserve"> REF _Ref501469065 \r \h  \* MERGEFORMAT </w:instrText>
      </w:r>
      <w:r>
        <w:rPr>
          <w:rFonts w:hint="eastAsia" w:ascii="Times New Roman" w:hAnsi="Times New Roman" w:eastAsia="宋体" w:cs="Times New Roman"/>
          <w:smallCaps w:val="0"/>
          <w:color w:val="auto"/>
          <w:kern w:val="2"/>
          <w:sz w:val="24"/>
          <w:szCs w:val="24"/>
          <w:u w:val="none" w:color="auto"/>
          <w:lang w:val="en-US" w:eastAsia="zh-CN" w:bidi="ar-SA"/>
        </w:rPr>
        <w:fldChar w:fldCharType="separate"/>
      </w:r>
      <w:r>
        <w:rPr>
          <w:rFonts w:hint="eastAsia" w:ascii="Times New Roman" w:hAnsi="Times New Roman" w:eastAsia="宋体" w:cs="Times New Roman"/>
          <w:smallCaps w:val="0"/>
          <w:color w:val="auto"/>
          <w:kern w:val="2"/>
          <w:sz w:val="24"/>
          <w:szCs w:val="24"/>
          <w:u w:val="none" w:color="auto"/>
          <w:lang w:val="en-US" w:eastAsia="zh-CN" w:bidi="ar-SA"/>
        </w:rPr>
        <w:t>表</w:t>
      </w:r>
      <w:r>
        <w:rPr>
          <w:rFonts w:hint="eastAsia" w:ascii="Times New Roman" w:hAnsi="Times New Roman" w:cs="Times New Roman"/>
          <w:b/>
          <w:bCs/>
          <w:color w:val="auto"/>
          <w:sz w:val="24"/>
          <w:szCs w:val="24"/>
          <w:lang w:val="en-US" w:eastAsia="zh-CN"/>
        </w:rPr>
        <w:t>3.4.3</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smallCaps w:val="0"/>
          <w:color w:val="auto"/>
          <w:kern w:val="2"/>
          <w:sz w:val="24"/>
          <w:szCs w:val="24"/>
          <w:u w:val="none" w:color="auto"/>
          <w:lang w:val="en-US" w:eastAsia="zh-CN" w:bidi="ar-SA"/>
        </w:rPr>
        <w:fldChar w:fldCharType="end"/>
      </w:r>
      <w:r>
        <w:rPr>
          <w:rFonts w:hint="eastAsia" w:ascii="Times New Roman" w:hAnsi="Times New Roman" w:eastAsia="宋体" w:cs="Times New Roman"/>
          <w:smallCaps w:val="0"/>
          <w:color w:val="auto"/>
          <w:kern w:val="2"/>
          <w:sz w:val="24"/>
          <w:szCs w:val="24"/>
          <w:u w:val="none" w:color="auto"/>
          <w:lang w:val="en-US" w:eastAsia="zh-CN" w:bidi="ar-SA"/>
        </w:rPr>
        <w:t>。</w:t>
      </w:r>
    </w:p>
    <w:p>
      <w:pPr>
        <w:pStyle w:val="815"/>
        <w:jc w:val="center"/>
        <w:rPr>
          <w:snapToGrid w:val="0"/>
        </w:rPr>
      </w:pPr>
      <w:r>
        <w:rPr>
          <w:rFonts w:hint="eastAsia" w:ascii="Times New Roman" w:hAnsi="Times New Roman" w:cs="Times New Roman"/>
          <w:b/>
          <w:bCs/>
          <w:color w:val="auto"/>
          <w:sz w:val="24"/>
          <w:szCs w:val="24"/>
          <w:lang w:val="en-US" w:eastAsia="zh-CN"/>
        </w:rPr>
        <w:t>3.4.3</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 xml:space="preserve">2   </w:t>
      </w:r>
      <w:bookmarkStart w:id="179" w:name="_Ref501469065"/>
      <w:r>
        <w:rPr>
          <w:rFonts w:hint="eastAsia" w:ascii="Times New Roman" w:hAnsi="Times New Roman" w:eastAsia="宋体" w:cs="Times New Roman"/>
          <w:b/>
          <w:bCs/>
          <w:color w:val="auto"/>
          <w:sz w:val="24"/>
          <w:szCs w:val="24"/>
          <w:lang w:val="en-US" w:eastAsia="zh-CN"/>
        </w:rPr>
        <w:t>弃渣场特性表</w:t>
      </w:r>
      <w:bookmarkEnd w:id="179"/>
    </w:p>
    <w:tbl>
      <w:tblPr>
        <w:tblStyle w:val="89"/>
        <w:tblW w:w="476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174"/>
        <w:gridCol w:w="3119"/>
        <w:gridCol w:w="1470"/>
        <w:gridCol w:w="1644"/>
        <w:gridCol w:w="139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jc w:val="center"/>
        </w:trPr>
        <w:tc>
          <w:tcPr>
            <w:tcW w:w="667" w:type="pct"/>
            <w:noWrap w:val="0"/>
            <w:vAlign w:val="center"/>
          </w:tcPr>
          <w:p>
            <w:pPr>
              <w:pStyle w:val="2986"/>
              <w:rPr>
                <w:rFonts w:ascii="宋体" w:hAnsi="宋体" w:cs="宋体"/>
                <w:szCs w:val="21"/>
              </w:rPr>
            </w:pPr>
            <w:r>
              <w:rPr>
                <w:rFonts w:hint="eastAsia"/>
                <w:szCs w:val="21"/>
              </w:rPr>
              <w:t>弃渣场名称</w:t>
            </w:r>
          </w:p>
        </w:tc>
        <w:tc>
          <w:tcPr>
            <w:tcW w:w="1772" w:type="pct"/>
            <w:noWrap w:val="0"/>
            <w:vAlign w:val="center"/>
          </w:tcPr>
          <w:p>
            <w:pPr>
              <w:pStyle w:val="2986"/>
              <w:rPr>
                <w:rFonts w:ascii="宋体" w:hAnsi="宋体" w:cs="宋体"/>
                <w:szCs w:val="21"/>
              </w:rPr>
            </w:pPr>
            <w:r>
              <w:rPr>
                <w:rFonts w:hint="eastAsia"/>
                <w:szCs w:val="21"/>
              </w:rPr>
              <w:t>位置</w:t>
            </w:r>
          </w:p>
        </w:tc>
        <w:tc>
          <w:tcPr>
            <w:tcW w:w="835" w:type="pct"/>
            <w:noWrap w:val="0"/>
            <w:vAlign w:val="center"/>
          </w:tcPr>
          <w:p>
            <w:pPr>
              <w:pStyle w:val="2986"/>
              <w:rPr>
                <w:rFonts w:ascii="宋体" w:hAnsi="宋体" w:cs="宋体"/>
                <w:szCs w:val="21"/>
              </w:rPr>
            </w:pPr>
            <w:r>
              <w:rPr>
                <w:rFonts w:hint="eastAsia"/>
                <w:szCs w:val="21"/>
              </w:rPr>
              <w:t>弃料量（</w:t>
            </w:r>
            <w:r>
              <w:rPr>
                <w:szCs w:val="21"/>
              </w:rPr>
              <w:t>m</w:t>
            </w:r>
            <w:r>
              <w:rPr>
                <w:szCs w:val="21"/>
                <w:vertAlign w:val="superscript"/>
              </w:rPr>
              <w:t>3</w:t>
            </w:r>
            <w:r>
              <w:rPr>
                <w:rFonts w:hint="eastAsia"/>
                <w:szCs w:val="21"/>
              </w:rPr>
              <w:t>）</w:t>
            </w:r>
          </w:p>
        </w:tc>
        <w:tc>
          <w:tcPr>
            <w:tcW w:w="934" w:type="pct"/>
            <w:noWrap w:val="0"/>
            <w:vAlign w:val="center"/>
          </w:tcPr>
          <w:p>
            <w:pPr>
              <w:pStyle w:val="2986"/>
              <w:rPr>
                <w:rFonts w:ascii="宋体" w:hAnsi="宋体" w:cs="宋体"/>
                <w:szCs w:val="21"/>
              </w:rPr>
            </w:pPr>
            <w:r>
              <w:rPr>
                <w:rFonts w:hint="eastAsia"/>
                <w:szCs w:val="21"/>
              </w:rPr>
              <w:t>平均堆高（</w:t>
            </w:r>
            <w:r>
              <w:rPr>
                <w:szCs w:val="21"/>
              </w:rPr>
              <w:t>m</w:t>
            </w:r>
            <w:r>
              <w:rPr>
                <w:rFonts w:hint="eastAsia"/>
                <w:szCs w:val="21"/>
              </w:rPr>
              <w:t>）</w:t>
            </w:r>
          </w:p>
        </w:tc>
        <w:tc>
          <w:tcPr>
            <w:tcW w:w="790" w:type="pct"/>
            <w:noWrap w:val="0"/>
            <w:vAlign w:val="center"/>
          </w:tcPr>
          <w:p>
            <w:pPr>
              <w:pStyle w:val="2986"/>
              <w:rPr>
                <w:rFonts w:ascii="宋体" w:hAnsi="宋体" w:cs="宋体"/>
                <w:szCs w:val="21"/>
              </w:rPr>
            </w:pPr>
            <w:r>
              <w:rPr>
                <w:rFonts w:hint="eastAsia"/>
                <w:szCs w:val="21"/>
              </w:rPr>
              <w:t>占地面积（</w:t>
            </w:r>
            <w:r>
              <w:rPr>
                <w:szCs w:val="21"/>
              </w:rPr>
              <w:t>m</w:t>
            </w:r>
            <w:r>
              <w:rPr>
                <w:szCs w:val="21"/>
                <w:vertAlign w:val="superscript"/>
              </w:rPr>
              <w:t>2</w:t>
            </w:r>
            <w:r>
              <w:rPr>
                <w:rFonts w:hint="eastAsia"/>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jc w:val="center"/>
        </w:trPr>
        <w:tc>
          <w:tcPr>
            <w:tcW w:w="667" w:type="pct"/>
            <w:noWrap w:val="0"/>
            <w:vAlign w:val="center"/>
          </w:tcPr>
          <w:p>
            <w:pPr>
              <w:pStyle w:val="2986"/>
              <w:rPr>
                <w:rFonts w:ascii="宋体" w:hAnsi="宋体" w:cs="宋体"/>
                <w:szCs w:val="21"/>
              </w:rPr>
            </w:pPr>
            <w:r>
              <w:rPr>
                <w:rFonts w:hint="eastAsia"/>
                <w:szCs w:val="21"/>
              </w:rPr>
              <w:t>1#弃渣场</w:t>
            </w:r>
          </w:p>
        </w:tc>
        <w:tc>
          <w:tcPr>
            <w:tcW w:w="1772" w:type="pct"/>
            <w:noWrap w:val="0"/>
            <w:vAlign w:val="center"/>
          </w:tcPr>
          <w:p>
            <w:pPr>
              <w:pStyle w:val="2986"/>
              <w:rPr>
                <w:rFonts w:ascii="宋体" w:hAnsi="宋体" w:cs="宋体"/>
                <w:szCs w:val="21"/>
              </w:rPr>
            </w:pPr>
            <w:r>
              <w:rPr>
                <w:rFonts w:hint="eastAsia"/>
                <w:szCs w:val="21"/>
              </w:rPr>
              <w:t>祁水源村袁家屋场东侧山坳</w:t>
            </w:r>
          </w:p>
        </w:tc>
        <w:tc>
          <w:tcPr>
            <w:tcW w:w="835" w:type="pct"/>
            <w:noWrap w:val="0"/>
            <w:vAlign w:val="center"/>
          </w:tcPr>
          <w:p>
            <w:pPr>
              <w:pStyle w:val="2986"/>
              <w:rPr>
                <w:rFonts w:ascii="宋体" w:hAnsi="宋体" w:cs="宋体"/>
                <w:szCs w:val="21"/>
              </w:rPr>
            </w:pPr>
            <w:r>
              <w:rPr>
                <w:rFonts w:hint="eastAsia"/>
                <w:szCs w:val="21"/>
              </w:rPr>
              <w:t>9638.4</w:t>
            </w:r>
          </w:p>
        </w:tc>
        <w:tc>
          <w:tcPr>
            <w:tcW w:w="934" w:type="pct"/>
            <w:noWrap w:val="0"/>
            <w:vAlign w:val="center"/>
          </w:tcPr>
          <w:p>
            <w:pPr>
              <w:pStyle w:val="2986"/>
              <w:rPr>
                <w:rFonts w:ascii="宋体" w:hAnsi="宋体" w:cs="宋体"/>
                <w:color w:val="auto"/>
                <w:szCs w:val="21"/>
              </w:rPr>
            </w:pPr>
            <w:r>
              <w:rPr>
                <w:rFonts w:hint="eastAsia"/>
                <w:color w:val="auto"/>
                <w:szCs w:val="21"/>
              </w:rPr>
              <w:t>10.0</w:t>
            </w:r>
          </w:p>
        </w:tc>
        <w:tc>
          <w:tcPr>
            <w:tcW w:w="790" w:type="pct"/>
            <w:noWrap w:val="0"/>
            <w:vAlign w:val="center"/>
          </w:tcPr>
          <w:p>
            <w:pPr>
              <w:pStyle w:val="2986"/>
              <w:rPr>
                <w:rFonts w:ascii="宋体" w:hAnsi="宋体" w:cs="宋体"/>
                <w:color w:val="auto"/>
                <w:szCs w:val="21"/>
              </w:rPr>
            </w:pPr>
            <w:r>
              <w:rPr>
                <w:rFonts w:hint="eastAsia"/>
                <w:color w:val="auto"/>
                <w:szCs w:val="21"/>
              </w:rPr>
              <w:t>963.8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jc w:val="center"/>
        </w:trPr>
        <w:tc>
          <w:tcPr>
            <w:tcW w:w="667" w:type="pct"/>
            <w:noWrap w:val="0"/>
            <w:vAlign w:val="center"/>
          </w:tcPr>
          <w:p>
            <w:pPr>
              <w:pStyle w:val="2986"/>
              <w:rPr>
                <w:rFonts w:ascii="宋体" w:hAnsi="宋体" w:cs="宋体"/>
                <w:szCs w:val="21"/>
              </w:rPr>
            </w:pPr>
            <w:r>
              <w:rPr>
                <w:rFonts w:hint="eastAsia"/>
                <w:szCs w:val="21"/>
              </w:rPr>
              <w:t>2#弃渣场</w:t>
            </w:r>
          </w:p>
        </w:tc>
        <w:tc>
          <w:tcPr>
            <w:tcW w:w="1772" w:type="pct"/>
            <w:noWrap w:val="0"/>
            <w:vAlign w:val="center"/>
          </w:tcPr>
          <w:p>
            <w:pPr>
              <w:pStyle w:val="2986"/>
              <w:rPr>
                <w:rFonts w:ascii="宋体" w:hAnsi="宋体" w:cs="宋体"/>
                <w:szCs w:val="21"/>
              </w:rPr>
            </w:pPr>
            <w:r>
              <w:rPr>
                <w:rFonts w:hint="eastAsia"/>
                <w:szCs w:val="21"/>
              </w:rPr>
              <w:t>三口湾村马道子坪南侧山坳</w:t>
            </w:r>
          </w:p>
        </w:tc>
        <w:tc>
          <w:tcPr>
            <w:tcW w:w="835" w:type="pct"/>
            <w:noWrap w:val="0"/>
            <w:vAlign w:val="center"/>
          </w:tcPr>
          <w:p>
            <w:pPr>
              <w:pStyle w:val="2986"/>
              <w:rPr>
                <w:rFonts w:ascii="宋体" w:hAnsi="宋体" w:cs="宋体"/>
                <w:szCs w:val="21"/>
              </w:rPr>
            </w:pPr>
            <w:r>
              <w:rPr>
                <w:rFonts w:hint="eastAsia"/>
                <w:szCs w:val="21"/>
              </w:rPr>
              <w:t>47419.0</w:t>
            </w:r>
          </w:p>
        </w:tc>
        <w:tc>
          <w:tcPr>
            <w:tcW w:w="934" w:type="pct"/>
            <w:noWrap w:val="0"/>
            <w:vAlign w:val="center"/>
          </w:tcPr>
          <w:p>
            <w:pPr>
              <w:pStyle w:val="2986"/>
              <w:rPr>
                <w:rFonts w:ascii="宋体" w:hAnsi="宋体" w:cs="宋体"/>
                <w:color w:val="auto"/>
                <w:szCs w:val="21"/>
              </w:rPr>
            </w:pPr>
            <w:r>
              <w:rPr>
                <w:rFonts w:hint="eastAsia"/>
                <w:color w:val="auto"/>
                <w:szCs w:val="21"/>
              </w:rPr>
              <w:t>10.0</w:t>
            </w:r>
          </w:p>
        </w:tc>
        <w:tc>
          <w:tcPr>
            <w:tcW w:w="790" w:type="pct"/>
            <w:noWrap w:val="0"/>
            <w:vAlign w:val="center"/>
          </w:tcPr>
          <w:p>
            <w:pPr>
              <w:pStyle w:val="2986"/>
              <w:rPr>
                <w:rFonts w:ascii="宋体" w:hAnsi="宋体" w:cs="宋体"/>
                <w:color w:val="auto"/>
                <w:szCs w:val="21"/>
              </w:rPr>
            </w:pPr>
            <w:r>
              <w:rPr>
                <w:rFonts w:hint="eastAsia"/>
                <w:color w:val="auto"/>
                <w:szCs w:val="21"/>
              </w:rPr>
              <w:t>4741.9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jc w:val="center"/>
        </w:trPr>
        <w:tc>
          <w:tcPr>
            <w:tcW w:w="667" w:type="pct"/>
            <w:noWrap w:val="0"/>
            <w:vAlign w:val="center"/>
          </w:tcPr>
          <w:p>
            <w:pPr>
              <w:pStyle w:val="2986"/>
              <w:rPr>
                <w:rFonts w:ascii="宋体" w:hAnsi="宋体" w:cs="宋体"/>
                <w:szCs w:val="21"/>
              </w:rPr>
            </w:pPr>
            <w:r>
              <w:rPr>
                <w:rFonts w:hint="eastAsia"/>
                <w:szCs w:val="21"/>
              </w:rPr>
              <w:t>3#弃渣场</w:t>
            </w:r>
          </w:p>
        </w:tc>
        <w:tc>
          <w:tcPr>
            <w:tcW w:w="1772" w:type="pct"/>
            <w:noWrap w:val="0"/>
            <w:vAlign w:val="center"/>
          </w:tcPr>
          <w:p>
            <w:pPr>
              <w:pStyle w:val="2986"/>
              <w:rPr>
                <w:rFonts w:ascii="宋体" w:hAnsi="宋体" w:cs="宋体"/>
                <w:szCs w:val="21"/>
              </w:rPr>
            </w:pPr>
            <w:r>
              <w:rPr>
                <w:rFonts w:hint="eastAsia"/>
                <w:szCs w:val="21"/>
              </w:rPr>
              <w:t>大合岭山坳</w:t>
            </w:r>
          </w:p>
        </w:tc>
        <w:tc>
          <w:tcPr>
            <w:tcW w:w="835" w:type="pct"/>
            <w:noWrap w:val="0"/>
            <w:vAlign w:val="center"/>
          </w:tcPr>
          <w:p>
            <w:pPr>
              <w:pStyle w:val="2986"/>
              <w:rPr>
                <w:rFonts w:ascii="宋体" w:hAnsi="宋体" w:cs="宋体"/>
                <w:szCs w:val="21"/>
              </w:rPr>
            </w:pPr>
            <w:r>
              <w:rPr>
                <w:rFonts w:hint="eastAsia"/>
                <w:szCs w:val="21"/>
              </w:rPr>
              <w:t>79031.6</w:t>
            </w:r>
          </w:p>
        </w:tc>
        <w:tc>
          <w:tcPr>
            <w:tcW w:w="934" w:type="pct"/>
            <w:noWrap w:val="0"/>
            <w:vAlign w:val="center"/>
          </w:tcPr>
          <w:p>
            <w:pPr>
              <w:pStyle w:val="2986"/>
              <w:rPr>
                <w:rFonts w:ascii="宋体" w:hAnsi="宋体" w:cs="宋体"/>
                <w:color w:val="auto"/>
                <w:szCs w:val="21"/>
              </w:rPr>
            </w:pPr>
            <w:r>
              <w:rPr>
                <w:rFonts w:hint="eastAsia"/>
                <w:color w:val="auto"/>
                <w:szCs w:val="21"/>
              </w:rPr>
              <w:t>10.0</w:t>
            </w:r>
          </w:p>
        </w:tc>
        <w:tc>
          <w:tcPr>
            <w:tcW w:w="790" w:type="pct"/>
            <w:noWrap w:val="0"/>
            <w:vAlign w:val="center"/>
          </w:tcPr>
          <w:p>
            <w:pPr>
              <w:pStyle w:val="2986"/>
              <w:rPr>
                <w:rFonts w:ascii="宋体" w:hAnsi="宋体" w:cs="宋体"/>
                <w:color w:val="auto"/>
                <w:szCs w:val="21"/>
              </w:rPr>
            </w:pPr>
            <w:r>
              <w:rPr>
                <w:rFonts w:hint="eastAsia"/>
                <w:color w:val="auto"/>
                <w:szCs w:val="21"/>
              </w:rPr>
              <w:t>7903.2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jc w:val="center"/>
        </w:trPr>
        <w:tc>
          <w:tcPr>
            <w:tcW w:w="667" w:type="pct"/>
            <w:noWrap w:val="0"/>
            <w:vAlign w:val="center"/>
          </w:tcPr>
          <w:p>
            <w:pPr>
              <w:pStyle w:val="2986"/>
              <w:rPr>
                <w:rFonts w:ascii="宋体" w:hAnsi="宋体" w:cs="宋体"/>
                <w:szCs w:val="21"/>
              </w:rPr>
            </w:pPr>
            <w:r>
              <w:rPr>
                <w:rFonts w:hint="eastAsia"/>
                <w:szCs w:val="21"/>
              </w:rPr>
              <w:t>4#弃渣场</w:t>
            </w:r>
          </w:p>
        </w:tc>
        <w:tc>
          <w:tcPr>
            <w:tcW w:w="1772" w:type="pct"/>
            <w:noWrap w:val="0"/>
            <w:vAlign w:val="center"/>
          </w:tcPr>
          <w:p>
            <w:pPr>
              <w:pStyle w:val="2986"/>
              <w:rPr>
                <w:rFonts w:ascii="宋体" w:hAnsi="宋体" w:cs="宋体"/>
                <w:szCs w:val="21"/>
              </w:rPr>
            </w:pPr>
            <w:r>
              <w:rPr>
                <w:rFonts w:hint="eastAsia"/>
                <w:szCs w:val="21"/>
              </w:rPr>
              <w:t>红塘张家西侧山坳</w:t>
            </w:r>
          </w:p>
        </w:tc>
        <w:tc>
          <w:tcPr>
            <w:tcW w:w="835" w:type="pct"/>
            <w:noWrap w:val="0"/>
            <w:vAlign w:val="center"/>
          </w:tcPr>
          <w:p>
            <w:pPr>
              <w:pStyle w:val="2986"/>
              <w:rPr>
                <w:rFonts w:ascii="宋体" w:hAnsi="宋体" w:cs="宋体"/>
                <w:szCs w:val="21"/>
              </w:rPr>
            </w:pPr>
            <w:r>
              <w:rPr>
                <w:rFonts w:hint="eastAsia"/>
                <w:szCs w:val="21"/>
              </w:rPr>
              <w:t>31612.6</w:t>
            </w:r>
          </w:p>
        </w:tc>
        <w:tc>
          <w:tcPr>
            <w:tcW w:w="934" w:type="pct"/>
            <w:noWrap w:val="0"/>
            <w:vAlign w:val="center"/>
          </w:tcPr>
          <w:p>
            <w:pPr>
              <w:pStyle w:val="2986"/>
              <w:rPr>
                <w:rFonts w:ascii="宋体" w:hAnsi="宋体" w:cs="宋体"/>
                <w:color w:val="auto"/>
                <w:szCs w:val="21"/>
              </w:rPr>
            </w:pPr>
            <w:r>
              <w:rPr>
                <w:rFonts w:hint="eastAsia"/>
                <w:color w:val="auto"/>
                <w:szCs w:val="21"/>
              </w:rPr>
              <w:t>10.0</w:t>
            </w:r>
          </w:p>
        </w:tc>
        <w:tc>
          <w:tcPr>
            <w:tcW w:w="790" w:type="pct"/>
            <w:noWrap w:val="0"/>
            <w:vAlign w:val="center"/>
          </w:tcPr>
          <w:p>
            <w:pPr>
              <w:pStyle w:val="2986"/>
              <w:rPr>
                <w:rFonts w:ascii="宋体" w:hAnsi="宋体" w:cs="宋体"/>
                <w:color w:val="auto"/>
                <w:szCs w:val="21"/>
              </w:rPr>
            </w:pPr>
            <w:r>
              <w:rPr>
                <w:rFonts w:hint="eastAsia"/>
                <w:color w:val="auto"/>
                <w:szCs w:val="21"/>
              </w:rPr>
              <w:t>3161.3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jc w:val="center"/>
        </w:trPr>
        <w:tc>
          <w:tcPr>
            <w:tcW w:w="667" w:type="pct"/>
            <w:noWrap w:val="0"/>
            <w:vAlign w:val="center"/>
          </w:tcPr>
          <w:p>
            <w:pPr>
              <w:pStyle w:val="2986"/>
              <w:rPr>
                <w:rFonts w:ascii="宋体" w:hAnsi="宋体" w:cs="宋体"/>
                <w:szCs w:val="21"/>
              </w:rPr>
            </w:pPr>
            <w:r>
              <w:rPr>
                <w:rFonts w:hint="eastAsia"/>
                <w:szCs w:val="21"/>
              </w:rPr>
              <w:t>5#弃渣场</w:t>
            </w:r>
          </w:p>
        </w:tc>
        <w:tc>
          <w:tcPr>
            <w:tcW w:w="1772" w:type="pct"/>
            <w:noWrap w:val="0"/>
            <w:vAlign w:val="center"/>
          </w:tcPr>
          <w:p>
            <w:pPr>
              <w:pStyle w:val="2986"/>
              <w:rPr>
                <w:rFonts w:ascii="宋体" w:hAnsi="宋体" w:cs="宋体"/>
                <w:szCs w:val="21"/>
              </w:rPr>
            </w:pPr>
            <w:r>
              <w:rPr>
                <w:rFonts w:hint="eastAsia"/>
                <w:szCs w:val="21"/>
              </w:rPr>
              <w:t>城连墟乡白毛冲</w:t>
            </w:r>
          </w:p>
        </w:tc>
        <w:tc>
          <w:tcPr>
            <w:tcW w:w="835" w:type="pct"/>
            <w:noWrap w:val="0"/>
            <w:vAlign w:val="center"/>
          </w:tcPr>
          <w:p>
            <w:pPr>
              <w:pStyle w:val="2986"/>
              <w:rPr>
                <w:rFonts w:ascii="宋体" w:hAnsi="宋体" w:cs="宋体"/>
                <w:szCs w:val="21"/>
              </w:rPr>
            </w:pPr>
            <w:r>
              <w:rPr>
                <w:rFonts w:hint="eastAsia"/>
                <w:szCs w:val="21"/>
              </w:rPr>
              <w:t>74368.0</w:t>
            </w:r>
          </w:p>
        </w:tc>
        <w:tc>
          <w:tcPr>
            <w:tcW w:w="934" w:type="pct"/>
            <w:noWrap w:val="0"/>
            <w:vAlign w:val="center"/>
          </w:tcPr>
          <w:p>
            <w:pPr>
              <w:pStyle w:val="2986"/>
              <w:rPr>
                <w:rFonts w:ascii="宋体" w:hAnsi="宋体" w:cs="宋体"/>
                <w:color w:val="auto"/>
                <w:szCs w:val="21"/>
              </w:rPr>
            </w:pPr>
            <w:r>
              <w:rPr>
                <w:rFonts w:hint="eastAsia"/>
                <w:color w:val="auto"/>
                <w:szCs w:val="21"/>
              </w:rPr>
              <w:t>10.0</w:t>
            </w:r>
          </w:p>
        </w:tc>
        <w:tc>
          <w:tcPr>
            <w:tcW w:w="790" w:type="pct"/>
            <w:noWrap w:val="0"/>
            <w:vAlign w:val="center"/>
          </w:tcPr>
          <w:p>
            <w:pPr>
              <w:pStyle w:val="2986"/>
              <w:rPr>
                <w:rFonts w:ascii="宋体" w:hAnsi="宋体" w:cs="宋体"/>
                <w:color w:val="auto"/>
                <w:szCs w:val="21"/>
              </w:rPr>
            </w:pPr>
            <w:r>
              <w:rPr>
                <w:rFonts w:hint="eastAsia"/>
                <w:color w:val="auto"/>
                <w:szCs w:val="21"/>
              </w:rPr>
              <w:t>7436.8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jc w:val="center"/>
        </w:trPr>
        <w:tc>
          <w:tcPr>
            <w:tcW w:w="667" w:type="pct"/>
            <w:noWrap w:val="0"/>
            <w:vAlign w:val="center"/>
          </w:tcPr>
          <w:p>
            <w:pPr>
              <w:pStyle w:val="2986"/>
              <w:rPr>
                <w:rFonts w:ascii="宋体" w:hAnsi="宋体" w:cs="宋体"/>
                <w:b/>
                <w:bCs/>
                <w:szCs w:val="21"/>
              </w:rPr>
            </w:pPr>
            <w:r>
              <w:rPr>
                <w:rFonts w:hint="eastAsia"/>
                <w:b/>
                <w:bCs/>
                <w:szCs w:val="21"/>
              </w:rPr>
              <w:t>合计</w:t>
            </w:r>
          </w:p>
        </w:tc>
        <w:tc>
          <w:tcPr>
            <w:tcW w:w="1772" w:type="pct"/>
            <w:noWrap w:val="0"/>
            <w:vAlign w:val="bottom"/>
          </w:tcPr>
          <w:p>
            <w:pPr>
              <w:pStyle w:val="2986"/>
              <w:rPr>
                <w:rFonts w:ascii="Arial" w:hAnsi="Arial" w:cs="Arial"/>
                <w:szCs w:val="21"/>
              </w:rPr>
            </w:pPr>
            <w:r>
              <w:rPr>
                <w:rFonts w:ascii="Arial" w:hAnsi="Arial" w:cs="Arial"/>
                <w:szCs w:val="21"/>
              </w:rPr>
              <w:t>　</w:t>
            </w:r>
          </w:p>
        </w:tc>
        <w:tc>
          <w:tcPr>
            <w:tcW w:w="835" w:type="pct"/>
            <w:noWrap w:val="0"/>
            <w:vAlign w:val="center"/>
          </w:tcPr>
          <w:p>
            <w:pPr>
              <w:pStyle w:val="2986"/>
              <w:rPr>
                <w:rFonts w:ascii="宋体" w:hAnsi="宋体" w:cs="宋体"/>
                <w:b/>
                <w:bCs/>
                <w:szCs w:val="21"/>
              </w:rPr>
            </w:pPr>
            <w:r>
              <w:rPr>
                <w:rFonts w:hint="eastAsia"/>
                <w:b/>
                <w:bCs/>
                <w:szCs w:val="21"/>
              </w:rPr>
              <w:t>242069.6</w:t>
            </w:r>
          </w:p>
        </w:tc>
        <w:tc>
          <w:tcPr>
            <w:tcW w:w="934" w:type="pct"/>
            <w:noWrap w:val="0"/>
            <w:vAlign w:val="center"/>
          </w:tcPr>
          <w:p>
            <w:pPr>
              <w:pStyle w:val="2986"/>
              <w:rPr>
                <w:rFonts w:ascii="宋体" w:hAnsi="宋体" w:cs="宋体"/>
                <w:color w:val="auto"/>
                <w:szCs w:val="21"/>
              </w:rPr>
            </w:pPr>
            <w:r>
              <w:rPr>
                <w:rFonts w:hint="eastAsia"/>
                <w:color w:val="auto"/>
                <w:szCs w:val="21"/>
              </w:rPr>
              <w:t>　</w:t>
            </w:r>
          </w:p>
        </w:tc>
        <w:tc>
          <w:tcPr>
            <w:tcW w:w="790" w:type="pct"/>
            <w:noWrap w:val="0"/>
            <w:vAlign w:val="center"/>
          </w:tcPr>
          <w:p>
            <w:pPr>
              <w:pStyle w:val="2986"/>
              <w:rPr>
                <w:rFonts w:ascii="宋体" w:hAnsi="宋体" w:cs="宋体"/>
                <w:b/>
                <w:bCs/>
                <w:color w:val="auto"/>
                <w:szCs w:val="21"/>
              </w:rPr>
            </w:pPr>
            <w:r>
              <w:rPr>
                <w:rFonts w:hint="eastAsia"/>
                <w:b/>
                <w:bCs/>
                <w:color w:val="auto"/>
                <w:szCs w:val="21"/>
              </w:rPr>
              <w:t>24207.0</w:t>
            </w:r>
          </w:p>
        </w:tc>
      </w:tr>
    </w:tbl>
    <w:p>
      <w:pPr>
        <w:pStyle w:val="2974"/>
        <w:ind w:left="0" w:leftChars="0" w:firstLine="0" w:firstLineChars="0"/>
        <w:rPr>
          <w:rFonts w:hint="eastAsia"/>
          <w:color w:val="auto"/>
          <w:u w:val="none" w:color="auto"/>
        </w:rPr>
      </w:pPr>
      <w:r>
        <w:rPr>
          <w:rFonts w:hint="eastAsia" w:ascii="Times New Roman" w:hAnsi="Times New Roman" w:eastAsia="黑体" w:cs="Times New Roman"/>
          <w:snapToGrid w:val="0"/>
          <w:color w:val="000000"/>
          <w:kern w:val="2"/>
          <w:sz w:val="24"/>
          <w:szCs w:val="20"/>
          <w:lang w:val="en-US" w:eastAsia="zh-CN" w:bidi="ar-SA"/>
        </w:rPr>
        <w:t>3.4.5 施工营地选址</w:t>
      </w:r>
    </w:p>
    <w:p>
      <w:pPr>
        <w:pStyle w:val="2974"/>
        <w:rPr>
          <w:rFonts w:hint="eastAsia"/>
          <w:color w:val="auto"/>
          <w:u w:val="none" w:color="auto"/>
        </w:rPr>
      </w:pPr>
      <w:r>
        <w:rPr>
          <w:rFonts w:hint="eastAsia"/>
          <w:color w:val="auto"/>
          <w:u w:val="none" w:color="auto"/>
        </w:rPr>
        <w:t>共设计</w:t>
      </w:r>
      <w:r>
        <w:rPr>
          <w:rFonts w:hint="eastAsia"/>
          <w:color w:val="auto"/>
          <w:u w:val="none" w:color="auto"/>
          <w:lang w:val="en-US" w:eastAsia="zh-CN"/>
        </w:rPr>
        <w:t>2</w:t>
      </w:r>
      <w:r>
        <w:rPr>
          <w:rFonts w:hint="eastAsia"/>
          <w:color w:val="auto"/>
          <w:u w:val="none" w:color="auto"/>
        </w:rPr>
        <w:t>处，分别位于乌江9+650右侧、15+404右侧、23+565右侧、29+900右侧，占地面积0.037hm2。施工营地内包括砂石、块石、砌石料堆场、钢筋加工厂、木材加工厂等。工人生活营地租用工地附近农房，施工营地内不进行设备维修，不设置混凝土拌和站。占地类型均为荒地。</w:t>
      </w:r>
    </w:p>
    <w:p>
      <w:pPr>
        <w:pStyle w:val="2974"/>
        <w:rPr>
          <w:rFonts w:hint="eastAsia"/>
          <w:color w:val="auto"/>
          <w:u w:val="none" w:color="auto"/>
        </w:rPr>
      </w:pPr>
    </w:p>
    <w:p>
      <w:pPr>
        <w:pStyle w:val="2974"/>
        <w:rPr>
          <w:rFonts w:hint="eastAsia"/>
          <w:color w:val="auto"/>
          <w:u w:val="none" w:color="auto"/>
        </w:rPr>
      </w:pPr>
    </w:p>
    <w:p>
      <w:pPr>
        <w:pStyle w:val="2974"/>
        <w:rPr>
          <w:color w:val="auto"/>
          <w:u w:val="none" w:color="auto"/>
        </w:rPr>
        <w:sectPr>
          <w:pgSz w:w="11906" w:h="16838"/>
          <w:pgMar w:top="1418" w:right="1440" w:bottom="1418"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975"/>
        <w:rPr>
          <w:color w:val="auto"/>
          <w:u w:val="none" w:color="auto"/>
        </w:rPr>
      </w:pPr>
      <w:bookmarkStart w:id="180" w:name="_Toc12395"/>
      <w:r>
        <w:rPr>
          <w:rFonts w:hint="eastAsia"/>
          <w:color w:val="auto"/>
          <w:u w:val="none" w:color="auto"/>
          <w:lang w:val="en-US" w:eastAsia="zh-CN"/>
        </w:rPr>
        <w:t>3</w:t>
      </w:r>
      <w:r>
        <w:rPr>
          <w:rFonts w:hint="eastAsia"/>
          <w:color w:val="auto"/>
          <w:u w:val="none" w:color="auto"/>
        </w:rPr>
        <w:t>.4.</w:t>
      </w:r>
      <w:r>
        <w:rPr>
          <w:rFonts w:hint="eastAsia"/>
          <w:color w:val="auto"/>
          <w:u w:val="none" w:color="auto"/>
          <w:lang w:val="en-US" w:eastAsia="zh-CN"/>
        </w:rPr>
        <w:t>4</w:t>
      </w:r>
      <w:r>
        <w:rPr>
          <w:rFonts w:hint="eastAsia"/>
          <w:color w:val="auto"/>
          <w:u w:val="none" w:color="auto"/>
        </w:rPr>
        <w:t>选址方案环境合理性</w:t>
      </w:r>
      <w:r>
        <w:rPr>
          <w:rFonts w:hint="eastAsia"/>
          <w:color w:val="auto"/>
          <w:u w:val="none" w:color="auto"/>
          <w:lang w:val="en-US" w:eastAsia="zh-CN"/>
        </w:rPr>
        <w:t>及可行性</w:t>
      </w:r>
      <w:r>
        <w:rPr>
          <w:rFonts w:hint="eastAsia"/>
          <w:color w:val="auto"/>
          <w:u w:val="none" w:color="auto"/>
        </w:rPr>
        <w:t>分析</w:t>
      </w:r>
      <w:bookmarkEnd w:id="180"/>
    </w:p>
    <w:p>
      <w:pPr>
        <w:pStyle w:val="2974"/>
        <w:rPr>
          <w:rFonts w:hint="default" w:eastAsia="宋体"/>
          <w:color w:val="FF0000"/>
          <w:u w:val="single" w:color="auto"/>
          <w:lang w:val="en-US" w:eastAsia="zh-CN"/>
        </w:rPr>
      </w:pPr>
      <w:r>
        <w:rPr>
          <w:rFonts w:hint="eastAsia"/>
          <w:color w:val="FF0000"/>
          <w:u w:val="single" w:color="auto"/>
        </w:rPr>
        <w:t>本工程为水</w:t>
      </w:r>
      <w:r>
        <w:rPr>
          <w:rFonts w:hint="eastAsia"/>
          <w:color w:val="FF0000"/>
          <w:u w:val="single" w:color="auto"/>
          <w:lang w:eastAsia="zh-CN"/>
        </w:rPr>
        <w:t>环境综合整治工程</w:t>
      </w:r>
      <w:r>
        <w:rPr>
          <w:rFonts w:hint="eastAsia"/>
          <w:color w:val="FF0000"/>
          <w:u w:val="single" w:color="auto"/>
        </w:rPr>
        <w:t>，为民生保障工程，是国家工程建设项目鼓励类。本工程无法避让</w:t>
      </w:r>
      <w:r>
        <w:rPr>
          <w:rFonts w:hint="eastAsia"/>
          <w:color w:val="FF0000"/>
          <w:u w:val="single" w:color="auto"/>
          <w:lang w:eastAsia="zh-CN"/>
        </w:rPr>
        <w:t>饮用水源保护区</w:t>
      </w:r>
      <w:r>
        <w:rPr>
          <w:rFonts w:hint="eastAsia"/>
          <w:color w:val="FF0000"/>
          <w:u w:val="single" w:color="auto"/>
        </w:rPr>
        <w:t>，是本工程的环境制约因素。项目永久占地</w:t>
      </w:r>
      <w:r>
        <w:rPr>
          <w:rFonts w:hint="eastAsia"/>
          <w:color w:val="FF0000"/>
          <w:u w:val="single" w:color="auto"/>
          <w:lang w:val="en-US" w:eastAsia="zh-CN"/>
        </w:rPr>
        <w:t>289227m</w:t>
      </w:r>
      <w:r>
        <w:rPr>
          <w:rFonts w:hint="eastAsia"/>
          <w:color w:val="FF0000"/>
          <w:u w:val="single" w:color="auto"/>
          <w:vertAlign w:val="superscript"/>
          <w:lang w:val="en-US" w:eastAsia="zh-CN"/>
        </w:rPr>
        <w:t>2</w:t>
      </w:r>
      <w:r>
        <w:rPr>
          <w:rFonts w:hint="eastAsia"/>
          <w:color w:val="FF0000"/>
          <w:u w:val="single" w:color="auto"/>
        </w:rPr>
        <w:t>、临时占地面积</w:t>
      </w:r>
      <w:r>
        <w:rPr>
          <w:rFonts w:hint="eastAsia"/>
          <w:color w:val="FF0000"/>
          <w:u w:val="single" w:color="auto"/>
          <w:lang w:val="en-US" w:eastAsia="zh-CN"/>
        </w:rPr>
        <w:t>为27000m</w:t>
      </w:r>
      <w:r>
        <w:rPr>
          <w:rFonts w:hint="eastAsia"/>
          <w:color w:val="FF0000"/>
          <w:u w:val="single" w:color="auto"/>
          <w:vertAlign w:val="superscript"/>
          <w:lang w:val="en-US" w:eastAsia="zh-CN"/>
        </w:rPr>
        <w:t>2</w:t>
      </w:r>
      <w:r>
        <w:rPr>
          <w:rFonts w:hint="eastAsia"/>
          <w:color w:val="FF0000"/>
          <w:u w:val="single" w:color="auto"/>
          <w:lang w:eastAsia="zh-CN"/>
        </w:rPr>
        <w:t>。</w:t>
      </w:r>
      <w:r>
        <w:rPr>
          <w:rFonts w:hint="eastAsia"/>
          <w:color w:val="FF0000"/>
          <w:u w:val="single" w:color="auto"/>
          <w:lang w:val="en-US" w:eastAsia="zh-CN"/>
        </w:rPr>
        <w:t>项目</w:t>
      </w:r>
      <w:r>
        <w:rPr>
          <w:rFonts w:hint="eastAsia"/>
          <w:color w:val="FF0000"/>
          <w:u w:val="single" w:color="auto"/>
        </w:rPr>
        <w:t>永久占地类型</w:t>
      </w:r>
      <w:r>
        <w:rPr>
          <w:rFonts w:hint="eastAsia"/>
          <w:color w:val="FF0000"/>
          <w:u w:val="single" w:color="auto"/>
          <w:lang w:val="en-US" w:eastAsia="zh-CN"/>
        </w:rPr>
        <w:t>为河道水域或河滩、河堤（岸）用地，项目临时</w:t>
      </w:r>
      <w:r>
        <w:rPr>
          <w:rFonts w:hint="eastAsia"/>
          <w:color w:val="FF0000"/>
          <w:u w:val="single" w:color="auto"/>
        </w:rPr>
        <w:t>占地类型</w:t>
      </w:r>
      <w:r>
        <w:rPr>
          <w:rFonts w:hint="eastAsia"/>
          <w:color w:val="FF0000"/>
          <w:u w:val="single" w:color="auto"/>
          <w:lang w:val="en-US" w:eastAsia="zh-CN"/>
        </w:rPr>
        <w:t>为林地或荒地，不占用基本农田。</w:t>
      </w:r>
    </w:p>
    <w:p>
      <w:pPr>
        <w:pStyle w:val="2974"/>
        <w:rPr>
          <w:color w:val="FF0000"/>
          <w:u w:val="single" w:color="auto"/>
        </w:rPr>
      </w:pPr>
      <w:r>
        <w:rPr>
          <w:rFonts w:hint="eastAsia"/>
          <w:color w:val="FF0000"/>
          <w:u w:val="single" w:color="auto"/>
        </w:rPr>
        <w:t>在工程实施前后应根据各自的保护要求依法进行必要的报批手续，并采取可行的环保措施进行保护，尽量消除、减免其不利影响。</w:t>
      </w:r>
    </w:p>
    <w:p>
      <w:pPr>
        <w:pStyle w:val="2974"/>
        <w:rPr>
          <w:color w:val="auto"/>
          <w:u w:val="none" w:color="auto"/>
        </w:rPr>
      </w:pPr>
      <w:r>
        <w:rPr>
          <w:rFonts w:hint="eastAsia"/>
          <w:color w:val="FF0000"/>
          <w:u w:val="single" w:color="auto"/>
        </w:rPr>
        <w:t>本项目工程</w:t>
      </w:r>
      <w:r>
        <w:rPr>
          <w:rFonts w:hint="eastAsia"/>
          <w:color w:val="FF0000"/>
          <w:u w:val="single" w:color="auto"/>
          <w:lang w:eastAsia="zh-CN"/>
        </w:rPr>
        <w:t>初步设计</w:t>
      </w:r>
      <w:r>
        <w:rPr>
          <w:rFonts w:hint="eastAsia"/>
          <w:color w:val="FF0000"/>
          <w:u w:val="single" w:color="auto"/>
        </w:rPr>
        <w:t>的内容均来源于</w:t>
      </w:r>
      <w:r>
        <w:rPr>
          <w:rFonts w:hint="eastAsia"/>
          <w:color w:val="FF0000"/>
          <w:u w:val="single" w:color="auto"/>
          <w:lang w:eastAsia="zh-CN"/>
        </w:rPr>
        <w:t>广东中灏勘察设计咨询有限公司</w:t>
      </w:r>
      <w:r>
        <w:rPr>
          <w:rFonts w:hint="eastAsia"/>
          <w:color w:val="FF0000"/>
          <w:u w:val="single" w:color="auto"/>
        </w:rPr>
        <w:t>编制的《</w:t>
      </w:r>
      <w:r>
        <w:rPr>
          <w:rFonts w:hint="eastAsia"/>
          <w:color w:val="FF0000"/>
          <w:u w:val="single" w:color="auto"/>
          <w:lang w:eastAsia="zh-CN"/>
        </w:rPr>
        <w:t>祁水祁东县治理工程（祁水三期）初步设计</w:t>
      </w:r>
      <w:r>
        <w:rPr>
          <w:rFonts w:hint="eastAsia"/>
          <w:color w:val="FF0000"/>
          <w:u w:val="single" w:color="auto"/>
        </w:rPr>
        <w:t>》，该</w:t>
      </w:r>
      <w:r>
        <w:rPr>
          <w:rFonts w:hint="eastAsia"/>
          <w:color w:val="FF0000"/>
          <w:u w:val="single" w:color="auto"/>
          <w:lang w:eastAsia="zh-CN"/>
        </w:rPr>
        <w:t>初步设计</w:t>
      </w:r>
      <w:r>
        <w:rPr>
          <w:rFonts w:hint="eastAsia"/>
          <w:color w:val="FF0000"/>
          <w:u w:val="single" w:color="auto"/>
        </w:rPr>
        <w:t>已于2022年1</w:t>
      </w:r>
      <w:r>
        <w:rPr>
          <w:rFonts w:hint="eastAsia"/>
          <w:color w:val="FF0000"/>
          <w:u w:val="single" w:color="auto"/>
          <w:lang w:val="en-US" w:eastAsia="zh-CN"/>
        </w:rPr>
        <w:t>1</w:t>
      </w:r>
      <w:r>
        <w:rPr>
          <w:rFonts w:hint="eastAsia"/>
          <w:color w:val="FF0000"/>
          <w:u w:val="single" w:color="auto"/>
        </w:rPr>
        <w:t>月</w:t>
      </w:r>
      <w:r>
        <w:rPr>
          <w:rFonts w:hint="eastAsia"/>
          <w:color w:val="FF0000"/>
          <w:u w:val="single" w:color="auto"/>
          <w:lang w:val="en-US" w:eastAsia="zh-CN"/>
        </w:rPr>
        <w:t>22</w:t>
      </w:r>
      <w:r>
        <w:rPr>
          <w:rFonts w:hint="eastAsia"/>
          <w:color w:val="FF0000"/>
          <w:u w:val="single" w:color="auto"/>
        </w:rPr>
        <w:t>日取得</w:t>
      </w:r>
      <w:r>
        <w:rPr>
          <w:rFonts w:hint="eastAsia"/>
          <w:color w:val="FF0000"/>
          <w:u w:val="single" w:color="auto"/>
          <w:lang w:eastAsia="zh-CN"/>
        </w:rPr>
        <w:t>衡阳市生态环境局醴陵分局</w:t>
      </w:r>
      <w:r>
        <w:rPr>
          <w:rFonts w:hint="eastAsia"/>
          <w:color w:val="FF0000"/>
          <w:u w:val="single" w:color="auto"/>
        </w:rPr>
        <w:t>《关于</w:t>
      </w:r>
      <w:r>
        <w:rPr>
          <w:rFonts w:hint="eastAsia"/>
          <w:color w:val="FF0000"/>
          <w:u w:val="single" w:color="auto"/>
          <w:lang w:eastAsia="zh-CN"/>
        </w:rPr>
        <w:t>祁水祁东县治理工程（祁水三期）初步设计</w:t>
      </w:r>
      <w:r>
        <w:rPr>
          <w:rFonts w:hint="eastAsia"/>
          <w:color w:val="FF0000"/>
          <w:u w:val="single" w:color="auto"/>
        </w:rPr>
        <w:t>的</w:t>
      </w:r>
      <w:r>
        <w:rPr>
          <w:rFonts w:hint="eastAsia"/>
          <w:color w:val="FF0000"/>
          <w:u w:val="single" w:color="auto"/>
          <w:lang w:eastAsia="zh-CN"/>
        </w:rPr>
        <w:t>审查意见</w:t>
      </w:r>
      <w:r>
        <w:rPr>
          <w:rFonts w:hint="eastAsia"/>
          <w:color w:val="FF0000"/>
          <w:u w:val="single" w:color="auto"/>
        </w:rPr>
        <w:t>》，故本项目工程设计方案合理。</w:t>
      </w:r>
    </w:p>
    <w:bookmarkEnd w:id="174"/>
    <w:bookmarkEnd w:id="175"/>
    <w:bookmarkEnd w:id="176"/>
    <w:p>
      <w:pPr>
        <w:rPr>
          <w:rFonts w:ascii="Times New Roman" w:hAnsi="Times New Roman" w:cs="Times New Roman"/>
          <w:b/>
          <w:sz w:val="28"/>
          <w:szCs w:val="24"/>
          <w:u w:val="none"/>
        </w:rPr>
      </w:pPr>
      <w:bookmarkStart w:id="181" w:name="_bookmark21"/>
      <w:bookmarkEnd w:id="181"/>
      <w:bookmarkStart w:id="182" w:name="_Toc2510"/>
    </w:p>
    <w:p>
      <w:pPr>
        <w:pStyle w:val="5"/>
        <w:tabs>
          <w:tab w:val="left" w:pos="766"/>
        </w:tabs>
        <w:autoSpaceDE/>
        <w:autoSpaceDN/>
        <w:adjustRightInd w:val="0"/>
        <w:snapToGrid w:val="0"/>
        <w:spacing w:before="0" w:line="360" w:lineRule="auto"/>
        <w:ind w:left="0" w:firstLine="0"/>
        <w:jc w:val="both"/>
        <w:rPr>
          <w:rFonts w:ascii="Times New Roman" w:hAnsi="Times New Roman" w:eastAsia="宋体" w:cs="Times New Roman"/>
          <w:snapToGrid w:val="0"/>
        </w:rPr>
      </w:pPr>
      <w:bookmarkStart w:id="183" w:name="_Toc82593118"/>
      <w:bookmarkStart w:id="184" w:name="_Toc18652"/>
      <w:r>
        <w:rPr>
          <w:rFonts w:ascii="Times New Roman" w:hAnsi="Times New Roman" w:eastAsia="宋体" w:cs="Times New Roman"/>
          <w:snapToGrid w:val="0"/>
        </w:rPr>
        <w:t>3.施工</w:t>
      </w:r>
      <w:r>
        <w:rPr>
          <w:rFonts w:hint="eastAsia"/>
          <w:color w:val="auto"/>
          <w:u w:val="none" w:color="auto"/>
        </w:rPr>
        <w:t>总进度</w:t>
      </w:r>
      <w:r>
        <w:rPr>
          <w:rFonts w:hint="eastAsia"/>
          <w:color w:val="auto"/>
          <w:u w:val="none" w:color="auto"/>
          <w:lang w:eastAsia="zh-CN"/>
        </w:rPr>
        <w:t>及施工</w:t>
      </w:r>
      <w:r>
        <w:rPr>
          <w:rFonts w:ascii="Times New Roman" w:hAnsi="Times New Roman" w:eastAsia="宋体" w:cs="Times New Roman"/>
          <w:snapToGrid w:val="0"/>
        </w:rPr>
        <w:t>人数</w:t>
      </w:r>
      <w:bookmarkEnd w:id="183"/>
      <w:bookmarkEnd w:id="184"/>
    </w:p>
    <w:p>
      <w:pPr>
        <w:pStyle w:val="2"/>
        <w:autoSpaceDE/>
        <w:autoSpaceDN/>
        <w:adjustRightInd w:val="0"/>
        <w:snapToGrid w:val="0"/>
        <w:spacing w:before="0" w:line="360" w:lineRule="auto"/>
        <w:ind w:left="0" w:firstLine="480" w:firstLineChars="20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段河道治理工程总工期为一年，其中施工准备及三通安排为3个月，从第一年7月至9月，主体工程施工安排为6个月，从第一年10月至第二年3月，其中5处河坝改造设计安排在第一年11月至第二年2月之间施工完毕，竣工扫尾安排为3个月，从第二年4月至6月。</w:t>
      </w:r>
    </w:p>
    <w:p>
      <w:pPr>
        <w:pStyle w:val="2"/>
        <w:autoSpaceDE/>
        <w:autoSpaceDN/>
        <w:adjustRightInd w:val="0"/>
        <w:snapToGrid w:val="0"/>
        <w:spacing w:before="0" w:line="360" w:lineRule="auto"/>
        <w:ind w:left="0" w:firstLine="480" w:firstLineChars="200"/>
        <w:jc w:val="both"/>
        <w:rPr>
          <w:rFonts w:ascii="Times New Roman" w:hAnsi="Times New Roman" w:cs="Times New Roman"/>
          <w:u w:val="single"/>
        </w:rPr>
      </w:pPr>
      <w:r>
        <w:rPr>
          <w:rFonts w:hint="default" w:ascii="Times New Roman" w:hAnsi="Times New Roman" w:cs="Times New Roman"/>
          <w:u w:val="none"/>
        </w:rPr>
        <w:t>项目施行分区分段同时开工，高峰期施工劳动力人数约为50人。</w:t>
      </w:r>
    </w:p>
    <w:p>
      <w:pPr>
        <w:rPr>
          <w:rFonts w:ascii="Times New Roman" w:hAnsi="Times New Roman" w:cs="Times New Roman"/>
          <w:b/>
          <w:sz w:val="28"/>
          <w:szCs w:val="24"/>
          <w:u w:val="none"/>
        </w:rPr>
      </w:pPr>
    </w:p>
    <w:p>
      <w:pPr>
        <w:rPr>
          <w:rFonts w:ascii="Times New Roman" w:hAnsi="Times New Roman" w:cs="Times New Roman"/>
          <w:b/>
          <w:sz w:val="28"/>
          <w:szCs w:val="24"/>
          <w:u w:val="none"/>
        </w:rPr>
      </w:pPr>
      <w:r>
        <w:rPr>
          <w:rFonts w:ascii="Times New Roman" w:hAnsi="Times New Roman" w:cs="Times New Roman"/>
          <w:b/>
          <w:sz w:val="28"/>
          <w:szCs w:val="24"/>
          <w:u w:val="none"/>
        </w:rPr>
        <w:br w:type="page"/>
      </w:r>
    </w:p>
    <w:p>
      <w:pPr>
        <w:autoSpaceDE/>
        <w:autoSpaceDN/>
        <w:adjustRightInd w:val="0"/>
        <w:snapToGrid w:val="0"/>
        <w:spacing w:line="360" w:lineRule="auto"/>
        <w:jc w:val="both"/>
        <w:outlineLvl w:val="2"/>
        <w:rPr>
          <w:rFonts w:ascii="Times New Roman" w:hAnsi="Times New Roman" w:cs="Times New Roman"/>
          <w:b/>
          <w:sz w:val="28"/>
          <w:szCs w:val="24"/>
          <w:u w:val="single"/>
        </w:rPr>
      </w:pPr>
      <w:r>
        <w:rPr>
          <w:rFonts w:ascii="Times New Roman" w:hAnsi="Times New Roman" w:cs="Times New Roman"/>
          <w:b/>
          <w:sz w:val="28"/>
          <w:szCs w:val="24"/>
          <w:u w:val="none"/>
        </w:rPr>
        <w:t>3.5工程施工</w:t>
      </w:r>
      <w:bookmarkEnd w:id="182"/>
    </w:p>
    <w:p>
      <w:pPr>
        <w:numPr>
          <w:ilvl w:val="0"/>
          <w:numId w:val="0"/>
        </w:numPr>
        <w:bidi w:val="0"/>
        <w:ind w:firstLine="240" w:firstLineChars="100"/>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施工工艺流程及产污环节</w:t>
      </w:r>
    </w:p>
    <w:p>
      <w:pPr>
        <w:pStyle w:val="6"/>
        <w:kinsoku w:val="0"/>
        <w:overflowPunct w:val="0"/>
        <w:spacing w:before="221" w:beforeLines="0" w:afterLines="0"/>
        <w:ind w:left="241" w:firstLine="0"/>
        <w:rPr>
          <w:rFonts w:hint="eastAsia"/>
          <w:spacing w:val="-5"/>
          <w:w w:val="95"/>
          <w:sz w:val="24"/>
          <w:szCs w:val="24"/>
        </w:rPr>
      </w:pPr>
      <w:r>
        <w:rPr>
          <w:rFonts w:hint="eastAsia" w:ascii="Times New Roman" w:hAnsi="Times New Roman" w:eastAsia="宋体" w:cs="Times New Roman"/>
          <w:color w:val="auto"/>
          <w:kern w:val="2"/>
          <w:sz w:val="24"/>
          <w:szCs w:val="24"/>
          <w:u w:val="none" w:color="auto"/>
          <w:lang w:val="en-US" w:eastAsia="zh-CN" w:bidi="ar-SA"/>
        </w:rPr>
        <w:t>工艺流程简述（图示）：</w:t>
      </w:r>
    </w:p>
    <w:p>
      <w:pPr>
        <w:pStyle w:val="2"/>
        <w:kinsoku w:val="0"/>
        <w:overflowPunct w:val="0"/>
        <w:spacing w:before="7" w:beforeLines="0" w:afterLines="0"/>
        <w:ind w:left="0"/>
        <w:rPr>
          <w:rFonts w:hint="eastAsia" w:eastAsia="宋体"/>
          <w:b/>
          <w:sz w:val="10"/>
          <w:szCs w:val="24"/>
          <w:lang w:eastAsia="zh-CN"/>
        </w:rPr>
      </w:pPr>
      <w:r>
        <w:rPr>
          <w:rFonts w:hint="eastAsia" w:eastAsia="宋体"/>
          <w:b/>
          <w:sz w:val="10"/>
          <w:szCs w:val="24"/>
          <w:lang w:eastAsia="zh-CN"/>
        </w:rPr>
        <w:drawing>
          <wp:inline distT="0" distB="0" distL="114300" distR="114300">
            <wp:extent cx="5842000" cy="3303905"/>
            <wp:effectExtent l="0" t="0" r="6350" b="10795"/>
            <wp:docPr id="29" name="图片 29" descr="图片22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22221"/>
                    <pic:cNvPicPr>
                      <a:picLocks noChangeAspect="1"/>
                    </pic:cNvPicPr>
                  </pic:nvPicPr>
                  <pic:blipFill>
                    <a:blip r:embed="rId26"/>
                    <a:stretch>
                      <a:fillRect/>
                    </a:stretch>
                  </pic:blipFill>
                  <pic:spPr>
                    <a:xfrm>
                      <a:off x="0" y="0"/>
                      <a:ext cx="5842000" cy="3303905"/>
                    </a:xfrm>
                    <a:prstGeom prst="rect">
                      <a:avLst/>
                    </a:prstGeom>
                  </pic:spPr>
                </pic:pic>
              </a:graphicData>
            </a:graphic>
          </wp:inline>
        </w:drawing>
      </w:r>
    </w:p>
    <w:p>
      <w:pPr>
        <w:pStyle w:val="2"/>
        <w:kinsoku w:val="0"/>
        <w:overflowPunct w:val="0"/>
        <w:spacing w:before="2" w:beforeLines="0" w:afterLines="0"/>
        <w:ind w:left="0"/>
        <w:rPr>
          <w:rFonts w:hint="eastAsia"/>
          <w:b/>
          <w:sz w:val="15"/>
          <w:szCs w:val="24"/>
        </w:rPr>
      </w:pPr>
    </w:p>
    <w:p>
      <w:pPr>
        <w:pStyle w:val="2"/>
        <w:kinsoku w:val="0"/>
        <w:overflowPunct w:val="0"/>
        <w:spacing w:before="77" w:beforeLines="0" w:afterLines="0"/>
        <w:ind w:left="1118" w:right="1216"/>
        <w:jc w:val="center"/>
        <w:rPr>
          <w:rFonts w:hint="eastAsia"/>
          <w:b/>
          <w:spacing w:val="-10"/>
          <w:sz w:val="21"/>
          <w:szCs w:val="24"/>
        </w:rPr>
      </w:pPr>
      <w:r>
        <w:rPr>
          <w:rFonts w:hint="eastAsia"/>
          <w:b/>
          <w:sz w:val="21"/>
          <w:szCs w:val="24"/>
        </w:rPr>
        <w:t>图</w:t>
      </w:r>
      <w:r>
        <w:rPr>
          <w:rFonts w:hint="eastAsia" w:ascii="Times New Roman" w:hAnsi="Times New Roman" w:eastAsia="宋体"/>
          <w:b/>
          <w:sz w:val="21"/>
          <w:szCs w:val="24"/>
          <w:lang w:val="en-US" w:eastAsia="zh-CN"/>
        </w:rPr>
        <w:t>3.5</w:t>
      </w:r>
      <w:r>
        <w:rPr>
          <w:rFonts w:hint="default" w:ascii="Times New Roman" w:hAnsi="Times New Roman" w:eastAsia="Times New Roman"/>
          <w:b/>
          <w:sz w:val="21"/>
          <w:szCs w:val="24"/>
        </w:rPr>
        <w:t>-1</w:t>
      </w:r>
      <w:r>
        <w:rPr>
          <w:rFonts w:hint="default" w:ascii="Times New Roman" w:hAnsi="Times New Roman" w:eastAsia="Times New Roman"/>
          <w:b/>
          <w:spacing w:val="44"/>
          <w:sz w:val="21"/>
          <w:szCs w:val="24"/>
        </w:rPr>
        <w:t xml:space="preserve"> </w:t>
      </w:r>
      <w:r>
        <w:rPr>
          <w:rFonts w:hint="eastAsia"/>
          <w:b/>
          <w:sz w:val="21"/>
          <w:szCs w:val="24"/>
        </w:rPr>
        <w:t>施工期工艺流程</w:t>
      </w:r>
      <w:r>
        <w:rPr>
          <w:rFonts w:hint="eastAsia"/>
          <w:b/>
          <w:spacing w:val="-10"/>
          <w:sz w:val="21"/>
          <w:szCs w:val="24"/>
        </w:rPr>
        <w:t>图</w:t>
      </w:r>
    </w:p>
    <w:p>
      <w:pPr>
        <w:pStyle w:val="123"/>
        <w:numPr>
          <w:ilvl w:val="0"/>
          <w:numId w:val="0"/>
        </w:numPr>
        <w:tabs>
          <w:tab w:val="left" w:pos="782"/>
        </w:tabs>
        <w:kinsoku w:val="0"/>
        <w:overflowPunct w:val="0"/>
        <w:spacing w:before="188" w:beforeLines="0" w:afterLines="0" w:line="360" w:lineRule="auto"/>
        <w:ind w:left="240" w:leftChars="0"/>
        <w:rPr>
          <w:rFonts w:hint="default" w:ascii="Times New Roman" w:hAnsi="Times New Roman" w:eastAsia="宋体" w:cs="Times New Roman"/>
          <w:b/>
          <w:sz w:val="24"/>
          <w:szCs w:val="30"/>
          <w:lang w:val="en-US" w:eastAsia="zh-CN" w:bidi="zh-CN"/>
        </w:rPr>
      </w:pPr>
      <w:r>
        <w:rPr>
          <w:rFonts w:hint="eastAsia" w:ascii="Times New Roman" w:hAnsi="Times New Roman" w:eastAsia="宋体" w:cs="Times New Roman"/>
          <w:b/>
          <w:sz w:val="24"/>
          <w:szCs w:val="30"/>
          <w:lang w:val="en-US" w:eastAsia="zh-CN" w:bidi="zh-CN"/>
        </w:rPr>
        <w:t>3.5.1 施工导流与围堰</w:t>
      </w:r>
    </w:p>
    <w:p>
      <w:pPr>
        <w:pStyle w:val="123"/>
        <w:numPr>
          <w:ilvl w:val="0"/>
          <w:numId w:val="0"/>
        </w:numPr>
        <w:tabs>
          <w:tab w:val="left" w:pos="1420"/>
        </w:tabs>
        <w:kinsoku w:val="0"/>
        <w:overflowPunct w:val="0"/>
        <w:spacing w:beforeLines="0" w:afterLines="0" w:line="360" w:lineRule="auto"/>
        <w:ind w:firstLine="482" w:firstLineChars="200"/>
        <w:rPr>
          <w:rFonts w:hint="default" w:ascii="Times New Roman" w:hAnsi="Times New Roman" w:eastAsia="Times New Roman"/>
          <w:b/>
          <w:color w:val="000000"/>
          <w:spacing w:val="-2"/>
          <w:w w:val="95"/>
          <w:sz w:val="24"/>
          <w:szCs w:val="24"/>
          <w:u w:val="none"/>
        </w:rPr>
      </w:pPr>
      <w:r>
        <w:rPr>
          <w:rFonts w:hint="eastAsia" w:ascii="Times New Roman" w:hAnsi="Times New Roman" w:eastAsia="宋体" w:cs="Times New Roman"/>
          <w:b/>
          <w:sz w:val="24"/>
          <w:szCs w:val="30"/>
          <w:lang w:val="en-US" w:eastAsia="zh-CN" w:bidi="zh-CN"/>
        </w:rPr>
        <w:t>1、施工导流方案</w:t>
      </w:r>
    </w:p>
    <w:p>
      <w:pPr>
        <w:pStyle w:val="2"/>
        <w:kinsoku w:val="0"/>
        <w:overflowPunct w:val="0"/>
        <w:spacing w:before="1" w:beforeLines="0" w:afterLines="0"/>
        <w:ind w:left="0"/>
        <w:rPr>
          <w:rFonts w:hint="eastAsia"/>
          <w:b/>
          <w:sz w:val="8"/>
          <w:szCs w:val="24"/>
          <w:u w:val="none"/>
        </w:rPr>
      </w:pPr>
    </w:p>
    <w:p>
      <w:pPr>
        <w:pStyle w:val="2"/>
        <w:kinsoku w:val="0"/>
        <w:overflowPunct w:val="0"/>
        <w:spacing w:before="66" w:beforeLines="0" w:afterLines="0" w:line="372" w:lineRule="auto"/>
        <w:ind w:right="561" w:firstLine="477"/>
        <w:jc w:val="both"/>
        <w:rPr>
          <w:rFonts w:hint="eastAsia"/>
          <w:spacing w:val="-2"/>
          <w:sz w:val="24"/>
          <w:szCs w:val="24"/>
          <w:u w:val="none"/>
        </w:rPr>
      </w:pPr>
      <w:r>
        <w:rPr>
          <w:rFonts w:hint="eastAsia"/>
          <w:spacing w:val="-2"/>
          <w:sz w:val="24"/>
          <w:szCs w:val="24"/>
          <w:u w:val="none"/>
        </w:rPr>
        <w:t>本次治理河段大部分都有滩地，因此设计尽量利用河滩地作为施工围堰，当河段没有滩地时采用土石围堰分期导流。由于工程为线性工程，单段工程建设项目、工程量较少，施工时段较短，故围堰使用期为一个枯水期。</w:t>
      </w:r>
    </w:p>
    <w:p>
      <w:pPr>
        <w:pStyle w:val="2"/>
        <w:kinsoku w:val="0"/>
        <w:overflowPunct w:val="0"/>
        <w:spacing w:before="1" w:beforeLines="0" w:afterLines="0" w:line="372" w:lineRule="auto"/>
        <w:ind w:right="561" w:firstLine="477"/>
        <w:jc w:val="both"/>
        <w:rPr>
          <w:rFonts w:hint="default" w:ascii="Times New Roman" w:hAnsi="Times New Roman" w:eastAsia="Times New Roman"/>
          <w:sz w:val="24"/>
          <w:szCs w:val="24"/>
          <w:u w:val="none"/>
        </w:rPr>
      </w:pPr>
      <w:r>
        <w:rPr>
          <w:rFonts w:hint="eastAsia"/>
          <w:spacing w:val="-2"/>
          <w:sz w:val="24"/>
          <w:szCs w:val="24"/>
          <w:u w:val="none"/>
        </w:rPr>
        <w:t>本次护坡护岸工程、疏挖清障工程</w:t>
      </w:r>
      <w:r>
        <w:rPr>
          <w:rFonts w:hint="eastAsia"/>
          <w:spacing w:val="-2"/>
          <w:sz w:val="24"/>
          <w:szCs w:val="24"/>
          <w:u w:val="none"/>
          <w:lang w:eastAsia="zh-CN"/>
        </w:rPr>
        <w:t>等</w:t>
      </w:r>
      <w:r>
        <w:rPr>
          <w:rFonts w:hint="eastAsia"/>
          <w:spacing w:val="-2"/>
          <w:sz w:val="24"/>
          <w:szCs w:val="24"/>
          <w:u w:val="none"/>
        </w:rPr>
        <w:t>需进行施工导流，施工围堰均采用分期导流。根据治理河段工程地质以及河段施工性质实际情况，</w:t>
      </w:r>
      <w:r>
        <w:rPr>
          <w:rFonts w:hint="eastAsia"/>
          <w:spacing w:val="-1"/>
          <w:sz w:val="24"/>
          <w:szCs w:val="24"/>
          <w:u w:val="none"/>
        </w:rPr>
        <w:t>对于有滩地的河段，可先将滩地及护脚脚槽按设计坡比开挖后，弃土弃料直接堆</w:t>
      </w:r>
      <w:r>
        <w:rPr>
          <w:rFonts w:hint="eastAsia"/>
          <w:sz w:val="24"/>
          <w:szCs w:val="24"/>
          <w:u w:val="none"/>
        </w:rPr>
        <w:t>置于堤脚外侧（滩地及护脚脚槽开挖工程量计入工程措施）；</w:t>
      </w:r>
      <w:r>
        <w:rPr>
          <w:rFonts w:hint="eastAsia"/>
          <w:spacing w:val="-2"/>
          <w:sz w:val="24"/>
          <w:szCs w:val="24"/>
          <w:u w:val="none"/>
        </w:rPr>
        <w:t>对于无滩地的河段，</w:t>
      </w:r>
      <w:r>
        <w:rPr>
          <w:rFonts w:hint="eastAsia"/>
          <w:sz w:val="24"/>
          <w:szCs w:val="24"/>
          <w:u w:val="none"/>
        </w:rPr>
        <w:t>可利用上下游堤防岸坡整治土料和河中洲滩疏挖土石填筑，于距设计堤脚轮廓线</w:t>
      </w:r>
      <w:r>
        <w:rPr>
          <w:rFonts w:hint="default" w:ascii="Times New Roman" w:hAnsi="Times New Roman" w:eastAsia="Times New Roman"/>
          <w:sz w:val="24"/>
          <w:szCs w:val="24"/>
          <w:u w:val="none"/>
        </w:rPr>
        <w:t>5</w:t>
      </w:r>
      <w:r>
        <w:rPr>
          <w:rFonts w:hint="eastAsia"/>
          <w:sz w:val="24"/>
          <w:szCs w:val="24"/>
          <w:u w:val="none"/>
        </w:rPr>
        <w:t>～</w:t>
      </w:r>
      <w:r>
        <w:rPr>
          <w:rFonts w:hint="default" w:ascii="Times New Roman" w:hAnsi="Times New Roman" w:eastAsia="Times New Roman"/>
          <w:sz w:val="24"/>
          <w:szCs w:val="24"/>
          <w:u w:val="none"/>
        </w:rPr>
        <w:t>10</w:t>
      </w:r>
      <w:r>
        <w:rPr>
          <w:rFonts w:hint="default" w:ascii="Times New Roman" w:hAnsi="Times New Roman" w:eastAsia="Times New Roman"/>
          <w:spacing w:val="-2"/>
          <w:sz w:val="24"/>
          <w:szCs w:val="24"/>
          <w:u w:val="none"/>
        </w:rPr>
        <w:t>m</w:t>
      </w:r>
      <w:r>
        <w:rPr>
          <w:rFonts w:hint="eastAsia"/>
          <w:sz w:val="24"/>
          <w:szCs w:val="24"/>
          <w:u w:val="none"/>
        </w:rPr>
        <w:t>的位置设纵向围堰，每隔</w:t>
      </w:r>
      <w:r>
        <w:rPr>
          <w:rFonts w:hint="default" w:ascii="Times New Roman" w:hAnsi="Times New Roman" w:eastAsia="Times New Roman"/>
          <w:sz w:val="24"/>
          <w:szCs w:val="24"/>
          <w:u w:val="none"/>
        </w:rPr>
        <w:t>200</w:t>
      </w:r>
      <w:r>
        <w:rPr>
          <w:rFonts w:hint="eastAsia"/>
          <w:sz w:val="24"/>
          <w:szCs w:val="24"/>
          <w:u w:val="none"/>
        </w:rPr>
        <w:t>～</w:t>
      </w:r>
      <w:r>
        <w:rPr>
          <w:rFonts w:hint="default" w:ascii="Times New Roman" w:hAnsi="Times New Roman" w:eastAsia="Times New Roman"/>
          <w:sz w:val="24"/>
          <w:szCs w:val="24"/>
          <w:u w:val="none"/>
        </w:rPr>
        <w:t>300m</w:t>
      </w:r>
      <w:r>
        <w:rPr>
          <w:rFonts w:hint="eastAsia"/>
          <w:sz w:val="24"/>
          <w:szCs w:val="24"/>
          <w:u w:val="none"/>
        </w:rPr>
        <w:t>设横向围堰至堤脚。本段施工结束即拆除上游横向围堰及纵向围堰，利用下游横向围堰。上游纵、横向围堰可利用土方可移至下游修筑。</w:t>
      </w:r>
    </w:p>
    <w:p>
      <w:pPr>
        <w:pStyle w:val="2"/>
        <w:kinsoku w:val="0"/>
        <w:overflowPunct w:val="0"/>
        <w:spacing w:before="2" w:beforeLines="0" w:afterLines="0" w:line="372" w:lineRule="auto"/>
        <w:ind w:right="561" w:firstLine="477"/>
        <w:jc w:val="both"/>
        <w:rPr>
          <w:rFonts w:hint="eastAsia"/>
          <w:spacing w:val="-2"/>
          <w:sz w:val="24"/>
          <w:szCs w:val="24"/>
          <w:u w:val="none"/>
        </w:rPr>
      </w:pPr>
      <w:r>
        <w:rPr>
          <w:rFonts w:hint="eastAsia"/>
          <w:spacing w:val="-2"/>
          <w:sz w:val="24"/>
          <w:szCs w:val="24"/>
          <w:u w:val="none"/>
        </w:rPr>
        <w:t>对于排涝建筑物，枯水期流量较小、河道狭窄，其施工导流方式采用全段围堰法、利用涵管进行施工导流。涵管通常布置在河岸滩地上，其位置在枯水位以上，这样可在枯水期不修围堰或只修小围堰而先将涵管筑好，然后再修上、下游断流围堰，河水经涵管下泄，导流涵管考虑重复利用。</w:t>
      </w:r>
    </w:p>
    <w:p>
      <w:pPr>
        <w:pStyle w:val="2"/>
        <w:kinsoku w:val="0"/>
        <w:overflowPunct w:val="0"/>
        <w:spacing w:before="2" w:beforeLines="0" w:afterLines="0" w:line="372" w:lineRule="auto"/>
        <w:ind w:right="443" w:firstLine="477"/>
        <w:rPr>
          <w:rFonts w:hint="eastAsia"/>
          <w:spacing w:val="-2"/>
          <w:sz w:val="24"/>
          <w:szCs w:val="24"/>
          <w:u w:val="none"/>
        </w:rPr>
      </w:pPr>
      <w:r>
        <w:rPr>
          <w:rFonts w:hint="eastAsia"/>
          <w:spacing w:val="-2"/>
          <w:sz w:val="24"/>
          <w:szCs w:val="24"/>
          <w:u w:val="none"/>
        </w:rPr>
        <w:t>工程总工期</w:t>
      </w:r>
      <w:r>
        <w:rPr>
          <w:rFonts w:hint="eastAsia" w:ascii="Times New Roman" w:hAnsi="Times New Roman" w:eastAsia="宋体"/>
          <w:spacing w:val="-2"/>
          <w:sz w:val="24"/>
          <w:szCs w:val="24"/>
          <w:u w:val="none"/>
          <w:lang w:val="en-US" w:eastAsia="zh-CN"/>
        </w:rPr>
        <w:t>1</w:t>
      </w:r>
      <w:r>
        <w:rPr>
          <w:rFonts w:hint="eastAsia"/>
          <w:spacing w:val="-2"/>
          <w:sz w:val="24"/>
          <w:szCs w:val="24"/>
          <w:u w:val="none"/>
        </w:rPr>
        <w:t>年，其中每年主体工程施工工期</w:t>
      </w:r>
      <w:r>
        <w:rPr>
          <w:rFonts w:hint="default" w:ascii="Times New Roman" w:hAnsi="Times New Roman" w:eastAsia="Times New Roman"/>
          <w:spacing w:val="-2"/>
          <w:sz w:val="24"/>
          <w:szCs w:val="24"/>
          <w:u w:val="none"/>
        </w:rPr>
        <w:t>6</w:t>
      </w:r>
      <w:r>
        <w:rPr>
          <w:rFonts w:hint="eastAsia"/>
          <w:spacing w:val="-2"/>
          <w:sz w:val="24"/>
          <w:szCs w:val="24"/>
          <w:u w:val="none"/>
        </w:rPr>
        <w:t>个月，即自当年</w:t>
      </w:r>
      <w:r>
        <w:rPr>
          <w:rFonts w:hint="default" w:ascii="Times New Roman" w:hAnsi="Times New Roman" w:eastAsia="Times New Roman"/>
          <w:spacing w:val="-2"/>
          <w:sz w:val="24"/>
          <w:szCs w:val="24"/>
          <w:u w:val="none"/>
        </w:rPr>
        <w:t>10</w:t>
      </w:r>
      <w:r>
        <w:rPr>
          <w:rFonts w:hint="eastAsia"/>
          <w:spacing w:val="-2"/>
          <w:sz w:val="24"/>
          <w:szCs w:val="24"/>
          <w:u w:val="none"/>
        </w:rPr>
        <w:t>月至第二年</w:t>
      </w:r>
      <w:r>
        <w:rPr>
          <w:rFonts w:hint="default" w:ascii="Times New Roman" w:hAnsi="Times New Roman" w:eastAsia="Times New Roman"/>
          <w:spacing w:val="-2"/>
          <w:sz w:val="24"/>
          <w:szCs w:val="24"/>
          <w:u w:val="none"/>
        </w:rPr>
        <w:t>3</w:t>
      </w:r>
      <w:r>
        <w:rPr>
          <w:rFonts w:hint="eastAsia"/>
          <w:spacing w:val="-2"/>
          <w:sz w:val="24"/>
          <w:szCs w:val="24"/>
          <w:u w:val="none"/>
        </w:rPr>
        <w:t>月，围堰使用期为一个枯水期。</w:t>
      </w:r>
    </w:p>
    <w:p>
      <w:pPr>
        <w:pStyle w:val="123"/>
        <w:numPr>
          <w:ilvl w:val="0"/>
          <w:numId w:val="0"/>
        </w:numPr>
        <w:tabs>
          <w:tab w:val="left" w:pos="1442"/>
        </w:tabs>
        <w:kinsoku w:val="0"/>
        <w:overflowPunct w:val="0"/>
        <w:spacing w:before="1" w:beforeLines="0" w:afterLines="0"/>
        <w:ind w:left="720" w:leftChars="0"/>
        <w:rPr>
          <w:rFonts w:hint="default" w:ascii="Times New Roman" w:hAnsi="Times New Roman" w:eastAsia="Times New Roman"/>
          <w:b/>
          <w:color w:val="000000"/>
          <w:spacing w:val="-2"/>
          <w:w w:val="95"/>
          <w:sz w:val="24"/>
          <w:szCs w:val="24"/>
          <w:u w:val="none"/>
        </w:rPr>
      </w:pPr>
      <w:r>
        <w:rPr>
          <w:rFonts w:hint="eastAsia" w:ascii="Times New Roman" w:hAnsi="Times New Roman" w:eastAsia="宋体" w:cs="Times New Roman"/>
          <w:b/>
          <w:sz w:val="24"/>
          <w:szCs w:val="30"/>
          <w:lang w:val="en-US" w:eastAsia="zh-CN" w:bidi="zh-CN"/>
        </w:rPr>
        <w:t>2、围堰设计及施工</w:t>
      </w:r>
    </w:p>
    <w:p>
      <w:pPr>
        <w:pStyle w:val="2"/>
        <w:kinsoku w:val="0"/>
        <w:overflowPunct w:val="0"/>
        <w:spacing w:before="168" w:beforeLines="0" w:afterLines="0" w:line="372" w:lineRule="auto"/>
        <w:ind w:right="561" w:firstLine="477"/>
        <w:jc w:val="both"/>
        <w:rPr>
          <w:rFonts w:hint="eastAsia"/>
          <w:spacing w:val="-2"/>
          <w:sz w:val="24"/>
          <w:szCs w:val="24"/>
          <w:u w:val="none"/>
        </w:rPr>
      </w:pPr>
      <w:r>
        <w:rPr>
          <w:rFonts w:hint="eastAsia"/>
          <w:spacing w:val="-2"/>
          <w:sz w:val="24"/>
          <w:szCs w:val="24"/>
          <w:u w:val="none"/>
        </w:rPr>
        <w:t>根据工程导流方案、主体工程措施确定围堰的平面布置。考虑到不过水土石围堰能充分利用当地材料或废弃的土石方，构造简单，施工方便，故围堰形式采用不过水土石围堰。有河边洲滩河段，纵、横向围堰利用河边洲滩直接开挖；无洲滩河段围堰利用上下游堤防岸坡整治土料和河中洲滩疏挖土石填筑。</w:t>
      </w:r>
    </w:p>
    <w:p>
      <w:pPr>
        <w:pStyle w:val="2"/>
        <w:kinsoku w:val="0"/>
        <w:overflowPunct w:val="0"/>
        <w:spacing w:before="2" w:beforeLines="0" w:afterLines="0" w:line="372" w:lineRule="auto"/>
        <w:ind w:right="496" w:firstLine="480"/>
        <w:rPr>
          <w:rFonts w:hint="eastAsia"/>
          <w:spacing w:val="-2"/>
          <w:sz w:val="24"/>
          <w:szCs w:val="24"/>
          <w:u w:val="none"/>
        </w:rPr>
      </w:pPr>
      <w:r>
        <w:rPr>
          <w:rFonts w:hint="eastAsia"/>
          <w:spacing w:val="-2"/>
          <w:sz w:val="24"/>
          <w:szCs w:val="24"/>
          <w:u w:val="none"/>
        </w:rPr>
        <w:t>根据治理河段实际情况，宜先于河床中距堤脚轮廓</w:t>
      </w:r>
      <w:r>
        <w:rPr>
          <w:rFonts w:hint="default" w:ascii="Times New Roman" w:hAnsi="Times New Roman" w:eastAsia="Times New Roman"/>
          <w:spacing w:val="-2"/>
          <w:sz w:val="24"/>
          <w:szCs w:val="24"/>
          <w:u w:val="none"/>
        </w:rPr>
        <w:t>5</w:t>
      </w:r>
      <w:r>
        <w:rPr>
          <w:rFonts w:hint="eastAsia"/>
          <w:spacing w:val="-2"/>
          <w:sz w:val="24"/>
          <w:szCs w:val="24"/>
          <w:u w:val="none"/>
        </w:rPr>
        <w:t>～</w:t>
      </w:r>
      <w:r>
        <w:rPr>
          <w:rFonts w:hint="default" w:ascii="Times New Roman" w:hAnsi="Times New Roman" w:eastAsia="Times New Roman"/>
          <w:spacing w:val="-2"/>
          <w:sz w:val="24"/>
          <w:szCs w:val="24"/>
          <w:u w:val="none"/>
        </w:rPr>
        <w:t>10m</w:t>
      </w:r>
      <w:r>
        <w:rPr>
          <w:rFonts w:hint="eastAsia"/>
          <w:spacing w:val="-2"/>
          <w:sz w:val="24"/>
          <w:szCs w:val="24"/>
          <w:u w:val="none"/>
        </w:rPr>
        <w:t>的距离进行护脚脚槽开挖，临水侧即为纵向围堰，每隔</w:t>
      </w:r>
      <w:r>
        <w:rPr>
          <w:rFonts w:hint="default" w:ascii="Times New Roman" w:hAnsi="Times New Roman" w:eastAsia="Times New Roman"/>
          <w:spacing w:val="-2"/>
          <w:sz w:val="24"/>
          <w:szCs w:val="24"/>
          <w:u w:val="none"/>
        </w:rPr>
        <w:t>200m</w:t>
      </w:r>
      <w:r>
        <w:rPr>
          <w:rFonts w:hint="eastAsia"/>
          <w:spacing w:val="-3"/>
          <w:sz w:val="24"/>
          <w:szCs w:val="24"/>
          <w:u w:val="none"/>
        </w:rPr>
        <w:t>设一道横向围堰至堤脚。如下图所示：</w:t>
      </w:r>
    </w:p>
    <w:p>
      <w:pPr>
        <w:pStyle w:val="2"/>
        <w:kinsoku w:val="0"/>
        <w:overflowPunct w:val="0"/>
        <w:spacing w:before="10" w:beforeLines="0" w:afterLines="0"/>
        <w:ind w:left="0"/>
        <w:rPr>
          <w:rFonts w:hint="eastAsia"/>
          <w:sz w:val="9"/>
          <w:szCs w:val="24"/>
          <w:u w:val="none"/>
        </w:rPr>
      </w:pPr>
      <w:r>
        <w:rPr>
          <w:rFonts w:hint="default"/>
          <w:spacing w:val="-2"/>
          <w:sz w:val="24"/>
          <w:szCs w:val="24"/>
          <w:u w:val="none"/>
        </w:rPr>
        <mc:AlternateContent>
          <mc:Choice Requires="wpg">
            <w:drawing>
              <wp:anchor distT="0" distB="0" distL="114300" distR="114300" simplePos="0" relativeHeight="251663360" behindDoc="0" locked="0" layoutInCell="1" allowOverlap="1">
                <wp:simplePos x="0" y="0"/>
                <wp:positionH relativeFrom="page">
                  <wp:posOffset>2181860</wp:posOffset>
                </wp:positionH>
                <wp:positionV relativeFrom="paragraph">
                  <wp:posOffset>94615</wp:posOffset>
                </wp:positionV>
                <wp:extent cx="3335020" cy="2680970"/>
                <wp:effectExtent l="0" t="0" r="17780" b="5080"/>
                <wp:wrapTopAndBottom/>
                <wp:docPr id="10" name="组合 10"/>
                <wp:cNvGraphicFramePr/>
                <a:graphic xmlns:a="http://schemas.openxmlformats.org/drawingml/2006/main">
                  <a:graphicData uri="http://schemas.microsoft.com/office/word/2010/wordprocessingGroup">
                    <wpg:wgp>
                      <wpg:cNvGrpSpPr/>
                      <wpg:grpSpPr>
                        <a:xfrm>
                          <a:off x="0" y="0"/>
                          <a:ext cx="3335020" cy="2680970"/>
                          <a:chOff x="3436" y="150"/>
                          <a:chExt cx="5252" cy="4216"/>
                        </a:xfrm>
                      </wpg:grpSpPr>
                      <pic:pic xmlns:pic="http://schemas.openxmlformats.org/drawingml/2006/picture">
                        <pic:nvPicPr>
                          <pic:cNvPr id="7" name="图片 4"/>
                          <pic:cNvPicPr>
                            <a:picLocks noChangeAspect="1"/>
                          </pic:cNvPicPr>
                        </pic:nvPicPr>
                        <pic:blipFill>
                          <a:blip r:embed="rId27"/>
                          <a:stretch>
                            <a:fillRect/>
                          </a:stretch>
                        </pic:blipFill>
                        <pic:spPr>
                          <a:xfrm>
                            <a:off x="3588" y="150"/>
                            <a:ext cx="4800" cy="4180"/>
                          </a:xfrm>
                          <a:prstGeom prst="rect">
                            <a:avLst/>
                          </a:prstGeom>
                          <a:noFill/>
                          <a:ln>
                            <a:noFill/>
                          </a:ln>
                        </pic:spPr>
                      </pic:pic>
                      <wps:wsp>
                        <wps:cNvPr id="9" name="任意多边形 9"/>
                        <wps:cNvSpPr/>
                        <wps:spPr>
                          <a:xfrm>
                            <a:off x="3436" y="4365"/>
                            <a:ext cx="5252" cy="1"/>
                          </a:xfrm>
                          <a:custGeom>
                            <a:avLst/>
                            <a:gdLst/>
                            <a:ahLst/>
                            <a:cxnLst/>
                            <a:pathLst>
                              <a:path w="5252" h="1">
                                <a:moveTo>
                                  <a:pt x="0" y="0"/>
                                </a:moveTo>
                                <a:lnTo>
                                  <a:pt x="5251" y="0"/>
                                </a:lnTo>
                              </a:path>
                            </a:pathLst>
                          </a:custGeom>
                          <a:noFill/>
                          <a:ln w="762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71.8pt;margin-top:7.45pt;height:211.1pt;width:262.6pt;mso-position-horizontal-relative:page;mso-wrap-distance-bottom:0pt;mso-wrap-distance-top:0pt;z-index:251663360;mso-width-relative:page;mso-height-relative:page;" coordorigin="3436,150" coordsize="5252,4216" o:gfxdata="UEsDBAoAAAAAAIdO4kAAAAAAAAAAAAAAAAAEAAAAZHJzL1BLAwQUAAAACACHTuJAMAiA7NoAAAAK&#10;AQAADwAAAGRycy9kb3ducmV2LnhtbE2PQUvDQBCF74L/YRnBm92siTHGbIoU9VQKtoJ4mybTJDS7&#10;G7LbpP33jic9Du/jzfeK5dn0YqLRd85qUIsIBNnK1Z1tNHzu3u4yED6grbF3ljRcyMOyvL4qMK/d&#10;bD9o2oZGcIn1OWpoQxhyKX3VkkG/cANZzg5uNBj4HBtZjzhzuenlfRSl0mBn+UOLA61aqo7bk9Hw&#10;PuP8EqvXaX08rC7fu4fN11qR1rc3KnoGEegc/mD41Wd1KNlp70629qLXECdxyigHyRMIBrI04y17&#10;DUn8qECWhfw/ofwBUEsDBBQAAAAIAIdO4kD6eV0oXAMAAOQHAAAOAAAAZHJzL2Uyb0RvYy54bWyt&#10;VdtuEzEQfUfiH6x9p5t701WTCjVthYSgouUDHK/3InZty3Yufa8EPMEzvCF+AlX0awjlM5ixdzdp&#10;CqIgIiWxZ8bj4zPH4/2DZVmQOdcml2IUtHdaAeGCyTgX6Sh4eX78aBgQY6mIaSEFHwUX3AQH44cP&#10;9hcq4h2ZySLmmkASYaKFGgWZtSoKQ8MyXlKzIxUX4EykLqmFqU7DWNMFZC+LsNNqDcKF1LHSknFj&#10;wDrxzqDKqO+TUCZJzvhEslnJhfVZNS+ohSOZLFcmGDu0ScKZfZ4khltSjAI4qXW/sAmMp/gbjvdp&#10;lGqqspxVEOh9IGydqaS5gE2bVBNqKZnp/E6qMmdaGpnYHSbL0B/EMQKnaLe2uDnRcqbcWdJokaqG&#10;dCjUFuv/nJY9m59qksegBKBE0BIqfnN1uXr/hoAB2FmoNIKgE63O1KmuDKmf4YGXiS7xH45Clo7X&#10;i4ZXvrSEgbHb7fZbHcjPwNcZDFt7uxXzLIPy4LpurzsICLjb/cZ1VC3vd/odv7bXaQ8QVFjvGyK8&#10;Bo3KWQTfiicY3eHpz+qEVXamObCO2cT8NGen2k/WXO3WVK0+Xt+8fU16CArjMcQvoIjkqWSvDBHy&#10;MKMi5Y+NAj3CEd0RboeHOL2127TI1XFeFEgujv/vBSE64uWUQ931k9gBopGxmluW4YYJbPwCwHqu&#10;G4dDuQaGmA2o4hc66PaH0Ec261mLoTdsVUrotYeu1k01gTNt7AmXJcEBYAMIUAka0flTU4GpQ9As&#10;JDIEIGlUiFsGyIkWB9hDdENAjJKGzmVqQmF2RyZ/dZ3OMqpQL5h2LZG9WiLfrq6+X75bff7w4/rL&#10;6usnsofVr2KbK2V+y2N9L+C/jytpVBO5vhZeUPWdoBGbeRYxumYOWlPsOQRbVo/YUtRDRS2acQ0O&#10;yWIU+B0yVCyaSznn59IF2K27DnSvvYXYjIIkbaeEutbeDStwG3eXm63BuIn9VnkR0O7AdREKz04C&#10;7R6aQqlAwkakDqCRRR7Xd8bodHpYaDKn2Prdx9070PlmGMppQk3m45zL05xxGh+JmNgLBT1RwFsY&#10;IISSxwEpODydOHIFsTQv7hNZaxKL7zWJo6mML6AFz5TO06zpDugBjQI92OGg+TuiqocKX5fNuYta&#10;P87jn1BLAwQKAAAAAACHTuJAAAAAAAAAAAAAAAAACgAAAGRycy9tZWRpYS9QSwMEFAAAAAgAh07i&#10;QI8uPup0TwAAb08AABUAAABkcnMvbWVkaWEvaW1hZ2UxLmpwZWcBb0+QsP/Y/+AAEEpGSUYAAQEB&#10;AGAAYAAA/9sAQwADAgIDAgIDAwMDBAMDBAUIBQUEBAUKBwcGCAwKDAwLCgsLDQ4SEA0OEQ4LCxAW&#10;EBETFBUVFQwPFxgWFBgSFBUU/9sAQwEDBAQFBAUJBQUJFA0LDRQUFBQUFBQUFBQUFBQUFBQUFBQU&#10;FBQUFBQUFBQUFBQUFBQUFBQUFBQUFBQUFBQUFBQU/8AAEQgBFwF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mO2x&#10;arT38VtC80kkccS/LvZqALlFQpNvRG/vVWfUIobpYGlj81xu2H5WoAvbqN1Zt3qUNggluJUt4N23&#10;fL8vzfwrRFepdQRyo2Yn2srr/F81AjTpm+uZu/GumWfiaHQROr6m0XnvbI+54ounmsv3tu7au71a&#10;ugEu9n/2G/u0ATI6v92n1kf2vHbS+Vc7Y7hmbbAjbm2/3q0Um3ojKv3qBk1Jurn9P8SWc2rXukRI&#10;VurU7pVK/Kd3zfL/AHvvVoPJHNK6/flVdrbfvKrf5/8AHaBGjTN9YHhjxTZ+KbW6uLEN5cVzJbsz&#10;Rsu5lrTW3jWd7lVjSZwqNKy/OyqTt/8AQ2/76oAv0VCZdibm+f8A3aYLlNj/ADK+3+7QMs0Un3hT&#10;XfZQA+imb6EfNAD6KKYzMKAH0m6ot/8AtL/tU3ez/d/8foAl30+q6zK7J/t1RttfsbzVbvT4ryGW&#10;9ttrS26H54l/2qANamb6xtc8TWfh6DzblmyxwqqjMWbdtrWhfcit/eoAmooooAKKKKACiiigCDyW&#10;8/dvbb6VPRRQAUUUUAFI33TS0UAcr4y8X6N4K8P3Goa7fx2FooVGeVvvMzhEUf3m3Mq14fr3jbwb&#10;+0l4k0jw/wD2quoeEJ4nlazT7RA9/Lt+5uX7yrv3bf8AZr23x18NfD3xIs7K18R6bDqVvZX0WoQJ&#10;Mv3Z4/uPXFeLP2X/AIZeK/D7aVdeHLSxiceVBNZyPbyxNnerIyMPm3KrfhQB2eseOvDdh4d1DULz&#10;U7KbTLCAz3T70dERf/Ha8e/Zp8dal8WpNa8da3rKpZ6lLKmh6DFcKyxWET7XuGX725pd6/7OysXV&#10;/wDgnT8Ibog2en6hpz+f5pVb+WVAn/PL5m+71/2vm615D+0P+wp4d8HSaR4m8LaXqt34X01VbWtG&#10;tbrfM8SK7NcRM38XyJu/8doEep/Fj46eA/E/xL8N+Hz8UrDQ9F0S9/tLV7YtKr3UsTq0MXm7fK2r&#10;LsfZ827b/dWul8WftnfB7wZpjPH4utNSuEgeWCzsElnErL/CrxI6rub+9XB/D39lX9nr44eCLXxJ&#10;4S0iZbaRHgVpLqf5ZfSWLzfvL/dXbXJ/AOXw9+z38Wk+EPjXwxpEWqu+7RPE/wBlVJb/AO070xvb&#10;59v34l+b5vnoEafwj/ay+E+lHV/Heu6l9k8a6tti1GOW1vJWtlXd5VurrE67dkW//wCJ+4naa9/w&#10;UG+F+mG4Wx1KTULr7O7QItpdKnm7fkVleJPvfL/4993+L6NtfB2hQ6OmmRaTaLpirtW0aBfK279/&#10;3f8Ae+akfwF4flhER0q28r7R9q2Km1fN2bN//fPy0DR8cfBX9rL4X33iLxD8QPGXiW50HxPfr9lT&#10;SZYLiWK3s0f91/qotrO38Vd38Sv2+vh9oejWV34bmufFMt5DK8S2ME8Txpu2b2WWJV+8r/K/+z/f&#10;r6K1PwB4f1mwudPvtKtryzuLf7LLbzrvSWLfv2Mv93dVnSvB+kaItuljYxW6W/yxKn8PyKn/AKCi&#10;f980DPlv4b/tafADwPojy2/i6SPUr92u757rSrp5nnbZu37Yvmb7qbv9iqHx+/bG8FeNfBUfhnwN&#10;4sR7vXf3N9qENhcObCy/5eJXVov+eSy/7X3flr6h1j4VeEfEN/Lean4c02/updnmy3FurO237tR6&#10;Z8JfB2h6fLZWHh3T7axlilhe3SIeUyy7N67f9rYtAjhfBXxk+D3gvwrpuhaT8QPDcdhYRLbwQy67&#10;byyn2/1u5mrP8UfFbRvGXim30nSPGemw6VFE1xc3NpfxO8vyb027fn27drb0/wDQfvdLcfsv/Cue&#10;WOQ+AtC8xfut9hT/AMe+X5u/3v7xrEP7Hnwra+F4vha1huFZXQQoqJFsfcuxV+5/wH+9QBv6p8df&#10;BGk+FZdeHiCwXTFi3QXU29IZW/h2tt/9Brnf2btY1GbwpbX3i7VFXxRq0bXsunS3St5UTSyvF8v8&#10;Pyvt/wCALWf4u/Ys+HPivR7jTntb3TllCfPZ3jpt2qiI+z7jMqqPvq3f+9XDx/8ABOfw1bbHg8c+&#10;K45ViESf6QmxVX7vy7aBn09rfiex8P6XNqF5d/6PAm9li+d6wvhZ4n1Lxr4d/t29t3s7XUW8+xt5&#10;htlii/uuv8LV83r+wFqEWtSk/FPXptBll3/ZG+W4ZP8Abl3MrP8A7Wz5v7tegSfst6lYazaajpXx&#10;B1eFIokglsr5nuIpU3rvT76feTeu7/aoJZ6t8TPiDZfDPwdqWvX5ab7NA5itY2TzriXb8kcasy7m&#10;b+7U3w58R6v4p8D6LrOs6Lc6Dqt1apLdaZcLte3l/jTbXxp4p/YD+JXjDV7TVdT+KNpcX1l+9tdt&#10;nKqWzb2ZFi+f+Gunm/Z2+M3hDS9R1zWfj25sdNgluJ0uIpfKWJUffK7vv+5977jfdoEtD3nw18Ud&#10;Q+IHxQ1PRtD067Tw1oSul/rcqbbe4uj5XlRW7f8ALX5fN3/3fk/vrXWeL/F1t4PsmuLySPawbcXu&#10;Fj/3Pv8Ayru+7Xx94d8EeM/jPqum2/gb4ialp/hbSori1uPF5Xc2oy73VfKXYjN/qot779rNv2f6&#10;pGav+1B4BtvBuhxeAPCeua74h8deIL+31CSLUbx7p4otkqvcf9Movkl3/Ky7aCrn0f8ACDxZc2/g&#10;y48VeMvE1lDDqM7XUEEzRW6WFq2xIkdvNZdz7N7fN8rS7P4a5n4j/tafDy0n0rw5pPjXS3vNWuPK&#10;bVLeWK6isItkr+a38LfMiIq/9NVqL4Ufsf8Ah7wl8O20PxJJP4huL+f7XqaTS7rWWXfvX9193bu+&#10;f/f+at+f9mH4QeELK41OXwTpQjtYnl80W3zIv33+7/u0Bcy/En7W/wAKfh94Ske28ZWety2aJbrH&#10;aOks7/cXeqJt3L8275P7rbawPhz+0d8HvC8mp6rJ42sZdW1uV72+ublvKlRd77ItnzfKm9tqb2+/&#10;u/jpPgPb/BT45wXsuhfCiGwt7JYv32saNFEkqP5qJ5XzPu/1TN/s7l/ir1xf2Z/hS8SLJ8OfCjbF&#10;2fLo0C/+y0AeFt+09oHiDxLb+LLvSvF9zo9k3laZYxaLLvuHZJf9LXa+14tjMlfTfgPxYPHXhiw1&#10;ldM1DR0uk3LY6pB5FzF/vp/DV/RvDOl+HdNt9O0vTbPTtPt/9Va2kCxRR/7qL0rUhhSH7tAyWiii&#10;gAooooAKKKKACiiigAooooAKKKKAGP8AcrH8S+I7PwloN/q+oy/ZtPsIHnnlZd3yLW03SuQ+JVrN&#10;eeBtcS3tZNQuPscpjt4pUieRtn3Vd/lX/gVAjF8FfGbQPG3hq312PUbeLS7r5Eml3RbGZ9qI6t91&#10;q0NU+ImgWdrfTajcKljZuILx5LeT91u+X5l2fdY/LXjH7Lnw80rXfhbcR654Pez0+5vPtVmmrNFL&#10;LNA+x97JF/qvnX7jf3FavcX+GHhV3Vm0Gy+Vdg/dfw7Nn/oHy0CPkn4xNpHwR1z/AIXF8MPE9vaW&#10;1yLK41PwfbqsVjqUD7/3u1Sqq7L86/Ju3Fm/irv4dU+Hn7aXwcRbl7KXxF9jXfLD81xo91/A6/xb&#10;d/8A30te5Wnws8I2UXkJ4X0iGHzfNWKKzTZu/v8A3fvV8wfF34Mav+zn8RF+Lfws0g39jLvTX/Cl&#10;vE3lSxbHdp1+br8v/fX+9toETfAn48eJfhH4pi+EvxZjuft3n/Z9C8Q3HnyrqiM6bU810/e7dzfP&#10;/uLX2Bb3YmiTAxLtVnT5vl3V4dcHwR+2N8IrlrN7S6EsLrY6gIt1zp1xs+9s+9Eyt/D/ABbK439n&#10;X4ieKPhx461P4O/EzU47jVbVBPoerXEmw6ja/cRUz8zt8jv952X5l/g+UKR9Y0VCj/8AfFTUDCmI&#10;+afUG9U/iWgRI74rn38aaSviKPRftinUZVcxw7G+fbjd82Nv+W/uti7datZ293a20lzHDcXTlIIp&#10;G2tK21m+Vf4vlR2/4DXzFafDWz8N/t5vr8esztc63ost02lhd6rtWKL7+7cu9kZ13fK2yX+58oB9&#10;Wwybx91k/wB6pdtQW8yzDcoYYZl+ZdtWKBjNlNIwKlrN1O/t9PtJrq5uI7a2hVnlllbYqIvzM26g&#10;QXt/baXaTXN1PHb20CNLJLK21UVfvMzV8V+MfFniD9t3xXD4P8JW11onwx02f/iea5csv+mS/Psi&#10;i8qX96vyv8yMyfxN/Bus+IPFer/tveNbzwf4VvrzQfhVpk7RatqsTvFcas/zpshZd6tF9x/m/vLv&#10;/hWvXfiH8R/B/wCyj4E0/wAOeHNLhl1eXZb6PoNvw91MxVE81v4d399/7rf3aAsYfxL+KWifsw+C&#10;dI8BeBtEl1HxZdW0sOj6XZ229fN2lmuJ/u/Ju+dv/ZF+auc/Zp+F3xB8G6NceJfFuh22reONWvN/&#10;9p310z3dlasnzxea6Oy7G3fInytv+/XZfs4/ARtAuLj4g+Ml/tXx1rypcSyXsW99L/6d4mb5v+B/&#10;xf8AoX0KVYMv3dv8Xy0BY4qPSvFd8R9r1KC1h2BNloPm3fPubd/3x/49XHfEi0tfDfgTVrnxz4uv&#10;7bw8zxefcRRLviX7R9x9qfNG+9YvlRfl/wC+q9V1DXLGxZlmuoopfl+VvvfN92i903T/ABJpfkX1&#10;rbarZTqvmQ3ESywv/wABagR8y/s4fFe+1L43+Kvh9ps0Wr+B9LtEutJ1FI/J8iJViTyk+Ta6/Ov3&#10;du35q+q4oYoizIqo0jbnKj7zVmeH9C0rw/p6Q6Tp9tptoxMvlW0KxJub5mbArboGgooooGFFFFAB&#10;RRRQAUUUUAFFFFABRRRQAUUUUAFQvHvPPT0qaigRTS0WH/VbU/vVJOqOhjbdtk+X5asVWl+V1k3b&#10;UVW3UCPD/wBoz9qGw+AFzoVlJoF94j1DWhL9lt7GRUX919/cx6feWuLm/b0+HaSvo3jPRfEPg+5l&#10;Tyry11nS2/dfL86Oibn+6yfw/wAVO/aX+GnxBi+KfhX4qeA7WHXr7w7aXMcujXcu3zkdWXbEqqrM&#10;3zs33/vbP+BYngD9tyTWvDSz+PvhrrmjaO6y291q1pYy3VizJ8uz7m7/AL6oA841f4rfDn4QeLG+&#10;Kfwe8R2mp6frOora+IvC2/7Jtt/vPcQW7Kkq/N8+7Y38f8O+von4k/D7wj+158OdPvLS8ltry0ll&#10;uNL1iJXiltbhdyMn94LvX5h/sf7tYNr43/Zp8SRatp8Y8Iaa8siw3SWwispZ/kRvvRbXZfm+9/sP&#10;/dr23wJN4Sj8OKnha407+x4XdQdPdGiV+rdP4vm3f8CoHsfO37O/7Qmt+EvEyfCD4t+bp/jOzdbe&#10;xv7p939qK33H83d87t/f/ib/AGq+uEdUryH4/fBTTPjf4Oax+0/2d4gtZVu9H1u3cxS2N0n3W3/e&#10;2b/vKv8A463zV4npfw9/aw8I6Ha2Gm+MfCetQ2tt5CfaN8kz7flRnlli3s235t277/8As0Bc+zUZ&#10;dvy/drnPG3iu08F+HrvULqJrnyk3JawrveVv7qrXybq/jb9rH4e2F7Ne+HdG8U2lqWRZNLh3Syna&#10;3zLEnz/7X3a4i78K/tVeOfFuhePrvQdJtr20tWS1sbiVbdER9/8ArYt+7d838X9xP9qgR9YeC/B2&#10;o6/qVv4s8XBpNQV2bTNMnVP9C/6a/L/y1df733E+X5d8u+bw/wDs/wCh+Gvi5r3xGtru9fXdZRYr&#10;hLh0eJE+X5Yvl3J9xa8s8D+KP2ktLlll8X+F9IvNPiXzUh0me3WZm/55fO//AALf/s1P4l+K/wAY&#10;zp2of2N4UuXvU2+RbS2Kxb97fwz+a/3P9uJd1AH0/EXP3lUf7rVLur5u8I/G74lroDz+LPhveWOo&#10;LF56nTY/OSVP7jI7qyS/3f4f937tcrrX7WvxECMdF+CXjVwZYoov7Q0t13L/AMtX2r93/Z++vy/f&#10;Wgdz6xu7+DTreWe5mjt7eJd7yyttVVr4r1/xH4g/bl8aav4N8PXl94a+FOkSMmo61FE2/VXRvkiX&#10;d/wB9rD+H5v7jJ4yuvix+1xdL4Kn8I6j4D+Hl15Ut9qerWfkXrbG3f6ppf8Anqn3P7u1/wC7X1f8&#10;PfAmjfDnwxY+HtCs47HS7KPakS/3v4m/3m5Zv9pqAueaeOdc8O/sr/DF4PDGhw3l1EsUVnolpthl&#10;upd2xG2KnzO7f3U+ba7f3q434I/s+33iTxSnxf8Aio8Op+Mr6NGs9OCbLTTU2Iq/L/HL8v3vufMz&#10;fN8rVgfGL4C/FrVP2lofiR4Vh0TVbGzgWKztNcunRFfytjvtX7v+9975aWL4KftHeMvFVxdeLviP&#10;p/hPRDH8sWgO0qJ/sqkq/wDoT0AfYCXEVusUX3M/dqWWdEVt/wB2vzT/AGhPCV58CvD9p4j0P4+a&#10;zr3iW3vG8qxS83/61/3r/LK+3/b3/e2J/cr6s+FPwa8Sjwno8nirx5qutsyRXH2XYkCQP/c+T+H7&#10;i7P4dtAGx8fPDWi6l4Yvdd1Wyl1aWxgVfsBZnt4ovNR5pdm376Km/c33fKX7tdb8HTbXHgCxubO8&#10;l1CwvJ5722mmG1/KlmeVN3/AW/8AZaoan8E9H1Dxy/imO4urXUpdJl0WWKF1+zywNLv+ZMfe+/8A&#10;99tWvdeNPCvw7tYdNur6DTbe3iT5H+4i/d+9QG52iuHwV+6amrxJ/wBsD4Tf2tYaba+L7bUr+9lS&#10;KCKxiluN7t/uI22vZ4HE0SN/e+agCaiiigYUUUUAFFFFABRRRQAUUUUAFFFFABRRRQAUUUUAFQO6&#10;o3zN/wABqeoGT95uP3aBM8S+Jn7TujfDnx63hr+wdX1e5t9OfU7+7tIP3NnAv8bs3+zv/wC+a9J8&#10;HanpniLRYdX0oD+zr9EuoiqqqzpKu9Zfl+9u3V5J8VvHmh+MPHbfCJtY1Lw3qd/B9ouprdXt3uLV&#10;fmdLe4X7r7Ef/gO+vZvCOh6d4f8AD2mabpESQ6XZWsVvaxL/AARKu1P/AB2gRyXiz4AfDrxxNfvr&#10;XgTQr641CNvtN+9hELl9y7T+/X96rY/iVq8a1T/gnb8Od1q2h33iLw5Nbncr2Gp43S7vkl+dW2sq&#10;7vubetfV275ttDbtjbfv/wAO6ge58v3P7IniAaks9t8cPiNBFHsLQza48u/b/wCy/wCw6t/vNXSe&#10;GP2dtX8N30lyfi/461YMebfUtT82Lbj/AHP7277uz/x2vSvFHhCPxxYrbz6jPDF86yPYu8W9W+79&#10;1vvfcbd/s/3WrnPDvwfv9Cuyy+Otd1KxCqsVvd+VK8bbm3/vWTd3HyfdXb92gLHh/in4JftDzeJ9&#10;VTRPjLb2ulloms1us/aGwi7t6+V8n3P4d2/+L5tz10Hw8+FH7QPhrTNY/t74k6d4gvLiBvsdvKH8&#10;m3uPl2v5uxZdn312/wDjtc98ffgh8ftS8R/2j8PviA8mjqq+Vpc0/wBluYmZ/n/g2Sr/AB72dW+8&#10;u2q3w6h/a403XNJtvEH9jTaFBL/pk120Tu0C7V/5ZfMzP87Jt+b+/s+RKAsN1fSf2x7a/uYrO+8L&#10;3luitKstoINj/wDTL96m7d/vf991t+Ebb9rXTrx21hfB2q2rMsfk3E/lPFsT76NEn8f+1/H/AHVr&#10;6vs0f7NF56/vVqfbQI+TNT8VftZQ/aDaeB/BsySxokQW93tEfnVvvypuf7rf3NtGieLP2roZbiLU&#10;PAHh293y7opW1WKJIl/4A3zL/wCPV9aUUCPllPiR+0tpOk2KXHwj0zUrgx/vpIvEFukrf7Tfwq3H&#10;zbfl+b5Kg8Q+PP2mtegu4NB+GOkaJLEUmiu73Wop96qr74tnybndtu1/lVf/AB6vq2mJCqUDPmK9&#10;+Fnx68bWmm30vxHg8CXrWipf2ljZJcI0uxF3p8/y/wAX8VY3h79jjxTdq1v46+JmveLYHhlD2aXk&#10;tnbszP5qZ2fMzea0u5/7r19c7ev+1QqbB8tAzwPQP2J/hBoF1Dct4UTVpoirF9Vla48xx/E+77/0&#10;b5a9M+IemeJ9R0mK28MX0Gm3DSfvbiX+FK7OmO+2gDx6y+F/ijV5d2t+NL027cS2VnCqRMm9vkff&#10;u37l+Vm+Vv8Adrh/iP8AsM+C/ih4tXXNZ1jxFeSoXie1uNTeWGOJtzbE3fNEq7/lRG2/3g9e+3vi&#10;DT9JlmS4u4vN+R2Td91W+X/2Rq5fVPjb4V0q0E73UsytcLAv2a1ll+bn+6v+zQGxU8B/s6fDj4X3&#10;9tfeF/CWn6XqFqjpFdojPcbW+/8AvX3M1en71evhn9oz9uLxt8PPHkvhXwv4LKvaywy/2jfh5vtU&#10;TQ7mRYlVdvz713K7/c/4DXefCjxt+0j4y8RaTf8AirwpoHh7wnPtlkSG4/0iWJlZlddjysv8Hyvt&#10;/wDiQD6sDA0tMh/1S/Sn0DCiiigAooooAKKKKACiiigAooooAKKKKACiiigAqJm7D71S0UCOF8b+&#10;HILiax1m38M2mva3Yt/oks+xJYN/yuUdv9hn3L/FWLf+JPHFl4dnk0rwjBJdxWu+K3uLxV/e7fli&#10;2r93/er1F0zTNlAWPgzRv2ufj9dSRJd/BzVg5g2O9to96imVUZvutE//AHytfVfwR8Z+K/Gng+xv&#10;/Fnhufw9qj+akkNwuxjtlZEfY3zLuQBttekJFsT7o3UkaMv3m3UBsP2L/d+9SqioPl+Wo2lVBz92&#10;qk0zxO+2Auq7Pn3KPvN8/wD3yPmoA0qKZv20+gZDCjxwIsj+ayr8zbfvVV1HUYNMs3ubmXyYk+8+&#10;2tCoZrZLhNsq7hQI8l8a/tG+C/AcmlxXuoT3U2oy+VZxadA8/mP/AHQ6/L/7L8tcj8cv2p4/hZ8K&#10;08TWei3r3100SQW13A6BGb5tkjbfkbYG+9Xv/wDZsO9f9Hj+Vt3+rX/P8TVOIQP4T/3ytAWPz18A&#10;f8FA/id4ruPI0/4dt4l+zxRea9u7r8219+51i2pv/h/3P9qvuzwfqWrappjz6vZvYXJlfbbuVJVP&#10;4d23+KugFtGj71X5qeiYoAcv3RS0VWHmrInyjytvzf3t1AyzUborqyt0amvLsb/7GsnxD4q03wra&#10;/adTuVs4d2ze/wB2gDAPwi8Iv4y/4SptHV/EOzyvtvny79mzbt+/t+7XYvaQv9+JW/4DXif/AA2V&#10;8HEjnkbx3p/7qXynXc7b/m+8ny/Ov+7Xq3hrxTpnizQYtX02dZtNnXzornd8rr97d/u0CLkmh2E2&#10;pR3zW0bXSRPEr/7LbN3/AKAtaBRd27+7TYd3lrvVVfb8yqelTUAQQwx2ybY0VFyW2otT0UxH3UDH&#10;0UUUAFFFFABRRRQAUUUUAFFFFABRRRQAUzfUUzts+X73+9Xz38SfG/xU8OeM0mi0zT7HwPbonm6p&#10;Fc+bNK/zfLKjf6pP4dybm/2v7oI+id9G+vk74X+Iv2nvGNjb69q+neD/AA3o99BHcRWl6073ca/I&#10;3zqv9/5v4127q1PEvxB+Nl1481Dw34U03w/c/YrRXa4ubl0Tztv3d3zf31ba3zfL/vUBc+nd9G+v&#10;ie3+Lv7UOj+P7Hw/deCdK1O5urXzwkc6/ZIYk/ilnT7krbP422tu+VKta5+1P8afhxpd1q/jL4RQ&#10;2+iaemy8vbO8/wCWu5E3J87bl3M3/oVAXPs5mx/Dmqt4kktvKsW1JWXapavkfT/j5+0frr2v2L4N&#10;W1nb3Ue+OW7vP9VvTcm9mdP8/L9/5axp/wBpL9oA+L08Px/B6CXXkV5JH+0f6OsXm7eJX2Kqsybf&#10;mf5tnyfw0CPqW88P+LHuF8jX4ki3f8+v/wBnXjnxx8G/GjxUl3pHhK8s4bae22JqbX89lcI/8f8A&#10;qn/2lZW/2H+T+9zlj8Uv2ntYtLo/8KksLMqch5NUgif7mNi7n/1n+19z+GuT8NftJftGeOdJvNR8&#10;O/DWxu7KJ5YkleZRvff5WzZv/gZDQAngv9n39qnRTEjfE/TYYE+Rvtl9Lev/ABf34m3/ADO336+z&#10;dDtbnQ9E0+xu76XVLq3gWGW8lX55yqjc7bf4m+9XzLY/Hb43+FfBHibWvGvw2tLNdLRUiaG6TfK2&#10;/wCfhZfn+X7vlfeZ1qa6/ae+LcGtO8fwH8STaM1glxASu24Vm/vqqP8AN93918rL/FQO59YfNv8A&#10;9mohKyhiy5Xd8uz5q+UdD/bQ8RXniZ9Gu/hB4xhmtbdPtyW1j9oeK42vviRfl3rvXaj7vm3fdXb8&#10;3QaP+2FHNqV3Drnw48ceG7W1j3z3d3okssSJsdmZ/K3Mv3f7n+9soC59Jo+6n18u6Z+3/wDC+7kK&#10;XR17RYDF5v2jUNKfb8y70X5S/Lr86n7u2vS/CH7THwx8e3YtPD/jHT9QvW+7bhmilb5wn3XC/wAT&#10;L/31QB6vRWWNXsw8KtdQrLN92JpV3M39z/x6rzvt/ioGSNnB29a5jxXp2uXsEP8AZGpRWEiS5fzo&#10;PNWVdjLs++u35irf8Bro5AssbKzfe+X5WxVR7VXTZulEbReWw3tn/vr726gDiNN+HGpfbbifWPEd&#10;1fGVv+XZntURf4U2723f71c38Xf2W/B3xus9Mg1/7c/2BneJ4bx0f5q9h37EXdtd/wDZ+Wpd+/8A&#10;ioA8O8C/sY/Cj4earbanpGgObu3jRVe9upbhCy/8tNrsV3f+O/7Ne2W1jDZ26QQRLDEi7VSJdqrU&#10;2/8A26zDr1hHam5lu4URWdGzIuFdW2sv+8rfLQBsUzf822vMvE/7Q3w/8HXsNjq3ifTrbUJ38qCy&#10;STzZpW/u7F92C/71cN4j/bo+EPhq6t4LjxMs5cMJUtLaWV4G/uvtX5aBH0II1RmZVUM33mpr28cs&#10;qSN99fu/NXzp8MP2ltR+NGvSy+DPCdxc+H7d0WfUL9Wttytvbbz8u9Rtb5d/36+jEdtq7qAJqKKK&#10;BhRRRQAUUUUAFFFFABRRRQAUUUUAQsu3bXn994XvfEfxBt767n8vSdLTbFYmL/j4l2/6123fw7/l&#10;r0ambKBHM+LtR1PSvDmoXOkae9/qSLtgh/vt/eqn4K8Mz+FfDkXms9xrEsaT3ju7N5txs+auxESq&#10;27vS+UtAWPOPhz4V1a1SfWNfu5LrWrxmdklT/j1Rv+WSfxbflT/x6jW9MuvGHieXSbyCaLQLVYri&#10;QPt2Xsu5X2cN91dn8Sr8zV6PspPLG5j60BYp3azRWszW+15djFN/96uX8DeCW0E3+p3jrca1qkvm&#10;3Vxs+7/sL/s12rpvX71O20BY5Lx3pF/rnh+aw0++m024mb5bu3jVni/4C3y/99Vb8J+HbfwxpEVj&#10;axRxRY3tsXZl/wCL5a3RD8zNub5qfsoCx5TqkXiPxT8Vm0qe1js/CWmQRXS3qy/PdXW7/VMn9zY3&#10;3v7yf7tbnxQ8TX3hHwBrOoadZXd9qSQeVZ21lbvK73DnbF8ifNt3MrN/dVWrtZoVff8ALTtrfxKu&#10;2gLHEfDTwte+H/D6Ta49teeJp+dRu4Y/9a//AOztrlL+8b4mfFyLSIGuU0Hwp+9vvNg2rcX7r+6R&#10;Wb72yLfu/wCuqV7B32/wUxbWNW+RAh+VmdVUbqAsZMvhbRHtVifTLB7eNdvzQKQv+dzfnXy74f8A&#10;gZ8J/wBpnx/4i8WP4ZvtOttGvP7KXyZfssV7cRfNLK6qm75H/dffZf3VfXN7ZpfWssEu7bKu1ttZ&#10;vhzw7p/hTSLLStKtktLCziWKC3jz8i8fn/vUAeD3v7Ffwy0WCTUIrnXbB7X/AEjzpdbuHSLb/vP9&#10;35a5DQfhp8c/El74g1XQ/i6uj6U91KmjwzaPa3CT2rPuSXzVRF+6/wDAn3k/uff+ota0ax8WaHPY&#10;6vbJNpl1Bi5hdleKVGHzI395avabp1lpFjbWllbxW9pbRLHBFEu1ET+FVoGfK3jy8+Pvw703+zU8&#10;S6J4o1O/3xac/lRWEu/fEifKz/N9/c/z/wDfVW9S8d/HT4IeENV1zxjoWleOYLWL7Qz6ZffYvsUU&#10;SNvf5on835f+B/7/APD7rL8MdLu/ibb+Nr0fadVs7R7Kx3/MLcN/rXX/AGmHy/7q0njTwXf+LdZ0&#10;iM6rJZ6LBI0t5bQr8158u3ynb+7QB4F4X1/9ob4waZa+LtDufDvg/wAP6jGstnpOoh7yXy/77Sxf&#10;3/7rKu2uT8P+EP2ifjXrPiXT9T+IMPg/TNLl+yrcWOku8V/8rbJbd22Nt/2t/wDcb+5X1x4q8PHx&#10;L4I8Q+H7K5itJr/T57COd03pbs8W1dyDb/f3barfC/wHF8N/Auj+HEla8+wWyW7Xcv35dibdzUAe&#10;U+L/AISXmi2C63d+NdUvPErWCaRCdReL7JLK77kl8rytiv5rfL8v+zVWz/ZG8B6V4Ouf+EzvdY1W&#10;Kf8A0i++1+ILpLVWZ921f3qLt3t/HXq118NY9R+JVr4rudTvXFlbNBbael1KsW59nzMm7a/3W/77&#10;aup17QLHxHpc+n6hbx3ljPH5UtvLGrqy/wDAqAPCvAX7OPgHW9ah8Z3ukTalqFrO8WnXF9dSy+RA&#10;vyImzzXVtv8AD/vbvvVpp4O+GN54uvPBGm+EtGlnVTd6p9n0+JfI3vvAdmH3mb/0L+H5a9ttNOgs&#10;raKCFBHHFF5SKo+6tLDp9tbb2jiRPNfe+1fvNQIr6ZpVpptqkFnaQ2kC/dit4lRF/wCAitHZREmx&#10;afQAUUUUDCiiigAooooAKKKKACiiigAooooAKKKKACiiigAooooAKKKKACiiigAooooAKKKKACii&#10;igBNtLRRQBH5a7t21frUlFFADdi+go2L6CnUUAN2LuzjmnUUUAFFFFABRRRQAUUUUAFFFFABRRRQ&#10;AUUUUAFFFFABRRRQAUUUUAFFFFABRRRQAUUVC/yfNQA+n18y3H7YcNx4813wrpvhO+urjSJ/s/2l&#10;7xIopf8AgXzf3a1fhF+1Vb/FT4m6p4K/4Ry/0i/sLVrqWaWVZE+R1Vk+6v8AfWmTc+haK4j4ofEq&#10;w+Fnhe717VYL2bT7VN072cHmlR/u14R4r/4KFfDjQbbTp9Oj1PWzeSLvFvb+V5EX99t33v8AgNFh&#10;3Pq6ivKfhp+0J4Q+Kus3um6Ddy3U9tF9pVpYGRXi/vr8tNuvj74XsfHniLwjdXTW17odnFe3ErxM&#10;qFWVX2r/AHvldaBnqr0b6+Wte/b58E6P4rstMWy1K80yWLzZNVhiVoYk+9u+/u+7X0DoHiuz8SeG&#10;4des3aXS7iH7RA4Rtzx/3tv3v+A0hXOkp9fO2kftaaF4h+IOq+HbLQtYe00h3W/1h0UW8BXf99W+&#10;ZfuN/dr0TRPjd4D8QX1nZWPijS7m+vGdLeJLmLfKy/e2+tArnoVFeQfFf9oXSPhH4x8H+HtVsbu7&#10;/wCEmneKC9h2+Vb7f7+6sKP9rrwhN4y1Dwy0F2l7YNsle48pEb/d+egOY98orxX4O/tL6H8bPEus&#10;aXoum3ttDpqN/psu3ypfu/drP1n9qHTNF1T4i2E2lPC3g5InbN3EDeKybn8pN38NAXPeqK+aLb9t&#10;nwvqvgK48VWOlXslvbukE8LsiOkrfw/e/wBqvYdB+IWnzeFNP17Xprfw1FeLvVNQu4lX+99/dt+7&#10;QO53Hamo+a8C8T/tbeCdB+IugeF/7VtLq3v082XU4p1eKL+6ny/xV31l8bvAep+IrPQbHxXpV7rF&#10;4W8i0t7pWdtqbv8A2WmFz0KivEPj1+1H4e+AN/o1jrmmajfvqiu6/YERvKVf7291rz5/+CiPw7R9&#10;i6L4kuX27/ks4vuf9/aBn1hTK84+HPxc034lfDO38aafbz22mTpKy21xsSVdrsu3723+GvCLL/go&#10;h4Tl0xNQufBHiuK0nbZa3f2OLyr3/rk7S/NSFc+waK+Tv+HgHhdFill8K+Ivs77B5yW0WxWb/a82&#10;vp/TLz7ZAJMFEO3ar/eoBO5pUUUUDCiiigAooooAKKKKACiiigAooooAKKKKAEZtoqhqN7HaWk0s&#10;pbZFG0jbf7taFQMmRt/hoEz4D1hPCvhL4ieMrzSNT0Txba+IbxJZ7e481Hsk3u//AAJdz/fSvLPh&#10;18V/+ET+O73umtpvh60WeK0n+yIzpcRb0+7vfdX2x8XfggTr+n+P/CNnaf8ACUaOsrfYZ9q29/Ft&#10;b9183yozf365D9kv4a+J7XV/Hnifxv4XsNCuNcv4mtrBoP3qLE03z/Mu3Y25WXb8395VpmXL5nZf&#10;tJ33iX+wdPn8OahZ/wBn3kv2W80+7t/NS8Rk+5XxRr3iDxHo/wAabvRf+Ec03WP7BtXt4NO8pYor&#10;fcn333f79fYv7WfhDxfreneD9V8GaW2p6tpOq/aPsyN8v+/Xn3if9lXxTqWkQ61AtteeMtSunn1N&#10;5p9kSqyfc/8AQaLis0d/+xjqvinWPhAknihbFIkvJYLOKyh8pkiVvkVlWvkj9oSw1nw3+0J471Cf&#10;xdHNceRFKsPkbEeLZbp5Wz/Y2V9P/s+p8dvDPi238L+JvDOiWPgm1idv7TtmV5ZW/h2/vf8A2Suf&#10;+Mv7F+gSeGPHeuaBHqmt+MNZl+0WyXF18kUrOnyfd+7826gux8QX+vSJpr6fPq+xPKeX5ItiNtTb&#10;sr9GPgpqvi7Vv2ZrTUtV1mz8PXsumLLZ31vbr/ocSp/y1V/4v/iq+PP+GPfjFc6c98/hW0d4rZki&#10;he8Tzf8Avj+Kvvf4V/D5m+Bvhnwz4mstjx6dFb3ls/zbv9lqQz8wLvxn4nfW/HsjavqFxLdM0t9q&#10;djBuhum/eo/m/wBz7/8ABX0H4V0iLSvh9+zPqemWEr6hca1Ok72K/O6s/wDH/s17Z4B+Ed7L48/a&#10;A0afRl03QtZns4tJnaDbE6fZfn2fw/62rfwp/ZCT4f33gu9k129urjw+1xK8L3ObZnl/iiTb8tBL&#10;TZ55/wAFCdO1DU/FXwqitbVtSRryfyLK3/4+Hn2V8p+IdN1PR/iXrsfiPTJ4buCVZZ7d22S7fv8A&#10;yPX3/wDtK+GvHup+Pfhfq/gXT7a/u9GvriWX7bxFEssWz5mrivEf7Nnif4n/ABf17WPGVpYr4Xun&#10;iSK306X/AEjbt+9vZKCdUUv2BL2zu4/EH9lWP2DTE2JFbzS75v8AfZv+AV87fH3wVotp8Vvi/f32&#10;q7LrTrxLiC0MmHn83+Bf72yvrj9n74b+KvB/jbxppmr6LFouhSwfZ9OuLKRfu7tu/wD3trVn+J/2&#10;PvDnhH4TeNF0LSrrxZ4v1ZWukudWm82Z7j73yt/31QUj84/EP26F/wCyrGC+tre8aK4Wxf8Ajf8A&#10;g+Sv1X0iz8J+JPgH4ZufiDov2PT7Czi8201yLY8UsSbNzr/wGvk/WP2fPjl8S9ct/Fmq+GNP0fVt&#10;LtYLSwSJ4k/1X3HZN719weBrHXPFHgTTh8QdOtf7aWN/tUMPzQs/3aCj81dY8H3njnwx4w+JXhfR&#10;YLDw02qy2VnY3EuyWJF8pk+X/bWWvq74Ial/wjfxj0LwLrfgPStH1ODw6t7BqNoyu7ffR/4f46d8&#10;Qf2dfEOhfCHxj4f0O2jv7jXPFc+tKkX/AC72svlfKn+7srrfhH+z54n8OfFxfHfizxEdZu7bTF0y&#10;zi2ImyL+Pdt/2qZm2+x5f+3j8OteSzbxxc6vZXGiWu2yXS5otv8Arf41/wBr/wCIr49h0q88PRW/&#10;2aTfcazPFawInz/Jv/8As6+7/wBtr4efEb4y+HtH0HwPpTTWlrefaL9riSJPN+XbFs3Ov3X+evEP&#10;iL8BPiR4e07wlLbeELa8uNLbzZf7G3u77X/j2/8AslBWx9M/CH4V6r8DvgTrOl6rrn/CR+VBLeQW&#10;rwbFtkZN7Rf7f+9XyHr1hqHjz9m7T4p5ZdSTRGb+ybHSbX91aozvve4/vf8Ajtfa/wAPfGuvfFz4&#10;W6xba34Q1Lwre/ZXtFhvV2ef8m35f4q8Fi8L/G1fh3e+A7TwVY6ZDZ+U1rq1vcbPti/MzbldP7+x&#10;G3/7bfd2Ugtc8i8MeIW8N/AX/hGovCus/wBoXt5FcXWvXcX+gyrv+R4n/wBuv010I79Pik27PNRH&#10;2f3fkWvibVfCn7Qmp+CdG+HF34X0q60qeSBP7at5dq2SRIj/AL1W/wBv5fkVv4q+3tJha3062idt&#10;7pEis3/AaCoqxfooooLCimO+xN1Z2m63Z6wJjY3VvdrE7RMYZN211/hagDUopF6UN900AG6lriPG&#10;fxX8OeAbzTLTV75LW41SVYbNG/5as1VE+OHgtotVlTXrR4tLdIrp0+bynf7q0CTuehUVVjug8QlX&#10;DxNyrD+7XKQfFbw9efEC48F2uoxP4jgg+0S2jK25UoC52tJuqrJcMkW7ar157rf7Q3w+8P3N7bX3&#10;inT47izZop4Vl3OjUCuembqN1eQ6L+1P8M/EPiCw0Ow8VWk2q3sv2eCEK3zy/wB2u313x7ovheVY&#10;NU1CC2umge6WE/eaJPvNQHMdPupteZ2n7R/w5vtB/teDxZpr2X3N/m/df+7Xe6Xq9trGnW99bTpN&#10;bzrvidG+VloHuX6KEfNIw+n40BYWk3MaZ56EfK276VJux96gewmCO9N2tupySq54pklyiRPLuXYq&#10;7t1ArElMdN6VSsdYg1NfMt545odu7dE27/P3WpNY1q00GwmvL+5is7SJd0lxK+1FoEW1Vk2KqjH8&#10;VTVkWvibTb22a4hvbaaBU83zYpd67P71XbTUYdQtY7m2dZoJRujdG+9QCLWyja1c/q/j7w74fmeH&#10;Udb0+xljG50ublU21Lo/jHRfEE7waZqtnfzIu9oreVXZVoHobShj1parXN6ltLEjuqvK+1F/vVl/&#10;8JZpb6jdaeup2n2+3TfLb+am+Jf7zLuoFY2noSoXuRFF5rsuwLvZ/wDZqrfa3ZaTaNc3t1HZ2qfe&#10;mnbYn/fTUAaGGp3NU7DUbfU7dJ7SeO4iP8cT7lq7voKuFJtp69Ki3Sf3VoJaHbaNtRNdop2l1Vht&#10;+Vj/AHj8tWF6UAkNp9QvNsVmZlRV/vVQu9dsdPsnvLm8t4LRFUtK8u1VoGatFZdpr1jfS+VBeW00&#10;u3fshnV/lrUoGQXMKXMDxSfcf5a+T/2efAukfD/9or44QeHtH+zMDayxncuxmlDu6r/Ei7x90/8A&#10;APl+79YXMZkgkVW2Oy7Q1eA/Cj9nXxH4E+NfizxxqfjSfWLTVoUgg0/aqIy/L/rfk52fNt/36CWj&#10;0bSfF3iSaHbfeFZLS4Vm3Il4jp97+/Vu28QeJbl9snhxoV/jd7pf/Ha67Z/t05ulAtUfEv7V3hi9&#10;8bfH3wZpEl81taG2+dYU/wBRF5vzvXzq/jnw14J8H+KPC+lWeoXL6lrtq66t5q7JYorj5/k/4BX3&#10;d8dvgd4g+IVyt94a1+PR7uWFbS886383fF/sfN8rf/FV574f/Y0Gqae9t4vlttShsLaWHSbdN+9J&#10;X3b5ZW/i/wBmgnU7P9q/xhqOhfs132peHLxori5NjEt2reVsjeVFZ/8AZ4rwXTfiR4Q+CdhcRaVp&#10;kl5rcS2sU+o3F9v1C481E3/O3/LL569U8WfBr4keKv2U4fA99daRbeL7a5t/nt2d7R4IrhH/ALm7&#10;ds/2fvV6D4a/Zc8BaXpulPqHh6z1LVYoIElubhfnldIlT/2SgTTexyP7NHhL/hEPiP8AEKNdYvtQ&#10;tpksLiO1u52l8pmSVn2s/wDD93/x2vgDxPbSPa+K/PsV82XUXee7T59jf531+gX7N2kfEO88VfED&#10;xD478PQ+GIdQeCHTLYOrSLbxo4+ZV3Ky815D4W+BPxnb4c+NvAc2k6Da6ZqmpT3kV9duzPtd92xd&#10;v8Pyp83+98lArM8G+Dlh4cT4+/DmK2ublNb/ALTR53/5Zfc/g/u17b+2L8PdaufjJd3n/CUWyRX+&#10;kyywWjrse1iiT50/2t9aHw9/ZI8daH4+8Hy3VvZ2fh/S7xbuW7iZPtbN/wB8V658ZP2PfD3xG13x&#10;J4vurrUrzxDd2rLaxeeoigZYmVVT5aCoxPyws5pbCeHcsaJ8kqo6/I+2v2U+FHiewl+DXhPUN7eU&#10;+n2+PKj+8zJ8tfEtv+xN8U9a8NaPO8OjabrthEpguN/zo2/erun97/Zr7Z8U6J4vm+CV/p+mTWVv&#10;43/sporW48lPs6XSp8jbG+X7/wDD92g1Oh+HHxB0f4peE7XxJoVw8+lXu54HdNrMv3fu1e8Wadea&#10;54Y1Owsb5tM1C6t5YoLtPvwOyn51/wBpa8z/AGS/BfjzwR8GdP0/4k3sOoeK3vLq8uZYW3/62V5f&#10;nb+JtzO3y/3q9H8bWOqal4S1aHw7dxW+uNazLYyzDfEtxtZU3/7O771Aj5h8EeFvido3xl0pdO8c&#10;zeL/AATp0W7WL67jeHfKu79199tz/Pu/hXaqbv7z+5+IPjj4d0EyrqdrqcFmqfvbv7M7oi/8B3Vx&#10;/wAGvh/8UdJvLW28Yy+H7DRbeJpZU0OWd5rq63/f+dU2Lt/h+avd5NOimgaKdFnR12usq7t1AHgk&#10;X7bHwru9dtdG03VbnUtTvbpbSC2isZ/3u7bsf7m3a+9djfxV7nDPs05TbQeWqx/u0b+Gqv8Awhuj&#10;f2lb3zaZbfa7ff5Eyx/Om771cF48+JOseH/FEmiWnhG+1aGe1VoruExbHZn2sh3S7l/g/g+b5/7t&#10;AmeE/A3WvHHhDQ/Fi+BPCs/jm0t9ZurVLfUL+LTZUdJVV/Kdt6tF825d+xvlr3j45X2vW/wd1WTT&#10;9OsL/VTAqtY3bfJLu/gX/ary7wPq/wAQ/hh4Z1CLSPhPDeanfX0tx9gs9Rt7TzfvfvXdvl3cLu+X&#10;+Nfu/dTd8f6P8Qfi18BWa+8ML4b8axXS3UWky30VwieVL8n71PlbelBDTPhRPD3iXUvH1p4XvNSb&#10;wxqF7tiniu7p0t4E/uN/wCvcv2L7PxRZ/GfWdDt/Fn9peGPDUX2e5t1vHaFn+f54l3fMtVV+C/xT&#10;8QfE3/hP/F/giC5+z23mtplv5TebtX5ERd7/AN2ve/2SvAq/8Ifrev6z4HTwpqfiC8llksrjTorW&#10;VIN3yp8vzbf95VoEk0eL/EfTrbwn+0n4t1jXLC28TeF9Sg83Y+29+z/uk+byl+Zf464n4KfFTR/D&#10;P7SEV74RaC307X5YrK8tpkS3SJH+ZGVP4f71fVnjH9m620v4kaD4/wDB6xafNp0T21/o2xfs9/bN&#10;v37vkb5vmri/2Z/hHp2ueIfH/i3X/h5H4fsdY1YS6RY6na/vYof7/wDsszbT/s4oHqY/7aHjXxgN&#10;ZsvDEGkXtjZPsutH1yxumTzZ1+8kv92vkDTdYs/EmvXt9qs+rXPiC6lWy8q0+/L8iJ9/+9X3N8Zr&#10;z4haD8b7efw3oF3r2m3mnLaRQ3cebG3lbfuf5W/3K8MT9lP4qeDPHMXiXT/D+l6ld2bJdLb+avlO&#10;39xEZ/vUBqfSP7Qd3rnwx/Zr+z+FTsl8iKykuLud/NiRl++v+3XwL8Tte8ceKtZ0/QfEOtT3Nu1q&#10;qLFcT/um2/x/71ffM3gnxr+0l8Ev7H+INq3gPUJb5XntdM2yvLFG/wBz73y18lfEb9ifxw3xdbwx&#10;4Wtr/VNCgs4m/wCEg1N/KiX5d2zeu7/doKR6z/wTm8dyyDxH4QntWeW3drtbhPnRf4dm+vrjw38T&#10;dD8W+IvEGi6XctNe6HKkV4gXdsZt/wD8Q1fNX7CHwv8AEvw1Hii28S+H/wCypVuvs63LyLvlZf7n&#10;+zXc/AL4Z+PfCfxj+JGteILyKLw3qd4zadaI29503syS7v8AZVtv/AqCj6FSbzvut86/wV8nftJe&#10;HvEeieIk8Q2vjzULaWeXdp2nOjxafbvEnmv9qlV/u7U/9Dr6zSL5dyoqS181/EjwH8WtY13xbpFt&#10;d6XrXg3xNpt1bwfbFdZdGaWF4tqlX/eqzMr/AN5fur8tAmjq7z9oLw38MRoWleO7q50zUtUkuVtX&#10;gtZZ0dInRYs+VvZWeJ4n/wC+92z7tVPDf7Zfwu8V38unWWs3FnqCT+UlpfWctrLKrdJoldPmX73+&#10;18j/AC13fw/+FWn+DfDnh/Trkrrl/o0EttBq2pRLNd7ZX3P+9b5vm2pu/vbV9K66LSLW2Nx5VrbR&#10;/aH82XEY/evt+83/AHyv/fNAIxbDW9M8fabNDBue3b729G+avlL9ozwzB4E+MPgC+i1DXZtEnjlt&#10;5/D1jcSql18n32dP7m9W/ir7PFpFbruWKNNv9xdtfPHxr1W7s/2kfgppVvas8N+9/wCfN5W7asUS&#10;Pt3/AMP31oKM/wDZ/wBb+Dvxl8ZxeKvCNpMfEekRvBvlaUeUjKisNny/3E++tfUdch4V+G3hrwTe&#10;6pd6Dollo91qlw1xezWUPlPcPvZtz/3uXb/vquvoARvummA/MakooAjwKf1FLTKBMPKWjYu2o5c/&#10;L82yvLbb9pLwLLPcW9z4gsdMure6+ytb31ysT7/+BUCueop/44tOiiVPmrk9E+JvhrxNqd1p+l63&#10;p9/cWrKjrZ3SStu/u/LTvEfxH8N+ENRtLHWNYgsby8TdBDNLteX/AHVoFfsdV5f+1t+lO2K61x91&#10;8SvD1jrWnaRc6ra22p6ijy2lnNJtlmjX7zqv/Aq6K81K20+3luLm4jhgi+/LK+1Vpj5l1L+z71N8&#10;ldtcbrXxa8IaJf2tneeJtNtri5+4j3SVq6f4p0jWdPuLzT9TttStYGZJZrSZZURl+8rMtAXXQ2fL&#10;+78zfL/tVMqLtrl08faGnh+31mfUra2sZ1ZxNLLtWrugeM9D8TwJLpWr2V+jLuzbTq9IdzeprLu7&#10;4pKfQAzylp9Qs+xttCP81AyXbUe1cVJuHrTdy0CI0hVKXyV/2v8AvqsHxh420TwFpKahrmpW+m2k&#10;s8dqstzJtVpX+4n+81baSq4BWTO/5loFsMkSMMq/3m/u1KlssP3fuf3a53U/HGg6RrH9mX+p21hf&#10;eV56JcSqjMv+zuq0PFOmMtk66hA6X/8Ax6v5q7Zf92mFzc8paTyh6t+dZl1q8WlWU15fTxQ2sS72&#10;mdtqKtZ2o+O9C0i6sra91mxtrm5/1URuV3SUgudIIVT7vy/Sl2LWRpOv6frlr9p06+gv7dv+W0Eq&#10;uv8A47RqWv2ejm2W7uo7Xz5Vii3f8tX/ALq0wNN7ZX67v++qUIif+hU132fx1zupePtD0nVk0y81&#10;W0trtovN8mWT59n96gLnSNFlPvMvy0qJWDP410G1tZbqTWbFIIl3M73KKoqy/iPT47ZLpruJLd13&#10;pNu+RqQ7m1ULRBm3EnP1rBs/GWj3zssOoWsrB9vyzr6bqs6F4m03xIlw2nXsV15D+VL5TbtjUBc2&#10;B8o4p9Mp9AXuFM8pP7op9FAxiJsTbT6KKACiiigAplPooEZmrr/xLbn9+to3lv8A6T/zy+X71fkv&#10;8TtNim1d/FGp6rBrdpdXz2sVxaReU9wy/wDLX/vpK/WzUoI7i1lilLbHRkfZ/davh2b9ijx9rF+0&#10;F9rGiTaVZ37y2sMyP8sTNv8A4f8AeoIkmeG+APDdzD8ZPBWh6D8TZ3uL/ZqF1qdpA8SWv3/k+/tZ&#10;tny/P/fr6K/bUTzvGXw/1HT7zTbm705/3tpNdRRXGyX+Nv4tvyV6J4G+BGpeGvjtLqlxoPhweFP7&#10;JS1gmtUcTean+x92u3+L37OPhD4taTqcF5pltZ6nfxLF/a0MS/aItv3NtMmzR8T/ABm+KNtpnxT0&#10;HXksZU8UWG9ILd7xLqJYmi8rZv8A/ZK+v/i/4p1XVPgcupaN4dh8SwapZxfbLEzvE3kyr99Pk3M3&#10;+zXFaR8FdQvPj3p8+o+DNGtPCuk6Z9kF8y+a91K3lNu/9DT/AIFXd/tH+A9V8Q+A9Mk8KwS/2ho1&#10;4l3a6fE2xJdqumxv9n5qNhWufm7r1zBoni3+zNe8PatNLaxfurSVn837/wAiPur79+Cnh7UdJ/ZX&#10;kk0HQU8P67f2st39mdt/mu275/8AgS147r37IvxD8YapLrWoanaXmt6z+9+0XHyPZL97yvuV638I&#10;LT4meIPhn4q8F+J7E+D7nTV/svStWtyzfakVPml+b+H/AHaGxpWPhPxDrHjO/s9M0/WtejvLJJZU&#10;bTHvPkt3/j3pXqv7FfiOfwz8abfSrOx/t1bqx+yypbttSyVZd/m1tfG79hzVLSXwlpXguzutYu7l&#10;Z21HVpmVE835Pvfxf3vvVqfsl/BDx18LPjMn9r+GJLa0W1aKe+T7jtv/AL9Iq59Z+I/j/wCFfCvx&#10;O0fwFqD3S+JdWj822t4rdnV05+bf/wABf/vj/d3empMr/dr588Y/D3x1rf7RvhPxDp9/DD4UsknW&#10;+he3+eX5E2Irf3d/zf8AAE+9/B9CImygpHhv7Vnxguvhl4CurbRJf+Ko1FPKsdjKHi/266vwl47g&#10;0f4baFqGs30mqXEsCebcWy+bvfbWN+0F8CtP+LXhrVHs7OyTxebF4NO1S73/AOjt/wABrpvhJ4Mn&#10;8G/D3R9B1Rbae7tYtk/kruRm/wCBUDTuTH4qaal00DWN/vVd/wDqKfonxR0fxDqy6bbLc/bWTfse&#10;L7lda9nA7bmhjd/92svWUh0jTri+h09554ImKraQB5un8K/xf7tAN2Pmb9v7wfP4k+DWk6RY39np&#10;Zk8QRTmJ4m8qd2d/v7f9p97N/e/75b1vwda/E2z8R2sWs3OjXPhyCzijFwqOuo3Uqp87yjakS7n3&#10;N8n/AHzXi3xa8VeP/jLoOhQ6H8Lrm4jTVYnuIdfuvs6RQb9+/wApXTdLsRWVkf8AjZf4q9V1b4u+&#10;MLS+0S20H4b6lrFpPLKup3FxeRWn2BVT5Nqt/rd7f3Pu0ybnzr+2bDrmoePbuxgs7TUZbexW6sb6&#10;KZRcWcSPueLZXgXhuHxRf/Cq78VXPjb+zbLw/O6aTp/mv9o82V/n2JX0x+0D8DfH9/8AG7U/Efhr&#10;TG1vT9Rsdksryon2dtmzYm6uV8K/A3xLYeHNK8Pa98N1udQutYt5Zb7z38pYlfc/3aBXOh+K9/4n&#10;0T9hzSm1XxBPqWoX/lJPczf62VHdvkavki/8f6n4nista8R6vPrGoWESRQQu3zwJ/c+Wv0l/aN+H&#10;tjqXwF1Kzs9IkvH01Yru2sYvvt5TrvT/AL5318n+If2Xbz4x63p8/gXwn/wh+mfYVe8lvv3SSy7E&#10;2On/AH09ILnsH7BulPoPwy8RT2s6XKb2aLZLvRWT/Y/hrxPxb4n1q80jw14j+InjrUNY1WLUXuNJ&#10;0TT4l32rr9yX5f8A2evef2StF1f4bJ4t+HOq6HfW2p6dG16+rJF/ol55v3Vil2/M3+zTvhV+yT4Y&#10;8ZeA7Wfx94XZfENvPKqyzSukrRfKyfcZaYnd7HAfDf4weLte+KfgK60z4g6lrfhfXJfKntNQiT76&#10;P86bf4f9+uC/bJhVP2mNVbz5d/8AZMHz28u9/wDVf3P7te1XXwpbwL+0L4C8O+BvCF3beHNFie9v&#10;NQjbMT7t+9N0rff/AOBVoa/o/iCw/a48R6rP4Pn1zQtU8PRW8HnIrorpt/4D/wCzUCV1ufEWlPZ6&#10;l4Ze21XWJ7O3lZNqXE7P5u2X7j/3Vr7g/aZvNa8Jfs9+D9P8KvEljttbW5aWXe/leUmzburyXxP+&#10;zfPD8INY1DxD4Vu7/wAV27S3Fjp+mRfOkW/f5Tv93/Z+5X0t4w+BQ+LGheB7TWLm50nRdJt0ludB&#10;tm/1sixbEXzV20irn5p+PJr6w17b/bjQ3reVuSxnbZu8r/Zevu//AIJzhJPgxqd9581xJcam7TPN&#10;/soteS+Kv2PPE76t4l8OaD4ctk0zzVltdbuG+dV2fIif3v7lfQf7HPhLxf4D+HOq+GPFGjQaI9le&#10;PFYywvv+1Js+/QNansnhP4keGvHF/q1poGr2eqz6XP8AZ75LSVX8iXn5H/2vlb/vmutr5i/ZU+Ev&#10;iT4ZfEb4w3Or2P2fSdX1m3uNNuHZC06bJXd/l/66p87fO3zb/mr6doKCiiigYUzfT6TbQAtFFFAB&#10;RRRQAUxky1PooAYqYahlzT6KAG/w0iJin0UARuhY+1N2NU1ZV1rFpYsPtNxBbKZFi3yyqu52O1V/&#10;3vagRf2NTtrUzzV/hqTf/s0ACphqfVa4u4raLdK6on95mrKXxbpbXX2U6hZrd7PN8j7Svm7N23dt&#10;9KANhvvChH+auXf4j+GBr/8AYT69py6wTsWxa6TzWb+7t/vf7NWpvGWjQyun9pWzvE+yVFlXdE3+&#10;1TEtDody0blrLh1m2nu3tkmje4VVZofM+dfl3VDqPiPT9IubKC+uoraa8n+z2ySvt819m7an96kM&#10;2mYMlRVgat410bQmlS91O0tpYvvpNcqm3/vqtaG+juIlliberqvzp81MC3/BTazR4j03+2f7Ia7g&#10;TUynm/ZHf96yf3ttX3k+b7y/7VAaDliimG7y91ATj7sf/Aa5Zviv4RivrixfxDpaXdq/lSwvdqHR&#10;qszfEHw7Fs83WrKHe/lLvukX5v8AvqgNDo6bWZqPiOx0ryvtk623mtsiRm+d6rWvjLQ7+38+21Wz&#10;mi+9vSdWoA3qNjVm6LrtprsQns286H+GZPmRv+BVsUgIdjU7a1SUUDI3QmNlpu1qmooAYlPoooAK&#10;KKKACiiigAooooAKKKKACiiigAooooAKKKKACvkf4qaPq3hv44al4q8TWWt6n4DSG3bzrHVXit7P&#10;5/vum9fufe/u19b7q8b+IvgLxZ4j8WudN1pk8OatapYanZXTb4Yola43tEq7WV3W42s2/wDhT+7Q&#10;I0dS+MlhothZy6fo+q69aywI8T6cIH3q393fKm7Z/FV/TPizHqVqzyeG/EOlSf8APG7sVd//ACE7&#10;L/49W34Q8Gaf8PfDWj+HfDtlHbaVp0f2eFGk+5H/AOzfNXSfZ1f5mRd9Amjlob/SvHNvd2M9nc+V&#10;A3lPFdxNFur5l/aV+HOo6D8RfhRL8PPCtpfvFd3DajaI0Sebao8T7Pvqzfx7P4FZvmr6zt1uVluP&#10;MhhRPMAjaNtzOuF5b+78+7+9XlnxI8M69qHxi8Bazp9n52mWEVwl1Kkvzxbtn8H/AHzQK1jB+Dje&#10;DfivrWseMz4LXw9470i8n0e5S6RXkt3gZtjLt+U/LL/30zr/AAV8fftRX2vQ+I72X7NbWf2CXZda&#10;npN07/at33Pk/hZK/TgW0f7392qtLu3Mv8Vfn5efsufFG5tNf0GDQLKXRpb77RE9zdKz79/ztu3/&#10;AN2mJ36Hmtz4R1fR9e8Hz3PxGgs/Evi1bVJ7jz/3trb/ACbN7t/FtT/x+vUf+ChH26HVPhlPFqVz&#10;NLa20rxfZ2+fzVdP3u+vRfAPwGu9O/aC0WXVPDFtNo+l6BAi6jK7OjXXlfdSvXfix4As7zxr4S8U&#10;z6KdSGlyypdO3zJFa+VK33f73m7G3UAr9T8yNV1uJLe7iudXn1v+2dst07r5vzL/AAfNX3F/a3iD&#10;4O/sQWN/pGuNHqyaZZva30qqyQLK0XyLu/32rxeT9hzxh448R+MPEa3EGiaP9supdMt5tzzSwN8y&#10;f7te563onifx/wDse6r4Vg0aW28YaPFa6fLDNG6JcSwPFvdNvzbXRKAaPC/7U1XSrCX4iXnxB1Kb&#10;x3Bp1umz7CzvEjJv2bPu/wAdfQ/7N2q+Lp/iH4msdc8Yz+I7D7BZ39vb3ECxOnmxIzb/AJf9utfS&#10;/wBlvwZ4n/s/xV4j0OT/AISOa2ia+t0vJVhaVU2/KlZXwV0vxZq/7QPjvxDrHhy58PeHYLWLStMW&#10;42/v4k2r8u1v9igLHwx8VLOK88V/Eif7LHu/thtrxfwbnqOw8O6ZrGveB7PTJ1vNdutWt0ltN38W&#10;+vpCT4T/ABVn8JfErwnD8MoLi31fWZbqz1SbUYIn8remxtvm7v4N1cXpX7K/jrQfHngSeLwrJpVx&#10;FqdrcXmofbPNRUife9AWPYP2yLfxu3jzwO+j6hp9tosayvY/aH+z/Z7rZLveWX+75W1VX+/XwJeX&#10;+oaJB9msb5ke43fanhbf96v1Z+Lv7O2hfGTXo9V1uW/nFhYtb2draXXlJ5+597t/45Xx74b/AGI/&#10;iZrGk6nFqul2uj3Fqr/Y0+1I7z/N8nzr8tAJH1r+xhbXdt+zp4ViuIvs1wqS7U8vb8u+vfa8r/Z+&#10;tvGlh8OdNtvHtpY2GvRbrfytP+55S/cZv9rbXqlItBRRRQMKKKKACiiigAooooAKKKKACiiigAoo&#10;ooAKKKKACiiigAooooATbTdipRRQA+iiigAqPbRRQJhto8tc5oooFewixIg+X5aa8SyfeJoooC9x&#10;Ps69/n/3qXyF37u9FFAhWiVguf4elN+zR/3RRRQAfZl9W/On+WvpRRQAnlLTfIX05/vd6KKAHrGq&#10;HIFS0UUFIKKKKBhRRRQAUUUUAFFFFABRRRQB/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CxVgAAW0NvbnRlbnRf&#10;VHlwZXNdLnhtbFBLAQIUAAoAAAAAAIdO4kAAAAAAAAAAAAAAAAAGAAAAAAAAAAAAEAAAAIBUAABf&#10;cmVscy9QSwECFAAUAAAACACHTuJAihRmPNEAAACUAQAACwAAAAAAAAABACAAAACkVAAAX3JlbHMv&#10;LnJlbHNQSwECFAAKAAAAAACHTuJAAAAAAAAAAAAAAAAABAAAAAAAAAAAABAAAAAAAAAAZHJzL1BL&#10;AQIUAAoAAAAAAIdO4kAAAAAAAAAAAAAAAAAKAAAAAAAAAAAAEAAAAJ5VAABkcnMvX3JlbHMvUEsB&#10;AhQAFAAAAAgAh07iQFhgsxu0AAAAIgEAABkAAAAAAAAAAQAgAAAAxlUAAGRycy9fcmVscy9lMm9E&#10;b2MueG1sLnJlbHNQSwECFAAUAAAACACHTuJAMAiA7NoAAAAKAQAADwAAAAAAAAABACAAAAAiAAAA&#10;ZHJzL2Rvd25yZXYueG1sUEsBAhQAFAAAAAgAh07iQPp5XShcAwAA5AcAAA4AAAAAAAAAAQAgAAAA&#10;KQEAAGRycy9lMm9Eb2MueG1sUEsBAhQACgAAAAAAh07iQAAAAAAAAAAAAAAAAAoAAAAAAAAAAAAQ&#10;AAAAsQQAAGRycy9tZWRpYS9QSwECFAAUAAAACACHTuJAjy4+6nRPAABvTwAAFQAAAAAAAAABACAA&#10;AADZBAAAZHJzL21lZGlhL2ltYWdlMS5qcGVnUEsFBgAAAAAKAAoAUwIAAPVXAAAAAA==&#10;">
                <o:lock v:ext="edit" aspectratio="f"/>
                <v:shape id="图片 4" o:spid="_x0000_s1026" o:spt="75" type="#_x0000_t75" style="position:absolute;left:3588;top:150;height:4180;width:4800;" filled="f" o:preferrelative="t" stroked="f" coordsize="21600,21600" o:gfxdata="UEsDBAoAAAAAAIdO4kAAAAAAAAAAAAAAAAAEAAAAZHJzL1BLAwQUAAAACACHTuJARTrhV74AAADa&#10;AAAADwAAAGRycy9kb3ducmV2LnhtbEWPzWrDMBCE74W+g9hAL6WWnUMbXCs+uLjk0BiahpwXayO7&#10;sVbGUn769lEhkOMwM98wRXmxgzjR5HvHCrIkBUHcOt2zUbD9qV8WIHxA1jg4JgV/5KFcPj4UmGt3&#10;5m86bYIREcI+RwVdCGMupW87sugTNxJHb+8miyHKyUg94TnC7SDnafoqLfYcFzocqeqoPWyOVsG+&#10;fq4as/38aOZfO9Ps1qvF8dcp9TTL0ncQgS7hHr61V1rBG/xfiTd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rhV74A&#10;AADaAAAADwAAAAAAAAABACAAAAAiAAAAZHJzL2Rvd25yZXYueG1sUEsBAhQAFAAAAAgAh07iQDMv&#10;BZ47AAAAOQAAABAAAAAAAAAAAQAgAAAADQEAAGRycy9zaGFwZXhtbC54bWxQSwUGAAAAAAYABgBb&#10;AQAAtwMAAAAA&#10;">
                  <v:fill on="f" focussize="0,0"/>
                  <v:stroke on="f"/>
                  <v:imagedata r:id="rId27" o:title=""/>
                  <o:lock v:ext="edit" aspectratio="t"/>
                </v:shape>
                <v:shape id="_x0000_s1026" o:spid="_x0000_s1026" o:spt="100" style="position:absolute;left:3436;top:4365;height:1;width:5252;" filled="f" stroked="t" coordsize="5252,1" o:gfxdata="UEsDBAoAAAAAAIdO4kAAAAAAAAAAAAAAAAAEAAAAZHJzL1BLAwQUAAAACACHTuJAQNJqMLkAAADa&#10;AAAADwAAAGRycy9kb3ducmV2LnhtbEWPzQrCMBCE74LvEFbwIprqQbQaPQiiIAj+IB6XZm2KzaY0&#10;UevbG0HwOMzMN8x82dhSPKn2hWMFw0ECgjhzuuBcwfm07k9A+ICssXRMCt7kYblot+aYavfiAz2P&#10;IRcRwj5FBSaEKpXSZ4Ys+oGriKN3c7XFEGWdS13jK8JtKUdJMpYWC44LBitaGcrux4dVwJu8t5kc&#10;xpfHzjT0vmd7eZV7pbqdYTIDEagJ//CvvdUKpvC9Em+A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DSajC5AAAA2gAA&#10;AA8AAAAAAAAAAQAgAAAAIgAAAGRycy9kb3ducmV2LnhtbFBLAQIUABQAAAAIAIdO4kAzLwWeOwAA&#10;ADkAAAAQAAAAAAAAAAEAIAAAAAgBAABkcnMvc2hhcGV4bWwueG1sUEsFBgAAAAAGAAYAWwEAALID&#10;AAAAAA==&#10;" path="m0,0l5251,0e">
                  <v:fill on="f" focussize="0,0"/>
                  <v:stroke weight="0.6pt" color="#000000" joinstyle="round"/>
                  <v:imagedata o:title=""/>
                  <o:lock v:ext="edit" aspectratio="f"/>
                </v:shape>
                <w10:wrap type="topAndBottom"/>
              </v:group>
            </w:pict>
          </mc:Fallback>
        </mc:AlternateContent>
      </w:r>
    </w:p>
    <w:p>
      <w:pPr>
        <w:pStyle w:val="2"/>
        <w:kinsoku w:val="0"/>
        <w:overflowPunct w:val="0"/>
        <w:spacing w:before="9" w:beforeLines="0" w:afterLines="0"/>
        <w:ind w:left="0"/>
        <w:rPr>
          <w:rFonts w:hint="eastAsia"/>
          <w:sz w:val="5"/>
          <w:szCs w:val="24"/>
          <w:u w:val="none"/>
        </w:rPr>
      </w:pPr>
    </w:p>
    <w:p>
      <w:pPr>
        <w:pStyle w:val="2"/>
        <w:kinsoku w:val="0"/>
        <w:overflowPunct w:val="0"/>
        <w:spacing w:before="74" w:beforeLines="0" w:afterLines="0" w:line="372" w:lineRule="auto"/>
        <w:ind w:right="563" w:firstLine="477"/>
        <w:jc w:val="center"/>
        <w:rPr>
          <w:rFonts w:hint="eastAsia" w:eastAsia="宋体"/>
          <w:spacing w:val="-2"/>
          <w:sz w:val="24"/>
          <w:szCs w:val="24"/>
          <w:u w:val="none"/>
          <w:lang w:eastAsia="zh-CN"/>
        </w:rPr>
      </w:pPr>
      <w:r>
        <w:rPr>
          <w:rFonts w:hint="eastAsia"/>
          <w:b/>
          <w:sz w:val="21"/>
          <w:szCs w:val="24"/>
        </w:rPr>
        <w:t>图</w:t>
      </w:r>
      <w:r>
        <w:rPr>
          <w:rFonts w:hint="eastAsia" w:ascii="Times New Roman" w:hAnsi="Times New Roman" w:eastAsia="宋体"/>
          <w:b/>
          <w:sz w:val="21"/>
          <w:szCs w:val="24"/>
          <w:lang w:val="en-US" w:eastAsia="zh-CN"/>
        </w:rPr>
        <w:t>3.5</w:t>
      </w:r>
      <w:r>
        <w:rPr>
          <w:rFonts w:hint="default" w:ascii="Times New Roman" w:hAnsi="Times New Roman" w:eastAsia="Times New Roman"/>
          <w:b/>
          <w:sz w:val="21"/>
          <w:szCs w:val="24"/>
        </w:rPr>
        <w:t>-</w:t>
      </w:r>
      <w:r>
        <w:rPr>
          <w:rFonts w:hint="eastAsia" w:ascii="Times New Roman" w:hAnsi="Times New Roman" w:eastAsia="宋体"/>
          <w:b/>
          <w:sz w:val="21"/>
          <w:szCs w:val="24"/>
          <w:lang w:val="en-US" w:eastAsia="zh-CN"/>
        </w:rPr>
        <w:t>2</w:t>
      </w:r>
      <w:r>
        <w:rPr>
          <w:rFonts w:hint="default" w:ascii="Times New Roman" w:hAnsi="Times New Roman" w:eastAsia="Times New Roman"/>
          <w:b/>
          <w:spacing w:val="44"/>
          <w:sz w:val="21"/>
          <w:szCs w:val="24"/>
        </w:rPr>
        <w:t xml:space="preserve"> </w:t>
      </w:r>
      <w:r>
        <w:rPr>
          <w:rFonts w:hint="eastAsia" w:ascii="Times New Roman" w:hAnsi="Times New Roman" w:eastAsia="宋体"/>
          <w:b/>
          <w:spacing w:val="44"/>
          <w:sz w:val="21"/>
          <w:szCs w:val="24"/>
          <w:lang w:eastAsia="zh-CN"/>
        </w:rPr>
        <w:t>导流墙和围堰布置图</w:t>
      </w:r>
    </w:p>
    <w:p>
      <w:pPr>
        <w:pStyle w:val="2"/>
        <w:kinsoku w:val="0"/>
        <w:overflowPunct w:val="0"/>
        <w:spacing w:before="74" w:beforeLines="0" w:afterLines="0" w:line="372" w:lineRule="auto"/>
        <w:ind w:right="563" w:firstLine="477"/>
        <w:rPr>
          <w:rFonts w:hint="eastAsia"/>
          <w:spacing w:val="-2"/>
          <w:sz w:val="24"/>
          <w:szCs w:val="24"/>
          <w:u w:val="none"/>
        </w:rPr>
      </w:pPr>
      <w:r>
        <w:rPr>
          <w:rFonts w:hint="eastAsia"/>
          <w:spacing w:val="-2"/>
          <w:sz w:val="24"/>
          <w:szCs w:val="24"/>
          <w:u w:val="none"/>
        </w:rPr>
        <w:t>围堰设计顶高程：根据</w:t>
      </w:r>
      <w:r>
        <w:rPr>
          <w:rFonts w:hint="default" w:ascii="Times New Roman" w:hAnsi="Times New Roman" w:eastAsia="Times New Roman"/>
          <w:spacing w:val="-2"/>
          <w:sz w:val="24"/>
          <w:szCs w:val="24"/>
          <w:u w:val="none"/>
        </w:rPr>
        <w:t>SL260-2014</w:t>
      </w:r>
      <w:r>
        <w:rPr>
          <w:rFonts w:hint="eastAsia"/>
          <w:spacing w:val="-2"/>
          <w:sz w:val="24"/>
          <w:szCs w:val="24"/>
          <w:u w:val="none"/>
        </w:rPr>
        <w:t>《堤防工程施工规范》，围堰顶高程按照施工期度汛洪水标准的水位加安全超高确定。</w:t>
      </w:r>
    </w:p>
    <w:p>
      <w:pPr>
        <w:pStyle w:val="2"/>
        <w:kinsoku w:val="0"/>
        <w:overflowPunct w:val="0"/>
        <w:spacing w:before="138" w:beforeLines="0" w:afterLines="0" w:line="372" w:lineRule="auto"/>
        <w:ind w:right="429" w:firstLine="477"/>
        <w:rPr>
          <w:rFonts w:hint="eastAsia"/>
          <w:spacing w:val="-2"/>
          <w:sz w:val="24"/>
          <w:szCs w:val="24"/>
          <w:u w:val="none"/>
        </w:rPr>
      </w:pPr>
      <w:r>
        <w:rPr>
          <w:rFonts w:hint="eastAsia"/>
          <w:spacing w:val="-2"/>
          <w:sz w:val="24"/>
          <w:szCs w:val="24"/>
          <w:u w:val="none"/>
        </w:rPr>
        <w:t>本项目设计围堰内外边坡</w:t>
      </w:r>
      <w:r>
        <w:rPr>
          <w:rFonts w:hint="default" w:ascii="Times New Roman" w:hAnsi="Times New Roman" w:eastAsia="Times New Roman"/>
          <w:spacing w:val="-2"/>
          <w:sz w:val="24"/>
          <w:szCs w:val="24"/>
          <w:u w:val="none"/>
        </w:rPr>
        <w:t>1:1.5</w:t>
      </w:r>
      <w:r>
        <w:rPr>
          <w:rFonts w:hint="eastAsia"/>
          <w:spacing w:val="-2"/>
          <w:sz w:val="24"/>
          <w:szCs w:val="24"/>
          <w:u w:val="none"/>
        </w:rPr>
        <w:t>，顶宽</w:t>
      </w:r>
      <w:r>
        <w:rPr>
          <w:rFonts w:hint="default" w:ascii="Times New Roman" w:hAnsi="Times New Roman" w:eastAsia="Times New Roman"/>
          <w:spacing w:val="-2"/>
          <w:sz w:val="24"/>
          <w:szCs w:val="24"/>
          <w:u w:val="none"/>
        </w:rPr>
        <w:t>2.0m</w:t>
      </w:r>
      <w:r>
        <w:rPr>
          <w:rFonts w:hint="eastAsia"/>
          <w:spacing w:val="-2"/>
          <w:sz w:val="24"/>
          <w:szCs w:val="24"/>
          <w:u w:val="none"/>
        </w:rPr>
        <w:t>。安全超高：按</w:t>
      </w:r>
      <w:r>
        <w:rPr>
          <w:rFonts w:hint="default" w:ascii="Times New Roman" w:hAnsi="Times New Roman" w:eastAsia="Times New Roman"/>
          <w:spacing w:val="-2"/>
          <w:sz w:val="24"/>
          <w:szCs w:val="24"/>
          <w:u w:val="none"/>
        </w:rPr>
        <w:t>5</w:t>
      </w:r>
      <w:r>
        <w:rPr>
          <w:rFonts w:hint="eastAsia"/>
          <w:spacing w:val="-2"/>
          <w:sz w:val="24"/>
          <w:szCs w:val="24"/>
          <w:u w:val="none"/>
        </w:rPr>
        <w:t>级不允许越浪堤防超高</w:t>
      </w:r>
      <w:r>
        <w:rPr>
          <w:rFonts w:hint="default" w:ascii="Times New Roman" w:hAnsi="Times New Roman" w:eastAsia="Times New Roman"/>
          <w:spacing w:val="-2"/>
          <w:sz w:val="24"/>
          <w:szCs w:val="24"/>
          <w:u w:val="none"/>
        </w:rPr>
        <w:t>0.5m</w:t>
      </w:r>
      <w:r>
        <w:rPr>
          <w:rFonts w:hint="eastAsia"/>
          <w:spacing w:val="-2"/>
          <w:sz w:val="24"/>
          <w:szCs w:val="24"/>
          <w:u w:val="none"/>
        </w:rPr>
        <w:t>考虑。</w:t>
      </w:r>
    </w:p>
    <w:p>
      <w:pPr>
        <w:pStyle w:val="123"/>
        <w:numPr>
          <w:ilvl w:val="0"/>
          <w:numId w:val="0"/>
        </w:numPr>
        <w:tabs>
          <w:tab w:val="left" w:pos="1321"/>
        </w:tabs>
        <w:kinsoku w:val="0"/>
        <w:overflowPunct w:val="0"/>
        <w:spacing w:before="167" w:beforeLines="0" w:afterLines="0"/>
        <w:ind w:left="718" w:leftChars="0"/>
        <w:rPr>
          <w:rFonts w:hint="eastAsia"/>
          <w:spacing w:val="-3"/>
          <w:sz w:val="24"/>
          <w:szCs w:val="24"/>
          <w:u w:val="none"/>
        </w:rPr>
      </w:pPr>
      <w:r>
        <w:rPr>
          <w:rFonts w:hint="eastAsia"/>
          <w:spacing w:val="-3"/>
          <w:sz w:val="24"/>
          <w:szCs w:val="24"/>
          <w:u w:val="none"/>
          <w:lang w:val="en-US" w:eastAsia="zh-CN"/>
        </w:rPr>
        <w:t>1）</w:t>
      </w:r>
      <w:r>
        <w:rPr>
          <w:rFonts w:hint="eastAsia"/>
          <w:spacing w:val="-3"/>
          <w:sz w:val="24"/>
          <w:szCs w:val="24"/>
          <w:u w:val="none"/>
        </w:rPr>
        <w:t>围堰填筑</w:t>
      </w:r>
    </w:p>
    <w:p>
      <w:pPr>
        <w:pStyle w:val="2"/>
        <w:kinsoku w:val="0"/>
        <w:overflowPunct w:val="0"/>
        <w:spacing w:beforeLines="0" w:afterLines="0" w:line="372" w:lineRule="auto"/>
        <w:ind w:right="561" w:firstLine="477"/>
        <w:jc w:val="both"/>
        <w:rPr>
          <w:rFonts w:hint="eastAsia"/>
          <w:spacing w:val="-2"/>
          <w:sz w:val="24"/>
          <w:szCs w:val="24"/>
          <w:u w:val="none"/>
        </w:rPr>
      </w:pPr>
      <w:r>
        <w:rPr>
          <w:rFonts w:hint="eastAsia"/>
          <w:spacing w:val="-2"/>
          <w:sz w:val="24"/>
          <w:szCs w:val="24"/>
          <w:u w:val="none"/>
        </w:rPr>
        <w:t>施工用土石料主要利用开挖弃渣料，采用反铲挖掘机挖取，自卸汽车运输。水上部分施工采用分层分块填筑，碾压施工；水下部分土料、石渣、堆石体的填筑采用进占法，卸车后进行整平压实。</w:t>
      </w:r>
    </w:p>
    <w:p>
      <w:pPr>
        <w:pStyle w:val="2"/>
        <w:kinsoku w:val="0"/>
        <w:overflowPunct w:val="0"/>
        <w:spacing w:before="1" w:beforeLines="0" w:afterLines="0" w:line="372" w:lineRule="auto"/>
        <w:ind w:right="429" w:firstLine="477"/>
        <w:jc w:val="both"/>
        <w:rPr>
          <w:rFonts w:hint="default" w:ascii="Times New Roman" w:hAnsi="Times New Roman" w:eastAsia="Times New Roman"/>
          <w:spacing w:val="-2"/>
          <w:sz w:val="24"/>
          <w:szCs w:val="24"/>
          <w:u w:val="none"/>
        </w:rPr>
      </w:pPr>
      <w:r>
        <w:rPr>
          <w:rFonts w:hint="eastAsia"/>
          <w:spacing w:val="-2"/>
          <w:sz w:val="24"/>
          <w:szCs w:val="24"/>
          <w:u w:val="none"/>
        </w:rPr>
        <w:t>土石围堰与岸坡的接头，通过扩大接触面和嵌入岸坡的方法，以延长塑性防</w:t>
      </w:r>
      <w:r>
        <w:rPr>
          <w:rFonts w:hint="eastAsia"/>
          <w:spacing w:val="40"/>
          <w:sz w:val="24"/>
          <w:szCs w:val="24"/>
          <w:u w:val="none"/>
        </w:rPr>
        <w:t xml:space="preserve"> </w:t>
      </w:r>
      <w:r>
        <w:rPr>
          <w:rFonts w:hint="eastAsia"/>
          <w:spacing w:val="-2"/>
          <w:sz w:val="24"/>
          <w:szCs w:val="24"/>
          <w:u w:val="none"/>
        </w:rPr>
        <w:t>渗体接触，防止集中绕渗破坏。控制施工接坡横向坡不陡于</w:t>
      </w:r>
      <w:r>
        <w:rPr>
          <w:rFonts w:hint="default" w:ascii="Times New Roman" w:hAnsi="Times New Roman" w:eastAsia="Times New Roman"/>
          <w:spacing w:val="-2"/>
          <w:sz w:val="24"/>
          <w:szCs w:val="24"/>
          <w:u w:val="none"/>
        </w:rPr>
        <w:t>1:3</w:t>
      </w:r>
      <w:r>
        <w:rPr>
          <w:rFonts w:hint="eastAsia"/>
          <w:spacing w:val="-2"/>
          <w:sz w:val="24"/>
          <w:szCs w:val="24"/>
          <w:u w:val="none"/>
        </w:rPr>
        <w:t>，纵向接坡不陡于</w:t>
      </w:r>
      <w:r>
        <w:rPr>
          <w:rFonts w:hint="default" w:ascii="Times New Roman" w:hAnsi="Times New Roman" w:eastAsia="Times New Roman"/>
          <w:spacing w:val="-2"/>
          <w:sz w:val="24"/>
          <w:szCs w:val="24"/>
          <w:u w:val="none"/>
        </w:rPr>
        <w:t>1:4</w:t>
      </w:r>
      <w:r>
        <w:rPr>
          <w:rFonts w:hint="eastAsia"/>
          <w:spacing w:val="-2"/>
          <w:sz w:val="24"/>
          <w:szCs w:val="24"/>
          <w:u w:val="none"/>
        </w:rPr>
        <w:t>，同一层间结合处预留不小于</w:t>
      </w:r>
      <w:r>
        <w:rPr>
          <w:rFonts w:hint="default" w:ascii="Times New Roman" w:hAnsi="Times New Roman" w:eastAsia="Times New Roman"/>
          <w:spacing w:val="-2"/>
          <w:sz w:val="24"/>
          <w:szCs w:val="24"/>
          <w:u w:val="none"/>
        </w:rPr>
        <w:t>1:3</w:t>
      </w:r>
      <w:r>
        <w:rPr>
          <w:rFonts w:hint="eastAsia"/>
          <w:spacing w:val="-2"/>
          <w:sz w:val="24"/>
          <w:szCs w:val="24"/>
          <w:u w:val="none"/>
        </w:rPr>
        <w:t>斜坡作为搭接段压实面，以保证堰体填筑土层之间结合良好，结合部碾压时比正常要多压</w:t>
      </w:r>
      <w:r>
        <w:rPr>
          <w:rFonts w:hint="default" w:ascii="Times New Roman" w:hAnsi="Times New Roman" w:eastAsia="Times New Roman"/>
          <w:spacing w:val="-2"/>
          <w:sz w:val="24"/>
          <w:szCs w:val="24"/>
          <w:u w:val="none"/>
        </w:rPr>
        <w:t>2~3</w:t>
      </w:r>
      <w:r>
        <w:rPr>
          <w:rFonts w:hint="eastAsia"/>
          <w:spacing w:val="-2"/>
          <w:sz w:val="24"/>
          <w:szCs w:val="24"/>
          <w:u w:val="none"/>
        </w:rPr>
        <w:t>遍。</w:t>
      </w:r>
    </w:p>
    <w:p>
      <w:pPr>
        <w:pStyle w:val="123"/>
        <w:numPr>
          <w:ilvl w:val="0"/>
          <w:numId w:val="0"/>
        </w:numPr>
        <w:tabs>
          <w:tab w:val="left" w:pos="1321"/>
        </w:tabs>
        <w:kinsoku w:val="0"/>
        <w:overflowPunct w:val="0"/>
        <w:spacing w:before="1" w:beforeLines="0" w:afterLines="0"/>
        <w:ind w:left="718" w:leftChars="0"/>
        <w:rPr>
          <w:rFonts w:hint="eastAsia"/>
          <w:spacing w:val="-3"/>
          <w:sz w:val="24"/>
          <w:szCs w:val="24"/>
          <w:u w:val="none"/>
        </w:rPr>
      </w:pPr>
      <w:r>
        <w:rPr>
          <w:rFonts w:hint="eastAsia"/>
          <w:spacing w:val="-3"/>
          <w:sz w:val="24"/>
          <w:szCs w:val="24"/>
          <w:u w:val="none"/>
          <w:lang w:val="en-US" w:eastAsia="zh-CN"/>
        </w:rPr>
        <w:t>2）</w:t>
      </w:r>
      <w:r>
        <w:rPr>
          <w:rFonts w:hint="eastAsia"/>
          <w:spacing w:val="-3"/>
          <w:sz w:val="24"/>
          <w:szCs w:val="24"/>
          <w:u w:val="none"/>
        </w:rPr>
        <w:t>围堰拆除</w:t>
      </w:r>
    </w:p>
    <w:p>
      <w:pPr>
        <w:pStyle w:val="2"/>
        <w:kinsoku w:val="0"/>
        <w:overflowPunct w:val="0"/>
        <w:spacing w:before="171" w:beforeLines="0" w:afterLines="0" w:line="372" w:lineRule="auto"/>
        <w:ind w:right="561" w:firstLine="477"/>
        <w:jc w:val="both"/>
        <w:rPr>
          <w:rFonts w:hint="eastAsia"/>
          <w:spacing w:val="-2"/>
          <w:sz w:val="24"/>
          <w:szCs w:val="24"/>
        </w:rPr>
      </w:pPr>
      <w:r>
        <w:rPr>
          <w:rFonts w:hint="eastAsia"/>
          <w:spacing w:val="-2"/>
          <w:sz w:val="24"/>
          <w:szCs w:val="24"/>
          <w:u w:val="none"/>
        </w:rPr>
        <w:t>围堰单段施工完毕后围堰需拆除，单段施工结束后围堰土石料根据现场条件</w:t>
      </w:r>
      <w:r>
        <w:rPr>
          <w:rFonts w:hint="eastAsia"/>
          <w:spacing w:val="40"/>
          <w:sz w:val="24"/>
          <w:szCs w:val="24"/>
          <w:u w:val="none"/>
        </w:rPr>
        <w:t xml:space="preserve"> </w:t>
      </w:r>
      <w:r>
        <w:rPr>
          <w:rFonts w:hint="eastAsia"/>
          <w:spacing w:val="-2"/>
          <w:sz w:val="24"/>
          <w:szCs w:val="24"/>
          <w:u w:val="none"/>
        </w:rPr>
        <w:t>的情况进行处理，拆除的可利用土石料运至指定地点堆放，用于下一段堤防工程围堰的填筑。不能利用的弃料采用</w:t>
      </w:r>
      <w:r>
        <w:rPr>
          <w:rFonts w:hint="default" w:ascii="Times New Roman" w:hAnsi="Times New Roman" w:eastAsia="Times New Roman"/>
          <w:spacing w:val="-2"/>
          <w:sz w:val="24"/>
          <w:szCs w:val="24"/>
          <w:u w:val="none"/>
        </w:rPr>
        <w:t>8T</w:t>
      </w:r>
      <w:r>
        <w:rPr>
          <w:rFonts w:hint="eastAsia"/>
          <w:spacing w:val="-2"/>
          <w:sz w:val="24"/>
          <w:szCs w:val="24"/>
          <w:u w:val="none"/>
        </w:rPr>
        <w:t>自卸汽车运至弃料场。</w:t>
      </w:r>
    </w:p>
    <w:p>
      <w:pPr>
        <w:pStyle w:val="6"/>
        <w:numPr>
          <w:ilvl w:val="0"/>
          <w:numId w:val="0"/>
        </w:numPr>
        <w:tabs>
          <w:tab w:val="left" w:pos="1442"/>
        </w:tabs>
        <w:kinsoku w:val="0"/>
        <w:overflowPunct w:val="0"/>
        <w:spacing w:before="0" w:beforeLines="0" w:afterLines="0" w:line="360" w:lineRule="auto"/>
        <w:ind w:right="1860" w:rightChars="0" w:firstLine="482" w:firstLineChars="200"/>
        <w:rPr>
          <w:rFonts w:hint="default" w:ascii="Times New Roman" w:hAnsi="Times New Roman" w:eastAsia="Times New Roman"/>
          <w:color w:val="000000"/>
          <w:spacing w:val="-2"/>
          <w:w w:val="95"/>
          <w:sz w:val="24"/>
          <w:szCs w:val="24"/>
        </w:rPr>
      </w:pPr>
      <w:r>
        <w:rPr>
          <w:rFonts w:hint="eastAsia" w:ascii="Times New Roman" w:hAnsi="Times New Roman" w:eastAsia="宋体" w:cs="Times New Roman"/>
          <w:b/>
          <w:sz w:val="24"/>
          <w:szCs w:val="30"/>
          <w:lang w:val="en-US" w:eastAsia="zh-CN" w:bidi="zh-CN"/>
        </w:rPr>
        <w:t>3、施工期度汛</w:t>
      </w:r>
    </w:p>
    <w:p>
      <w:pPr>
        <w:pStyle w:val="2"/>
        <w:kinsoku w:val="0"/>
        <w:overflowPunct w:val="0"/>
        <w:spacing w:beforeLines="0" w:afterLines="0" w:line="360" w:lineRule="auto"/>
        <w:ind w:right="441" w:firstLine="480"/>
        <w:rPr>
          <w:rFonts w:hint="eastAsia"/>
          <w:spacing w:val="-2"/>
          <w:sz w:val="24"/>
          <w:szCs w:val="24"/>
        </w:rPr>
      </w:pPr>
      <w:r>
        <w:rPr>
          <w:rFonts w:hint="eastAsia"/>
          <w:spacing w:val="-2"/>
          <w:sz w:val="24"/>
          <w:szCs w:val="24"/>
        </w:rPr>
        <w:t>根据进度安排，本项目主体工程在</w:t>
      </w:r>
      <w:r>
        <w:rPr>
          <w:rFonts w:hint="eastAsia" w:ascii="Times New Roman" w:hAnsi="Times New Roman" w:eastAsia="宋体"/>
          <w:spacing w:val="-2"/>
          <w:sz w:val="24"/>
          <w:szCs w:val="24"/>
          <w:lang w:val="en-US" w:eastAsia="zh-CN"/>
        </w:rPr>
        <w:t>1</w:t>
      </w:r>
      <w:r>
        <w:rPr>
          <w:rFonts w:hint="eastAsia"/>
          <w:spacing w:val="-2"/>
          <w:sz w:val="24"/>
          <w:szCs w:val="24"/>
        </w:rPr>
        <w:t>个枯水季节内完成施工，施工时务必保证堤防加固工程、岸线整治工程、护坡护岸工程、疏浚与清障工程、治涝工程、灌溉工程等各项重要工程在汛期来临前主体工程全部完工，确保不影响防洪度汛。</w:t>
      </w:r>
    </w:p>
    <w:p>
      <w:pPr>
        <w:pStyle w:val="6"/>
        <w:numPr>
          <w:ilvl w:val="0"/>
          <w:numId w:val="0"/>
        </w:numPr>
        <w:tabs>
          <w:tab w:val="left" w:pos="1442"/>
        </w:tabs>
        <w:kinsoku w:val="0"/>
        <w:overflowPunct w:val="0"/>
        <w:spacing w:before="1" w:beforeLines="0" w:afterLines="0" w:line="360" w:lineRule="auto"/>
        <w:ind w:right="1860" w:rightChars="0" w:firstLine="482" w:firstLineChars="200"/>
        <w:rPr>
          <w:rFonts w:hint="default" w:ascii="Times New Roman" w:hAnsi="Times New Roman" w:eastAsia="Times New Roman"/>
          <w:color w:val="000000"/>
          <w:spacing w:val="-10"/>
          <w:w w:val="95"/>
          <w:sz w:val="24"/>
          <w:szCs w:val="24"/>
        </w:rPr>
      </w:pPr>
      <w:r>
        <w:rPr>
          <w:rFonts w:hint="eastAsia" w:ascii="Times New Roman" w:hAnsi="Times New Roman" w:eastAsia="宋体" w:cs="Times New Roman"/>
          <w:b/>
          <w:sz w:val="24"/>
          <w:szCs w:val="30"/>
          <w:lang w:val="en-US" w:eastAsia="zh-CN" w:bidi="zh-CN"/>
        </w:rPr>
        <w:t>4、基坑排水</w:t>
      </w:r>
    </w:p>
    <w:p>
      <w:pPr>
        <w:pStyle w:val="123"/>
        <w:numPr>
          <w:ilvl w:val="0"/>
          <w:numId w:val="0"/>
        </w:numPr>
        <w:tabs>
          <w:tab w:val="left" w:pos="1323"/>
        </w:tabs>
        <w:kinsoku w:val="0"/>
        <w:overflowPunct w:val="0"/>
        <w:spacing w:beforeLines="0" w:afterLines="0" w:line="360" w:lineRule="auto"/>
        <w:ind w:left="720" w:leftChars="0"/>
        <w:rPr>
          <w:rFonts w:hint="eastAsia"/>
          <w:spacing w:val="-2"/>
          <w:sz w:val="24"/>
          <w:szCs w:val="24"/>
        </w:rPr>
      </w:pPr>
      <w:r>
        <w:rPr>
          <w:rFonts w:hint="eastAsia"/>
          <w:spacing w:val="-2"/>
          <w:sz w:val="24"/>
          <w:szCs w:val="24"/>
          <w:lang w:val="en-US" w:eastAsia="zh-CN"/>
        </w:rPr>
        <w:t>1）</w:t>
      </w:r>
      <w:r>
        <w:rPr>
          <w:rFonts w:hint="eastAsia"/>
          <w:spacing w:val="-2"/>
          <w:sz w:val="24"/>
          <w:szCs w:val="24"/>
        </w:rPr>
        <w:t>初期及经常性排水</w:t>
      </w:r>
    </w:p>
    <w:p>
      <w:pPr>
        <w:pStyle w:val="2"/>
        <w:kinsoku w:val="0"/>
        <w:overflowPunct w:val="0"/>
        <w:spacing w:beforeLines="0" w:afterLines="0" w:line="360" w:lineRule="auto"/>
        <w:ind w:right="321" w:firstLine="480"/>
        <w:rPr>
          <w:rFonts w:hint="eastAsia"/>
          <w:spacing w:val="-2"/>
          <w:sz w:val="24"/>
          <w:szCs w:val="24"/>
        </w:rPr>
      </w:pPr>
      <w:r>
        <w:rPr>
          <w:rFonts w:hint="eastAsia"/>
          <w:spacing w:val="-2"/>
          <w:sz w:val="24"/>
          <w:szCs w:val="24"/>
        </w:rPr>
        <w:t>围堰闭气后，为使主体工程能在干地施工，必须首先进行基坑初期排水，围堰内积水能自排的自排出河，不能自排地积水做好排水设施（排水沟、集水井），使渗水流入集水井，由潜水泵自集水井抽排出基坑外。</w:t>
      </w:r>
    </w:p>
    <w:p>
      <w:pPr>
        <w:pStyle w:val="2"/>
        <w:kinsoku w:val="0"/>
        <w:overflowPunct w:val="0"/>
        <w:spacing w:before="0" w:beforeLines="0" w:afterLines="0" w:line="360" w:lineRule="auto"/>
        <w:ind w:right="388" w:firstLine="480"/>
        <w:rPr>
          <w:rFonts w:hint="eastAsia"/>
          <w:sz w:val="24"/>
          <w:szCs w:val="24"/>
        </w:rPr>
      </w:pPr>
      <w:r>
        <w:rPr>
          <w:rFonts w:hint="eastAsia"/>
          <w:sz w:val="24"/>
          <w:szCs w:val="24"/>
        </w:rPr>
        <w:t>因有基坑渗水、降雨汇水、施工弃水，需进行经常性排水。施工时经常性排水采用潜水泵抽排，所需围堰河段均配备</w:t>
      </w:r>
      <w:r>
        <w:rPr>
          <w:rFonts w:hint="default" w:ascii="Times New Roman" w:hAnsi="Times New Roman" w:eastAsia="Times New Roman"/>
          <w:sz w:val="24"/>
          <w:szCs w:val="24"/>
        </w:rPr>
        <w:t>2</w:t>
      </w:r>
      <w:r>
        <w:rPr>
          <w:rFonts w:hint="eastAsia"/>
          <w:sz w:val="24"/>
          <w:szCs w:val="24"/>
        </w:rPr>
        <w:t>台</w:t>
      </w:r>
      <w:r>
        <w:rPr>
          <w:rFonts w:hint="default" w:ascii="Times New Roman" w:hAnsi="Times New Roman" w:eastAsia="Times New Roman"/>
          <w:sz w:val="24"/>
          <w:szCs w:val="24"/>
        </w:rPr>
        <w:t>15k</w:t>
      </w:r>
      <w:r>
        <w:rPr>
          <w:rFonts w:hint="default" w:ascii="Times New Roman" w:hAnsi="Times New Roman" w:eastAsia="Times New Roman"/>
          <w:spacing w:val="-1"/>
          <w:sz w:val="24"/>
          <w:szCs w:val="24"/>
        </w:rPr>
        <w:t>w</w:t>
      </w:r>
      <w:r>
        <w:rPr>
          <w:rFonts w:hint="eastAsia"/>
          <w:spacing w:val="-2"/>
          <w:sz w:val="24"/>
          <w:szCs w:val="24"/>
        </w:rPr>
        <w:t>排污泵进行经常性排水。水泵通</w:t>
      </w:r>
      <w:r>
        <w:rPr>
          <w:rFonts w:hint="eastAsia"/>
          <w:sz w:val="24"/>
          <w:szCs w:val="24"/>
        </w:rPr>
        <w:t>过相应的排水管连接，将基坑集水井的水排入到上下游围堰外，排水管应有足够的长度，防止出水口堵塞。</w:t>
      </w:r>
    </w:p>
    <w:p>
      <w:pPr>
        <w:pStyle w:val="123"/>
        <w:numPr>
          <w:ilvl w:val="0"/>
          <w:numId w:val="0"/>
        </w:numPr>
        <w:tabs>
          <w:tab w:val="left" w:pos="1323"/>
        </w:tabs>
        <w:kinsoku w:val="0"/>
        <w:overflowPunct w:val="0"/>
        <w:spacing w:before="138" w:beforeLines="0" w:afterLines="0" w:line="360" w:lineRule="auto"/>
        <w:ind w:left="720" w:leftChars="0"/>
        <w:rPr>
          <w:rFonts w:hint="eastAsia"/>
          <w:spacing w:val="-2"/>
          <w:sz w:val="24"/>
          <w:szCs w:val="24"/>
        </w:rPr>
      </w:pPr>
      <w:r>
        <w:rPr>
          <w:rFonts w:hint="eastAsia"/>
          <w:spacing w:val="-2"/>
          <w:sz w:val="24"/>
          <w:szCs w:val="24"/>
          <w:lang w:val="en-US" w:eastAsia="zh-CN"/>
        </w:rPr>
        <w:t>2）</w:t>
      </w:r>
      <w:r>
        <w:rPr>
          <w:rFonts w:hint="eastAsia"/>
          <w:spacing w:val="-2"/>
          <w:sz w:val="24"/>
          <w:szCs w:val="24"/>
        </w:rPr>
        <w:t>施工排水管理措施</w:t>
      </w:r>
    </w:p>
    <w:p>
      <w:pPr>
        <w:pStyle w:val="123"/>
        <w:numPr>
          <w:ilvl w:val="0"/>
          <w:numId w:val="0"/>
        </w:numPr>
        <w:tabs>
          <w:tab w:val="left" w:pos="1083"/>
        </w:tabs>
        <w:kinsoku w:val="0"/>
        <w:overflowPunct w:val="0"/>
        <w:spacing w:beforeLines="0" w:afterLines="0" w:line="360" w:lineRule="auto"/>
        <w:ind w:right="441" w:rightChars="0" w:firstLine="472" w:firstLineChars="200"/>
        <w:rPr>
          <w:rFonts w:hint="eastAsia"/>
          <w:spacing w:val="-2"/>
          <w:sz w:val="24"/>
          <w:szCs w:val="24"/>
        </w:rPr>
      </w:pPr>
      <w:r>
        <w:rPr>
          <w:rFonts w:hint="eastAsia" w:ascii="宋体" w:hAnsi="宋体" w:eastAsia="宋体" w:cs="宋体"/>
          <w:spacing w:val="-2"/>
          <w:sz w:val="24"/>
          <w:szCs w:val="24"/>
        </w:rPr>
        <w:t>①</w:t>
      </w:r>
      <w:r>
        <w:rPr>
          <w:rFonts w:hint="eastAsia"/>
          <w:spacing w:val="-2"/>
          <w:sz w:val="24"/>
          <w:szCs w:val="24"/>
        </w:rPr>
        <w:t>合理规划临时排水设施，布置好排水沟和集水坑，并配备必要的抽排水设备和设施。</w:t>
      </w:r>
    </w:p>
    <w:p>
      <w:pPr>
        <w:pStyle w:val="123"/>
        <w:numPr>
          <w:ilvl w:val="0"/>
          <w:numId w:val="0"/>
        </w:numPr>
        <w:tabs>
          <w:tab w:val="left" w:pos="1083"/>
        </w:tabs>
        <w:kinsoku w:val="0"/>
        <w:overflowPunct w:val="0"/>
        <w:spacing w:before="2" w:beforeLines="0" w:afterLines="0" w:line="360" w:lineRule="auto"/>
        <w:ind w:right="441" w:rightChars="0" w:firstLine="472" w:firstLineChars="200"/>
        <w:rPr>
          <w:rFonts w:hint="eastAsia"/>
          <w:spacing w:val="-2"/>
          <w:sz w:val="24"/>
          <w:szCs w:val="24"/>
        </w:rPr>
      </w:pPr>
      <w:r>
        <w:rPr>
          <w:rFonts w:hint="eastAsia" w:ascii="宋体" w:hAnsi="宋体" w:eastAsia="宋体" w:cs="宋体"/>
          <w:spacing w:val="-2"/>
          <w:sz w:val="24"/>
          <w:szCs w:val="24"/>
        </w:rPr>
        <w:t>②</w:t>
      </w:r>
      <w:r>
        <w:rPr>
          <w:rFonts w:hint="eastAsia"/>
          <w:spacing w:val="-2"/>
          <w:sz w:val="24"/>
          <w:szCs w:val="24"/>
        </w:rPr>
        <w:t>调查流入基坑的集水面积和围堰渗水、施工废水及其他外来水情况，对基坑自流排水或机械疏导作出切实安排。</w:t>
      </w:r>
    </w:p>
    <w:p>
      <w:pPr>
        <w:pStyle w:val="123"/>
        <w:numPr>
          <w:ilvl w:val="0"/>
          <w:numId w:val="0"/>
        </w:numPr>
        <w:tabs>
          <w:tab w:val="left" w:pos="1083"/>
        </w:tabs>
        <w:kinsoku w:val="0"/>
        <w:overflowPunct w:val="0"/>
        <w:spacing w:before="0" w:beforeLines="0" w:afterLines="0" w:line="360" w:lineRule="auto"/>
        <w:ind w:right="441" w:rightChars="0" w:firstLine="472" w:firstLineChars="200"/>
        <w:rPr>
          <w:rFonts w:hint="eastAsia"/>
          <w:spacing w:val="-2"/>
          <w:sz w:val="24"/>
          <w:szCs w:val="24"/>
        </w:rPr>
      </w:pPr>
      <w:r>
        <w:rPr>
          <w:rFonts w:hint="eastAsia" w:ascii="宋体" w:hAnsi="宋体" w:eastAsia="宋体" w:cs="宋体"/>
          <w:spacing w:val="-2"/>
          <w:sz w:val="24"/>
          <w:szCs w:val="24"/>
        </w:rPr>
        <w:t>③</w:t>
      </w:r>
      <w:r>
        <w:rPr>
          <w:rFonts w:hint="eastAsia"/>
          <w:spacing w:val="-2"/>
          <w:sz w:val="24"/>
          <w:szCs w:val="24"/>
        </w:rPr>
        <w:t>加强设备和排水设施的维护，提高水泵的完好率，保证施工期间排水设施的正常运行，为基坑创造一个干燥、方便施工的良好环境。</w:t>
      </w:r>
    </w:p>
    <w:p>
      <w:pPr>
        <w:pStyle w:val="123"/>
        <w:numPr>
          <w:ilvl w:val="0"/>
          <w:numId w:val="0"/>
        </w:numPr>
        <w:tabs>
          <w:tab w:val="left" w:pos="1083"/>
        </w:tabs>
        <w:kinsoku w:val="0"/>
        <w:overflowPunct w:val="0"/>
        <w:spacing w:before="1" w:beforeLines="0" w:afterLines="0" w:line="360" w:lineRule="auto"/>
        <w:ind w:right="201" w:rightChars="0" w:firstLine="472" w:firstLineChars="200"/>
        <w:rPr>
          <w:rFonts w:hint="eastAsia"/>
          <w:spacing w:val="-2"/>
          <w:sz w:val="24"/>
          <w:szCs w:val="24"/>
        </w:rPr>
      </w:pPr>
      <w:r>
        <w:rPr>
          <w:rFonts w:hint="eastAsia" w:ascii="宋体" w:hAnsi="宋体" w:eastAsia="宋体" w:cs="宋体"/>
          <w:spacing w:val="-2"/>
          <w:sz w:val="24"/>
          <w:szCs w:val="24"/>
        </w:rPr>
        <w:t>④</w:t>
      </w:r>
      <w:r>
        <w:rPr>
          <w:rFonts w:hint="eastAsia"/>
          <w:spacing w:val="-2"/>
          <w:sz w:val="24"/>
          <w:szCs w:val="24"/>
        </w:rPr>
        <w:t>基坑内施工排水设专人管理，经常及时移动水泵和排水管，保证基坑积水、渗水和施工废水及时排到基坑外。</w:t>
      </w:r>
    </w:p>
    <w:p>
      <w:pPr>
        <w:pStyle w:val="6"/>
        <w:numPr>
          <w:ilvl w:val="0"/>
          <w:numId w:val="0"/>
        </w:numPr>
        <w:tabs>
          <w:tab w:val="left" w:pos="962"/>
        </w:tabs>
        <w:kinsoku w:val="0"/>
        <w:overflowPunct w:val="0"/>
        <w:spacing w:before="2" w:beforeLines="0" w:afterLines="0" w:line="360" w:lineRule="auto"/>
        <w:ind w:left="240" w:leftChars="0" w:right="1860" w:rightChars="0"/>
        <w:rPr>
          <w:rFonts w:hint="default" w:ascii="Times New Roman" w:hAnsi="Times New Roman" w:eastAsia="Times New Roman"/>
          <w:color w:val="000000"/>
          <w:spacing w:val="-10"/>
          <w:w w:val="95"/>
          <w:sz w:val="24"/>
          <w:szCs w:val="24"/>
          <w:u w:val="none"/>
        </w:rPr>
      </w:pPr>
      <w:r>
        <w:rPr>
          <w:rFonts w:ascii="Times New Roman" w:hAnsi="Times New Roman" w:cs="Times New Roman"/>
          <w:b/>
          <w:sz w:val="24"/>
        </w:rPr>
        <w:t>3.5.</w:t>
      </w:r>
      <w:r>
        <w:rPr>
          <w:rFonts w:hint="eastAsia" w:ascii="Times New Roman" w:hAnsi="Times New Roman" w:cs="Times New Roman"/>
          <w:b/>
          <w:sz w:val="24"/>
          <w:lang w:val="en-US" w:eastAsia="zh-CN"/>
        </w:rPr>
        <w:t>2 清淤疏浚</w:t>
      </w:r>
    </w:p>
    <w:p>
      <w:pPr>
        <w:pStyle w:val="2"/>
        <w:kinsoku w:val="0"/>
        <w:overflowPunct w:val="0"/>
        <w:spacing w:beforeLines="0" w:afterLines="0" w:line="360" w:lineRule="auto"/>
        <w:ind w:right="335" w:firstLine="480"/>
        <w:rPr>
          <w:rFonts w:hint="eastAsia"/>
          <w:spacing w:val="-2"/>
          <w:sz w:val="24"/>
          <w:szCs w:val="24"/>
          <w:u w:val="none"/>
        </w:rPr>
      </w:pPr>
      <w:r>
        <w:rPr>
          <w:rFonts w:hint="eastAsia"/>
          <w:spacing w:val="-4"/>
          <w:sz w:val="24"/>
          <w:szCs w:val="24"/>
          <w:u w:val="none"/>
        </w:rPr>
        <w:t>河道洲滩疏挖工程主要施工内容包括土方开挖、疏浚。土方开挖采用</w:t>
      </w:r>
      <w:r>
        <w:rPr>
          <w:rFonts w:hint="default" w:ascii="Times New Roman" w:hAnsi="Times New Roman" w:eastAsia="Times New Roman"/>
          <w:spacing w:val="-4"/>
          <w:sz w:val="24"/>
          <w:szCs w:val="24"/>
          <w:u w:val="none"/>
        </w:rPr>
        <w:t>1.0m</w:t>
      </w:r>
      <w:r>
        <w:rPr>
          <w:rFonts w:hint="default" w:ascii="Times New Roman" w:hAnsi="Times New Roman" w:eastAsia="Times New Roman"/>
          <w:spacing w:val="-4"/>
          <w:sz w:val="24"/>
          <w:szCs w:val="24"/>
          <w:u w:val="none"/>
          <w:vertAlign w:val="superscript"/>
        </w:rPr>
        <w:t>3</w:t>
      </w:r>
      <w:r>
        <w:rPr>
          <w:rFonts w:hint="eastAsia"/>
          <w:spacing w:val="-4"/>
          <w:sz w:val="24"/>
          <w:szCs w:val="24"/>
          <w:u w:val="none"/>
        </w:rPr>
        <w:t>反铲</w:t>
      </w:r>
      <w:r>
        <w:rPr>
          <w:rFonts w:hint="eastAsia"/>
          <w:spacing w:val="-2"/>
          <w:sz w:val="24"/>
          <w:szCs w:val="24"/>
          <w:u w:val="none"/>
        </w:rPr>
        <w:t>开挖，用</w:t>
      </w:r>
      <w:r>
        <w:rPr>
          <w:rFonts w:hint="default" w:ascii="Times New Roman" w:hAnsi="Times New Roman" w:eastAsia="Times New Roman"/>
          <w:spacing w:val="-2"/>
          <w:sz w:val="24"/>
          <w:szCs w:val="24"/>
          <w:u w:val="none"/>
        </w:rPr>
        <w:t>8T</w:t>
      </w:r>
      <w:r>
        <w:rPr>
          <w:rFonts w:hint="eastAsia"/>
          <w:spacing w:val="-2"/>
          <w:sz w:val="24"/>
          <w:szCs w:val="24"/>
          <w:u w:val="none"/>
        </w:rPr>
        <w:t>自卸汽车运输，利用料直接运至工作面，弃料运至弃料场。</w:t>
      </w:r>
    </w:p>
    <w:p>
      <w:pPr>
        <w:pStyle w:val="2"/>
        <w:kinsoku w:val="0"/>
        <w:overflowPunct w:val="0"/>
        <w:spacing w:before="0" w:beforeLines="0" w:afterLines="0" w:line="360" w:lineRule="auto"/>
        <w:ind w:right="345" w:firstLine="480"/>
        <w:rPr>
          <w:rFonts w:hint="eastAsia"/>
          <w:spacing w:val="3"/>
          <w:sz w:val="24"/>
          <w:szCs w:val="24"/>
          <w:u w:val="none"/>
        </w:rPr>
      </w:pPr>
      <w:r>
        <w:rPr>
          <w:rFonts w:hint="eastAsia"/>
          <w:spacing w:val="3"/>
          <w:sz w:val="24"/>
          <w:szCs w:val="24"/>
          <w:u w:val="none"/>
        </w:rPr>
        <w:t>根据调查，本项目河道洲滩疏挖土方多为砂卵石等可利用土方，可直接用于大堤填筑或护脚平台填筑，少量淤泥质土方，则需作为弃土外运至弃料场处理。</w:t>
      </w:r>
    </w:p>
    <w:p>
      <w:pPr>
        <w:pStyle w:val="2"/>
        <w:kinsoku w:val="0"/>
        <w:overflowPunct w:val="0"/>
        <w:spacing w:before="1" w:beforeLines="0" w:afterLines="0" w:line="360" w:lineRule="auto"/>
        <w:ind w:left="721"/>
        <w:rPr>
          <w:rFonts w:hint="eastAsia"/>
          <w:spacing w:val="-1"/>
          <w:sz w:val="24"/>
          <w:szCs w:val="24"/>
          <w:u w:val="none"/>
        </w:rPr>
      </w:pPr>
      <w:r>
        <w:rPr>
          <w:rFonts w:hint="eastAsia"/>
          <w:spacing w:val="-1"/>
          <w:sz w:val="24"/>
          <w:szCs w:val="24"/>
          <w:u w:val="none"/>
        </w:rPr>
        <w:t>清淤工艺分析：最常用的中小河道清淤技术可分为以下几类：</w:t>
      </w:r>
    </w:p>
    <w:p>
      <w:pPr>
        <w:pStyle w:val="2"/>
        <w:kinsoku w:val="0"/>
        <w:overflowPunct w:val="0"/>
        <w:spacing w:before="8" w:beforeLines="0" w:afterLines="0"/>
        <w:ind w:left="0"/>
        <w:rPr>
          <w:rFonts w:hint="eastAsia"/>
          <w:sz w:val="21"/>
          <w:szCs w:val="24"/>
          <w:u w:val="none"/>
        </w:rPr>
      </w:pPr>
      <w:r>
        <w:rPr>
          <w:rFonts w:hint="default"/>
          <w:spacing w:val="-1"/>
          <w:sz w:val="24"/>
          <w:szCs w:val="24"/>
          <w:u w:val="none"/>
        </w:rPr>
        <mc:AlternateContent>
          <mc:Choice Requires="wps">
            <w:drawing>
              <wp:anchor distT="0" distB="0" distL="114300" distR="114300" simplePos="0" relativeHeight="251664384" behindDoc="0" locked="0" layoutInCell="1" allowOverlap="1">
                <wp:simplePos x="0" y="0"/>
                <wp:positionH relativeFrom="page">
                  <wp:posOffset>2397125</wp:posOffset>
                </wp:positionH>
                <wp:positionV relativeFrom="paragraph">
                  <wp:posOffset>191135</wp:posOffset>
                </wp:positionV>
                <wp:extent cx="3073400" cy="2540000"/>
                <wp:effectExtent l="0" t="0" r="0" b="0"/>
                <wp:wrapTopAndBottom/>
                <wp:docPr id="4" name="矩形 4"/>
                <wp:cNvGraphicFramePr/>
                <a:graphic xmlns:a="http://schemas.openxmlformats.org/drawingml/2006/main">
                  <a:graphicData uri="http://schemas.microsoft.com/office/word/2010/wordprocessingShape">
                    <wps:wsp>
                      <wps:cNvSpPr/>
                      <wps:spPr>
                        <a:xfrm>
                          <a:off x="0" y="0"/>
                          <a:ext cx="3073400" cy="2540000"/>
                        </a:xfrm>
                        <a:prstGeom prst="rect">
                          <a:avLst/>
                        </a:prstGeom>
                        <a:noFill/>
                        <a:ln>
                          <a:noFill/>
                        </a:ln>
                      </wps:spPr>
                      <wps:txbx>
                        <w:txbxContent>
                          <w:p>
                            <w:pPr>
                              <w:widowControl/>
                              <w:autoSpaceDE/>
                              <w:autoSpaceDN/>
                              <w:adjustRightInd/>
                              <w:spacing w:beforeLines="0" w:afterLines="0" w:line="4000" w:lineRule="atLeast"/>
                              <w:rPr>
                                <w:rFonts w:hint="eastAsia"/>
                                <w:sz w:val="24"/>
                                <w:szCs w:val="24"/>
                              </w:rPr>
                            </w:pPr>
                            <w:r>
                              <w:rPr>
                                <w:rFonts w:hint="default"/>
                                <w:sz w:val="24"/>
                                <w:szCs w:val="24"/>
                              </w:rPr>
                              <w:drawing>
                                <wp:inline distT="0" distB="0" distL="114300" distR="114300">
                                  <wp:extent cx="3072130" cy="2544445"/>
                                  <wp:effectExtent l="0" t="0" r="13970" b="825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8"/>
                                          <a:stretch>
                                            <a:fillRect/>
                                          </a:stretch>
                                        </pic:blipFill>
                                        <pic:spPr>
                                          <a:xfrm>
                                            <a:off x="0" y="0"/>
                                            <a:ext cx="3072130" cy="2544445"/>
                                          </a:xfrm>
                                          <a:prstGeom prst="rect">
                                            <a:avLst/>
                                          </a:prstGeom>
                                          <a:noFill/>
                                          <a:ln>
                                            <a:noFill/>
                                          </a:ln>
                                        </pic:spPr>
                                      </pic:pic>
                                    </a:graphicData>
                                  </a:graphic>
                                </wp:inline>
                              </w:drawing>
                            </w:r>
                          </w:p>
                          <w:p>
                            <w:pPr>
                              <w:spacing w:beforeLines="0" w:afterLines="0"/>
                              <w:rPr>
                                <w:rFonts w:hint="eastAsia"/>
                                <w:sz w:val="24"/>
                                <w:szCs w:val="24"/>
                              </w:rPr>
                            </w:pPr>
                          </w:p>
                        </w:txbxContent>
                      </wps:txbx>
                      <wps:bodyPr lIns="0" tIns="0" rIns="0" bIns="0" upright="1"/>
                    </wps:wsp>
                  </a:graphicData>
                </a:graphic>
              </wp:anchor>
            </w:drawing>
          </mc:Choice>
          <mc:Fallback>
            <w:pict>
              <v:rect id="_x0000_s1026" o:spid="_x0000_s1026" o:spt="1" style="position:absolute;left:0pt;margin-left:188.75pt;margin-top:15.05pt;height:200pt;width:242pt;mso-position-horizontal-relative:page;mso-wrap-distance-bottom:0pt;mso-wrap-distance-top:0pt;z-index:251664384;mso-width-relative:page;mso-height-relative:page;" filled="f" stroked="f" coordsize="21600,21600" o:gfxdata="UEsDBAoAAAAAAIdO4kAAAAAAAAAAAAAAAAAEAAAAZHJzL1BLAwQUAAAACACHTuJAjuTYYtoAAAAK&#10;AQAADwAAAGRycy9kb3ducmV2LnhtbE2PS0/DMBCE70j8B2uRuFE7PNo0xKkQD5UjtEiFmxsvSYS9&#10;jmK3Kfx6tie47c6MZr8tFwfvxB6H2AXSkE0UCKQ62I4aDW/rp4scREyGrHGBUMM3RlhUpyelKWwY&#10;6RX3q9QILqFYGA1tSn0hZaxb9CZOQo/E3mcYvEm8Do20gxm53Dt5qdRUetMRX2hNj/ct1l+rndew&#10;zPu79+fwMzbu8WO5ednMH9bzpPX5WaZuQSQ8pL8wHPEZHSpm2oYd2SichqvZ7IajPKgMBAfyacbC&#10;VsP1UZFVKf+/UP0CUEsDBBQAAAAIAIdO4kB2vuiPrwEAAGYDAAAOAAAAZHJzL2Uyb0RvYy54bWyt&#10;U0tu2zAU3BfoHQjuY8qO2waC5WyMFAWKNECaA9AUaRHgD4+0JZ8mQHc9RI9T9Bp9pGQnTTdZZEPN&#10;e6TmzQyl1fVgDTlIiNq7hs5nFSXSCd9qt2vow/ebiytKYuKu5cY72dCjjPR6/f7dqg+1XPjOm1YC&#10;QRIX6z40tEsp1IxF0UnL48wH6XBTebA8YQk71gLvkd0atqiqj6z30AbwQsaI3c24SSdGeA2hV0oL&#10;ufFib6VLIytIwxNaip0Oka6LWqWkSN+UijIR01B0msqKQxBv88rWK17vgIdOi0kCf42EF54s1w6H&#10;nqk2PHGyB/0fldUCfPQqzYS3bDRSEkEX8+pFNvcdD7J4wahjOIce345W3B7ugOi2oUtKHLd44X8e&#10;f/7+9YMsczZ9iDUeuQ93MFURYTY6KLD5iRbIUPI8nvOUQyICm5fVp8tlhVEL3Ft8QIgF8rCn1wPE&#10;9Fl6SzJoKOCFlRz54WtM49HTkTzN+RttDPZ5bdw/DeTMHZYVjxozSsN2mIRvfXtEq+aLw/jyp3AC&#10;cALbE9gH0LsO5cyL2kyE8Rfd06eS7/d5XQY//R7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7k&#10;2GLaAAAACgEAAA8AAAAAAAAAAQAgAAAAIgAAAGRycy9kb3ducmV2LnhtbFBLAQIUABQAAAAIAIdO&#10;4kB2vuiPrwEAAGYDAAAOAAAAAAAAAAEAIAAAACkBAABkcnMvZTJvRG9jLnhtbFBLBQYAAAAABgAG&#10;AFkBAABKBQAAAAA=&#10;">
                <v:fill on="f" focussize="0,0"/>
                <v:stroke on="f"/>
                <v:imagedata o:title=""/>
                <o:lock v:ext="edit" aspectratio="f"/>
                <v:textbox inset="0mm,0mm,0mm,0mm">
                  <w:txbxContent>
                    <w:p>
                      <w:pPr>
                        <w:widowControl/>
                        <w:autoSpaceDE/>
                        <w:autoSpaceDN/>
                        <w:adjustRightInd/>
                        <w:spacing w:beforeLines="0" w:afterLines="0" w:line="4000" w:lineRule="atLeast"/>
                        <w:rPr>
                          <w:rFonts w:hint="eastAsia"/>
                          <w:sz w:val="24"/>
                          <w:szCs w:val="24"/>
                        </w:rPr>
                      </w:pPr>
                      <w:r>
                        <w:rPr>
                          <w:rFonts w:hint="default"/>
                          <w:sz w:val="24"/>
                          <w:szCs w:val="24"/>
                        </w:rPr>
                        <w:drawing>
                          <wp:inline distT="0" distB="0" distL="114300" distR="114300">
                            <wp:extent cx="3072130" cy="2544445"/>
                            <wp:effectExtent l="0" t="0" r="13970" b="825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8"/>
                                    <a:stretch>
                                      <a:fillRect/>
                                    </a:stretch>
                                  </pic:blipFill>
                                  <pic:spPr>
                                    <a:xfrm>
                                      <a:off x="0" y="0"/>
                                      <a:ext cx="3072130" cy="2544445"/>
                                    </a:xfrm>
                                    <a:prstGeom prst="rect">
                                      <a:avLst/>
                                    </a:prstGeom>
                                    <a:noFill/>
                                    <a:ln>
                                      <a:noFill/>
                                    </a:ln>
                                  </pic:spPr>
                                </pic:pic>
                              </a:graphicData>
                            </a:graphic>
                          </wp:inline>
                        </w:drawing>
                      </w:r>
                    </w:p>
                    <w:p>
                      <w:pPr>
                        <w:spacing w:beforeLines="0" w:afterLines="0"/>
                        <w:rPr>
                          <w:rFonts w:hint="eastAsia"/>
                          <w:sz w:val="24"/>
                          <w:szCs w:val="24"/>
                        </w:rPr>
                      </w:pPr>
                    </w:p>
                  </w:txbxContent>
                </v:textbox>
                <w10:wrap type="topAndBottom"/>
              </v:rect>
            </w:pict>
          </mc:Fallback>
        </mc:AlternateContent>
      </w:r>
    </w:p>
    <w:p>
      <w:pPr>
        <w:pStyle w:val="2"/>
        <w:kinsoku w:val="0"/>
        <w:overflowPunct w:val="0"/>
        <w:spacing w:before="76" w:beforeLines="0" w:afterLines="0"/>
        <w:ind w:left="1118" w:right="1216"/>
        <w:jc w:val="center"/>
        <w:rPr>
          <w:rFonts w:hint="eastAsia"/>
          <w:b/>
          <w:spacing w:val="-10"/>
          <w:sz w:val="21"/>
          <w:szCs w:val="24"/>
          <w:u w:val="none"/>
        </w:rPr>
      </w:pPr>
      <w:r>
        <w:rPr>
          <w:rFonts w:hint="eastAsia"/>
          <w:b/>
          <w:spacing w:val="-26"/>
          <w:sz w:val="21"/>
          <w:szCs w:val="24"/>
          <w:u w:val="none"/>
        </w:rPr>
        <w:t xml:space="preserve">图 </w:t>
      </w:r>
      <w:r>
        <w:rPr>
          <w:rFonts w:hint="eastAsia" w:ascii="Times New Roman" w:hAnsi="Times New Roman" w:eastAsia="宋体"/>
          <w:b/>
          <w:sz w:val="21"/>
          <w:szCs w:val="24"/>
          <w:u w:val="none"/>
          <w:lang w:val="en-US" w:eastAsia="zh-CN"/>
        </w:rPr>
        <w:t>3.5</w:t>
      </w:r>
      <w:r>
        <w:rPr>
          <w:rFonts w:hint="default" w:ascii="Times New Roman" w:hAnsi="Times New Roman" w:eastAsia="Times New Roman"/>
          <w:b/>
          <w:sz w:val="21"/>
          <w:szCs w:val="24"/>
          <w:u w:val="none"/>
        </w:rPr>
        <w:t>-</w:t>
      </w:r>
      <w:r>
        <w:rPr>
          <w:rFonts w:hint="eastAsia" w:ascii="Times New Roman" w:hAnsi="Times New Roman" w:eastAsia="宋体"/>
          <w:b/>
          <w:sz w:val="21"/>
          <w:szCs w:val="24"/>
          <w:u w:val="none"/>
          <w:lang w:val="en-US" w:eastAsia="zh-CN"/>
        </w:rPr>
        <w:t>3</w:t>
      </w:r>
      <w:r>
        <w:rPr>
          <w:rFonts w:hint="default" w:ascii="Times New Roman" w:hAnsi="Times New Roman" w:eastAsia="Times New Roman"/>
          <w:b/>
          <w:spacing w:val="42"/>
          <w:sz w:val="21"/>
          <w:szCs w:val="24"/>
          <w:u w:val="none"/>
        </w:rPr>
        <w:t xml:space="preserve"> </w:t>
      </w:r>
      <w:r>
        <w:rPr>
          <w:rFonts w:hint="eastAsia"/>
          <w:b/>
          <w:sz w:val="21"/>
          <w:szCs w:val="24"/>
          <w:u w:val="none"/>
        </w:rPr>
        <w:t>常见清淤方式</w:t>
      </w:r>
      <w:r>
        <w:rPr>
          <w:rFonts w:hint="eastAsia"/>
          <w:b/>
          <w:spacing w:val="-10"/>
          <w:sz w:val="21"/>
          <w:szCs w:val="24"/>
          <w:u w:val="none"/>
        </w:rPr>
        <w:t>图</w:t>
      </w:r>
    </w:p>
    <w:p>
      <w:pPr>
        <w:pStyle w:val="2"/>
        <w:kinsoku w:val="0"/>
        <w:overflowPunct w:val="0"/>
        <w:spacing w:before="5" w:beforeLines="0" w:afterLines="0"/>
        <w:ind w:left="0"/>
        <w:rPr>
          <w:rFonts w:hint="eastAsia"/>
          <w:b/>
          <w:sz w:val="26"/>
          <w:szCs w:val="24"/>
          <w:u w:val="none"/>
        </w:rPr>
      </w:pPr>
    </w:p>
    <w:p>
      <w:pPr>
        <w:pStyle w:val="2"/>
        <w:kinsoku w:val="0"/>
        <w:overflowPunct w:val="0"/>
        <w:spacing w:before="0" w:beforeLines="0" w:afterLines="0"/>
        <w:ind w:left="1120" w:right="1216"/>
        <w:jc w:val="center"/>
        <w:rPr>
          <w:rFonts w:hint="eastAsia"/>
          <w:b/>
          <w:sz w:val="21"/>
          <w:szCs w:val="24"/>
          <w:u w:val="none"/>
        </w:rPr>
      </w:pPr>
    </w:p>
    <w:p>
      <w:pPr>
        <w:pStyle w:val="2"/>
        <w:kinsoku w:val="0"/>
        <w:overflowPunct w:val="0"/>
        <w:spacing w:before="0" w:beforeLines="0" w:afterLines="0"/>
        <w:ind w:left="1120" w:right="1216"/>
        <w:jc w:val="center"/>
        <w:rPr>
          <w:rFonts w:hint="eastAsia"/>
          <w:b/>
          <w:sz w:val="21"/>
          <w:szCs w:val="24"/>
          <w:u w:val="none"/>
        </w:rPr>
      </w:pPr>
    </w:p>
    <w:p>
      <w:pPr>
        <w:pStyle w:val="2"/>
        <w:kinsoku w:val="0"/>
        <w:overflowPunct w:val="0"/>
        <w:spacing w:before="0" w:beforeLines="0" w:afterLines="0"/>
        <w:ind w:left="1120" w:right="1216"/>
        <w:jc w:val="center"/>
        <w:rPr>
          <w:rFonts w:hint="eastAsia"/>
          <w:b/>
          <w:sz w:val="21"/>
          <w:szCs w:val="24"/>
          <w:u w:val="none"/>
        </w:rPr>
      </w:pPr>
    </w:p>
    <w:p>
      <w:pPr>
        <w:pStyle w:val="2"/>
        <w:kinsoku w:val="0"/>
        <w:overflowPunct w:val="0"/>
        <w:spacing w:before="0" w:beforeLines="0" w:afterLines="0"/>
        <w:ind w:left="1120" w:right="1216"/>
        <w:jc w:val="center"/>
        <w:rPr>
          <w:rFonts w:hint="eastAsia"/>
          <w:b/>
          <w:sz w:val="21"/>
          <w:szCs w:val="24"/>
          <w:u w:val="none"/>
        </w:rPr>
      </w:pPr>
    </w:p>
    <w:p>
      <w:pPr>
        <w:pStyle w:val="2"/>
        <w:kinsoku w:val="0"/>
        <w:overflowPunct w:val="0"/>
        <w:spacing w:before="0" w:beforeLines="0" w:afterLines="0"/>
        <w:ind w:left="1120" w:right="1216"/>
        <w:jc w:val="center"/>
        <w:rPr>
          <w:rFonts w:hint="eastAsia"/>
          <w:b/>
          <w:sz w:val="21"/>
          <w:szCs w:val="24"/>
          <w:u w:val="none"/>
        </w:rPr>
      </w:pPr>
    </w:p>
    <w:p>
      <w:pPr>
        <w:pStyle w:val="2"/>
        <w:kinsoku w:val="0"/>
        <w:overflowPunct w:val="0"/>
        <w:spacing w:before="0" w:beforeLines="0" w:afterLines="0"/>
        <w:ind w:left="1120" w:right="1216"/>
        <w:jc w:val="center"/>
        <w:rPr>
          <w:rFonts w:hint="eastAsia"/>
          <w:b/>
          <w:sz w:val="21"/>
          <w:szCs w:val="24"/>
          <w:u w:val="none"/>
        </w:rPr>
      </w:pPr>
    </w:p>
    <w:p>
      <w:pPr>
        <w:pStyle w:val="2"/>
        <w:kinsoku w:val="0"/>
        <w:overflowPunct w:val="0"/>
        <w:spacing w:before="0" w:beforeLines="0" w:afterLines="0"/>
        <w:ind w:left="1120" w:right="1216"/>
        <w:jc w:val="center"/>
        <w:rPr>
          <w:rFonts w:hint="eastAsia"/>
          <w:b/>
          <w:sz w:val="21"/>
          <w:szCs w:val="24"/>
          <w:u w:val="none"/>
        </w:rPr>
      </w:pPr>
    </w:p>
    <w:p>
      <w:pPr>
        <w:pStyle w:val="2"/>
        <w:kinsoku w:val="0"/>
        <w:overflowPunct w:val="0"/>
        <w:spacing w:before="0" w:beforeLines="0" w:afterLines="0"/>
        <w:ind w:left="1120" w:right="1216"/>
        <w:jc w:val="center"/>
        <w:rPr>
          <w:rFonts w:hint="eastAsia"/>
          <w:b/>
          <w:sz w:val="21"/>
          <w:szCs w:val="24"/>
          <w:u w:val="none"/>
        </w:rPr>
      </w:pPr>
    </w:p>
    <w:p>
      <w:pPr>
        <w:pStyle w:val="2"/>
        <w:kinsoku w:val="0"/>
        <w:overflowPunct w:val="0"/>
        <w:spacing w:before="0" w:beforeLines="0" w:afterLines="0"/>
        <w:ind w:left="1120" w:right="1216"/>
        <w:jc w:val="center"/>
        <w:rPr>
          <w:rFonts w:hint="eastAsia"/>
          <w:b/>
          <w:sz w:val="21"/>
          <w:szCs w:val="24"/>
          <w:u w:val="none"/>
        </w:rPr>
      </w:pPr>
    </w:p>
    <w:p>
      <w:pPr>
        <w:pStyle w:val="2"/>
        <w:kinsoku w:val="0"/>
        <w:overflowPunct w:val="0"/>
        <w:spacing w:before="0" w:beforeLines="0" w:afterLines="0"/>
        <w:ind w:left="1120" w:right="1216"/>
        <w:jc w:val="center"/>
        <w:rPr>
          <w:rFonts w:hint="eastAsia"/>
          <w:b/>
          <w:sz w:val="21"/>
          <w:szCs w:val="24"/>
          <w:u w:val="none"/>
        </w:rPr>
      </w:pPr>
    </w:p>
    <w:p>
      <w:pPr>
        <w:pStyle w:val="2"/>
        <w:kinsoku w:val="0"/>
        <w:overflowPunct w:val="0"/>
        <w:spacing w:before="0" w:beforeLines="0" w:afterLines="0"/>
        <w:ind w:left="1120" w:right="1216"/>
        <w:jc w:val="center"/>
        <w:rPr>
          <w:rFonts w:hint="eastAsia"/>
          <w:b/>
          <w:spacing w:val="-10"/>
          <w:sz w:val="21"/>
          <w:szCs w:val="24"/>
          <w:u w:val="none"/>
        </w:rPr>
      </w:pPr>
      <w:r>
        <w:rPr>
          <w:rFonts w:hint="eastAsia"/>
          <w:b/>
          <w:sz w:val="21"/>
          <w:szCs w:val="24"/>
          <w:u w:val="none"/>
        </w:rPr>
        <w:t>表</w:t>
      </w:r>
      <w:r>
        <w:rPr>
          <w:rFonts w:hint="eastAsia" w:ascii="Times New Roman" w:hAnsi="Times New Roman" w:eastAsia="宋体"/>
          <w:b/>
          <w:sz w:val="21"/>
          <w:szCs w:val="24"/>
          <w:u w:val="none"/>
          <w:lang w:val="en-US" w:eastAsia="zh-CN"/>
        </w:rPr>
        <w:t>3.5</w:t>
      </w:r>
      <w:r>
        <w:rPr>
          <w:rFonts w:hint="default" w:ascii="Times New Roman" w:hAnsi="Times New Roman" w:eastAsia="Times New Roman"/>
          <w:b/>
          <w:sz w:val="21"/>
          <w:szCs w:val="24"/>
          <w:u w:val="none"/>
        </w:rPr>
        <w:t>-1</w:t>
      </w:r>
      <w:r>
        <w:rPr>
          <w:rFonts w:hint="default" w:ascii="Times New Roman" w:hAnsi="Times New Roman" w:eastAsia="Times New Roman"/>
          <w:b/>
          <w:spacing w:val="41"/>
          <w:sz w:val="21"/>
          <w:szCs w:val="24"/>
          <w:u w:val="none"/>
        </w:rPr>
        <w:t xml:space="preserve"> </w:t>
      </w:r>
      <w:r>
        <w:rPr>
          <w:rFonts w:hint="eastAsia"/>
          <w:b/>
          <w:sz w:val="21"/>
          <w:szCs w:val="24"/>
          <w:u w:val="none"/>
        </w:rPr>
        <w:t>各清淤方式适用范</w:t>
      </w:r>
      <w:r>
        <w:rPr>
          <w:rFonts w:hint="eastAsia"/>
          <w:b/>
          <w:spacing w:val="-10"/>
          <w:sz w:val="21"/>
          <w:szCs w:val="24"/>
          <w:u w:val="none"/>
        </w:rPr>
        <w:t>围</w:t>
      </w:r>
    </w:p>
    <w:p>
      <w:pPr>
        <w:pStyle w:val="2"/>
        <w:kinsoku w:val="0"/>
        <w:overflowPunct w:val="0"/>
        <w:spacing w:before="4" w:beforeLines="0" w:afterLines="0"/>
        <w:ind w:left="0"/>
        <w:rPr>
          <w:rFonts w:hint="eastAsia"/>
          <w:b/>
          <w:sz w:val="8"/>
          <w:szCs w:val="24"/>
          <w:u w:val="none"/>
        </w:rPr>
      </w:pPr>
    </w:p>
    <w:tbl>
      <w:tblPr>
        <w:tblStyle w:val="89"/>
        <w:tblW w:w="0" w:type="auto"/>
        <w:tblInd w:w="35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82"/>
        <w:gridCol w:w="2947"/>
        <w:gridCol w:w="510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5" w:hRule="atLeast"/>
        </w:trPr>
        <w:tc>
          <w:tcPr>
            <w:tcW w:w="582" w:type="dxa"/>
            <w:tcBorders>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default" w:ascii="Times New Roman" w:hAnsi="Times New Roman" w:eastAsia="宋体" w:cs="宋体"/>
                <w:sz w:val="22"/>
                <w:szCs w:val="21"/>
                <w:lang w:val="zh-CN" w:eastAsia="zh-CN" w:bidi="zh-CN"/>
              </w:rPr>
            </w:pPr>
            <w:r>
              <w:rPr>
                <w:rFonts w:hint="default" w:ascii="Times New Roman" w:hAnsi="Times New Roman" w:eastAsia="宋体" w:cs="宋体"/>
                <w:sz w:val="22"/>
                <w:szCs w:val="21"/>
                <w:lang w:val="zh-CN" w:eastAsia="zh-CN" w:bidi="zh-CN"/>
              </w:rPr>
              <w:t>清淤</w:t>
            </w:r>
          </w:p>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default" w:ascii="Times New Roman" w:hAnsi="Times New Roman" w:eastAsia="宋体" w:cs="宋体"/>
                <w:sz w:val="22"/>
                <w:szCs w:val="21"/>
                <w:lang w:val="zh-CN" w:eastAsia="zh-CN" w:bidi="zh-CN"/>
              </w:rPr>
            </w:pPr>
            <w:r>
              <w:rPr>
                <w:rFonts w:hint="default" w:ascii="Times New Roman" w:hAnsi="Times New Roman" w:eastAsia="宋体" w:cs="宋体"/>
                <w:sz w:val="22"/>
                <w:szCs w:val="21"/>
                <w:lang w:val="zh-CN" w:eastAsia="zh-CN" w:bidi="zh-CN"/>
              </w:rPr>
              <w:t>方式</w:t>
            </w:r>
          </w:p>
        </w:tc>
        <w:tc>
          <w:tcPr>
            <w:tcW w:w="2947" w:type="dxa"/>
            <w:tcBorders>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default" w:ascii="Times New Roman" w:hAnsi="Times New Roman" w:eastAsia="宋体" w:cs="宋体"/>
                <w:sz w:val="22"/>
                <w:szCs w:val="21"/>
                <w:lang w:val="zh-CN" w:eastAsia="zh-CN" w:bidi="zh-CN"/>
              </w:rPr>
            </w:pPr>
            <w:r>
              <w:rPr>
                <w:rFonts w:hint="default" w:ascii="Times New Roman" w:hAnsi="Times New Roman" w:eastAsia="宋体" w:cs="宋体"/>
                <w:sz w:val="22"/>
                <w:szCs w:val="21"/>
                <w:lang w:val="zh-CN" w:eastAsia="zh-CN" w:bidi="zh-CN"/>
              </w:rPr>
              <w:t>适用范围</w:t>
            </w:r>
          </w:p>
        </w:tc>
        <w:tc>
          <w:tcPr>
            <w:tcW w:w="5103" w:type="dxa"/>
            <w:tcBorders>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default" w:ascii="Times New Roman" w:hAnsi="Times New Roman" w:eastAsia="宋体" w:cs="宋体"/>
                <w:sz w:val="22"/>
                <w:szCs w:val="21"/>
                <w:lang w:val="zh-CN" w:eastAsia="zh-CN" w:bidi="zh-CN"/>
              </w:rPr>
            </w:pPr>
            <w:r>
              <w:rPr>
                <w:rFonts w:hint="default" w:ascii="Times New Roman" w:hAnsi="Times New Roman" w:eastAsia="宋体" w:cs="宋体"/>
                <w:sz w:val="22"/>
                <w:szCs w:val="21"/>
                <w:lang w:val="zh-CN" w:eastAsia="zh-CN" w:bidi="zh-CN"/>
              </w:rPr>
              <w:t>清淤方式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82" w:type="dxa"/>
            <w:tcBorders>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default" w:ascii="Times New Roman" w:hAnsi="Times New Roman" w:eastAsia="宋体" w:cs="宋体"/>
                <w:sz w:val="22"/>
                <w:szCs w:val="21"/>
                <w:lang w:val="zh-CN" w:eastAsia="zh-CN" w:bidi="zh-CN"/>
              </w:rPr>
            </w:pPr>
            <w:r>
              <w:rPr>
                <w:rFonts w:hint="default" w:ascii="Times New Roman" w:hAnsi="Times New Roman" w:eastAsia="宋体" w:cs="宋体"/>
                <w:sz w:val="22"/>
                <w:szCs w:val="21"/>
                <w:lang w:val="zh-CN" w:eastAsia="zh-CN" w:bidi="zh-CN"/>
              </w:rPr>
              <w:t>排干清淤</w:t>
            </w:r>
          </w:p>
        </w:tc>
        <w:tc>
          <w:tcPr>
            <w:tcW w:w="2947" w:type="dxa"/>
            <w:tcBorders>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default" w:ascii="Times New Roman" w:hAnsi="Times New Roman" w:eastAsia="宋体" w:cs="宋体"/>
                <w:sz w:val="22"/>
                <w:szCs w:val="21"/>
                <w:lang w:val="zh-CN" w:eastAsia="zh-CN" w:bidi="zh-CN"/>
              </w:rPr>
            </w:pPr>
            <w:r>
              <w:rPr>
                <w:rFonts w:hint="default" w:ascii="Times New Roman" w:hAnsi="Times New Roman" w:eastAsia="宋体" w:cs="宋体"/>
                <w:sz w:val="22"/>
                <w:szCs w:val="21"/>
                <w:lang w:val="zh-CN" w:eastAsia="zh-CN" w:bidi="zh-CN"/>
              </w:rPr>
              <w:t>对于没有防洪、排涝、航运功能的流量较小的河道或湖泊，排干清淤指可通过在河道施工段构筑临时围堰，将河道水排干后进行干挖或者水力冲挖的清淤方法。排干后又可分为干挖清淤和水力冲挖清淤两种工艺</w:t>
            </w:r>
          </w:p>
        </w:tc>
        <w:tc>
          <w:tcPr>
            <w:tcW w:w="5103" w:type="dxa"/>
            <w:tcBorders>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default" w:ascii="Times New Roman" w:hAnsi="Times New Roman" w:eastAsia="宋体" w:cs="宋体"/>
                <w:sz w:val="22"/>
                <w:szCs w:val="21"/>
                <w:lang w:val="zh-CN" w:eastAsia="zh-CN" w:bidi="zh-CN"/>
              </w:rPr>
            </w:pPr>
            <w:r>
              <w:rPr>
                <w:rFonts w:hint="default" w:ascii="Times New Roman" w:hAnsi="Times New Roman" w:eastAsia="宋体" w:cs="宋体"/>
                <w:sz w:val="22"/>
                <w:szCs w:val="21"/>
                <w:lang w:val="zh-CN" w:eastAsia="zh-CN" w:bidi="zh-CN"/>
              </w:rPr>
              <w:t>（1）干挖清淤：作业区水排干后，大多数是采用水陆挖掘机进行开挖，或者直接使用水陆挖掘机在水域环境中进行作业，挖出的淤泥直接由渣土车外运或者放置于岸上的临时堆放点。</w:t>
            </w:r>
          </w:p>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default" w:ascii="Times New Roman" w:hAnsi="Times New Roman" w:eastAsia="宋体" w:cs="宋体"/>
                <w:sz w:val="22"/>
                <w:szCs w:val="21"/>
                <w:lang w:val="zh-CN" w:eastAsia="zh-CN" w:bidi="zh-CN"/>
              </w:rPr>
            </w:pPr>
            <w:r>
              <w:rPr>
                <w:rFonts w:hint="default" w:ascii="Times New Roman" w:hAnsi="Times New Roman" w:eastAsia="宋体" w:cs="宋体"/>
                <w:sz w:val="22"/>
                <w:szCs w:val="21"/>
                <w:lang w:val="zh-CN" w:eastAsia="zh-CN" w:bidi="zh-CN"/>
              </w:rPr>
              <w:t>（2）水力冲挖清淤：采用水力冲挖机组的高压水枪冲刷底泥，将底泥扰动成泥浆，流动的泥浆汇集到事先设置好的低洼区，由泥泵吸取、管道输送，将泥浆输送至岸上的堆场或集浆池内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34" w:hRule="atLeast"/>
        </w:trPr>
        <w:tc>
          <w:tcPr>
            <w:tcW w:w="582" w:type="dxa"/>
            <w:tcBorders>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default" w:ascii="Times New Roman" w:hAnsi="Times New Roman" w:eastAsia="宋体" w:cs="宋体"/>
                <w:sz w:val="22"/>
                <w:szCs w:val="21"/>
                <w:lang w:val="zh-CN" w:eastAsia="zh-CN" w:bidi="zh-CN"/>
              </w:rPr>
            </w:pPr>
            <w:r>
              <w:rPr>
                <w:rFonts w:hint="default" w:ascii="Times New Roman" w:hAnsi="Times New Roman" w:eastAsia="宋体" w:cs="宋体"/>
                <w:sz w:val="22"/>
                <w:szCs w:val="21"/>
                <w:lang w:val="zh-CN" w:eastAsia="zh-CN" w:bidi="zh-CN"/>
              </w:rPr>
              <w:t>水下清淤</w:t>
            </w:r>
          </w:p>
        </w:tc>
        <w:tc>
          <w:tcPr>
            <w:tcW w:w="2947" w:type="dxa"/>
            <w:tcBorders>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default" w:ascii="Times New Roman" w:hAnsi="Times New Roman" w:eastAsia="宋体" w:cs="宋体"/>
                <w:sz w:val="22"/>
                <w:szCs w:val="21"/>
                <w:lang w:val="zh-CN" w:eastAsia="zh-CN" w:bidi="zh-CN"/>
              </w:rPr>
            </w:pPr>
            <w:r>
              <w:rPr>
                <w:rFonts w:hint="default" w:ascii="Times New Roman" w:hAnsi="Times New Roman" w:eastAsia="宋体" w:cs="宋体"/>
                <w:sz w:val="22"/>
                <w:szCs w:val="21"/>
                <w:lang w:val="zh-CN" w:eastAsia="zh-CN" w:bidi="zh-CN"/>
              </w:rPr>
              <w:t>水下清淤一般指将清淤机具装备在船上，由清淤船作为施工平台在水面上操作清淤设备将淤泥开挖，并通过管道输送系统输送到岸上堆场中</w:t>
            </w:r>
          </w:p>
        </w:tc>
        <w:tc>
          <w:tcPr>
            <w:tcW w:w="5103" w:type="dxa"/>
            <w:tcBorders>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default" w:ascii="Times New Roman" w:hAnsi="Times New Roman" w:eastAsia="宋体" w:cs="宋体"/>
                <w:sz w:val="22"/>
                <w:szCs w:val="21"/>
                <w:lang w:val="zh-CN" w:eastAsia="zh-CN" w:bidi="zh-CN"/>
              </w:rPr>
            </w:pPr>
            <w:r>
              <w:rPr>
                <w:rFonts w:hint="default" w:ascii="Times New Roman" w:hAnsi="Times New Roman" w:eastAsia="宋体" w:cs="宋体"/>
                <w:sz w:val="22"/>
                <w:szCs w:val="21"/>
                <w:lang w:val="zh-CN" w:eastAsia="zh-CN" w:bidi="zh-CN"/>
              </w:rPr>
              <w:t>（1）抓斗式清淤：利用抓斗式挖泥船开挖河底淤泥，通过抓斗式挖泥船前臂抓斗伸入河底，利用油压驱动抓斗插入底泥并闭斗抓取水下淤泥，之后提升回旋并开启抓斗，将淤泥直接卸入靠泊在挖泥船舷旁的驳泥船中，开挖、回旋、卸泥循环作业。</w:t>
            </w:r>
          </w:p>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default" w:ascii="Times New Roman" w:hAnsi="Times New Roman" w:eastAsia="宋体" w:cs="宋体"/>
                <w:sz w:val="22"/>
                <w:szCs w:val="21"/>
                <w:lang w:val="zh-CN" w:eastAsia="zh-CN" w:bidi="zh-CN"/>
              </w:rPr>
            </w:pPr>
            <w:r>
              <w:rPr>
                <w:rFonts w:hint="default" w:ascii="Times New Roman" w:hAnsi="Times New Roman" w:eastAsia="宋体" w:cs="宋体"/>
                <w:sz w:val="22"/>
                <w:szCs w:val="21"/>
                <w:lang w:val="zh-CN" w:eastAsia="zh-CN" w:bidi="zh-CN"/>
              </w:rPr>
              <w:t>（2）泵吸式清淤：也称为射吸式清淤，它将水力冲挖的水枪和吸泥泵同时装在1 个圆筒状罩子里，由水枪射水将底泥搅成泥浆，通过另一侧的泥浆泵将泥浆吸出，再经管道送至岸上的堆场，整套机具都装备在船只上，一边移动一边清除。</w:t>
            </w:r>
          </w:p>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default" w:ascii="Times New Roman" w:hAnsi="Times New Roman" w:eastAsia="宋体" w:cs="宋体"/>
                <w:sz w:val="22"/>
                <w:szCs w:val="21"/>
                <w:lang w:val="zh-CN" w:eastAsia="zh-CN" w:bidi="zh-CN"/>
              </w:rPr>
            </w:pPr>
            <w:r>
              <w:rPr>
                <w:rFonts w:hint="default" w:ascii="Times New Roman" w:hAnsi="Times New Roman" w:eastAsia="宋体" w:cs="宋体"/>
                <w:sz w:val="22"/>
                <w:szCs w:val="21"/>
                <w:lang w:val="zh-CN" w:eastAsia="zh-CN" w:bidi="zh-CN"/>
              </w:rPr>
              <w:t>（3）普通绞吸式清淤：普通绞吸式清淤主要由绞吸式挖泥船或水陆挖掘机搭配绞吸泵完成。绞吸式挖泥船由浮体、铰绞刀、上吸管、下吸管泵、动力等组成。它利用装在船前的桥梁前缘绞刀的旋转运动，将河床底泥进行切割和搅动，并进行泥水混合，形成泥浆，通过船上离心泵产生的吸入真空，使泥浆沿着吸泥管进入泥泵吸入端，经全封闭管道输送（排距超出挖泥船额定排距后，中途串接接力泵船加压输送）至堆场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36" w:hRule="atLeast"/>
        </w:trPr>
        <w:tc>
          <w:tcPr>
            <w:tcW w:w="582" w:type="dxa"/>
            <w:tcBorders>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default" w:ascii="Times New Roman" w:hAnsi="Times New Roman" w:eastAsia="宋体" w:cs="宋体"/>
                <w:sz w:val="22"/>
                <w:szCs w:val="21"/>
                <w:lang w:val="zh-CN" w:eastAsia="zh-CN" w:bidi="zh-CN"/>
              </w:rPr>
            </w:pPr>
            <w:r>
              <w:rPr>
                <w:rFonts w:hint="default" w:ascii="Times New Roman" w:hAnsi="Times New Roman" w:eastAsia="宋体" w:cs="宋体"/>
                <w:sz w:val="22"/>
                <w:szCs w:val="21"/>
                <w:lang w:val="zh-CN" w:eastAsia="zh-CN" w:bidi="zh-CN"/>
              </w:rPr>
              <w:t>环保清淤</w:t>
            </w:r>
          </w:p>
        </w:tc>
        <w:tc>
          <w:tcPr>
            <w:tcW w:w="2947" w:type="dxa"/>
            <w:tcBorders>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default" w:ascii="Times New Roman" w:hAnsi="Times New Roman" w:eastAsia="宋体" w:cs="宋体"/>
                <w:sz w:val="22"/>
                <w:szCs w:val="21"/>
                <w:lang w:val="zh-CN" w:eastAsia="zh-CN" w:bidi="zh-CN"/>
              </w:rPr>
            </w:pPr>
            <w:r>
              <w:rPr>
                <w:rFonts w:hint="default" w:ascii="Times New Roman" w:hAnsi="Times New Roman" w:eastAsia="宋体" w:cs="宋体"/>
                <w:sz w:val="22"/>
                <w:szCs w:val="21"/>
                <w:lang w:val="zh-CN" w:eastAsia="zh-CN" w:bidi="zh-CN"/>
              </w:rPr>
              <w:t>适用于工程量较大的大、中、小型河道、湖泊和水库，多用于河道、湖泊和水库的环保清淤工程。环保绞吸式清淤是利用环保绞吸式清淤船进行清淤</w:t>
            </w:r>
          </w:p>
        </w:tc>
        <w:tc>
          <w:tcPr>
            <w:tcW w:w="5103" w:type="dxa"/>
            <w:tcBorders>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default" w:ascii="Times New Roman" w:hAnsi="Times New Roman" w:eastAsia="宋体" w:cs="宋体"/>
                <w:sz w:val="22"/>
                <w:szCs w:val="21"/>
                <w:lang w:val="zh-CN" w:eastAsia="zh-CN" w:bidi="zh-CN"/>
              </w:rPr>
            </w:pPr>
            <w:r>
              <w:rPr>
                <w:rFonts w:hint="default" w:ascii="Times New Roman" w:hAnsi="Times New Roman" w:eastAsia="宋体" w:cs="宋体"/>
                <w:sz w:val="22"/>
                <w:szCs w:val="21"/>
                <w:lang w:val="zh-CN" w:eastAsia="zh-CN" w:bidi="zh-CN"/>
              </w:rPr>
              <w:t>环保绞吸式清淤船配备专用的环保绞刀头，清淤过程中，利用环保绞刀头实施封闭式低扰动清淤，开挖后的淤泥通过挖泥船上的大功率泥泵吸入并进入输泥管道，经全封闭管道输送至指定卸泥区</w:t>
            </w:r>
          </w:p>
        </w:tc>
      </w:tr>
    </w:tbl>
    <w:p>
      <w:pPr>
        <w:pStyle w:val="2"/>
        <w:kinsoku w:val="0"/>
        <w:overflowPunct w:val="0"/>
        <w:spacing w:before="97" w:beforeLines="0" w:afterLines="0" w:line="372" w:lineRule="auto"/>
        <w:ind w:right="345" w:firstLine="480"/>
        <w:rPr>
          <w:rFonts w:hint="eastAsia"/>
          <w:spacing w:val="-2"/>
          <w:sz w:val="24"/>
          <w:szCs w:val="24"/>
          <w:u w:val="none"/>
        </w:rPr>
      </w:pPr>
      <w:r>
        <w:rPr>
          <w:rFonts w:hint="eastAsia"/>
          <w:spacing w:val="-2"/>
          <w:sz w:val="24"/>
          <w:szCs w:val="24"/>
          <w:u w:val="none"/>
        </w:rPr>
        <w:t>当前</w:t>
      </w:r>
      <w:r>
        <w:rPr>
          <w:rFonts w:hint="eastAsia"/>
          <w:spacing w:val="-2"/>
          <w:sz w:val="24"/>
          <w:szCs w:val="24"/>
          <w:u w:val="none"/>
          <w:lang w:eastAsia="zh-CN"/>
        </w:rPr>
        <w:t>祁水</w:t>
      </w:r>
      <w:r>
        <w:rPr>
          <w:rFonts w:hint="eastAsia"/>
          <w:spacing w:val="-2"/>
          <w:sz w:val="24"/>
          <w:szCs w:val="24"/>
          <w:u w:val="none"/>
        </w:rPr>
        <w:t>部分河段淤积严重，枯水期水位不足</w:t>
      </w:r>
      <w:r>
        <w:rPr>
          <w:rFonts w:hint="default" w:ascii="Times New Roman" w:hAnsi="Times New Roman" w:eastAsia="Times New Roman"/>
          <w:spacing w:val="-2"/>
          <w:sz w:val="24"/>
          <w:szCs w:val="24"/>
          <w:u w:val="none"/>
        </w:rPr>
        <w:t>1</w:t>
      </w:r>
      <w:r>
        <w:rPr>
          <w:rFonts w:hint="eastAsia"/>
          <w:spacing w:val="-2"/>
          <w:sz w:val="24"/>
          <w:szCs w:val="24"/>
          <w:u w:val="none"/>
        </w:rPr>
        <w:t>米，难以采用船只进行水下清淤作业，因此水下清淤和环保清淤不适用，因此采用排干清淤作业。</w:t>
      </w:r>
    </w:p>
    <w:p>
      <w:pPr>
        <w:pStyle w:val="123"/>
        <w:numPr>
          <w:ilvl w:val="0"/>
          <w:numId w:val="0"/>
        </w:numPr>
        <w:tabs>
          <w:tab w:val="left" w:pos="1087"/>
        </w:tabs>
        <w:kinsoku w:val="0"/>
        <w:overflowPunct w:val="0"/>
        <w:spacing w:before="138" w:beforeLines="0" w:afterLines="0" w:line="372" w:lineRule="auto"/>
        <w:ind w:left="721" w:leftChars="0" w:right="345" w:rightChars="0"/>
        <w:jc w:val="both"/>
        <w:rPr>
          <w:rFonts w:hint="eastAsia"/>
          <w:spacing w:val="1"/>
          <w:sz w:val="24"/>
          <w:szCs w:val="24"/>
          <w:u w:val="none"/>
        </w:rPr>
      </w:pPr>
      <w:r>
        <w:rPr>
          <w:rFonts w:hint="eastAsia"/>
          <w:spacing w:val="1"/>
          <w:sz w:val="24"/>
          <w:szCs w:val="24"/>
          <w:u w:val="none"/>
        </w:rPr>
        <w:t>本工程洲滩疏挖工艺路线：疏挖分区→分区排干→晾晒→清淤。</w:t>
      </w:r>
    </w:p>
    <w:p>
      <w:pPr>
        <w:pStyle w:val="123"/>
        <w:numPr>
          <w:ilvl w:val="0"/>
          <w:numId w:val="0"/>
        </w:numPr>
        <w:tabs>
          <w:tab w:val="left" w:pos="1087"/>
        </w:tabs>
        <w:kinsoku w:val="0"/>
        <w:overflowPunct w:val="0"/>
        <w:spacing w:before="138" w:beforeLines="0" w:afterLines="0" w:line="372" w:lineRule="auto"/>
        <w:ind w:left="721" w:leftChars="0" w:right="345" w:rightChars="0"/>
        <w:jc w:val="both"/>
        <w:rPr>
          <w:rFonts w:hint="eastAsia"/>
          <w:spacing w:val="1"/>
          <w:sz w:val="24"/>
          <w:szCs w:val="24"/>
          <w:u w:val="none"/>
        </w:rPr>
      </w:pPr>
      <w:r>
        <w:rPr>
          <w:rFonts w:hint="eastAsia"/>
          <w:spacing w:val="1"/>
          <w:sz w:val="24"/>
          <w:szCs w:val="24"/>
          <w:u w:val="none"/>
        </w:rPr>
        <w:t>工艺说明：</w:t>
      </w:r>
    </w:p>
    <w:p>
      <w:pPr>
        <w:pStyle w:val="123"/>
        <w:numPr>
          <w:ilvl w:val="0"/>
          <w:numId w:val="0"/>
        </w:numPr>
        <w:tabs>
          <w:tab w:val="left" w:pos="1087"/>
        </w:tabs>
        <w:kinsoku w:val="0"/>
        <w:overflowPunct w:val="0"/>
        <w:spacing w:before="138" w:beforeLines="0" w:afterLines="0" w:line="372" w:lineRule="auto"/>
        <w:ind w:right="345" w:rightChars="0" w:firstLine="484" w:firstLineChars="200"/>
        <w:jc w:val="both"/>
        <w:rPr>
          <w:rFonts w:hint="eastAsia"/>
          <w:spacing w:val="1"/>
          <w:sz w:val="24"/>
          <w:szCs w:val="24"/>
          <w:u w:val="none"/>
        </w:rPr>
      </w:pPr>
      <w:r>
        <w:rPr>
          <w:rFonts w:hint="eastAsia"/>
          <w:spacing w:val="1"/>
          <w:sz w:val="24"/>
          <w:szCs w:val="24"/>
          <w:u w:val="none"/>
        </w:rPr>
        <w:t>划定疏挖区：根据河堤分布，将疏挖区进行分区，按顺序进行清淤</w:t>
      </w:r>
      <w:r>
        <w:rPr>
          <w:rFonts w:hint="eastAsia"/>
          <w:spacing w:val="1"/>
          <w:sz w:val="24"/>
          <w:szCs w:val="24"/>
          <w:u w:val="none"/>
          <w:lang w:eastAsia="zh-CN"/>
        </w:rPr>
        <w:t>施</w:t>
      </w:r>
      <w:r>
        <w:rPr>
          <w:rFonts w:hint="eastAsia"/>
          <w:spacing w:val="1"/>
          <w:sz w:val="24"/>
          <w:szCs w:val="24"/>
          <w:u w:val="none"/>
        </w:rPr>
        <w:t>工；</w:t>
      </w:r>
    </w:p>
    <w:p>
      <w:pPr>
        <w:pStyle w:val="123"/>
        <w:numPr>
          <w:ilvl w:val="0"/>
          <w:numId w:val="0"/>
        </w:numPr>
        <w:tabs>
          <w:tab w:val="left" w:pos="1087"/>
        </w:tabs>
        <w:kinsoku w:val="0"/>
        <w:overflowPunct w:val="0"/>
        <w:spacing w:before="138" w:beforeLines="0" w:afterLines="0" w:line="372" w:lineRule="auto"/>
        <w:ind w:right="345" w:rightChars="0" w:firstLine="484" w:firstLineChars="200"/>
        <w:jc w:val="both"/>
        <w:rPr>
          <w:rFonts w:hint="default" w:ascii="Times New Roman" w:hAnsi="Times New Roman" w:eastAsia="Times New Roman"/>
          <w:color w:val="000000"/>
          <w:spacing w:val="1"/>
          <w:sz w:val="22"/>
          <w:szCs w:val="24"/>
          <w:u w:val="none"/>
        </w:rPr>
      </w:pPr>
      <w:r>
        <w:rPr>
          <w:rFonts w:hint="eastAsia"/>
          <w:spacing w:val="1"/>
          <w:sz w:val="24"/>
          <w:szCs w:val="24"/>
          <w:u w:val="none"/>
        </w:rPr>
        <w:t>清障处理：先对将要实施清淤的区域进行清障处理，将生活垃圾进行清除，从而提高疏浚清淤的效率；分区排干、晾晒：该工程选择在枯水期施工，多数疏浚河段河滩会表露在</w:t>
      </w:r>
      <w:r>
        <w:rPr>
          <w:rFonts w:hint="eastAsia"/>
          <w:spacing w:val="3"/>
          <w:sz w:val="24"/>
          <w:szCs w:val="24"/>
          <w:u w:val="none"/>
        </w:rPr>
        <w:t>水面以上，水位较高时可通过利用水闸来降低施工段水位，设置围堰，利用水泵将各清淤区内水排干，淤泥采用就地自然晾干方式；</w:t>
      </w:r>
    </w:p>
    <w:p>
      <w:pPr>
        <w:pStyle w:val="123"/>
        <w:numPr>
          <w:ilvl w:val="0"/>
          <w:numId w:val="0"/>
        </w:numPr>
        <w:tabs>
          <w:tab w:val="left" w:pos="1087"/>
        </w:tabs>
        <w:kinsoku w:val="0"/>
        <w:overflowPunct w:val="0"/>
        <w:spacing w:before="2" w:beforeLines="0" w:afterLines="0" w:line="372" w:lineRule="auto"/>
        <w:ind w:right="345" w:rightChars="0" w:firstLine="484" w:firstLineChars="200"/>
        <w:jc w:val="both"/>
        <w:rPr>
          <w:rFonts w:hint="default" w:ascii="Times New Roman" w:hAnsi="Times New Roman" w:eastAsia="Times New Roman"/>
          <w:color w:val="000000"/>
          <w:spacing w:val="1"/>
          <w:sz w:val="22"/>
          <w:szCs w:val="24"/>
          <w:u w:val="none"/>
        </w:rPr>
      </w:pPr>
      <w:r>
        <w:rPr>
          <w:rFonts w:hint="eastAsia"/>
          <w:spacing w:val="1"/>
          <w:sz w:val="24"/>
          <w:szCs w:val="24"/>
          <w:u w:val="none"/>
        </w:rPr>
        <w:t>分区清淤：待水排干、淤泥就地晾干不影响清淤后，利用反铲挖机进行清</w:t>
      </w:r>
      <w:r>
        <w:rPr>
          <w:rFonts w:hint="eastAsia"/>
          <w:spacing w:val="3"/>
          <w:sz w:val="24"/>
          <w:szCs w:val="24"/>
          <w:u w:val="none"/>
        </w:rPr>
        <w:t>淤作业，清淤产生淤泥去向分为三部分，表层淤泥用于临时占地及其他裸露区域</w:t>
      </w:r>
      <w:r>
        <w:rPr>
          <w:rFonts w:hint="eastAsia"/>
          <w:spacing w:val="4"/>
          <w:sz w:val="24"/>
          <w:szCs w:val="24"/>
          <w:u w:val="none"/>
        </w:rPr>
        <w:t>的生态修复；大部分淤泥</w:t>
      </w:r>
      <w:r>
        <w:rPr>
          <w:rFonts w:hint="eastAsia"/>
          <w:spacing w:val="7"/>
          <w:sz w:val="24"/>
          <w:szCs w:val="24"/>
          <w:u w:val="none"/>
        </w:rPr>
        <w:t>（</w:t>
      </w:r>
      <w:r>
        <w:rPr>
          <w:rFonts w:hint="eastAsia"/>
          <w:spacing w:val="4"/>
          <w:sz w:val="24"/>
          <w:szCs w:val="24"/>
          <w:u w:val="none"/>
        </w:rPr>
        <w:t>主要为砂卵石等可利用土方）</w:t>
      </w:r>
      <w:r>
        <w:rPr>
          <w:rFonts w:hint="eastAsia"/>
          <w:spacing w:val="3"/>
          <w:sz w:val="24"/>
          <w:szCs w:val="24"/>
          <w:u w:val="none"/>
        </w:rPr>
        <w:t>直接用于大堤填筑或护脚平台填筑；少量淤泥质土方作为弃土外运至弃渣场处理。根据本项目清淤区域的淤泥厚度，采用分层清淤开挖，待每段内的第一层清淤完毕后，及时进行第二层的清淤开挖，提高开挖精度，减少已清淤区在疏浚过程中的重新落淤，有利生态恢复。</w:t>
      </w:r>
    </w:p>
    <w:p>
      <w:pPr>
        <w:autoSpaceDE/>
        <w:autoSpaceDN/>
        <w:adjustRightInd w:val="0"/>
        <w:snapToGrid w:val="0"/>
        <w:spacing w:line="360" w:lineRule="auto"/>
        <w:jc w:val="both"/>
        <w:outlineLvl w:val="3"/>
        <w:rPr>
          <w:rFonts w:ascii="Times New Roman" w:hAnsi="Times New Roman" w:cs="Times New Roman"/>
          <w:b/>
          <w:sz w:val="24"/>
        </w:rPr>
      </w:pPr>
      <w:r>
        <w:rPr>
          <w:rFonts w:ascii="Times New Roman" w:hAnsi="Times New Roman" w:cs="Times New Roman"/>
          <w:b/>
          <w:sz w:val="24"/>
        </w:rPr>
        <w:t>3.5.</w:t>
      </w:r>
      <w:r>
        <w:rPr>
          <w:rFonts w:hint="eastAsia" w:ascii="Times New Roman" w:hAnsi="Times New Roman" w:cs="Times New Roman"/>
          <w:b/>
          <w:sz w:val="24"/>
          <w:lang w:val="en-US" w:eastAsia="zh-CN"/>
        </w:rPr>
        <w:t>3</w:t>
      </w:r>
      <w:r>
        <w:rPr>
          <w:rFonts w:hint="eastAsia" w:ascii="Times New Roman" w:hAnsi="Times New Roman" w:cs="Times New Roman"/>
          <w:b/>
          <w:sz w:val="24"/>
        </w:rPr>
        <w:t>土方开挖</w:t>
      </w:r>
    </w:p>
    <w:p>
      <w:pPr>
        <w:pStyle w:val="2"/>
        <w:autoSpaceDE/>
        <w:autoSpaceDN/>
        <w:adjustRightInd w:val="0"/>
        <w:snapToGrid w:val="0"/>
        <w:spacing w:before="0" w:line="360" w:lineRule="auto"/>
        <w:ind w:left="0" w:firstLine="480" w:firstLineChars="200"/>
        <w:jc w:val="both"/>
        <w:rPr>
          <w:rFonts w:hint="default" w:ascii="Times New Roman" w:hAnsi="Times New Roman" w:cs="Times New Roman"/>
        </w:rPr>
      </w:pPr>
      <w:r>
        <w:rPr>
          <w:rFonts w:hint="default" w:ascii="Times New Roman" w:hAnsi="Times New Roman" w:cs="Times New Roman"/>
        </w:rPr>
        <w:t>本项目土方工程主要包括</w:t>
      </w:r>
      <w:r>
        <w:rPr>
          <w:rFonts w:hint="default" w:ascii="Times New Roman" w:hAnsi="Times New Roman" w:cs="Times New Roman"/>
          <w:lang w:eastAsia="zh-CN"/>
        </w:rPr>
        <w:t>湿地建设</w:t>
      </w:r>
      <w:r>
        <w:rPr>
          <w:rFonts w:hint="default" w:ascii="Times New Roman" w:hAnsi="Times New Roman" w:cs="Times New Roman"/>
        </w:rPr>
        <w:t>与护坡的开挖与回填。</w:t>
      </w:r>
    </w:p>
    <w:p>
      <w:pPr>
        <w:pStyle w:val="2"/>
        <w:autoSpaceDE/>
        <w:autoSpaceDN/>
        <w:adjustRightInd w:val="0"/>
        <w:snapToGrid w:val="0"/>
        <w:spacing w:before="0" w:line="360" w:lineRule="auto"/>
        <w:ind w:left="0" w:firstLine="480" w:firstLineChars="200"/>
        <w:jc w:val="both"/>
        <w:rPr>
          <w:rFonts w:hint="default" w:ascii="Times New Roman" w:hAnsi="Times New Roman" w:cs="Times New Roman"/>
        </w:rPr>
      </w:pPr>
      <w:r>
        <w:rPr>
          <w:rFonts w:hint="default" w:ascii="Times New Roman" w:hAnsi="Times New Roman" w:cs="Times New Roman"/>
          <w:snapToGrid w:val="0"/>
        </w:rPr>
        <w:t>土方开挖采用机械清挖，采用1m</w:t>
      </w:r>
      <w:r>
        <w:rPr>
          <w:rFonts w:hint="default" w:ascii="Times New Roman" w:hAnsi="Times New Roman" w:cs="Times New Roman"/>
          <w:snapToGrid w:val="0"/>
          <w:vertAlign w:val="superscript"/>
          <w:lang w:val="en-US" w:eastAsia="zh-CN"/>
        </w:rPr>
        <w:t>3</w:t>
      </w:r>
      <w:r>
        <w:rPr>
          <w:rFonts w:hint="default" w:ascii="Times New Roman" w:hAnsi="Times New Roman" w:cs="Times New Roman"/>
          <w:snapToGrid w:val="0"/>
        </w:rPr>
        <w:t>液压反铲挖装8t自卸汽车运至弃料场或就地填埋需要废弃的沟塘，土方开挖时，应先清除表层松土、杂填土、建筑物垃圾、植物根茎，清基厚度不小于30cm，其他不便使用机械开挖部位辅以人工开挖</w:t>
      </w:r>
      <w:r>
        <w:rPr>
          <w:rFonts w:hint="default" w:ascii="Times New Roman" w:hAnsi="Times New Roman" w:cs="Times New Roman"/>
        </w:rPr>
        <w:t>。</w:t>
      </w:r>
    </w:p>
    <w:p>
      <w:pPr>
        <w:autoSpaceDE/>
        <w:autoSpaceDN/>
        <w:adjustRightInd w:val="0"/>
        <w:snapToGrid w:val="0"/>
        <w:spacing w:line="360" w:lineRule="auto"/>
        <w:jc w:val="both"/>
        <w:outlineLvl w:val="3"/>
        <w:rPr>
          <w:rFonts w:ascii="Times New Roman" w:hAnsi="Times New Roman" w:cs="Times New Roman"/>
          <w:b/>
          <w:sz w:val="24"/>
        </w:rPr>
      </w:pPr>
      <w:r>
        <w:rPr>
          <w:rFonts w:ascii="Times New Roman" w:hAnsi="Times New Roman" w:cs="Times New Roman"/>
          <w:b/>
          <w:sz w:val="24"/>
        </w:rPr>
        <w:t>3.5</w:t>
      </w:r>
      <w:r>
        <w:rPr>
          <w:rFonts w:hint="eastAsia" w:ascii="Times New Roman" w:hAnsi="Times New Roman" w:eastAsia="宋体" w:cs="Times New Roman"/>
          <w:b/>
          <w:sz w:val="24"/>
          <w:szCs w:val="30"/>
          <w:lang w:val="en-US" w:eastAsia="zh-CN" w:bidi="zh-CN"/>
        </w:rPr>
        <w:t>.4土方</w:t>
      </w:r>
      <w:r>
        <w:rPr>
          <w:rFonts w:hint="eastAsia" w:ascii="Times New Roman" w:hAnsi="Times New Roman" w:cs="Times New Roman"/>
          <w:b/>
          <w:sz w:val="24"/>
        </w:rPr>
        <w:t>回填</w:t>
      </w:r>
    </w:p>
    <w:p>
      <w:pPr>
        <w:pStyle w:val="2"/>
        <w:numPr>
          <w:ilvl w:val="0"/>
          <w:numId w:val="9"/>
        </w:numPr>
        <w:autoSpaceDE/>
        <w:autoSpaceDN/>
        <w:adjustRightInd w:val="0"/>
        <w:snapToGrid w:val="0"/>
        <w:spacing w:before="0" w:line="360" w:lineRule="auto"/>
        <w:ind w:left="0" w:firstLine="480" w:firstLineChars="200"/>
        <w:jc w:val="both"/>
        <w:rPr>
          <w:rFonts w:ascii="Times New Roman" w:hAnsi="Times New Roman" w:cs="Times New Roman" w:eastAsiaTheme="minorEastAsia"/>
        </w:rPr>
      </w:pPr>
      <w:r>
        <w:rPr>
          <w:rFonts w:hint="eastAsia" w:ascii="Times New Roman" w:hAnsi="Times New Roman" w:cs="Times New Roman" w:eastAsiaTheme="minorEastAsia"/>
          <w:sz w:val="24"/>
          <w:szCs w:val="24"/>
        </w:rPr>
        <w:t>用于填筑的土料不得含有植物根茎、砖瓦垃圾等影响回填质量的物件。填土之前必须彻底清除地面表层松土、软弱土层、腐质土及植物根茎等，清基厚度一般为30cm，清基土料严禁用于堤防填筑，可用于填塘固基或料场回填。新建土堤填筑土料采用粘粒含量为10%～35%、塑性指数为7～20的黏性土，且不得含植物根茎、砖瓦垃圾等杂质，填筑料与最优含水率的允许偏差为±3%，土料的C、φ值要求为C≥18-22kpa，φ≥16-18°。均采用8t自卸汽车由土料场运至各项目作业面，74kw推土机推平，每层铺土厚度30cm～40cm，74kw拖拉机牵引8～12t羊足碾碾压，断面部位较小不便大机械碾压的，采用蛙式打夯机夯实，碾压遍数应通过现场试验确定。管涌处换土回填土的渗透系数不高于10-5级别</w:t>
      </w:r>
      <w:r>
        <w:rPr>
          <w:rFonts w:ascii="Times New Roman" w:hAnsi="Times New Roman" w:cs="Times New Roman" w:eastAsiaTheme="minorEastAsia"/>
        </w:rPr>
        <w:t>。</w:t>
      </w:r>
    </w:p>
    <w:p>
      <w:pPr>
        <w:autoSpaceDE/>
        <w:autoSpaceDN/>
        <w:adjustRightInd w:val="0"/>
        <w:snapToGrid w:val="0"/>
        <w:spacing w:line="360" w:lineRule="auto"/>
        <w:jc w:val="both"/>
        <w:outlineLvl w:val="3"/>
        <w:rPr>
          <w:rFonts w:ascii="Times New Roman" w:hAnsi="Times New Roman" w:cs="Times New Roman"/>
          <w:b/>
          <w:sz w:val="24"/>
        </w:rPr>
      </w:pPr>
      <w:r>
        <w:rPr>
          <w:rFonts w:ascii="Times New Roman" w:hAnsi="Times New Roman" w:cs="Times New Roman"/>
          <w:b/>
          <w:sz w:val="24"/>
        </w:rPr>
        <w:t>3.5.</w:t>
      </w:r>
      <w:r>
        <w:rPr>
          <w:rFonts w:hint="eastAsia" w:ascii="Times New Roman" w:hAnsi="Times New Roman" w:cs="Times New Roman"/>
          <w:b/>
          <w:sz w:val="24"/>
          <w:lang w:val="en-US" w:eastAsia="zh-CN"/>
        </w:rPr>
        <w:t>5</w:t>
      </w:r>
      <w:r>
        <w:rPr>
          <w:rFonts w:hint="eastAsia" w:ascii="Times New Roman" w:hAnsi="Times New Roman" w:cs="Times New Roman"/>
          <w:b/>
          <w:sz w:val="24"/>
        </w:rPr>
        <w:t>格宾雷诺工程施工</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（1） 格宾网护岸工程</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a、格宾网护岸工艺流程：格宾网箱、格宾网垫及石材的选购</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基础土方和边坡土方开挖、验槽　反滤层的选择和铺设，宾网箱和格宾网垫的组装，格宾网箱、格宾网垫的安装和填充，表面覆土的处理。</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b、格宾网箱和格宾网垫的选择</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选择绿色加筋格宾材料，由重镀高尔凡并覆塑的低碳钢丝经机械编织而成的六边形双绞合金属网面构成。</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c、格宾网箱和格宾网垫的组装</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从捆扎包中把折叠的单位取出并放置在坚固和平整地面上，然后展开并压平成原形状。前、后和尾板应该翻开至垂直位置完成一个敞开的盒子形状。侧翼应适当的折叠并互相交迭。所有的间隔板和尾板都要固定和系紧在格宾的前、后板上。尾板和中间隔板都应竖立，并确保所有的折痕都在正确的位置，每个边的顶部都水平。</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用绞合钢丝或钢环把格宾的边连接。钢环扣件间距不能超过150mm。使用绞合钢丝的程序包括：继续在每个金属网格上，每间隔大约150mm把交互的单的和双的圈结拉紧，最终把绞合钢丝的尾段用圈结或绞合的形式固定在金属网格上。将隔板放置于垂直位置，并以同样方法用钢丝将隔板与边板连接。</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d、宾网箱和格宾网垫的安装和填充</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在完成组装后，格宾被一个接一个的摆放在合适的地点。为了构成完整的结构，在填充宾格前先用钢丝或钢环把所有相邻空格宾沿其接触面的边连接。注意填充石的大小应在100mm至200mm之间，在进行填充工作时应辅以人工填充的方式，以保证空间比率最小。竖直结构的宾格表层应以人工方式仔细放置，是表面平整紧凑。填充应该逐个宾格进行，以避免局部损坏。每个格宾的填充高度决不能超过邻近格宾300mm。在填充石头的时候应尽量注意不要损坏格宾上的PVC镀层。</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填充格宾时，应按照要求插入加强棒，将加强棒固定在1m高的格宾的1/3高度和2/3高度处。在填充前要保证同一层格宾的所有的边部与其相邻的格宾完全连接。当需要建筑的格宾为多层时，要确保第一层格宾完全封口后再与其相邻的格宾层连接。</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考虑到石头的沉降问题，填充石头需高出金属网格25～40mm。要确保间隔板的上部外露。将格宾盖铺上，用适当的工具把格宾盖和即将被连接的边拉近。用组装时提到过的方法把格宾盖和所有的边，尾端和间隔板紧紧绞合在一起。邻近的格宾盖可以同时安全的连好。再将底部所有的钢丝向内折好。</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e、反滤层的选择和铺设</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f、表层覆土的处理</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结合本工程的实际需要，需在表层覆土，覆土厚度为15cm，然后进行绿化。该绿化方法为客土喷播植草技术。</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喷播完成后，视情况可撒少许细土覆盖表面。在植物生长期间，需要时常洒水，加强管护，以保证草种的成活率和绿化效果。</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（2） 雷诺护垫施工程序及施工方法</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 xml:space="preserve"> a、雷诺护垫施工</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 xml:space="preserve"> 雷诺护垫采取人工砌筑毛石，并应符合现行的堤防设计、施工及验收等有关规范及标准的规定，施工过程中注意堤脚基础土工无纺布的埋设。</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一般要求：</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①雷诺护垫规格：</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雷诺护垫采用五绞六边形网，钢丝绞合部分长度不得小于50mm。网目为100x120mm ，钢丝丝径为小2.5mm/3.5mmPVC，公差±0.06mm；</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雷诺护垫网材采用PVc覆膜高镀锌低碳钢丝，钢丝基材的抗拉强度、镀锌量和公差范围应符合BSIO52和BSENIO244-1-2001国际标准，抗拉强度不小于380MPa，伸长率不小于10％。钢丝丝径为中2.5mm/3.5mmPVC，锌量不小于245g/cm</w:t>
      </w:r>
      <w:r>
        <w:rPr>
          <w:rFonts w:hint="eastAsia" w:ascii="Times New Roman" w:hAnsi="Times New Roman" w:cs="Times New Roman"/>
          <w:vertAlign w:val="superscript"/>
        </w:rPr>
        <w:t>2</w:t>
      </w:r>
      <w:r>
        <w:rPr>
          <w:rFonts w:hint="eastAsia" w:ascii="Times New Roman" w:hAnsi="Times New Roman" w:cs="Times New Roman"/>
        </w:rPr>
        <w:t>；边丝丝径为小3.4mm/4.4mmPVC，镀锌量不小于265g/m</w:t>
      </w:r>
      <w:r>
        <w:rPr>
          <w:rFonts w:hint="eastAsia" w:ascii="Times New Roman" w:hAnsi="Times New Roman" w:cs="Times New Roman"/>
          <w:vertAlign w:val="superscript"/>
        </w:rPr>
        <w:t>2</w:t>
      </w:r>
      <w:r>
        <w:rPr>
          <w:rFonts w:hint="eastAsia" w:ascii="Times New Roman" w:hAnsi="Times New Roman" w:cs="Times New Roman"/>
        </w:rPr>
        <w:t xml:space="preserve">。 </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采购厂家供货前镀锌钢丝材料需提供权威检测机构2000小时盐雾试验报告及</w:t>
      </w:r>
      <w:r>
        <w:rPr>
          <w:rFonts w:hint="eastAsia" w:ascii="Times New Roman" w:hAnsi="Times New Roman" w:cs="Times New Roman"/>
          <w:lang w:eastAsia="zh-CN"/>
        </w:rPr>
        <w:t>中国科学院</w:t>
      </w:r>
      <w:r>
        <w:rPr>
          <w:rFonts w:hint="eastAsia" w:ascii="Times New Roman" w:hAnsi="Times New Roman" w:cs="Times New Roman"/>
        </w:rPr>
        <w:t>海洋试验报告。腐蚀量不大子180g/m</w:t>
      </w:r>
      <w:r>
        <w:rPr>
          <w:rFonts w:hint="eastAsia" w:ascii="Times New Roman" w:hAnsi="Times New Roman" w:cs="Times New Roman"/>
          <w:vertAlign w:val="superscript"/>
        </w:rPr>
        <w:t>2</w:t>
      </w:r>
      <w:r>
        <w:rPr>
          <w:rFonts w:hint="eastAsia" w:ascii="Times New Roman" w:hAnsi="Times New Roman" w:cs="Times New Roman"/>
        </w:rPr>
        <w:t xml:space="preserve">。 </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装填雷诺护垫网箱应采用具有耐久性、耐寒性和抗水性的天然或人造石料应该为20-29KN/m</w:t>
      </w:r>
      <w:r>
        <w:rPr>
          <w:rFonts w:hint="eastAsia" w:ascii="Times New Roman" w:hAnsi="Times New Roman" w:cs="Times New Roman"/>
          <w:vertAlign w:val="superscript"/>
        </w:rPr>
        <w:t>3</w:t>
      </w:r>
      <w:r>
        <w:rPr>
          <w:rFonts w:hint="eastAsia" w:ascii="Times New Roman" w:hAnsi="Times New Roman" w:cs="Times New Roman"/>
        </w:rPr>
        <w:t>，填充石料后网箱的容重应不小于1.7KN/m</w:t>
      </w:r>
      <w:r>
        <w:rPr>
          <w:rFonts w:hint="eastAsia" w:ascii="Times New Roman" w:hAnsi="Times New Roman" w:cs="Times New Roman"/>
          <w:vertAlign w:val="superscript"/>
        </w:rPr>
        <w:t>3</w:t>
      </w:r>
      <w:r>
        <w:rPr>
          <w:rFonts w:hint="eastAsia" w:ascii="Times New Roman" w:hAnsi="Times New Roman" w:cs="Times New Roman"/>
        </w:rPr>
        <w:t>。</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②装填石料要求</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填充物采用卵石、片石或块石，格宾要求石料粒径D100～300mm为宜，雷诺护垫要求石料粒径D70～150mm为宜，空隙率不超过30％，要求石料质地坚硬，强度等级MU30，比重不小于2.5t/m</w:t>
      </w:r>
      <w:r>
        <w:rPr>
          <w:rFonts w:hint="eastAsia" w:ascii="Times New Roman" w:hAnsi="Times New Roman" w:cs="Times New Roman"/>
          <w:vertAlign w:val="superscript"/>
        </w:rPr>
        <w:t>3</w:t>
      </w:r>
      <w:r>
        <w:rPr>
          <w:rFonts w:hint="eastAsia" w:ascii="Times New Roman" w:hAnsi="Times New Roman" w:cs="Times New Roman"/>
        </w:rPr>
        <w:t>，遇水不易崩解和水解，抗风化。</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薄片、条状等形状的石料不宜采用。风化岩石、泥岩等亦不得用作充填石料。</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b、土工布要求</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聚酯长纤无纺布：型号 PET10-4.5-200，标称断裂强度10KN/m，详细指标参照国标GB/T17639-2008《长丝纺粘针刺非织造土工布》。</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（3）质量检查</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工程所用的毛石粒径尺寸应符合施工图纸或按监理人指示外形尺寸的要求。</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雷诺护垫质量检查包括：</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①外观检查：石块嵌挤的紧密度情况等的外观质量检查。</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ascii="Times New Roman" w:hAnsi="Times New Roman" w:cs="Times New Roman"/>
        </w:rPr>
        <w:t>②块石砌筑的尺寸和位置的允许偏差检查：其检查方法按 GB50203-98表6.1.6的规定执行</w:t>
      </w:r>
      <w:r>
        <w:rPr>
          <w:rFonts w:ascii="Times New Roman" w:hAnsi="Times New Roman" w:cs="Times New Roman"/>
        </w:rPr>
        <w:t>。</w:t>
      </w:r>
    </w:p>
    <w:p>
      <w:pPr>
        <w:autoSpaceDE/>
        <w:autoSpaceDN/>
        <w:adjustRightInd w:val="0"/>
        <w:snapToGrid w:val="0"/>
        <w:spacing w:line="360" w:lineRule="auto"/>
        <w:jc w:val="both"/>
        <w:outlineLvl w:val="3"/>
        <w:rPr>
          <w:rFonts w:ascii="Times New Roman" w:hAnsi="Times New Roman" w:cs="Times New Roman"/>
          <w:b/>
          <w:sz w:val="24"/>
        </w:rPr>
      </w:pPr>
      <w:r>
        <w:rPr>
          <w:rFonts w:ascii="Times New Roman" w:hAnsi="Times New Roman" w:cs="Times New Roman"/>
          <w:b/>
          <w:sz w:val="24"/>
        </w:rPr>
        <w:t>3.5.</w:t>
      </w:r>
      <w:r>
        <w:rPr>
          <w:rFonts w:hint="eastAsia" w:ascii="Times New Roman" w:hAnsi="Times New Roman" w:cs="Times New Roman"/>
          <w:b/>
          <w:sz w:val="24"/>
          <w:lang w:val="en-US" w:eastAsia="zh-CN"/>
        </w:rPr>
        <w:t>6</w:t>
      </w:r>
      <w:r>
        <w:rPr>
          <w:rFonts w:hint="eastAsia" w:ascii="Times New Roman" w:hAnsi="Times New Roman" w:cs="Times New Roman"/>
          <w:b/>
          <w:sz w:val="24"/>
        </w:rPr>
        <w:t>浆砌石施工</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浆砌石护坡、护脚及挡墙等项施工，采用0.2m</w:t>
      </w:r>
      <w:r>
        <w:rPr>
          <w:rFonts w:hint="eastAsia" w:ascii="Times New Roman" w:hAnsi="Times New Roman" w:cs="Times New Roman"/>
          <w:vertAlign w:val="superscript"/>
        </w:rPr>
        <w:t>3</w:t>
      </w:r>
      <w:r>
        <w:rPr>
          <w:rFonts w:hint="eastAsia" w:ascii="Times New Roman" w:hAnsi="Times New Roman" w:cs="Times New Roman"/>
        </w:rPr>
        <w:t>砂浆拌和机拌制砂浆，人工挑运50m，人工砌筑。</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浆砌石砌筑施工程序：砂垫层铺设→砂浆铺设→砌石安放→砌缝填浆→钢钎插捣→面层砌缝处理→转入下一循环。</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浆砌石砌筑要求：</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1）砌筑前，应在砌体外将石料上的泥垢清洗干净，砌筑时保持砌石表面湿润；</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2）应采用坐浆法分层砌筑，铺浆厚宜3～5cm，随铺浆随砌石，砌缝需用砂浆填充饱满，不得无浆直按贴靠，砌缝内砂浆应采用扁铁插捣密实，严禁先堆砌石块再用砂浆灌缝；</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3）上、下层砌石应错缝砌筑，砌体外露面应平整美观，外露面上的砌缝应预留约4cm深的空隙，以备勾缝处理；水平缝宽应不大于2.5cm，竖缝宽应不大于4cm；</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4）砌筑应故停顿，砂浆已超过初凝时间，应待砂浆强度达到2.5MPa后才可继续施工，在继续砌筑前，应降原砌体表面的浮渣清除，砌筑时应避免震动下层砌体；</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5）勾缝前必须清缝，用水冲净并保持缝槽内湿润，砂浆应分次向缝内填塞密实，勾缝砂浆标号应高于砌体砂浆，应按实有砌缝勾平缝，严禁勾假缝、凸缝，砌筑完毕后应保持砌体表面湿润做好养护；</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6）砂浆配合比、工作性能等，应按设计标号通过试验确定，施工中应在砌筑现场随机制取试件；</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7）砌石体应采用铺浆法砌筑，水泥砂浆沉入度应为4～6cm，当气温较高时，应适当增大沉入度；</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8）在铺砌灰浆前，石料应洒水湿润，使其表面充分吸收，但不得残留积水，砌筑时不得采用外面侧立石块，中间填芯的砌筑方法。砂浆应饱满，石块间较大的空隙应先填塞砂浆，后用碎石或石片嵌实，不得先摆碎石后填砂浆或干填碎石块的施工方法，石块间不应相互接触；</w:t>
      </w:r>
    </w:p>
    <w:p>
      <w:pPr>
        <w:pStyle w:val="2"/>
        <w:autoSpaceDE/>
        <w:autoSpaceDN/>
        <w:adjustRightInd w:val="0"/>
        <w:snapToGrid w:val="0"/>
        <w:spacing w:before="0" w:line="360" w:lineRule="auto"/>
        <w:ind w:left="0" w:firstLine="480" w:firstLineChars="200"/>
        <w:jc w:val="both"/>
        <w:rPr>
          <w:rFonts w:hint="eastAsia" w:ascii="Times New Roman" w:hAnsi="Times New Roman" w:eastAsia="宋体" w:cs="Times New Roman"/>
          <w:lang w:eastAsia="zh-CN"/>
        </w:rPr>
      </w:pPr>
      <w:r>
        <w:rPr>
          <w:rFonts w:hint="eastAsia" w:ascii="Times New Roman" w:hAnsi="Times New Roman" w:cs="Times New Roman"/>
        </w:rPr>
        <w:t>9）当最低温度在0～5℃时，砌筑作业应注意表面覆盖保护，当最低气温在0℃或最高气温超过30℃时，应停止砌筑，无防雨棚的仓面，遇大雨应立即停止施工，妥善保护表面，雨后应先排除积水，并及时处理受雨冲刷部位</w:t>
      </w:r>
      <w:r>
        <w:rPr>
          <w:rFonts w:hint="eastAsia" w:ascii="Times New Roman" w:hAnsi="Times New Roman" w:cs="Times New Roman"/>
          <w:lang w:eastAsia="zh-CN"/>
        </w:rPr>
        <w:t>。</w:t>
      </w:r>
    </w:p>
    <w:p>
      <w:pPr>
        <w:autoSpaceDE/>
        <w:autoSpaceDN/>
        <w:adjustRightInd w:val="0"/>
        <w:snapToGrid w:val="0"/>
        <w:spacing w:line="360" w:lineRule="auto"/>
        <w:jc w:val="both"/>
        <w:outlineLvl w:val="3"/>
        <w:rPr>
          <w:rFonts w:ascii="Times New Roman" w:hAnsi="Times New Roman" w:cs="Times New Roman"/>
          <w:b/>
          <w:sz w:val="24"/>
        </w:rPr>
      </w:pPr>
      <w:r>
        <w:rPr>
          <w:rFonts w:ascii="Times New Roman" w:hAnsi="Times New Roman" w:cs="Times New Roman"/>
          <w:b/>
          <w:sz w:val="24"/>
        </w:rPr>
        <w:t>3.5.</w:t>
      </w:r>
      <w:r>
        <w:rPr>
          <w:rFonts w:hint="eastAsia" w:ascii="Times New Roman" w:hAnsi="Times New Roman" w:cs="Times New Roman"/>
          <w:b/>
          <w:sz w:val="24"/>
          <w:lang w:val="en-US" w:eastAsia="zh-CN"/>
        </w:rPr>
        <w:t>7</w:t>
      </w:r>
      <w:r>
        <w:rPr>
          <w:rFonts w:hint="eastAsia" w:ascii="Times New Roman" w:hAnsi="Times New Roman" w:cs="Times New Roman"/>
          <w:b/>
          <w:sz w:val="24"/>
        </w:rPr>
        <w:t>干砌石海曼施工</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1）挂线控制高程</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在单元格内沿顺坡面和堤线方向各10米纵横布设木桩，挂准绳，控制干砌块石砌筑的水平度和坡度。</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2）干砌石砌筑</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1）采用错缝砌筑，摆放块石时要求大面朝下，贴靠紧密，小石嵌缝;要求做到无空洞、无浮石，塞缝严密。（2）施工过程中采用小锤轻敲石块，使其紧靠、密实。（3）每施工单元完成后应及时清理砌筑面，校核砌筑坡度并调整。</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3）质量控制</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1、块石质地坚硬，剔除尖角薄边，严禁使用风化石。</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2、严格按照挂放的坡度线控制砌筑厚度，砌筑时不得采用先用小石垫高再用大石找平的方式。</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ascii="Times New Roman" w:hAnsi="Times New Roman" w:cs="Times New Roman"/>
        </w:rPr>
        <w:t>3、砌筑完成一段时间后，要重新对整个砌筑区域进行检查，对局部沉陷部位进行调整。</w:t>
      </w:r>
    </w:p>
    <w:p>
      <w:pPr>
        <w:autoSpaceDE/>
        <w:autoSpaceDN/>
        <w:adjustRightInd w:val="0"/>
        <w:snapToGrid w:val="0"/>
        <w:spacing w:line="360" w:lineRule="auto"/>
        <w:jc w:val="both"/>
        <w:outlineLvl w:val="3"/>
        <w:rPr>
          <w:rFonts w:ascii="Times New Roman" w:hAnsi="Times New Roman" w:cs="Times New Roman"/>
          <w:b/>
          <w:sz w:val="24"/>
        </w:rPr>
      </w:pPr>
      <w:r>
        <w:rPr>
          <w:rFonts w:ascii="Times New Roman" w:hAnsi="Times New Roman" w:cs="Times New Roman"/>
          <w:b/>
          <w:sz w:val="24"/>
        </w:rPr>
        <w:t>3.5.</w:t>
      </w:r>
      <w:r>
        <w:rPr>
          <w:rFonts w:hint="eastAsia" w:ascii="Times New Roman" w:hAnsi="Times New Roman" w:cs="Times New Roman"/>
          <w:b/>
          <w:sz w:val="24"/>
          <w:lang w:val="en-US" w:eastAsia="zh-CN"/>
        </w:rPr>
        <w:t>8</w:t>
      </w:r>
      <w:r>
        <w:rPr>
          <w:rFonts w:hint="eastAsia" w:ascii="Times New Roman" w:hAnsi="Times New Roman" w:cs="Times New Roman"/>
          <w:b/>
          <w:sz w:val="24"/>
        </w:rPr>
        <w:t>混凝土工程施工</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本工程砼工程主要集中在河坝及自排涵管施工上。</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混凝土浇筑要求：</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1、混凝土浇筑前须详细检查有关准备工作：包括地基处理，模板、钢筋、预埋件及止水设施等必须符合规范要求。</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2、混凝土的浇筑，可采用平铺法或台阶法施工。按一定厚度、次序、方向，分层进行。且浇筑层面平整。台阶法施工的台阶宽度不应小于2m。</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3、混凝土浇筑须保持连续性，雨季施工砂石料仓保证排水通畅，浇筑仓面须有防雨措施并备有不透水覆盖材料。</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ascii="Times New Roman" w:hAnsi="Times New Roman" w:cs="Times New Roman"/>
        </w:rPr>
        <w:t>4、混凝土浇筑完毕后，须及时洒水养护，保持混凝土表面湿润，浇筑完后6-18h内开始洒水养护，养护时间不少于28d。</w:t>
      </w:r>
    </w:p>
    <w:p>
      <w:pPr>
        <w:autoSpaceDE/>
        <w:autoSpaceDN/>
        <w:adjustRightInd w:val="0"/>
        <w:snapToGrid w:val="0"/>
        <w:spacing w:line="360" w:lineRule="auto"/>
        <w:jc w:val="both"/>
        <w:outlineLvl w:val="3"/>
        <w:rPr>
          <w:rFonts w:ascii="Times New Roman" w:hAnsi="Times New Roman" w:cs="Times New Roman"/>
          <w:b/>
          <w:sz w:val="24"/>
        </w:rPr>
      </w:pPr>
      <w:r>
        <w:rPr>
          <w:rFonts w:ascii="Times New Roman" w:hAnsi="Times New Roman" w:cs="Times New Roman"/>
          <w:b/>
          <w:sz w:val="24"/>
        </w:rPr>
        <w:t>3.5.</w:t>
      </w:r>
      <w:r>
        <w:rPr>
          <w:rFonts w:hint="eastAsia" w:ascii="Times New Roman" w:hAnsi="Times New Roman" w:cs="Times New Roman"/>
          <w:b/>
          <w:sz w:val="24"/>
          <w:lang w:val="en-US" w:eastAsia="zh-CN"/>
        </w:rPr>
        <w:t>9</w:t>
      </w:r>
      <w:r>
        <w:rPr>
          <w:rFonts w:hint="eastAsia" w:ascii="Times New Roman" w:hAnsi="Times New Roman" w:cs="Times New Roman"/>
          <w:b/>
          <w:sz w:val="24"/>
        </w:rPr>
        <w:t>连锁式植草砖护坡施工</w:t>
      </w:r>
    </w:p>
    <w:p>
      <w:pPr>
        <w:pStyle w:val="2"/>
        <w:autoSpaceDE/>
        <w:autoSpaceDN/>
        <w:adjustRightInd w:val="0"/>
        <w:snapToGrid w:val="0"/>
        <w:spacing w:before="0" w:line="360" w:lineRule="auto"/>
        <w:ind w:firstLine="480" w:firstLineChars="200"/>
        <w:jc w:val="both"/>
        <w:rPr>
          <w:rFonts w:hint="eastAsia" w:ascii="Times New Roman" w:hAnsi="Times New Roman" w:cs="Times New Roman"/>
        </w:rPr>
      </w:pPr>
      <w:r>
        <w:rPr>
          <w:rFonts w:hint="eastAsia" w:ascii="Times New Roman" w:hAnsi="Times New Roman" w:cs="Times New Roman"/>
        </w:rPr>
        <w:t>连锁式植草砖先进行边坡地基处理，清除杂草、树根、突出物，用适当的材料填充空洞并振实，使边坡表面平整、密实，然后顺坡铺设土工布，搭接宽度不小于15cm。挖掘边沿基坑，坑底填以适当的材料并振实，砌筑下沿趾墙，用混凝土或毛石混凝土将剩余部分的趾墙联同锚固入趾墙的联锁砖一起砌筑，使趾墙符合设计要求的尺寸。块体孔中按设计要求种植当地草皮。</w:t>
      </w:r>
    </w:p>
    <w:p>
      <w:pPr>
        <w:autoSpaceDE/>
        <w:autoSpaceDN/>
        <w:adjustRightInd w:val="0"/>
        <w:snapToGrid w:val="0"/>
        <w:spacing w:line="360" w:lineRule="auto"/>
        <w:jc w:val="both"/>
        <w:outlineLvl w:val="3"/>
        <w:rPr>
          <w:rFonts w:ascii="Times New Roman" w:hAnsi="Times New Roman" w:cs="Times New Roman"/>
          <w:b/>
          <w:sz w:val="24"/>
        </w:rPr>
      </w:pPr>
      <w:r>
        <w:rPr>
          <w:rFonts w:ascii="Times New Roman" w:hAnsi="Times New Roman" w:cs="Times New Roman"/>
          <w:b/>
          <w:sz w:val="24"/>
        </w:rPr>
        <w:t>3.5.</w:t>
      </w:r>
      <w:r>
        <w:rPr>
          <w:rFonts w:hint="eastAsia" w:ascii="Times New Roman" w:hAnsi="Times New Roman" w:cs="Times New Roman"/>
          <w:b/>
          <w:sz w:val="24"/>
          <w:lang w:val="en-US" w:eastAsia="zh-CN"/>
        </w:rPr>
        <w:t>10</w:t>
      </w:r>
      <w:r>
        <w:rPr>
          <w:rFonts w:hint="eastAsia" w:ascii="Times New Roman" w:hAnsi="Times New Roman" w:cs="Times New Roman"/>
          <w:b/>
          <w:sz w:val="24"/>
        </w:rPr>
        <w:t>草皮护坡施工</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lang w:val="en-US" w:eastAsia="zh-CN"/>
        </w:rPr>
      </w:pPr>
      <w:r>
        <w:rPr>
          <w:rFonts w:hint="eastAsia" w:ascii="Times New Roman" w:hAnsi="Times New Roman" w:cs="Times New Roman"/>
        </w:rPr>
        <w:t>护坡草皮由汽车运至工地，人工铺植。草皮铺植前应将坡面杂质清除干净，土层整修平整，拍打密实，并选用成活率高，宜栽培草皮品种进行铺植，铺植后应及时洒水养护。</w:t>
      </w:r>
    </w:p>
    <w:p>
      <w:pPr>
        <w:pStyle w:val="5"/>
        <w:tabs>
          <w:tab w:val="left" w:pos="766"/>
        </w:tabs>
        <w:autoSpaceDE/>
        <w:autoSpaceDN/>
        <w:adjustRightInd w:val="0"/>
        <w:snapToGrid w:val="0"/>
        <w:spacing w:before="0" w:line="360" w:lineRule="auto"/>
        <w:ind w:left="0" w:firstLine="0"/>
        <w:jc w:val="both"/>
        <w:rPr>
          <w:rFonts w:ascii="Times New Roman" w:hAnsi="Times New Roman" w:cs="Times New Roman"/>
          <w:snapToGrid w:val="0"/>
        </w:rPr>
      </w:pPr>
      <w:bookmarkStart w:id="185" w:name="_Toc29310"/>
      <w:r>
        <w:rPr>
          <w:rFonts w:ascii="Times New Roman" w:hAnsi="Times New Roman" w:cs="Times New Roman"/>
          <w:snapToGrid w:val="0"/>
        </w:rPr>
        <w:t>3.</w:t>
      </w:r>
      <w:r>
        <w:rPr>
          <w:rFonts w:hint="eastAsia" w:ascii="Times New Roman" w:hAnsi="Times New Roman" w:cs="Times New Roman"/>
          <w:snapToGrid w:val="0"/>
          <w:lang w:val="en-US" w:eastAsia="zh-CN"/>
        </w:rPr>
        <w:t>6</w:t>
      </w:r>
      <w:r>
        <w:rPr>
          <w:rFonts w:ascii="Times New Roman" w:hAnsi="Times New Roman" w:cs="Times New Roman"/>
          <w:snapToGrid w:val="0"/>
        </w:rPr>
        <w:t>工程影响因素分析</w:t>
      </w:r>
      <w:bookmarkEnd w:id="185"/>
    </w:p>
    <w:p>
      <w:pPr>
        <w:pStyle w:val="2"/>
        <w:autoSpaceDE/>
        <w:autoSpaceDN/>
        <w:adjustRightInd w:val="0"/>
        <w:snapToGrid w:val="0"/>
        <w:spacing w:before="0" w:line="360" w:lineRule="auto"/>
        <w:ind w:left="0" w:firstLine="480" w:firstLineChars="200"/>
        <w:jc w:val="both"/>
        <w:rPr>
          <w:rFonts w:ascii="Times New Roman" w:hAnsi="Times New Roman" w:cs="Times New Roman"/>
          <w:u w:val="none"/>
        </w:rPr>
      </w:pPr>
      <w:r>
        <w:rPr>
          <w:rFonts w:ascii="Times New Roman" w:hAnsi="Times New Roman" w:cs="Times New Roman"/>
          <w:color w:val="000000" w:themeColor="text1"/>
          <w:u w:val="none"/>
          <w14:textFill>
            <w14:solidFill>
              <w14:schemeClr w14:val="tx1"/>
            </w14:solidFill>
          </w14:textFill>
        </w:rPr>
        <w:t>工程包括</w:t>
      </w:r>
      <w:r>
        <w:rPr>
          <w:rFonts w:hint="eastAsia" w:ascii="Times New Roman" w:hAnsi="Times New Roman" w:cs="Times New Roman"/>
          <w:color w:val="000000" w:themeColor="text1"/>
          <w:u w:val="none"/>
          <w14:textFill>
            <w14:solidFill>
              <w14:schemeClr w14:val="tx1"/>
            </w14:solidFill>
          </w14:textFill>
        </w:rPr>
        <w:t>护岸工程</w:t>
      </w:r>
      <w:r>
        <w:rPr>
          <w:rFonts w:ascii="Times New Roman" w:hAnsi="Times New Roman" w:cs="Times New Roman"/>
          <w:color w:val="000000" w:themeColor="text1"/>
          <w:u w:val="none"/>
          <w14:textFill>
            <w14:solidFill>
              <w14:schemeClr w14:val="tx1"/>
            </w14:solidFill>
          </w14:textFill>
        </w:rPr>
        <w:t>、</w:t>
      </w:r>
      <w:r>
        <w:rPr>
          <w:rFonts w:hint="eastAsia" w:ascii="Times New Roman" w:hAnsi="Times New Roman" w:cs="Times New Roman"/>
          <w:color w:val="000000" w:themeColor="text1"/>
          <w:u w:val="none"/>
          <w14:textFill>
            <w14:solidFill>
              <w14:schemeClr w14:val="tx1"/>
            </w14:solidFill>
          </w14:textFill>
        </w:rPr>
        <w:t>河道清淤疏浚</w:t>
      </w:r>
      <w:r>
        <w:rPr>
          <w:rFonts w:hint="eastAsia" w:ascii="Times New Roman" w:hAnsi="Times New Roman" w:cs="Times New Roman"/>
          <w:color w:val="000000" w:themeColor="text1"/>
          <w:u w:val="none"/>
          <w:lang w:eastAsia="zh-CN"/>
          <w14:textFill>
            <w14:solidFill>
              <w14:schemeClr w14:val="tx1"/>
            </w14:solidFill>
          </w14:textFill>
        </w:rPr>
        <w:t>、河坝工程、涵管工程等</w:t>
      </w:r>
      <w:r>
        <w:rPr>
          <w:rFonts w:ascii="Times New Roman" w:hAnsi="Times New Roman" w:cs="Times New Roman"/>
          <w:color w:val="000000" w:themeColor="text1"/>
          <w:u w:val="none"/>
          <w14:textFill>
            <w14:solidFill>
              <w14:schemeClr w14:val="tx1"/>
            </w14:solidFill>
          </w14:textFill>
        </w:rPr>
        <w:t>。主要为施工期影响</w:t>
      </w:r>
      <w:r>
        <w:rPr>
          <w:rFonts w:ascii="Times New Roman" w:hAnsi="Times New Roman" w:cs="Times New Roman"/>
          <w:u w:val="none"/>
        </w:rPr>
        <w:t>。</w:t>
      </w:r>
    </w:p>
    <w:p>
      <w:pPr>
        <w:pStyle w:val="2"/>
        <w:autoSpaceDE/>
        <w:autoSpaceDN/>
        <w:adjustRightInd w:val="0"/>
        <w:snapToGrid w:val="0"/>
        <w:spacing w:before="0" w:line="360" w:lineRule="auto"/>
        <w:ind w:left="0" w:firstLine="480" w:firstLineChars="200"/>
        <w:jc w:val="both"/>
        <w:rPr>
          <w:rFonts w:ascii="Times New Roman" w:hAnsi="Times New Roman" w:cs="Times New Roman"/>
          <w:u w:val="none"/>
        </w:rPr>
      </w:pPr>
      <w:r>
        <w:rPr>
          <w:rFonts w:ascii="Times New Roman" w:hAnsi="Times New Roman" w:cs="Times New Roman"/>
          <w:u w:val="none"/>
        </w:rPr>
        <w:t>（1）水环境：削坡、开挖中产生的部分土方进入水体，同时清淤过程，会导致近岸水域悬浮物含量增加，主要污染物为SS。</w:t>
      </w:r>
    </w:p>
    <w:p>
      <w:pPr>
        <w:pStyle w:val="2"/>
        <w:autoSpaceDE/>
        <w:autoSpaceDN/>
        <w:adjustRightInd w:val="0"/>
        <w:snapToGrid w:val="0"/>
        <w:spacing w:before="0" w:line="360" w:lineRule="auto"/>
        <w:ind w:left="0" w:firstLine="480" w:firstLineChars="200"/>
        <w:jc w:val="both"/>
        <w:rPr>
          <w:rFonts w:ascii="Times New Roman" w:hAnsi="Times New Roman" w:cs="Times New Roman"/>
          <w:u w:val="none"/>
        </w:rPr>
      </w:pPr>
      <w:r>
        <w:rPr>
          <w:rFonts w:ascii="Times New Roman" w:hAnsi="Times New Roman" w:cs="Times New Roman"/>
          <w:u w:val="none"/>
        </w:rPr>
        <w:t>（2）环境空气：施工开挖过程中产生粉尘、淤泥恶臭等。</w:t>
      </w:r>
    </w:p>
    <w:p>
      <w:pPr>
        <w:pStyle w:val="2"/>
        <w:autoSpaceDE/>
        <w:autoSpaceDN/>
        <w:adjustRightInd w:val="0"/>
        <w:snapToGrid w:val="0"/>
        <w:spacing w:before="0" w:line="360" w:lineRule="auto"/>
        <w:ind w:left="0" w:firstLine="480" w:firstLineChars="200"/>
        <w:jc w:val="both"/>
        <w:rPr>
          <w:rFonts w:ascii="Times New Roman" w:hAnsi="Times New Roman" w:cs="Times New Roman"/>
          <w:u w:val="none"/>
        </w:rPr>
      </w:pPr>
      <w:r>
        <w:rPr>
          <w:rFonts w:ascii="Times New Roman" w:hAnsi="Times New Roman" w:cs="Times New Roman"/>
          <w:u w:val="none"/>
        </w:rPr>
        <w:t>（3）噪声：施工机械设备运行过程中产生机械噪声，汽车运输过程中产生运输噪声，对附近居民点产生不利影响。</w:t>
      </w:r>
    </w:p>
    <w:p>
      <w:pPr>
        <w:pStyle w:val="2"/>
        <w:autoSpaceDE/>
        <w:autoSpaceDN/>
        <w:adjustRightInd w:val="0"/>
        <w:snapToGrid w:val="0"/>
        <w:spacing w:before="0" w:line="360" w:lineRule="auto"/>
        <w:ind w:left="0" w:firstLine="480" w:firstLineChars="200"/>
        <w:jc w:val="both"/>
        <w:rPr>
          <w:rFonts w:ascii="Times New Roman" w:hAnsi="Times New Roman" w:cs="Times New Roman"/>
          <w:u w:val="none"/>
        </w:rPr>
      </w:pPr>
      <w:r>
        <w:rPr>
          <w:rFonts w:ascii="Times New Roman" w:hAnsi="Times New Roman" w:cs="Times New Roman"/>
          <w:u w:val="none"/>
        </w:rPr>
        <w:t>（4）固体废物</w:t>
      </w:r>
    </w:p>
    <w:p>
      <w:pPr>
        <w:pStyle w:val="2"/>
        <w:autoSpaceDE/>
        <w:autoSpaceDN/>
        <w:adjustRightInd w:val="0"/>
        <w:snapToGrid w:val="0"/>
        <w:spacing w:before="0" w:line="360" w:lineRule="auto"/>
        <w:ind w:left="0" w:firstLine="480" w:firstLineChars="200"/>
        <w:jc w:val="both"/>
        <w:rPr>
          <w:rFonts w:ascii="Times New Roman" w:hAnsi="Times New Roman" w:cs="Times New Roman"/>
          <w:u w:val="none"/>
        </w:rPr>
      </w:pPr>
      <w:r>
        <w:rPr>
          <w:rFonts w:ascii="Times New Roman" w:hAnsi="Times New Roman" w:cs="Times New Roman"/>
          <w:u w:val="none"/>
        </w:rPr>
        <w:t>施工期：弃方、建筑垃圾、清表固废、淤泥、施工人员生活垃圾等。</w:t>
      </w:r>
    </w:p>
    <w:p>
      <w:pPr>
        <w:pStyle w:val="2"/>
        <w:autoSpaceDE/>
        <w:autoSpaceDN/>
        <w:adjustRightInd w:val="0"/>
        <w:snapToGrid w:val="0"/>
        <w:spacing w:before="0" w:line="360" w:lineRule="auto"/>
        <w:ind w:left="0" w:firstLine="480" w:firstLineChars="200"/>
        <w:jc w:val="both"/>
        <w:rPr>
          <w:rFonts w:ascii="Times New Roman" w:hAnsi="Times New Roman" w:cs="Times New Roman"/>
          <w:u w:val="none"/>
        </w:rPr>
      </w:pPr>
      <w:r>
        <w:rPr>
          <w:rFonts w:ascii="Times New Roman" w:hAnsi="Times New Roman" w:cs="Times New Roman"/>
          <w:u w:val="none"/>
        </w:rPr>
        <w:t>（5）生态环境：近水域施工对湿生动物、水生动物造成惊扰，近水域废水排放对湿生和水生动物栖息产生不利影响。</w:t>
      </w:r>
    </w:p>
    <w:p>
      <w:pPr>
        <w:pStyle w:val="2"/>
        <w:autoSpaceDE/>
        <w:autoSpaceDN/>
        <w:adjustRightInd w:val="0"/>
        <w:snapToGrid w:val="0"/>
        <w:spacing w:before="0" w:line="360" w:lineRule="auto"/>
        <w:ind w:left="0" w:firstLine="480" w:firstLineChars="200"/>
        <w:jc w:val="both"/>
        <w:rPr>
          <w:rFonts w:ascii="Times New Roman" w:hAnsi="Times New Roman" w:cs="Times New Roman"/>
          <w:u w:val="single"/>
        </w:rPr>
      </w:pPr>
      <w:r>
        <w:rPr>
          <w:rFonts w:ascii="Times New Roman" w:hAnsi="Times New Roman" w:cs="Times New Roman"/>
          <w:u w:val="none"/>
        </w:rPr>
        <w:t>（6）水土流失：施工过程中产生的土方，如不注意防护，遇地表径流易形成水土流失。</w:t>
      </w:r>
    </w:p>
    <w:p>
      <w:pPr>
        <w:pStyle w:val="5"/>
        <w:tabs>
          <w:tab w:val="left" w:pos="766"/>
        </w:tabs>
        <w:autoSpaceDE/>
        <w:autoSpaceDN/>
        <w:adjustRightInd w:val="0"/>
        <w:snapToGrid w:val="0"/>
        <w:spacing w:before="0" w:line="360" w:lineRule="auto"/>
        <w:ind w:left="0" w:firstLine="0"/>
        <w:jc w:val="both"/>
        <w:rPr>
          <w:rFonts w:ascii="Times New Roman" w:hAnsi="Times New Roman" w:cs="Times New Roman"/>
          <w:snapToGrid w:val="0"/>
        </w:rPr>
      </w:pPr>
      <w:bookmarkStart w:id="186" w:name="_Toc10219"/>
      <w:r>
        <w:rPr>
          <w:rFonts w:ascii="Times New Roman" w:hAnsi="Times New Roman" w:cs="Times New Roman"/>
          <w:snapToGrid w:val="0"/>
        </w:rPr>
        <w:t>3.</w:t>
      </w:r>
      <w:r>
        <w:rPr>
          <w:rFonts w:hint="eastAsia" w:ascii="Times New Roman" w:hAnsi="Times New Roman" w:cs="Times New Roman"/>
          <w:snapToGrid w:val="0"/>
          <w:lang w:val="en-US" w:eastAsia="zh-CN"/>
        </w:rPr>
        <w:t>7</w:t>
      </w:r>
      <w:r>
        <w:rPr>
          <w:rFonts w:ascii="Times New Roman" w:hAnsi="Times New Roman" w:cs="Times New Roman"/>
          <w:snapToGrid w:val="0"/>
        </w:rPr>
        <w:t>施工期污染源分析</w:t>
      </w:r>
      <w:bookmarkEnd w:id="186"/>
    </w:p>
    <w:p>
      <w:pPr>
        <w:autoSpaceDE/>
        <w:autoSpaceDN/>
        <w:adjustRightInd w:val="0"/>
        <w:snapToGrid w:val="0"/>
        <w:spacing w:line="360" w:lineRule="auto"/>
        <w:jc w:val="both"/>
        <w:outlineLvl w:val="2"/>
        <w:rPr>
          <w:rFonts w:ascii="Times New Roman" w:hAnsi="Times New Roman" w:cs="Times New Roman"/>
          <w:b/>
          <w:sz w:val="28"/>
          <w:szCs w:val="24"/>
        </w:rPr>
      </w:pPr>
      <w:bookmarkStart w:id="187" w:name="_Toc66206056"/>
      <w:bookmarkStart w:id="188" w:name="_Toc69284582"/>
      <w:bookmarkStart w:id="189" w:name="_Toc82593130"/>
      <w:bookmarkStart w:id="190" w:name="_Toc31900"/>
      <w:r>
        <w:rPr>
          <w:rFonts w:ascii="Times New Roman" w:hAnsi="Times New Roman" w:cs="Times New Roman"/>
          <w:b/>
          <w:sz w:val="28"/>
          <w:szCs w:val="24"/>
        </w:rPr>
        <w:t>3.</w:t>
      </w:r>
      <w:r>
        <w:rPr>
          <w:rFonts w:hint="eastAsia" w:ascii="Times New Roman" w:hAnsi="Times New Roman" w:cs="Times New Roman"/>
          <w:b/>
          <w:sz w:val="28"/>
          <w:szCs w:val="24"/>
          <w:lang w:val="en-US" w:eastAsia="zh-CN"/>
        </w:rPr>
        <w:t>7</w:t>
      </w:r>
      <w:r>
        <w:rPr>
          <w:rFonts w:ascii="Times New Roman" w:hAnsi="Times New Roman" w:cs="Times New Roman"/>
          <w:b/>
          <w:sz w:val="28"/>
          <w:szCs w:val="24"/>
        </w:rPr>
        <w:t>.1大气污染源</w:t>
      </w:r>
      <w:bookmarkEnd w:id="187"/>
      <w:bookmarkEnd w:id="188"/>
      <w:bookmarkEnd w:id="189"/>
      <w:bookmarkEnd w:id="190"/>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工程施工期产生的废气污染物主要为施工扬尘、施工机械和运输车辆产生的尾气、清淤恶臭气体。</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（1）施工扬尘</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工程施工粉尘和扬尘主要包括施工现场和施工过程中散装粉状物料的堆放、施工场地地面裸露产生的堆土粉尘和扬尘；运输车辆和施工机械行驶过程中车轮与路面摩擦导致积尘飞扬产生的大量道路运输扬尘；车辆装载的土料、散装的建筑材料在运输和装卸过程中飘洒、散落、飞扬的扬尘。</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根据类比调查可知，在采取较好的防尘措施时，扬尘的影响范围基本上控制在150m以内，在150m以内不超过1.0mg/m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，200m左右TSP浓度贡献已降至0.39mg/m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。如果不采取防尘措施，450m以内将会受到施工扬尘的严重影响，施工现场周围的TSP浓度将大幅度超标。</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参考《环境影响评价技术手册-水利水电工程》，根据三峡工程等交通运输监测资料，在运输车辆时速不大于60km/h时，估算施工运输扬尘排放系数可取1500mg/s；在采取路面洒水降尘、保证路面清扫干净等措施后，运输扬尘的去除率可达90%，此时扬尘排放系数为150mg/s。</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（2）施工机械和运输车辆尾气</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本项目施工过程使用的施工机械和运输车辆都将产生一定量废气，主要污染物包括CO、NO</w:t>
      </w:r>
      <w:r>
        <w:rPr>
          <w:rFonts w:ascii="Times New Roman" w:hAnsi="Times New Roman" w:cs="Times New Roman"/>
          <w:color w:val="000000" w:themeColor="text1"/>
          <w:vertAlign w:val="subscript"/>
          <w14:textFill>
            <w14:solidFill>
              <w14:schemeClr w14:val="tx1"/>
            </w14:solidFill>
          </w14:textFill>
        </w:rPr>
        <w:t>X</w:t>
      </w:r>
      <w:r>
        <w:rPr>
          <w:rFonts w:ascii="Times New Roman" w:hAnsi="Times New Roman" w:cs="Times New Roman"/>
          <w:color w:val="000000" w:themeColor="text1"/>
          <w14:textFill>
            <w14:solidFill>
              <w14:schemeClr w14:val="tx1"/>
            </w14:solidFill>
          </w14:textFill>
        </w:rPr>
        <w:t>、SO</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等，但其排放量不大，影响范围有限。机械燃油废气属于连续、无组织排放源，污染物呈面源分布，由于施工范围大，污染分散，时间较短，因此污染物排放分散且强度不大。</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（3）清淤恶臭气体</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FF0000"/>
        </w:rPr>
      </w:pPr>
      <w:r>
        <w:rPr>
          <w:rFonts w:ascii="Times New Roman" w:hAnsi="Times New Roman" w:cs="Times New Roman"/>
          <w:color w:val="000000" w:themeColor="text1"/>
          <w14:textFill>
            <w14:solidFill>
              <w14:schemeClr w14:val="tx1"/>
            </w14:solidFill>
          </w14:textFill>
        </w:rPr>
        <w:t>本项目清淤作业场地以及岸坡脱水将产生恶臭。在清淤过程中，因微生物长期分解废水中的有机物会产生还原性的恶臭物质，主要污染物为NH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-N，H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S，恶臭通过底泥的扰动而排入大气环境，其排放方式为无组织排放面源。恶臭包括两部分：</w:t>
      </w:r>
      <w:r>
        <w:rPr>
          <w:rFonts w:hint="eastAsia"/>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污水与污泥中含有的恶臭气体挥发；</w:t>
      </w:r>
      <w:r>
        <w:rPr>
          <w:rFonts w:hint="eastAsia"/>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厌氧条件下微生物作用产生的恶臭气体挥发。其产生量与恶臭源组分、施工搅动条件、含水率等有关，本报告进行定性分析。</w:t>
      </w:r>
    </w:p>
    <w:p>
      <w:pPr>
        <w:autoSpaceDE/>
        <w:autoSpaceDN/>
        <w:adjustRightInd w:val="0"/>
        <w:snapToGrid w:val="0"/>
        <w:spacing w:line="360" w:lineRule="auto"/>
        <w:jc w:val="both"/>
        <w:outlineLvl w:val="2"/>
        <w:rPr>
          <w:rFonts w:ascii="Times New Roman" w:hAnsi="Times New Roman" w:cs="Times New Roman"/>
          <w:b/>
          <w:sz w:val="28"/>
          <w:szCs w:val="24"/>
        </w:rPr>
      </w:pPr>
      <w:bookmarkStart w:id="191" w:name="_Toc82593131"/>
      <w:bookmarkStart w:id="192" w:name="_Toc66206057"/>
      <w:bookmarkStart w:id="193" w:name="_Toc69284583"/>
      <w:bookmarkStart w:id="194" w:name="_Toc15309"/>
      <w:r>
        <w:rPr>
          <w:rFonts w:ascii="Times New Roman" w:hAnsi="Times New Roman" w:cs="Times New Roman"/>
          <w:b/>
          <w:sz w:val="28"/>
          <w:szCs w:val="24"/>
        </w:rPr>
        <w:t>3.</w:t>
      </w:r>
      <w:r>
        <w:rPr>
          <w:rFonts w:hint="eastAsia" w:ascii="Times New Roman" w:hAnsi="Times New Roman" w:cs="Times New Roman"/>
          <w:b/>
          <w:sz w:val="28"/>
          <w:szCs w:val="24"/>
          <w:lang w:val="en-US" w:eastAsia="zh-CN"/>
        </w:rPr>
        <w:t>7</w:t>
      </w:r>
      <w:r>
        <w:rPr>
          <w:rFonts w:ascii="Times New Roman" w:hAnsi="Times New Roman" w:cs="Times New Roman"/>
          <w:b/>
          <w:sz w:val="28"/>
          <w:szCs w:val="24"/>
        </w:rPr>
        <w:t>.2水污染源</w:t>
      </w:r>
      <w:bookmarkEnd w:id="191"/>
      <w:bookmarkEnd w:id="192"/>
      <w:bookmarkEnd w:id="193"/>
      <w:bookmarkEnd w:id="194"/>
    </w:p>
    <w:p>
      <w:pPr>
        <w:pStyle w:val="2"/>
        <w:autoSpaceDE/>
        <w:autoSpaceDN/>
        <w:adjustRightInd w:val="0"/>
        <w:snapToGrid w:val="0"/>
        <w:spacing w:before="0" w:line="360" w:lineRule="auto"/>
        <w:ind w:left="0" w:firstLine="480" w:firstLineChars="200"/>
        <w:jc w:val="both"/>
        <w:rPr>
          <w:rFonts w:ascii="Times New Roman" w:hAnsi="Times New Roman" w:cs="Times New Roman"/>
        </w:rPr>
      </w:pPr>
      <w:bookmarkStart w:id="195" w:name="_Hlk64902695"/>
      <w:r>
        <w:rPr>
          <w:rFonts w:ascii="Times New Roman" w:hAnsi="Times New Roman" w:cs="Times New Roman"/>
          <w:u w:val="none"/>
        </w:rPr>
        <w:t>根据</w:t>
      </w:r>
      <w:r>
        <w:rPr>
          <w:rFonts w:hint="eastAsia" w:ascii="Times New Roman" w:hAnsi="Times New Roman" w:cs="Times New Roman"/>
          <w:u w:val="none"/>
          <w:lang w:eastAsia="zh-CN"/>
        </w:rPr>
        <w:t>初步设计</w:t>
      </w:r>
      <w:r>
        <w:rPr>
          <w:rFonts w:ascii="Times New Roman" w:hAnsi="Times New Roman" w:cs="Times New Roman"/>
          <w:u w:val="none"/>
        </w:rPr>
        <w:t>，</w:t>
      </w:r>
      <w:r>
        <w:rPr>
          <w:rFonts w:hint="eastAsia" w:ascii="Times New Roman" w:hAnsi="Times New Roman" w:cs="Times New Roman"/>
          <w:u w:val="none"/>
        </w:rPr>
        <w:t>目南剅口人工湿地的淤泥直接坝址位置进行筑坝，通过自然晾干后直接使用，</w:t>
      </w:r>
      <w:r>
        <w:rPr>
          <w:rFonts w:hint="eastAsia" w:ascii="Times New Roman" w:hAnsi="Times New Roman" w:cs="Times New Roman"/>
          <w:u w:val="none"/>
          <w:lang w:eastAsia="zh-CN"/>
        </w:rPr>
        <w:t>祁水</w:t>
      </w:r>
      <w:r>
        <w:rPr>
          <w:rFonts w:hint="eastAsia" w:ascii="Times New Roman" w:hAnsi="Times New Roman" w:cs="Times New Roman"/>
          <w:u w:val="none"/>
        </w:rPr>
        <w:t>生态护岸清淤量较小，清淤后直接在岸边进行自然晾干，后期用于岸坡平整及湿地整形，均不需要设置淤泥干化场，区域无大型工业企业，不涉及重金属废水</w:t>
      </w:r>
      <w:r>
        <w:rPr>
          <w:rFonts w:ascii="Times New Roman" w:hAnsi="Times New Roman" w:cs="Times New Roman"/>
          <w:u w:val="none"/>
        </w:rPr>
        <w:t>，尾水直接排入河流、</w:t>
      </w:r>
      <w:r>
        <w:rPr>
          <w:rFonts w:hint="eastAsia" w:ascii="Times New Roman" w:hAnsi="Times New Roman" w:cs="Times New Roman"/>
          <w:u w:val="none"/>
          <w:lang w:eastAsia="zh-CN"/>
        </w:rPr>
        <w:t>河流</w:t>
      </w:r>
      <w:r>
        <w:rPr>
          <w:rFonts w:ascii="Times New Roman" w:hAnsi="Times New Roman" w:cs="Times New Roman"/>
        </w:rPr>
        <w:t>，因此项目施工期废水包括施工废水、施工人员生活废水等。</w:t>
      </w:r>
      <w:bookmarkEnd w:id="195"/>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（1）施工废水</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本项目施工废水包括混凝土浇筑废水、场地及设备冲洗水等。主要含泥砂，pH值呈弱碱性，并带有少量油污。</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混凝土浇筑废水难以收集，靠自然蒸发和无组织排放。</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场地及设备冲洗水等施工废水，根据《环境影响评价技术手册水利水电工程》相关数据，车辆冲洗用水量约为0.5m</w:t>
      </w:r>
      <w:r>
        <w:rPr>
          <w:rFonts w:ascii="Times New Roman" w:hAnsi="Times New Roman" w:cs="Times New Roman"/>
          <w:vertAlign w:val="superscript"/>
        </w:rPr>
        <w:t>3</w:t>
      </w:r>
      <w:r>
        <w:rPr>
          <w:rFonts w:ascii="Times New Roman" w:hAnsi="Times New Roman" w:cs="Times New Roman"/>
        </w:rPr>
        <w:t>/次•辆，工程施工期每天车辆总次数约为5次，则车辆冲洗水量约为2.5m</w:t>
      </w:r>
      <w:r>
        <w:rPr>
          <w:rFonts w:ascii="Times New Roman" w:hAnsi="Times New Roman" w:cs="Times New Roman"/>
          <w:vertAlign w:val="superscript"/>
        </w:rPr>
        <w:t>3</w:t>
      </w:r>
      <w:r>
        <w:rPr>
          <w:rFonts w:ascii="Times New Roman" w:hAnsi="Times New Roman" w:cs="Times New Roman"/>
        </w:rPr>
        <w:t>/d，排水量按80%计算，则排水量为2m</w:t>
      </w:r>
      <w:r>
        <w:rPr>
          <w:rFonts w:ascii="Times New Roman" w:hAnsi="Times New Roman" w:cs="Times New Roman"/>
          <w:vertAlign w:val="superscript"/>
        </w:rPr>
        <w:t>3</w:t>
      </w:r>
      <w:r>
        <w:rPr>
          <w:rFonts w:ascii="Times New Roman" w:hAnsi="Times New Roman" w:cs="Times New Roman"/>
        </w:rPr>
        <w:t>/d。此类废水产生点较为分散，难以集中处理，拟在各施工场地临时修建隔油沉淀池，收集后经隔油、沉淀处理后循环使用，不外排。</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（2）施工人员生活污水</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项目施工人员排放的生活污水主要污染物为COD和BOD</w:t>
      </w:r>
      <w:r>
        <w:rPr>
          <w:rFonts w:ascii="Times New Roman" w:hAnsi="Times New Roman" w:cs="Times New Roman"/>
          <w:vertAlign w:val="subscript"/>
        </w:rPr>
        <w:t>5</w:t>
      </w:r>
      <w:r>
        <w:rPr>
          <w:rFonts w:ascii="Times New Roman" w:hAnsi="Times New Roman" w:cs="Times New Roman"/>
        </w:rPr>
        <w:t>。项目施工期间高峰时施工人数约50人，大多数为当地民工，早出晚归，不安排集中住宿，少数管理人员住项目临时住房。施工期间生活用水主要为饮用水和冲厕水，用水量参照《湖南省用水定额》（DB43/T388-2020）中国家行政机构办公楼用水38L/（人•日）计，其中80%作为污水排放量，则本项目施工期间施工人员排放的污水量为1.</w:t>
      </w:r>
      <w:r>
        <w:rPr>
          <w:rFonts w:hint="eastAsia" w:ascii="Times New Roman" w:hAnsi="Times New Roman" w:cs="Times New Roman"/>
        </w:rPr>
        <w:t>52</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/d。</w:t>
      </w:r>
    </w:p>
    <w:p>
      <w:pPr>
        <w:autoSpaceDE/>
        <w:autoSpaceDN/>
        <w:adjustRightInd w:val="0"/>
        <w:snapToGrid w:val="0"/>
        <w:spacing w:line="360" w:lineRule="auto"/>
        <w:jc w:val="both"/>
        <w:outlineLvl w:val="2"/>
        <w:rPr>
          <w:rFonts w:ascii="Times New Roman" w:hAnsi="Times New Roman" w:cs="Times New Roman"/>
          <w:b/>
          <w:sz w:val="28"/>
          <w:szCs w:val="24"/>
        </w:rPr>
      </w:pPr>
      <w:bookmarkStart w:id="196" w:name="_Toc12765"/>
      <w:bookmarkStart w:id="197" w:name="_Toc66206058"/>
      <w:bookmarkStart w:id="198" w:name="_Toc69284584"/>
      <w:bookmarkStart w:id="199" w:name="_Toc82593132"/>
      <w:r>
        <w:rPr>
          <w:rFonts w:ascii="Times New Roman" w:hAnsi="Times New Roman" w:cs="Times New Roman"/>
          <w:b/>
          <w:sz w:val="28"/>
          <w:szCs w:val="24"/>
        </w:rPr>
        <w:t>3.</w:t>
      </w:r>
      <w:r>
        <w:rPr>
          <w:rFonts w:hint="eastAsia" w:ascii="Times New Roman" w:hAnsi="Times New Roman" w:cs="Times New Roman"/>
          <w:b/>
          <w:sz w:val="28"/>
          <w:szCs w:val="24"/>
          <w:lang w:val="en-US" w:eastAsia="zh-CN"/>
        </w:rPr>
        <w:t>7</w:t>
      </w:r>
      <w:r>
        <w:rPr>
          <w:rFonts w:ascii="Times New Roman" w:hAnsi="Times New Roman" w:cs="Times New Roman"/>
          <w:b/>
          <w:sz w:val="28"/>
          <w:szCs w:val="24"/>
        </w:rPr>
        <w:t>.3噪声污染源</w:t>
      </w:r>
      <w:bookmarkEnd w:id="196"/>
      <w:bookmarkEnd w:id="197"/>
      <w:bookmarkEnd w:id="198"/>
      <w:bookmarkEnd w:id="199"/>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施工过程中难以避免带来噪声污染，本项目施工期间噪声主要来源于施工机械噪声和运输车辆噪声，噪声级在 70～95dB(A)。</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（1）施工机械噪声</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主要指施工现场使用各类机械设备产生的施工噪声。这些施工机械包括装载机、挖掘机、推土机等，在施工中这类机械是最主要的施工噪声源。</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（2）运输车辆噪声</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工程施工中各类设备、材料等需要用汽车运至工地。这些运输车辆在行驶过程 中会产生交通噪声，特别是重型汽车运行中产生的噪声辐射强度较高。</w:t>
      </w:r>
    </w:p>
    <w:p>
      <w:pPr>
        <w:autoSpaceDE/>
        <w:autoSpaceDN/>
        <w:adjustRightInd w:val="0"/>
        <w:snapToGrid w:val="0"/>
        <w:spacing w:line="360" w:lineRule="auto"/>
        <w:jc w:val="both"/>
        <w:outlineLvl w:val="2"/>
        <w:rPr>
          <w:rFonts w:ascii="Times New Roman" w:hAnsi="Times New Roman" w:cs="Times New Roman"/>
          <w:b/>
          <w:sz w:val="28"/>
          <w:szCs w:val="24"/>
        </w:rPr>
      </w:pPr>
      <w:bookmarkStart w:id="200" w:name="_Toc82593133"/>
      <w:bookmarkStart w:id="201" w:name="_Toc12915"/>
      <w:bookmarkStart w:id="202" w:name="_Toc66206059"/>
      <w:bookmarkStart w:id="203" w:name="_Toc69284585"/>
      <w:r>
        <w:rPr>
          <w:rFonts w:ascii="Times New Roman" w:hAnsi="Times New Roman" w:cs="Times New Roman"/>
          <w:b/>
          <w:sz w:val="28"/>
          <w:szCs w:val="24"/>
        </w:rPr>
        <w:t>3.</w:t>
      </w:r>
      <w:r>
        <w:rPr>
          <w:rFonts w:hint="eastAsia" w:ascii="Times New Roman" w:hAnsi="Times New Roman" w:cs="Times New Roman"/>
          <w:b/>
          <w:sz w:val="28"/>
          <w:szCs w:val="24"/>
          <w:lang w:val="en-US" w:eastAsia="zh-CN"/>
        </w:rPr>
        <w:t>7</w:t>
      </w:r>
      <w:r>
        <w:rPr>
          <w:rFonts w:ascii="Times New Roman" w:hAnsi="Times New Roman" w:cs="Times New Roman"/>
          <w:b/>
          <w:sz w:val="28"/>
          <w:szCs w:val="24"/>
        </w:rPr>
        <w:t>.4固体废物</w:t>
      </w:r>
      <w:bookmarkEnd w:id="200"/>
      <w:bookmarkEnd w:id="201"/>
      <w:bookmarkEnd w:id="202"/>
      <w:bookmarkEnd w:id="203"/>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施工期的固体废物主要有清表固废、清淤底泥、建筑垃圾、施工人员生活垃圾及废包装材料。</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（1）清表固废</w:t>
      </w:r>
    </w:p>
    <w:p>
      <w:pPr>
        <w:pStyle w:val="2"/>
        <w:autoSpaceDE/>
        <w:autoSpaceDN/>
        <w:adjustRightInd w:val="0"/>
        <w:snapToGrid w:val="0"/>
        <w:spacing w:before="0" w:line="360" w:lineRule="auto"/>
        <w:ind w:left="0" w:firstLine="480" w:firstLineChars="200"/>
        <w:jc w:val="both"/>
        <w:rPr>
          <w:rFonts w:ascii="Times New Roman" w:hAnsi="Times New Roman" w:cs="Times New Roman"/>
          <w:highlight w:val="yellow"/>
        </w:rPr>
      </w:pPr>
      <w:r>
        <w:rPr>
          <w:rFonts w:ascii="Times New Roman" w:hAnsi="Times New Roman" w:cs="Times New Roman"/>
        </w:rPr>
        <w:t>根据工程量分析表，</w:t>
      </w:r>
      <w:r>
        <w:rPr>
          <w:rFonts w:hint="eastAsia" w:ascii="Times New Roman" w:hAnsi="Times New Roman" w:cs="Times New Roman"/>
          <w:lang w:eastAsia="zh-CN"/>
        </w:rPr>
        <w:t>清表固废量约为1000</w:t>
      </w:r>
      <w:r>
        <w:rPr>
          <w:rFonts w:ascii="Times New Roman" w:hAnsi="Times New Roman" w:cs="Times New Roman"/>
        </w:rPr>
        <w:t>m</w:t>
      </w:r>
      <w:r>
        <w:rPr>
          <w:rFonts w:hint="eastAsia" w:ascii="Times New Roman" w:hAnsi="Times New Roman" w:cs="Times New Roman"/>
          <w:vertAlign w:val="superscript"/>
          <w:lang w:val="en-US" w:eastAsia="zh-CN"/>
        </w:rPr>
        <w:t>3</w:t>
      </w:r>
      <w:r>
        <w:rPr>
          <w:rFonts w:ascii="Times New Roman" w:hAnsi="Times New Roman" w:cs="Times New Roman"/>
        </w:rPr>
        <w:t>，主要为表层杂草和垃圾等，可送随生活垃圾一同处置。</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（2）清淤底泥</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bookmarkStart w:id="204" w:name="_Hlk82766951"/>
      <w:r>
        <w:rPr>
          <w:rFonts w:ascii="Times New Roman" w:hAnsi="Times New Roman" w:cs="Times New Roman"/>
        </w:rPr>
        <w:t>根据工程量分析表，清淤产生量为</w:t>
      </w:r>
      <w:r>
        <w:rPr>
          <w:rFonts w:hint="eastAsia" w:ascii="Times New Roman" w:hAnsi="Times New Roman" w:cs="Times New Roman"/>
          <w:lang w:val="en-US" w:eastAsia="zh-CN"/>
        </w:rPr>
        <w:t>6293</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，其中</w:t>
      </w:r>
      <w:r>
        <w:rPr>
          <w:rFonts w:hint="eastAsia" w:ascii="Times New Roman" w:hAnsi="Times New Roman" w:cs="Times New Roman"/>
          <w:lang w:eastAsia="zh-CN"/>
        </w:rPr>
        <w:t>河滨湿地</w:t>
      </w:r>
      <w:r>
        <w:rPr>
          <w:rFonts w:ascii="Times New Roman" w:hAnsi="Times New Roman" w:cs="Times New Roman"/>
        </w:rPr>
        <w:t>清淤量为</w:t>
      </w:r>
      <w:r>
        <w:rPr>
          <w:rFonts w:hint="eastAsia" w:ascii="Times New Roman" w:hAnsi="Times New Roman" w:cs="Times New Roman"/>
          <w:lang w:val="en-US" w:eastAsia="zh-CN"/>
        </w:rPr>
        <w:t>4625</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w:t>
      </w:r>
      <w:r>
        <w:rPr>
          <w:rFonts w:hint="eastAsia" w:ascii="Times New Roman" w:hAnsi="Times New Roman" w:cs="Times New Roman"/>
          <w:lang w:eastAsia="zh-CN"/>
        </w:rPr>
        <w:t>河口</w:t>
      </w:r>
      <w:r>
        <w:rPr>
          <w:rFonts w:ascii="Times New Roman" w:hAnsi="Times New Roman" w:cs="Times New Roman"/>
        </w:rPr>
        <w:t>湿地清淤量为</w:t>
      </w:r>
      <w:r>
        <w:rPr>
          <w:rFonts w:hint="eastAsia" w:ascii="Times New Roman" w:hAnsi="Times New Roman" w:cs="Times New Roman"/>
          <w:lang w:val="en-US" w:eastAsia="zh-CN"/>
        </w:rPr>
        <w:t>1668</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w:t>
      </w:r>
      <w:bookmarkEnd w:id="204"/>
      <w:r>
        <w:rPr>
          <w:rFonts w:ascii="Times New Roman" w:hAnsi="Times New Roman" w:cs="Times New Roman"/>
        </w:rPr>
        <w:t>根据</w:t>
      </w:r>
      <w:r>
        <w:rPr>
          <w:rFonts w:hint="eastAsia" w:ascii="Times New Roman" w:hAnsi="Times New Roman" w:cs="Times New Roman"/>
          <w:lang w:eastAsia="zh-CN"/>
        </w:rPr>
        <w:t>初步设计</w:t>
      </w:r>
      <w:r>
        <w:rPr>
          <w:rFonts w:ascii="Times New Roman" w:hAnsi="Times New Roman" w:cs="Times New Roman"/>
        </w:rPr>
        <w:t>，</w:t>
      </w:r>
      <w:r>
        <w:rPr>
          <w:rFonts w:hint="eastAsia" w:ascii="Times New Roman" w:hAnsi="Times New Roman" w:cs="Times New Roman"/>
          <w:lang w:eastAsia="zh-CN"/>
        </w:rPr>
        <w:t>淤泥</w:t>
      </w:r>
      <w:r>
        <w:rPr>
          <w:rFonts w:ascii="Times New Roman" w:hAnsi="Times New Roman" w:cs="Times New Roman"/>
        </w:rPr>
        <w:t>通过岸坡晾晒自然干化</w:t>
      </w:r>
      <w:r>
        <w:rPr>
          <w:rFonts w:hint="eastAsia" w:ascii="Times New Roman" w:hAnsi="Times New Roman" w:cs="Times New Roman"/>
          <w:lang w:eastAsia="zh-CN"/>
        </w:rPr>
        <w:t>后</w:t>
      </w:r>
      <w:r>
        <w:rPr>
          <w:rFonts w:ascii="Times New Roman" w:hAnsi="Times New Roman" w:cs="Times New Roman"/>
        </w:rPr>
        <w:t>用于岸坡平整。</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（3）建筑垃圾</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本项目在施工过程中产生的建筑垃圾包括砂石、碎砖、废木料、废金属、废钢筋等杂物。施工废料首先考虑回收利用，如钢筋、钢板、木材等下脚料可分类回收，交废品回收站处理；对不能回收的，如混凝土废料、含砖、石、砂的弃渣等送至</w:t>
      </w:r>
      <w:r>
        <w:rPr>
          <w:rFonts w:hint="eastAsia" w:ascii="Times New Roman" w:hAnsi="Times New Roman" w:cs="Times New Roman"/>
          <w:lang w:eastAsia="zh-CN"/>
        </w:rPr>
        <w:t>弃渣场</w:t>
      </w:r>
      <w:r>
        <w:rPr>
          <w:rFonts w:ascii="Times New Roman" w:hAnsi="Times New Roman" w:cs="Times New Roman"/>
        </w:rPr>
        <w:t>，施工单位不得将建筑垃圾交给个人或者未经核准从事建筑垃圾运输的单位运输。</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（4）施工人员生活垃圾及废包装材料</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本项目大部分为当地民工，只有少部分管理人员租赁靠近项目场地的临时住房，排放的生活垃圾很少，按施工人员生活垃圾1.0kg/人·d计算，施工高峰期人数约50人，则排放量约为 0.05t/d，生活垃圾收集后交由当地环卫部门处置。</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废包装材料经收集后交当地环卫部门统一处理。</w:t>
      </w:r>
    </w:p>
    <w:p>
      <w:pPr>
        <w:autoSpaceDE/>
        <w:autoSpaceDN/>
        <w:adjustRightInd w:val="0"/>
        <w:snapToGrid w:val="0"/>
        <w:spacing w:line="360" w:lineRule="auto"/>
        <w:jc w:val="both"/>
        <w:outlineLvl w:val="2"/>
        <w:rPr>
          <w:rFonts w:ascii="Times New Roman" w:hAnsi="Times New Roman" w:cs="Times New Roman"/>
          <w:b/>
          <w:sz w:val="28"/>
          <w:szCs w:val="24"/>
        </w:rPr>
      </w:pPr>
      <w:bookmarkStart w:id="205" w:name="_Toc82593134"/>
      <w:bookmarkStart w:id="206" w:name="_Toc66206060"/>
      <w:bookmarkStart w:id="207" w:name="_Toc69284586"/>
      <w:bookmarkStart w:id="208" w:name="_Toc20305"/>
      <w:r>
        <w:rPr>
          <w:rFonts w:ascii="Times New Roman" w:hAnsi="Times New Roman" w:cs="Times New Roman"/>
          <w:b/>
          <w:sz w:val="28"/>
          <w:szCs w:val="24"/>
        </w:rPr>
        <w:t>3.</w:t>
      </w:r>
      <w:r>
        <w:rPr>
          <w:rFonts w:hint="eastAsia" w:ascii="Times New Roman" w:hAnsi="Times New Roman" w:cs="Times New Roman"/>
          <w:b/>
          <w:sz w:val="28"/>
          <w:szCs w:val="24"/>
          <w:lang w:val="en-US" w:eastAsia="zh-CN"/>
        </w:rPr>
        <w:t>7</w:t>
      </w:r>
      <w:r>
        <w:rPr>
          <w:rFonts w:ascii="Times New Roman" w:hAnsi="Times New Roman" w:cs="Times New Roman"/>
          <w:b/>
          <w:sz w:val="28"/>
          <w:szCs w:val="24"/>
        </w:rPr>
        <w:t>.5生态环境影响因素</w:t>
      </w:r>
      <w:bookmarkEnd w:id="205"/>
      <w:bookmarkEnd w:id="206"/>
      <w:bookmarkEnd w:id="207"/>
      <w:bookmarkEnd w:id="208"/>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（1）水生生态影响</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涉水工程施工会扰动水体产生悬浮物，导致水体悬浮物浓度增加，对鱼类及水生生物造成不利影响。清淤过程将导致水生环境发生较大改变，可能会直接影响到水生生物的生存、繁殖和分布，保护措施不当可造成部分水生生物死亡，生物量和净生产量下降，生物多样性减少，好氧浮游生物、鱼类、底栖动物可能会因环境的恶化而死亡，从而造成整个水生生态系统一系列的变化，影响局部水文条件和水生生态系统的稳定性。</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（2）陆生生态影响</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工程陆地施工占地范围内，原有植被会遭到一定程度的破坏，受影响植物基本为地区常见种类，工程建设不会对区域植物物种构成和区系组成造成显著不利影响。工程开挖和弃渣堆放可能对于湿地生态系统植被产生影响，施工结束后将进行植被恢复。</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工程对陆生动物的影响主要表现为施工期护坡加固、土石方开挖和物料堆放等活动造成的生境占用和破坏，施工噪声排放造成的惊扰以及可能发生的施工人员非法捕猎等。评价区珍稀保护动物以鸟类、爬行类为主，活动能力较强、活动范围较大，且工程周边生境条件相似度较高，基本都能在周边区域寻觅到合适的替代生境，工程建设对珍稀保护动物的影响有限。</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（3）水土流失</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工程施工扰动、破坏一部分地表植被等具有水土保持功能的设施，使地表径流汇流过程发生变化，同时扰动、破坏使土壤质地发生相应变化，导致区域土壤侵蚀模数显著增大，加剧区域的水土流失。</w:t>
      </w:r>
    </w:p>
    <w:p>
      <w:pPr>
        <w:pStyle w:val="5"/>
        <w:tabs>
          <w:tab w:val="left" w:pos="766"/>
        </w:tabs>
        <w:autoSpaceDE/>
        <w:autoSpaceDN/>
        <w:adjustRightInd w:val="0"/>
        <w:snapToGrid w:val="0"/>
        <w:spacing w:before="0" w:line="360" w:lineRule="auto"/>
        <w:ind w:left="0" w:firstLine="0"/>
        <w:jc w:val="both"/>
        <w:rPr>
          <w:rFonts w:ascii="Times New Roman" w:hAnsi="Times New Roman" w:cs="Times New Roman"/>
          <w:snapToGrid w:val="0"/>
        </w:rPr>
      </w:pPr>
      <w:bookmarkStart w:id="209" w:name="_Toc2051"/>
      <w:r>
        <w:rPr>
          <w:rFonts w:ascii="Times New Roman" w:hAnsi="Times New Roman" w:cs="Times New Roman"/>
          <w:snapToGrid w:val="0"/>
        </w:rPr>
        <w:t>3.</w:t>
      </w:r>
      <w:r>
        <w:rPr>
          <w:rFonts w:hint="eastAsia" w:ascii="Times New Roman" w:hAnsi="Times New Roman" w:cs="Times New Roman"/>
          <w:snapToGrid w:val="0"/>
          <w:lang w:val="en-US" w:eastAsia="zh-CN"/>
        </w:rPr>
        <w:t>8</w:t>
      </w:r>
      <w:r>
        <w:rPr>
          <w:rFonts w:ascii="Times New Roman" w:hAnsi="Times New Roman" w:cs="Times New Roman"/>
          <w:snapToGrid w:val="0"/>
        </w:rPr>
        <w:t>营运期污染源分析</w:t>
      </w:r>
      <w:bookmarkEnd w:id="209"/>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snapToGrid w:val="0"/>
        </w:rPr>
        <w:t>本项目属于</w:t>
      </w:r>
      <w:r>
        <w:rPr>
          <w:rFonts w:hint="eastAsia" w:ascii="Times New Roman" w:hAnsi="Times New Roman" w:cs="Times New Roman"/>
          <w:snapToGrid w:val="0"/>
          <w:lang w:eastAsia="zh-CN"/>
        </w:rPr>
        <w:t>河湖整治</w:t>
      </w:r>
      <w:r>
        <w:rPr>
          <w:rFonts w:ascii="Times New Roman" w:hAnsi="Times New Roman" w:cs="Times New Roman"/>
          <w:snapToGrid w:val="0"/>
        </w:rPr>
        <w:t>项目</w:t>
      </w:r>
      <w:r>
        <w:rPr>
          <w:rFonts w:ascii="Times New Roman" w:hAnsi="Times New Roman" w:cs="Times New Roman"/>
        </w:rPr>
        <w:t>，主要工程内容为</w:t>
      </w:r>
      <w:r>
        <w:rPr>
          <w:rFonts w:hint="eastAsia" w:ascii="Times New Roman" w:hAnsi="Times New Roman" w:cs="Times New Roman"/>
          <w:lang w:eastAsia="zh-CN"/>
        </w:rPr>
        <w:t>生态缓冲带、人工湿地</w:t>
      </w:r>
      <w:r>
        <w:rPr>
          <w:rFonts w:ascii="Times New Roman" w:hAnsi="Times New Roman" w:cs="Times New Roman"/>
        </w:rPr>
        <w:t>等，运营期没有废气、废水、噪声的污染物排放。</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营运期主要生态环境影响属</w:t>
      </w:r>
      <w:bookmarkStart w:id="210" w:name="_Hlk66872592"/>
      <w:r>
        <w:rPr>
          <w:rFonts w:ascii="Times New Roman" w:hAnsi="Times New Roman" w:cs="Times New Roman"/>
        </w:rPr>
        <w:t>有利影响，通过</w:t>
      </w:r>
      <w:r>
        <w:rPr>
          <w:rFonts w:hint="eastAsia" w:ascii="Times New Roman" w:hAnsi="Times New Roman" w:cs="Times New Roman"/>
          <w:lang w:eastAsia="zh-CN"/>
        </w:rPr>
        <w:t>河流</w:t>
      </w:r>
      <w:r>
        <w:rPr>
          <w:rFonts w:ascii="Times New Roman" w:hAnsi="Times New Roman" w:cs="Times New Roman"/>
        </w:rPr>
        <w:t>生态修复及景观再造，可提高</w:t>
      </w:r>
      <w:r>
        <w:rPr>
          <w:rFonts w:hint="eastAsia" w:ascii="Times New Roman" w:hAnsi="Times New Roman" w:cs="Times New Roman"/>
          <w:lang w:eastAsia="zh-CN"/>
        </w:rPr>
        <w:t>河流</w:t>
      </w:r>
      <w:r>
        <w:rPr>
          <w:rFonts w:ascii="Times New Roman" w:hAnsi="Times New Roman" w:cs="Times New Roman"/>
        </w:rPr>
        <w:t>自身水质净化功能、水生生态系统功能及美化周边环境</w:t>
      </w:r>
      <w:bookmarkEnd w:id="210"/>
      <w:r>
        <w:rPr>
          <w:rFonts w:ascii="Times New Roman" w:hAnsi="Times New Roman" w:cs="Times New Roman"/>
        </w:rPr>
        <w:t>，</w:t>
      </w:r>
      <w:r>
        <w:rPr>
          <w:rFonts w:hint="eastAsia" w:ascii="Times New Roman" w:hAnsi="Times New Roman" w:cs="Times New Roman"/>
          <w:lang w:eastAsia="zh-CN"/>
        </w:rPr>
        <w:t>改善区域人居环境，提升饮用水源保护区水质</w:t>
      </w:r>
      <w:r>
        <w:rPr>
          <w:rFonts w:ascii="Times New Roman" w:hAnsi="Times New Roman" w:cs="Times New Roman"/>
        </w:rPr>
        <w:t>。</w:t>
      </w:r>
    </w:p>
    <w:p>
      <w:pPr>
        <w:autoSpaceDE/>
        <w:autoSpaceDN/>
        <w:adjustRightInd w:val="0"/>
        <w:snapToGrid w:val="0"/>
        <w:spacing w:line="360" w:lineRule="auto"/>
        <w:jc w:val="both"/>
        <w:rPr>
          <w:rFonts w:ascii="Times New Roman" w:hAnsi="Times New Roman" w:cs="Times New Roman"/>
        </w:rPr>
        <w:sectPr>
          <w:pgSz w:w="11910" w:h="16840"/>
          <w:pgMar w:top="1378" w:right="1542" w:bottom="1378" w:left="1559" w:header="877" w:footer="1020" w:gutter="0"/>
          <w:pgBorders>
            <w:top w:val="none" w:sz="0" w:space="0"/>
            <w:left w:val="none" w:sz="0" w:space="0"/>
            <w:bottom w:val="none" w:sz="0" w:space="0"/>
            <w:right w:val="none" w:sz="0" w:space="0"/>
          </w:pgBorders>
          <w:pgNumType w:fmt="decimal"/>
          <w:cols w:space="720" w:num="1"/>
          <w:docGrid w:linePitch="299" w:charSpace="0"/>
        </w:sectPr>
      </w:pPr>
      <w:bookmarkStart w:id="211" w:name="_bookmark22"/>
      <w:bookmarkEnd w:id="211"/>
    </w:p>
    <w:p>
      <w:pPr>
        <w:pStyle w:val="4"/>
        <w:autoSpaceDE/>
        <w:autoSpaceDN/>
        <w:adjustRightInd w:val="0"/>
        <w:snapToGrid w:val="0"/>
        <w:spacing w:before="0" w:line="360" w:lineRule="auto"/>
        <w:ind w:right="0"/>
        <w:jc w:val="left"/>
        <w:rPr>
          <w:rFonts w:ascii="Times New Roman" w:hAnsi="Times New Roman" w:cs="Times New Roman" w:eastAsiaTheme="minorEastAsia"/>
          <w:sz w:val="32"/>
        </w:rPr>
      </w:pPr>
      <w:bookmarkStart w:id="212" w:name="_bookmark32"/>
      <w:bookmarkEnd w:id="212"/>
      <w:bookmarkStart w:id="213" w:name="_Toc11895"/>
      <w:r>
        <w:rPr>
          <w:rFonts w:ascii="Times New Roman" w:hAnsi="Times New Roman" w:cs="Times New Roman" w:eastAsiaTheme="minorEastAsia"/>
          <w:sz w:val="32"/>
        </w:rPr>
        <w:t>4.环境现状调查与评价</w:t>
      </w:r>
      <w:bookmarkEnd w:id="213"/>
    </w:p>
    <w:p>
      <w:pPr>
        <w:pStyle w:val="5"/>
        <w:tabs>
          <w:tab w:val="left" w:pos="766"/>
        </w:tabs>
        <w:autoSpaceDE/>
        <w:autoSpaceDN/>
        <w:adjustRightInd w:val="0"/>
        <w:snapToGrid w:val="0"/>
        <w:spacing w:before="0" w:line="360" w:lineRule="auto"/>
        <w:ind w:left="0" w:firstLine="0"/>
        <w:jc w:val="both"/>
        <w:rPr>
          <w:rFonts w:ascii="Times New Roman" w:hAnsi="Times New Roman" w:cs="Times New Roman"/>
          <w:snapToGrid w:val="0"/>
        </w:rPr>
      </w:pPr>
      <w:bookmarkStart w:id="214" w:name="_bookmark33"/>
      <w:bookmarkEnd w:id="214"/>
      <w:bookmarkStart w:id="215" w:name="_Toc3631"/>
      <w:r>
        <w:rPr>
          <w:rFonts w:ascii="Times New Roman" w:hAnsi="Times New Roman" w:cs="Times New Roman"/>
          <w:snapToGrid w:val="0"/>
        </w:rPr>
        <w:t>4.1自然环境现状</w:t>
      </w:r>
      <w:bookmarkEnd w:id="215"/>
    </w:p>
    <w:p>
      <w:pPr>
        <w:autoSpaceDE/>
        <w:autoSpaceDN/>
        <w:adjustRightInd w:val="0"/>
        <w:snapToGrid w:val="0"/>
        <w:spacing w:line="360" w:lineRule="auto"/>
        <w:jc w:val="both"/>
        <w:outlineLvl w:val="2"/>
        <w:rPr>
          <w:rFonts w:ascii="Times New Roman" w:hAnsi="Times New Roman" w:cs="Times New Roman"/>
          <w:b/>
          <w:sz w:val="28"/>
          <w:szCs w:val="24"/>
        </w:rPr>
      </w:pPr>
      <w:bookmarkStart w:id="216" w:name="_Toc82593143"/>
      <w:bookmarkStart w:id="217" w:name="_Toc69284595"/>
      <w:bookmarkStart w:id="218" w:name="_Toc30954"/>
      <w:bookmarkStart w:id="219" w:name="_Toc26556"/>
      <w:bookmarkStart w:id="220" w:name="_Toc66206069"/>
      <w:r>
        <w:rPr>
          <w:rFonts w:ascii="Times New Roman" w:hAnsi="Times New Roman" w:cs="Times New Roman"/>
          <w:b/>
          <w:sz w:val="28"/>
          <w:szCs w:val="24"/>
        </w:rPr>
        <w:t>4.1.1地理位置</w:t>
      </w:r>
      <w:bookmarkEnd w:id="216"/>
      <w:bookmarkEnd w:id="217"/>
      <w:bookmarkEnd w:id="218"/>
      <w:bookmarkEnd w:id="219"/>
      <w:bookmarkEnd w:id="220"/>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hint="eastAsia" w:ascii="Times New Roman" w:hAnsi="Times New Roman" w:cs="Times New Roman"/>
          <w:snapToGrid w:val="0"/>
          <w:lang w:eastAsia="zh-CN"/>
        </w:rPr>
        <w:t>祁东县地处衡阳市西南部，湘江中游北岸。地处111°32'～112°20'北纬26°28'～27°04'。东邻衡阳，西接桂林，南连永州，北抵邵东，湘桂铁路与322国道从境内并行而过，G72国家高速（衡昆高速公路)、娄衡高速公路、衡枣高速公路贯穿祁东，素有“湘桂咽喉”之称。境内地势自西北向东南倾斜，西部四明山脉逶迤，中部岐山绵延。北往长沙，南下广州，西到桂林，都不到3个小时车程，从县境东部湘江河道可直达长江，水陆交通极为便捷，是内陆地区承接沿海产业梯度转移的前沿地带。祁东县总面积1872平方公里</w:t>
      </w:r>
      <w:r>
        <w:rPr>
          <w:rFonts w:ascii="Times New Roman" w:hAnsi="Times New Roman" w:cs="Times New Roman"/>
          <w:snapToGrid w:val="0"/>
        </w:rPr>
        <w:t>。</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项目建设地点涉及</w:t>
      </w:r>
      <w:r>
        <w:rPr>
          <w:rFonts w:hint="eastAsia" w:ascii="Times New Roman" w:hAnsi="Times New Roman" w:cs="Times New Roman"/>
          <w:snapToGrid w:val="0"/>
          <w:lang w:eastAsia="zh-CN"/>
        </w:rPr>
        <w:t>祁东县祁东县四明山乡、太和堂镇、蒋家桥镇、城连圩乡</w:t>
      </w:r>
      <w:r>
        <w:rPr>
          <w:rFonts w:ascii="Times New Roman" w:hAnsi="Times New Roman" w:cs="Times New Roman"/>
          <w:snapToGrid w:val="0"/>
        </w:rPr>
        <w:t>，地理位置见附图1。</w:t>
      </w:r>
    </w:p>
    <w:p>
      <w:pPr>
        <w:autoSpaceDE/>
        <w:autoSpaceDN/>
        <w:adjustRightInd w:val="0"/>
        <w:snapToGrid w:val="0"/>
        <w:spacing w:line="360" w:lineRule="auto"/>
        <w:jc w:val="both"/>
        <w:outlineLvl w:val="2"/>
        <w:rPr>
          <w:rFonts w:ascii="Times New Roman" w:hAnsi="Times New Roman" w:cs="Times New Roman"/>
          <w:b/>
          <w:sz w:val="28"/>
          <w:szCs w:val="24"/>
        </w:rPr>
      </w:pPr>
      <w:bookmarkStart w:id="221" w:name="_Toc66206070"/>
      <w:bookmarkStart w:id="222" w:name="_Toc69284596"/>
      <w:bookmarkStart w:id="223" w:name="_Toc3259"/>
      <w:bookmarkStart w:id="224" w:name="_Toc23336"/>
      <w:bookmarkStart w:id="225" w:name="_Toc82593144"/>
      <w:r>
        <w:rPr>
          <w:rFonts w:ascii="Times New Roman" w:hAnsi="Times New Roman" w:cs="Times New Roman"/>
          <w:b/>
          <w:sz w:val="28"/>
          <w:szCs w:val="24"/>
        </w:rPr>
        <w:t>4.1.2地形、地貌、地质</w:t>
      </w:r>
      <w:bookmarkEnd w:id="221"/>
      <w:bookmarkEnd w:id="222"/>
      <w:bookmarkEnd w:id="223"/>
      <w:bookmarkEnd w:id="224"/>
      <w:bookmarkEnd w:id="225"/>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lang w:eastAsia="zh-CN"/>
        </w:rPr>
      </w:pPr>
      <w:r>
        <w:rPr>
          <w:rFonts w:hint="eastAsia" w:ascii="Times New Roman" w:hAnsi="Times New Roman" w:cs="Times New Roman"/>
          <w:lang w:eastAsia="zh-CN"/>
        </w:rPr>
        <w:t>1）地形地貌</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lang w:eastAsia="zh-CN"/>
        </w:rPr>
      </w:pPr>
      <w:r>
        <w:rPr>
          <w:rFonts w:hint="eastAsia" w:ascii="Times New Roman" w:hAnsi="Times New Roman" w:cs="Times New Roman"/>
          <w:lang w:eastAsia="zh-CN"/>
        </w:rPr>
        <w:t>祁东县红旗水库坝址地貌属浅变质低山丘陵地貌类型，工程区上游为中、低山区，地势较陡峭，地形切割较深，下游为溪谷平原，地势低平，主要为祁东县城分布区，地形总的趋势是北西高南东低，向南东倾斜。地表高程在123.0～188.00m之间，地形起伏较大，山峰之间多为开阔谷地，谷槽呈“U”字形。山坡的坡度一般为25～35°，以丘陵地形为主。</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lang w:eastAsia="zh-CN"/>
        </w:rPr>
      </w:pPr>
      <w:r>
        <w:rPr>
          <w:rFonts w:hint="eastAsia" w:ascii="Times New Roman" w:hAnsi="Times New Roman" w:cs="Times New Roman"/>
          <w:lang w:eastAsia="zh-CN"/>
        </w:rPr>
        <w:t>2）地质特征</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ascii="Times New Roman" w:hAnsi="Times New Roman" w:cs="Times New Roman"/>
          <w:lang w:eastAsia="zh-CN"/>
        </w:rPr>
        <w:t>祁东县红旗水库区域地质构造属湘东新华夏系褶皱断裂带范畴，位于新华夏系构造体系后期祁阳山字形构造改造的祁阳弧形构造南翼前缘与关帝庙复式背斜之间，主要构造线方向为北西向，坝址区未见有近期区域性活动断裂构造出现，勘察钻孔内亦未见断层破碎带、擦痕、断层角砾等断裂构造痕迹。坝址区基岩为奥陶系下统板岩，岩层分布较稳定，岩层总体为一单斜构造，产状基本稳定，大坝左岸岩层产状：SW5～15°，SE∠73°～78°；右岸岩层产状：SW25～35°，SE∠58°～65°，岩层走向与坝轴线约呈 68°夹角斜交，岩层向大坝左岸倾斜。坝址区地质构造主要为受区域地质构造影响，岩层局部有挤压破碎，挠曲变形现象。其次为岩石节理裂隙发育，裂隙以张性裂隙为主，裂隙一般间距＜0.5m，除地表因风化作用不均匀有泥质充填外，其余多呈半张开～微闭合状态。</w:t>
      </w:r>
    </w:p>
    <w:p>
      <w:pPr>
        <w:autoSpaceDE/>
        <w:autoSpaceDN/>
        <w:adjustRightInd w:val="0"/>
        <w:snapToGrid w:val="0"/>
        <w:spacing w:line="360" w:lineRule="auto"/>
        <w:jc w:val="both"/>
        <w:outlineLvl w:val="2"/>
        <w:rPr>
          <w:rFonts w:ascii="Times New Roman" w:hAnsi="Times New Roman" w:cs="Times New Roman"/>
          <w:b/>
          <w:sz w:val="28"/>
          <w:szCs w:val="24"/>
        </w:rPr>
      </w:pPr>
      <w:bookmarkStart w:id="226" w:name="_Toc69284597"/>
      <w:bookmarkStart w:id="227" w:name="_Toc11176"/>
      <w:bookmarkStart w:id="228" w:name="_Toc66206071"/>
      <w:bookmarkStart w:id="229" w:name="_Toc541"/>
      <w:bookmarkStart w:id="230" w:name="_Toc82593145"/>
      <w:r>
        <w:rPr>
          <w:rFonts w:ascii="Times New Roman" w:hAnsi="Times New Roman" w:cs="Times New Roman"/>
          <w:b/>
          <w:sz w:val="28"/>
          <w:szCs w:val="24"/>
        </w:rPr>
        <w:t>4.1.3河流水系</w:t>
      </w:r>
      <w:bookmarkEnd w:id="226"/>
      <w:bookmarkEnd w:id="227"/>
      <w:bookmarkEnd w:id="228"/>
      <w:bookmarkEnd w:id="229"/>
      <w:bookmarkEnd w:id="230"/>
      <w:r>
        <w:rPr>
          <w:rFonts w:ascii="Times New Roman" w:hAnsi="Times New Roman" w:cs="Times New Roman"/>
          <w:b/>
          <w:sz w:val="28"/>
          <w:szCs w:val="24"/>
        </w:rPr>
        <w:tab/>
      </w:r>
    </w:p>
    <w:p>
      <w:pPr>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祁东县属湘江流域。境内有湘江一级支流6条，长达278公里，二级支流17条，长达407.4公里，三级支流23条，长达237.9公里，四级支流2条，长24.3公里。此外，河长小于5公里或控制流域面积不足10平方公里的小溪沟有210条，长513公里。全县河网平均密度每平方公里0.77公里。境内水系可分祁水水系和归阳河水系，二水系以白地市的花屋、毛坪、七宝山一带的抬升地段为分水岭，祁水居西，归阳河居东。主要河流有湘江、祁水、归阳河及清江。归阳河的最长支流是清江，汇合前又自成水系。归阳河与清江是以断岭冲至双桥一带的山丘脊岭为界，归阳河居东，清江居南。</w:t>
      </w:r>
    </w:p>
    <w:p>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湘江从祁阳县楼梯乡水桐流入祁东县归阳镇清塘堰村狮子头，经归阳、七碗、樟木、五家围、河洲、粮市等乡镇，从粮市乡枫冲村江河组进入衡南县境内流长引公里，最宽处是五家围乡林埠头至祁阳县林家塘，宽1210米。最窄处是五家围乡戏台坪至常宁县大堡，宽255米。境内平均坡降12.9%。接纳了本县全部水系，累年平均流量每秒774.5立方米，实测流量每秒1.33万立方米（1976年），最小流量每秒23.5立方米（1966年）。归阳水文站确定，归山河段警戒为44米（折海拔高程69.69米）。50年来，最高水位达49.52米，最低水位38.5米（1966），归阳以下，小火轮可终年通航，归阳以上在枯水季节停航</w:t>
      </w:r>
      <w:r>
        <w:rPr>
          <w:rFonts w:hint="default" w:ascii="Times New Roman" w:hAnsi="Times New Roman" w:eastAsia="宋体" w:cs="Times New Roman"/>
          <w:color w:val="auto"/>
          <w:sz w:val="24"/>
          <w:highlight w:val="none"/>
        </w:rPr>
        <w:t>。</w:t>
      </w:r>
    </w:p>
    <w:p>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祁水位于湘江中游左岸，地理位置在东经111°34′～111°57′、北纬26°36′～27°02′之间。流域内有四明山，主峰登云峰1041m，有中低山2座，其它地区均为高程500m以下的丘陵和平原，整个地势由西北向东南方向倾斜。流域内出露地层多为第三纪红色岩系的砂岩和页岩，地震烈度为Ⅵ度。</w:t>
      </w:r>
    </w:p>
    <w:p>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祁水干流全长114km（位于祁东县55km），总流域面积1685km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（位于祁东县966km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），干流平均坡降为1.95‰。流经邵阳县边境和祁东、祁阳两县，支流伸展至邵东、东安、零陵三县（区）边境。河长大于5km的各级支流有37条，其中，祁水的一级支流为15条，流域面积大于75km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的为6条，支流分布呈不对称树枝状。祁水地势北高南低，水流自北向南而流，流域面积大于100km2的支流有：步云桥河(F=169km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)、双江口河(F=244km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)、车壁塘河(F=192km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)、横水桥河(F=244km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w:t>
      </w:r>
    </w:p>
    <w:p>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江口水库位于祁东县太和堂镇，属湘江水系祁水支流。水库自身集雨面积27.75km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（另外引面积41km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，有闸门控制，可保证汛期洪水不入库），流域干流长度8.1km，干流平均坡降7.85‰， 江口水库为年调节水库，正常蓄水位239.09m，相应库容1815万m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。水库枢纽大坝按100年一遇洪水设计，1000年一遇洪水校核。</w:t>
      </w:r>
    </w:p>
    <w:p>
      <w:pPr>
        <w:spacing w:line="360" w:lineRule="auto"/>
        <w:ind w:firstLine="48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次祁水祁东县治理工程河道全长24.587km，桩号根据祁水一、二期治理工程连续编号，太和堂段下游起点为东风水闸（桩号祁32+537），上游终点为郭家院子公路桥（桩号祁11+400），桩号祁32+537控制断面以上控制集雨面积277.4k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，干流河长36.04km，平均坡降12.33‰；祁水源段长3.45km，位于四明山乡，下游起点为双江村公路桥（桩号祁3+550），上游终点为艾家排（桩号祁0+100），桩号祁3+550控制断面以上控制集雨面积12.72km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，干流河长3.55km，平均坡降30.42‰。地理位置及流域水系图示意图见</w:t>
      </w:r>
      <w:r>
        <w:rPr>
          <w:rFonts w:hint="eastAsia" w:ascii="Times New Roman" w:hAnsi="Times New Roman" w:cs="Times New Roman"/>
          <w:color w:val="auto"/>
          <w:sz w:val="24"/>
          <w:highlight w:val="none"/>
          <w:lang w:eastAsia="zh-CN"/>
        </w:rPr>
        <w:t>附</w:t>
      </w:r>
      <w:r>
        <w:rPr>
          <w:rFonts w:hint="default" w:ascii="Times New Roman" w:hAnsi="Times New Roman" w:eastAsia="宋体" w:cs="Times New Roman"/>
          <w:color w:val="auto"/>
          <w:sz w:val="24"/>
          <w:highlight w:val="none"/>
        </w:rPr>
        <w:t>图</w:t>
      </w:r>
      <w:r>
        <w:rPr>
          <w:rFonts w:ascii="Times New Roman" w:hAnsi="Times New Roman" w:cs="Times New Roman"/>
          <w:snapToGrid w:val="0"/>
        </w:rPr>
        <w:t>。</w:t>
      </w:r>
    </w:p>
    <w:p>
      <w:pPr>
        <w:autoSpaceDE/>
        <w:autoSpaceDN/>
        <w:adjustRightInd w:val="0"/>
        <w:snapToGrid w:val="0"/>
        <w:spacing w:line="360" w:lineRule="auto"/>
        <w:jc w:val="both"/>
        <w:outlineLvl w:val="2"/>
        <w:rPr>
          <w:rFonts w:ascii="Times New Roman" w:hAnsi="Times New Roman" w:cs="Times New Roman"/>
          <w:b/>
          <w:sz w:val="28"/>
          <w:szCs w:val="24"/>
        </w:rPr>
      </w:pPr>
      <w:bookmarkStart w:id="231" w:name="_Toc17726"/>
      <w:bookmarkStart w:id="232" w:name="_Toc66206072"/>
      <w:bookmarkStart w:id="233" w:name="_Toc82593146"/>
      <w:bookmarkStart w:id="234" w:name="_Toc17652"/>
      <w:bookmarkStart w:id="235" w:name="_Toc69284598"/>
      <w:r>
        <w:rPr>
          <w:rFonts w:ascii="Times New Roman" w:hAnsi="Times New Roman" w:cs="Times New Roman"/>
          <w:b/>
          <w:sz w:val="28"/>
          <w:szCs w:val="24"/>
        </w:rPr>
        <w:t>4.1.4气象</w:t>
      </w:r>
      <w:bookmarkEnd w:id="231"/>
      <w:bookmarkEnd w:id="232"/>
      <w:bookmarkEnd w:id="233"/>
      <w:bookmarkEnd w:id="234"/>
      <w:bookmarkEnd w:id="235"/>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hint="eastAsia" w:ascii="Times New Roman" w:hAnsi="Times New Roman" w:cs="Times New Roman"/>
        </w:rPr>
        <w:t>工程区属亚热带湿润季风气候区，流域多年平均降水量1460mm，多年平均蒸发量1353.7mm，多年平均气温17.3℃，多年平均相对湿度80.3%，多年平均风速2.4m/s</w:t>
      </w:r>
      <w:r>
        <w:rPr>
          <w:rFonts w:ascii="Times New Roman" w:hAnsi="Times New Roman" w:cs="Times New Roman"/>
          <w:snapToGrid w:val="0"/>
        </w:rPr>
        <w:t>。</w:t>
      </w:r>
    </w:p>
    <w:p>
      <w:pPr>
        <w:autoSpaceDE/>
        <w:autoSpaceDN/>
        <w:adjustRightInd w:val="0"/>
        <w:snapToGrid w:val="0"/>
        <w:spacing w:line="360" w:lineRule="auto"/>
        <w:jc w:val="both"/>
        <w:outlineLvl w:val="2"/>
        <w:rPr>
          <w:rFonts w:hint="eastAsia" w:ascii="Times New Roman" w:hAnsi="Times New Roman" w:eastAsia="宋体" w:cs="Times New Roman"/>
          <w:b/>
          <w:sz w:val="28"/>
          <w:szCs w:val="24"/>
          <w:lang w:eastAsia="zh-CN"/>
        </w:rPr>
      </w:pPr>
      <w:bookmarkStart w:id="236" w:name="_Toc66206073"/>
      <w:bookmarkStart w:id="237" w:name="_Toc24784"/>
      <w:bookmarkStart w:id="238" w:name="_Toc82593147"/>
      <w:bookmarkStart w:id="239" w:name="_Toc69284599"/>
      <w:bookmarkStart w:id="240" w:name="_Toc18250"/>
      <w:r>
        <w:rPr>
          <w:rFonts w:ascii="Times New Roman" w:hAnsi="Times New Roman" w:cs="Times New Roman"/>
          <w:b/>
          <w:sz w:val="28"/>
          <w:szCs w:val="24"/>
        </w:rPr>
        <w:t>4.1.5</w:t>
      </w:r>
      <w:bookmarkEnd w:id="236"/>
      <w:bookmarkEnd w:id="237"/>
      <w:bookmarkEnd w:id="238"/>
      <w:bookmarkEnd w:id="239"/>
      <w:bookmarkEnd w:id="240"/>
      <w:r>
        <w:rPr>
          <w:rFonts w:hint="eastAsia" w:ascii="Times New Roman" w:hAnsi="Times New Roman" w:cs="Times New Roman"/>
          <w:b/>
          <w:sz w:val="28"/>
          <w:szCs w:val="24"/>
          <w:lang w:eastAsia="zh-CN"/>
        </w:rPr>
        <w:t>生态环境</w:t>
      </w:r>
    </w:p>
    <w:p>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（1）陆生生态</w:t>
      </w:r>
    </w:p>
    <w:p>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①植物资源</w:t>
      </w:r>
    </w:p>
    <w:p>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祁东县内树种资源计85科，231属，488种。用材林树种有杉木、松树、樟树、察树、枫香、泡桐等292种；经济林树种有白栋、抢木、枣、桃、李、梨、女贞、山苍子、柑桔、板栗、油桐、油茶、乌相、茶叶、棕们等140种；薪炭林有刺槐、牡剂等42种；稀有珍贵树种有白玉兰、银杏、香果、青钱柳、白乐、兰果木、紫穗槐等14种。</w:t>
      </w:r>
    </w:p>
    <w:p>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祁东县成片草场94处，山地草丛类和丘陵草丛类的植被结构以多年生禾本科牧草为主，间杂山竹及小量灌木植物。其主要品种有五节芒、白茅、野古草、鹅观草、葛藤、紫藤等。农地杂草有探麦粮、水草、灯芯草、三棱草、游草、鸭舌草、稗、鱼腥草、狗尾草、浮萍、水浮莲、水葫芦、菱、四叶草、水花生、马鞭草、蒿、夏姑草、车前草等。境内还有蜜源植物43种，大部分分布在东南部岗丘地带。</w:t>
      </w:r>
    </w:p>
    <w:p>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②动物资源</w:t>
      </w:r>
    </w:p>
    <w:p>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祁东县野生动物资源生态分类属中亚热带林灌草地农田动物群，种类繁多，其中：哺乳类有7目18科33种，鸟类有12目29科66种，爬行类有3目10科84种，两栖类有2目7科，鱼类有7目16科89种；节肢动物中：昆虫有13目74科206种，蛛形类有16科2种，还有虾、蟹等甲壳类，蜈蚣、百足虫等多足类动物；环节动物中常见有蚯蚓、水蝗、山蝗等；软体动物有4目10科，主要有园田螺等10余种螺，园顶蚌、背瘤蛎蚌、背角无齿蚌、河蚬、湖蛛蚬、蜗牛、大蜗、蛞蝓等。县域现存的野生陆生动物主要为一些小型的两栖动物、爬行动物、哺乳动物及鸟类等；家畜家禽主要有猪、狗、牛、鸡、鸭等；飞禽主要为常见鸟类，如麻雀、乌鸦等。区域鸟类种类繁多，有白鹭、斑鸠、麻雀、山鹰、画眉等20个多种类以及鸳鸯、鸬鹚等水禽类。。</w:t>
      </w:r>
    </w:p>
    <w:p>
      <w:pPr>
        <w:pStyle w:val="5"/>
        <w:tabs>
          <w:tab w:val="left" w:pos="766"/>
        </w:tabs>
        <w:autoSpaceDE/>
        <w:autoSpaceDN/>
        <w:adjustRightInd w:val="0"/>
        <w:snapToGrid w:val="0"/>
        <w:spacing w:before="0" w:line="360" w:lineRule="auto"/>
        <w:ind w:left="0" w:firstLine="0"/>
        <w:jc w:val="both"/>
        <w:rPr>
          <w:rFonts w:ascii="Times New Roman" w:hAnsi="Times New Roman" w:cs="Times New Roman"/>
          <w:snapToGrid w:val="0"/>
        </w:rPr>
      </w:pPr>
      <w:bookmarkStart w:id="241" w:name="_bookmark34"/>
      <w:bookmarkEnd w:id="241"/>
      <w:bookmarkStart w:id="242" w:name="_Toc30518"/>
      <w:r>
        <w:rPr>
          <w:rFonts w:ascii="Times New Roman" w:hAnsi="Times New Roman" w:cs="Times New Roman"/>
          <w:snapToGrid w:val="0"/>
        </w:rPr>
        <w:t>4.</w:t>
      </w:r>
      <w:r>
        <w:rPr>
          <w:rFonts w:hint="eastAsia" w:ascii="Times New Roman" w:hAnsi="Times New Roman" w:cs="Times New Roman"/>
          <w:snapToGrid w:val="0"/>
          <w:lang w:val="en-US" w:eastAsia="zh-CN"/>
        </w:rPr>
        <w:t>3</w:t>
      </w:r>
      <w:r>
        <w:rPr>
          <w:rFonts w:hint="eastAsia" w:ascii="Times New Roman" w:hAnsi="Times New Roman" w:cs="Times New Roman"/>
          <w:snapToGrid w:val="0"/>
          <w:lang w:eastAsia="zh-CN"/>
        </w:rPr>
        <w:t>饮用水源保护区</w:t>
      </w:r>
      <w:bookmarkEnd w:id="242"/>
    </w:p>
    <w:p>
      <w:pPr>
        <w:autoSpaceDE/>
        <w:autoSpaceDN/>
        <w:adjustRightInd w:val="0"/>
        <w:snapToGrid w:val="0"/>
        <w:spacing w:line="360" w:lineRule="auto"/>
        <w:jc w:val="both"/>
        <w:outlineLvl w:val="2"/>
        <w:rPr>
          <w:rFonts w:hint="eastAsia" w:ascii="Times New Roman" w:hAnsi="Times New Roman" w:eastAsia="宋体" w:cs="Times New Roman"/>
          <w:b/>
          <w:color w:val="000000" w:themeColor="text1"/>
          <w:sz w:val="28"/>
          <w:szCs w:val="24"/>
          <w:lang w:eastAsia="zh-CN"/>
          <w14:textFill>
            <w14:solidFill>
              <w14:schemeClr w14:val="tx1"/>
            </w14:solidFill>
          </w14:textFill>
        </w:rPr>
      </w:pPr>
      <w:bookmarkStart w:id="243" w:name="_Toc17363"/>
      <w:r>
        <w:rPr>
          <w:rFonts w:ascii="Times New Roman" w:hAnsi="Times New Roman" w:cs="Times New Roman"/>
          <w:b/>
          <w:color w:val="000000" w:themeColor="text1"/>
          <w:sz w:val="28"/>
          <w:szCs w:val="24"/>
          <w14:textFill>
            <w14:solidFill>
              <w14:schemeClr w14:val="tx1"/>
            </w14:solidFill>
          </w14:textFill>
        </w:rPr>
        <w:t>4.</w:t>
      </w:r>
      <w:r>
        <w:rPr>
          <w:rFonts w:hint="eastAsia" w:ascii="Times New Roman" w:hAnsi="Times New Roman" w:cs="Times New Roman"/>
          <w:b/>
          <w:color w:val="000000" w:themeColor="text1"/>
          <w:sz w:val="28"/>
          <w:szCs w:val="24"/>
          <w:lang w:val="en-US" w:eastAsia="zh-CN"/>
          <w14:textFill>
            <w14:solidFill>
              <w14:schemeClr w14:val="tx1"/>
            </w14:solidFill>
          </w14:textFill>
        </w:rPr>
        <w:t>3</w:t>
      </w:r>
      <w:r>
        <w:rPr>
          <w:rFonts w:ascii="Times New Roman" w:hAnsi="Times New Roman" w:cs="Times New Roman"/>
          <w:b/>
          <w:color w:val="000000" w:themeColor="text1"/>
          <w:sz w:val="28"/>
          <w:szCs w:val="24"/>
          <w14:textFill>
            <w14:solidFill>
              <w14:schemeClr w14:val="tx1"/>
            </w14:solidFill>
          </w14:textFill>
        </w:rPr>
        <w:t>.</w:t>
      </w:r>
      <w:r>
        <w:rPr>
          <w:rFonts w:hint="eastAsia" w:ascii="Times New Roman" w:hAnsi="Times New Roman" w:cs="Times New Roman"/>
          <w:b/>
          <w:color w:val="000000" w:themeColor="text1"/>
          <w:sz w:val="28"/>
          <w:szCs w:val="24"/>
          <w:lang w:val="en-US" w:eastAsia="zh-CN"/>
          <w14:textFill>
            <w14:solidFill>
              <w14:schemeClr w14:val="tx1"/>
            </w14:solidFill>
          </w14:textFill>
        </w:rPr>
        <w:t>1</w:t>
      </w:r>
      <w:r>
        <w:rPr>
          <w:rFonts w:hint="eastAsia" w:ascii="Times New Roman" w:hAnsi="Times New Roman" w:cs="Times New Roman"/>
          <w:b/>
          <w:color w:val="000000" w:themeColor="text1"/>
          <w:sz w:val="28"/>
          <w:szCs w:val="24"/>
          <w:lang w:eastAsia="zh-CN"/>
          <w14:textFill>
            <w14:solidFill>
              <w14:schemeClr w14:val="tx1"/>
            </w14:solidFill>
          </w14:textFill>
        </w:rPr>
        <w:t>饮用水源保护区基本情况</w:t>
      </w:r>
      <w:bookmarkEnd w:id="243"/>
      <w:r>
        <w:commentReference w:id="0"/>
      </w:r>
    </w:p>
    <w:p>
      <w:pPr>
        <w:widowControl/>
        <w:spacing w:line="360" w:lineRule="auto"/>
        <w:ind w:firstLine="480" w:firstLineChars="200"/>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项目涉及</w:t>
      </w:r>
      <w:r>
        <w:rPr>
          <w:rFonts w:hint="eastAsia" w:ascii="Times New Roman" w:hAnsi="Times New Roman" w:cs="Times New Roman"/>
          <w:color w:val="auto"/>
          <w:sz w:val="24"/>
          <w:highlight w:val="none"/>
          <w:lang w:eastAsia="zh-CN"/>
        </w:rPr>
        <w:t>祁水</w:t>
      </w:r>
      <w:r>
        <w:rPr>
          <w:rFonts w:hint="default" w:ascii="Times New Roman" w:hAnsi="Times New Roman" w:eastAsia="宋体" w:cs="Times New Roman"/>
          <w:color w:val="auto"/>
          <w:sz w:val="24"/>
          <w:highlight w:val="none"/>
        </w:rPr>
        <w:t>流域范围内饮用水水源保护区共</w:t>
      </w:r>
      <w:r>
        <w:rPr>
          <w:rFonts w:hint="eastAsia"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个，分别为</w:t>
      </w:r>
      <w:r>
        <w:rPr>
          <w:rFonts w:hint="eastAsia" w:ascii="Times New Roman" w:hAnsi="Times New Roman" w:cs="Times New Roman"/>
          <w:color w:val="auto"/>
          <w:sz w:val="24"/>
          <w:highlight w:val="none"/>
          <w:lang w:eastAsia="zh-CN"/>
        </w:rPr>
        <w:t>祁东县</w:t>
      </w:r>
      <w:r>
        <w:rPr>
          <w:rFonts w:hint="default" w:ascii="Times New Roman" w:hAnsi="Times New Roman" w:eastAsia="宋体" w:cs="Times New Roman"/>
          <w:color w:val="auto"/>
          <w:sz w:val="24"/>
          <w:highlight w:val="none"/>
        </w:rPr>
        <w:t>泗汾镇（泗汾自来水厂）</w:t>
      </w:r>
      <w:r>
        <w:rPr>
          <w:rFonts w:hint="eastAsia" w:ascii="Times New Roman" w:hAnsi="Times New Roman" w:cs="Times New Roman"/>
          <w:color w:val="auto"/>
          <w:sz w:val="24"/>
          <w:highlight w:val="none"/>
          <w:lang w:eastAsia="zh-CN"/>
        </w:rPr>
        <w:t>祁水</w:t>
      </w:r>
      <w:r>
        <w:rPr>
          <w:rFonts w:hint="default" w:ascii="Times New Roman" w:hAnsi="Times New Roman" w:eastAsia="宋体" w:cs="Times New Roman"/>
          <w:color w:val="auto"/>
          <w:sz w:val="24"/>
          <w:highlight w:val="none"/>
        </w:rPr>
        <w:t>饮用水水源保护区</w:t>
      </w:r>
      <w:r>
        <w:rPr>
          <w:rFonts w:hint="default"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highlight w:val="none"/>
          <w:lang w:eastAsia="zh-CN"/>
        </w:rPr>
        <w:t>祁东县</w:t>
      </w:r>
      <w:r>
        <w:rPr>
          <w:rFonts w:hint="default" w:ascii="Times New Roman" w:hAnsi="Times New Roman" w:eastAsia="宋体" w:cs="Times New Roman"/>
          <w:color w:val="auto"/>
          <w:sz w:val="24"/>
          <w:highlight w:val="none"/>
        </w:rPr>
        <w:t>船湾镇（船湾自来水厂）</w:t>
      </w:r>
      <w:r>
        <w:rPr>
          <w:rFonts w:hint="eastAsia" w:ascii="Times New Roman" w:hAnsi="Times New Roman" w:cs="Times New Roman"/>
          <w:color w:val="auto"/>
          <w:sz w:val="24"/>
          <w:highlight w:val="none"/>
          <w:lang w:eastAsia="zh-CN"/>
        </w:rPr>
        <w:t>祁水</w:t>
      </w:r>
      <w:r>
        <w:rPr>
          <w:rFonts w:hint="default" w:ascii="Times New Roman" w:hAnsi="Times New Roman" w:eastAsia="宋体" w:cs="Times New Roman"/>
          <w:color w:val="auto"/>
          <w:sz w:val="24"/>
          <w:highlight w:val="none"/>
        </w:rPr>
        <w:t>饮用水水源保护区</w:t>
      </w:r>
      <w:r>
        <w:rPr>
          <w:rFonts w:hint="default"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highlight w:val="none"/>
          <w:lang w:eastAsia="zh-CN"/>
        </w:rPr>
        <w:t>祁东县</w:t>
      </w:r>
      <w:r>
        <w:rPr>
          <w:rFonts w:hint="default" w:ascii="Times New Roman" w:hAnsi="Times New Roman" w:eastAsia="宋体" w:cs="Times New Roman"/>
          <w:color w:val="auto"/>
          <w:sz w:val="24"/>
          <w:highlight w:val="none"/>
        </w:rPr>
        <w:t>船湾镇（新平自来水厂）</w:t>
      </w:r>
      <w:r>
        <w:rPr>
          <w:rFonts w:hint="eastAsia" w:ascii="Times New Roman" w:hAnsi="Times New Roman" w:cs="Times New Roman"/>
          <w:color w:val="auto"/>
          <w:sz w:val="24"/>
          <w:highlight w:val="none"/>
          <w:lang w:eastAsia="zh-CN"/>
        </w:rPr>
        <w:t>祁水</w:t>
      </w:r>
      <w:r>
        <w:rPr>
          <w:rFonts w:hint="default" w:ascii="Times New Roman" w:hAnsi="Times New Roman" w:eastAsia="宋体" w:cs="Times New Roman"/>
          <w:color w:val="auto"/>
          <w:sz w:val="24"/>
          <w:highlight w:val="none"/>
        </w:rPr>
        <w:t>饮用水水源保护区</w:t>
      </w:r>
      <w:r>
        <w:rPr>
          <w:rFonts w:hint="default"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highlight w:val="none"/>
          <w:lang w:eastAsia="zh-CN"/>
        </w:rPr>
        <w:t>祁东县</w:t>
      </w:r>
      <w:r>
        <w:rPr>
          <w:rFonts w:hint="default" w:ascii="Times New Roman" w:hAnsi="Times New Roman" w:eastAsia="宋体" w:cs="Times New Roman"/>
          <w:color w:val="auto"/>
          <w:sz w:val="24"/>
          <w:highlight w:val="none"/>
        </w:rPr>
        <w:t>茶山镇</w:t>
      </w:r>
      <w:r>
        <w:rPr>
          <w:rFonts w:hint="eastAsia" w:ascii="Times New Roman" w:hAnsi="Times New Roman" w:cs="Times New Roman"/>
          <w:color w:val="auto"/>
          <w:sz w:val="24"/>
          <w:highlight w:val="none"/>
          <w:lang w:eastAsia="zh-CN"/>
        </w:rPr>
        <w:t>祁水</w:t>
      </w:r>
      <w:r>
        <w:rPr>
          <w:rFonts w:hint="default" w:ascii="Times New Roman" w:hAnsi="Times New Roman" w:eastAsia="宋体" w:cs="Times New Roman"/>
          <w:color w:val="auto"/>
          <w:sz w:val="24"/>
          <w:highlight w:val="none"/>
        </w:rPr>
        <w:t>饮用水水源保护区</w:t>
      </w:r>
      <w:r>
        <w:rPr>
          <w:rFonts w:hint="default"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highlight w:val="none"/>
          <w:lang w:eastAsia="zh-CN"/>
        </w:rPr>
        <w:t>祁东县</w:t>
      </w:r>
      <w:r>
        <w:rPr>
          <w:rFonts w:hint="default" w:ascii="Times New Roman" w:hAnsi="Times New Roman" w:eastAsia="宋体" w:cs="Times New Roman"/>
          <w:color w:val="auto"/>
          <w:sz w:val="24"/>
          <w:highlight w:val="none"/>
        </w:rPr>
        <w:t>泗汾镇泗新自来水水公司饮用水水源保护区</w:t>
      </w:r>
      <w:r>
        <w:rPr>
          <w:rFonts w:hint="default"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highlight w:val="none"/>
          <w:lang w:eastAsia="zh-CN"/>
        </w:rPr>
        <w:t>祁东县</w:t>
      </w:r>
      <w:r>
        <w:rPr>
          <w:rFonts w:hint="default" w:ascii="Times New Roman" w:hAnsi="Times New Roman" w:eastAsia="宋体" w:cs="Times New Roman"/>
          <w:color w:val="auto"/>
          <w:sz w:val="24"/>
          <w:highlight w:val="none"/>
        </w:rPr>
        <w:t>沈潭镇</w:t>
      </w:r>
      <w:r>
        <w:rPr>
          <w:rFonts w:hint="eastAsia" w:ascii="Times New Roman" w:hAnsi="Times New Roman" w:eastAsia="宋体" w:cs="Times New Roman"/>
          <w:color w:val="auto"/>
          <w:sz w:val="24"/>
          <w:highlight w:val="none"/>
          <w:lang w:eastAsia="zh-CN"/>
        </w:rPr>
        <w:t>自来水厂</w:t>
      </w:r>
      <w:r>
        <w:rPr>
          <w:rFonts w:hint="eastAsia" w:ascii="Times New Roman" w:hAnsi="Times New Roman" w:cs="Times New Roman"/>
          <w:color w:val="auto"/>
          <w:sz w:val="24"/>
          <w:highlight w:val="none"/>
          <w:lang w:eastAsia="zh-CN"/>
        </w:rPr>
        <w:t>祁水</w:t>
      </w:r>
      <w:r>
        <w:rPr>
          <w:rFonts w:hint="default" w:ascii="Times New Roman" w:hAnsi="Times New Roman" w:eastAsia="宋体" w:cs="Times New Roman"/>
          <w:color w:val="auto"/>
          <w:sz w:val="24"/>
          <w:highlight w:val="none"/>
        </w:rPr>
        <w:t>饮用水水源保护区</w:t>
      </w:r>
      <w:r>
        <w:rPr>
          <w:rFonts w:hint="default"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highlight w:val="none"/>
          <w:lang w:eastAsia="zh-CN"/>
        </w:rPr>
        <w:t>祁东县</w:t>
      </w:r>
      <w:r>
        <w:rPr>
          <w:rFonts w:hint="default" w:ascii="Times New Roman" w:hAnsi="Times New Roman" w:eastAsia="宋体" w:cs="Times New Roman"/>
          <w:color w:val="auto"/>
          <w:sz w:val="24"/>
          <w:highlight w:val="none"/>
        </w:rPr>
        <w:t>沈潭镇</w:t>
      </w:r>
      <w:r>
        <w:rPr>
          <w:rFonts w:hint="eastAsia" w:ascii="Times New Roman" w:hAnsi="Times New Roman" w:eastAsia="宋体" w:cs="Times New Roman"/>
          <w:color w:val="auto"/>
          <w:sz w:val="24"/>
          <w:highlight w:val="none"/>
          <w:lang w:eastAsia="zh-CN"/>
        </w:rPr>
        <w:t>三星里自来水厂</w:t>
      </w:r>
      <w:r>
        <w:rPr>
          <w:rFonts w:hint="eastAsia" w:ascii="Times New Roman" w:hAnsi="Times New Roman" w:cs="Times New Roman"/>
          <w:color w:val="auto"/>
          <w:sz w:val="24"/>
          <w:highlight w:val="none"/>
          <w:lang w:eastAsia="zh-CN"/>
        </w:rPr>
        <w:t>祁水</w:t>
      </w:r>
      <w:r>
        <w:rPr>
          <w:rFonts w:hint="default" w:ascii="Times New Roman" w:hAnsi="Times New Roman" w:eastAsia="宋体" w:cs="Times New Roman"/>
          <w:color w:val="auto"/>
          <w:sz w:val="24"/>
          <w:highlight w:val="none"/>
        </w:rPr>
        <w:t>饮用水水源保护区</w:t>
      </w:r>
      <w:r>
        <w:rPr>
          <w:rFonts w:hint="default"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highlight w:val="none"/>
          <w:lang w:eastAsia="zh-CN"/>
        </w:rPr>
        <w:t>祁东县</w:t>
      </w:r>
      <w:r>
        <w:rPr>
          <w:rFonts w:hint="default" w:ascii="Times New Roman" w:hAnsi="Times New Roman" w:eastAsia="宋体" w:cs="Times New Roman"/>
          <w:color w:val="auto"/>
          <w:sz w:val="24"/>
          <w:highlight w:val="none"/>
        </w:rPr>
        <w:t>嘉树镇</w:t>
      </w:r>
      <w:r>
        <w:rPr>
          <w:rFonts w:hint="eastAsia" w:ascii="Times New Roman" w:hAnsi="Times New Roman" w:cs="Times New Roman"/>
          <w:color w:val="auto"/>
          <w:sz w:val="24"/>
          <w:highlight w:val="none"/>
          <w:lang w:eastAsia="zh-CN"/>
        </w:rPr>
        <w:t>祁水</w:t>
      </w:r>
      <w:r>
        <w:rPr>
          <w:rFonts w:hint="default" w:ascii="Times New Roman" w:hAnsi="Times New Roman" w:eastAsia="宋体" w:cs="Times New Roman"/>
          <w:color w:val="auto"/>
          <w:sz w:val="24"/>
          <w:highlight w:val="none"/>
        </w:rPr>
        <w:t>饮用水水源保护区。保护区面积达</w:t>
      </w:r>
      <w:r>
        <w:rPr>
          <w:rFonts w:hint="default" w:ascii="Times New Roman" w:hAnsi="Times New Roman" w:eastAsia="宋体" w:cs="Times New Roman"/>
          <w:color w:val="auto"/>
          <w:sz w:val="24"/>
          <w:szCs w:val="32"/>
          <w:highlight w:val="none"/>
        </w:rPr>
        <w:t>8.83</w:t>
      </w:r>
      <w:r>
        <w:rPr>
          <w:rFonts w:hint="default" w:ascii="Times New Roman" w:hAnsi="Times New Roman" w:eastAsia="宋体" w:cs="Times New Roman"/>
          <w:color w:val="auto"/>
          <w:sz w:val="24"/>
          <w:szCs w:val="32"/>
          <w:highlight w:val="none"/>
          <w:lang w:val="en-US" w:eastAsia="zh-CN"/>
        </w:rPr>
        <w:t xml:space="preserve"> </w:t>
      </w:r>
      <w:r>
        <w:rPr>
          <w:rFonts w:hint="default" w:ascii="Times New Roman" w:hAnsi="Times New Roman" w:eastAsia="宋体" w:cs="Times New Roman"/>
          <w:color w:val="auto"/>
          <w:sz w:val="24"/>
          <w:highlight w:val="none"/>
        </w:rPr>
        <w:t>km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，服务人口达</w:t>
      </w:r>
      <w:r>
        <w:rPr>
          <w:rFonts w:hint="eastAsia" w:ascii="Times New Roman" w:hAnsi="Times New Roman" w:eastAsia="宋体" w:cs="Times New Roman"/>
          <w:color w:val="auto"/>
          <w:sz w:val="24"/>
          <w:szCs w:val="32"/>
          <w:highlight w:val="none"/>
          <w:lang w:val="en-US" w:eastAsia="zh-CN"/>
        </w:rPr>
        <w:t>75</w:t>
      </w:r>
      <w:r>
        <w:rPr>
          <w:rFonts w:hint="default" w:ascii="Times New Roman" w:hAnsi="Times New Roman" w:eastAsia="宋体" w:cs="Times New Roman"/>
          <w:color w:val="auto"/>
          <w:sz w:val="24"/>
          <w:szCs w:val="32"/>
          <w:highlight w:val="none"/>
        </w:rPr>
        <w:t>268</w:t>
      </w:r>
      <w:r>
        <w:rPr>
          <w:rFonts w:hint="default" w:ascii="Times New Roman" w:hAnsi="Times New Roman" w:eastAsia="宋体" w:cs="Times New Roman"/>
          <w:color w:val="auto"/>
          <w:sz w:val="24"/>
          <w:highlight w:val="none"/>
        </w:rPr>
        <w:t>人。饮用水水源保护区基本情况见表</w:t>
      </w:r>
      <w:r>
        <w:rPr>
          <w:rFonts w:hint="eastAsia"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eastAsia="zh-CN"/>
        </w:rPr>
        <w:t>。</w:t>
      </w:r>
    </w:p>
    <w:p>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sz w:val="24"/>
          <w:szCs w:val="21"/>
          <w:highlight w:val="none"/>
        </w:rPr>
        <w:t>表</w:t>
      </w:r>
      <w:r>
        <w:rPr>
          <w:rFonts w:hint="eastAsia" w:ascii="Times New Roman" w:hAnsi="Times New Roman" w:eastAsia="宋体" w:cs="Times New Roman"/>
          <w:b/>
          <w:color w:val="auto"/>
          <w:sz w:val="24"/>
          <w:szCs w:val="21"/>
          <w:highlight w:val="none"/>
          <w:lang w:val="en-US" w:eastAsia="zh-CN"/>
        </w:rPr>
        <w:t>4</w:t>
      </w:r>
      <w:r>
        <w:rPr>
          <w:rFonts w:hint="default" w:ascii="Times New Roman" w:hAnsi="Times New Roman" w:eastAsia="宋体" w:cs="Times New Roman"/>
          <w:b/>
          <w:color w:val="auto"/>
          <w:sz w:val="24"/>
          <w:szCs w:val="21"/>
          <w:highlight w:val="none"/>
        </w:rPr>
        <w:t>.</w:t>
      </w:r>
      <w:r>
        <w:rPr>
          <w:rFonts w:hint="default" w:ascii="Times New Roman" w:hAnsi="Times New Roman" w:eastAsia="宋体" w:cs="Times New Roman"/>
          <w:b/>
          <w:color w:val="auto"/>
          <w:sz w:val="24"/>
          <w:szCs w:val="21"/>
          <w:highlight w:val="none"/>
          <w:lang w:val="en-US" w:eastAsia="zh-CN"/>
        </w:rPr>
        <w:t>3</w:t>
      </w:r>
      <w:r>
        <w:rPr>
          <w:rFonts w:hint="default" w:ascii="Times New Roman" w:hAnsi="Times New Roman" w:eastAsia="宋体" w:cs="Times New Roman"/>
          <w:b/>
          <w:color w:val="auto"/>
          <w:sz w:val="24"/>
          <w:szCs w:val="21"/>
          <w:highlight w:val="none"/>
        </w:rPr>
        <w:t>-1饮用水水源保护区基本情况表</w:t>
      </w:r>
    </w:p>
    <w:tbl>
      <w:tblPr>
        <w:tblStyle w:val="90"/>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1750"/>
        <w:gridCol w:w="669"/>
        <w:gridCol w:w="950"/>
        <w:gridCol w:w="773"/>
        <w:gridCol w:w="1011"/>
        <w:gridCol w:w="1460"/>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548" w:type="dxa"/>
            <w:vMerge w:val="restart"/>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1750" w:type="dxa"/>
            <w:vMerge w:val="restart"/>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水源</w:t>
            </w:r>
          </w:p>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名称</w:t>
            </w:r>
          </w:p>
        </w:tc>
        <w:tc>
          <w:tcPr>
            <w:tcW w:w="669" w:type="dxa"/>
            <w:vMerge w:val="restart"/>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水源</w:t>
            </w:r>
          </w:p>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类型</w:t>
            </w:r>
          </w:p>
        </w:tc>
        <w:tc>
          <w:tcPr>
            <w:tcW w:w="950" w:type="dxa"/>
            <w:vMerge w:val="restart"/>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对应水厂</w:t>
            </w:r>
          </w:p>
        </w:tc>
        <w:tc>
          <w:tcPr>
            <w:tcW w:w="773" w:type="dxa"/>
            <w:vMerge w:val="restart"/>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建成时间/年</w:t>
            </w:r>
          </w:p>
        </w:tc>
        <w:tc>
          <w:tcPr>
            <w:tcW w:w="1011" w:type="dxa"/>
            <w:vMerge w:val="restart"/>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服务人口/人</w:t>
            </w:r>
          </w:p>
        </w:tc>
        <w:tc>
          <w:tcPr>
            <w:tcW w:w="2827" w:type="dxa"/>
            <w:gridSpan w:val="2"/>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取水口位置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48" w:type="dxa"/>
            <w:vMerge w:val="continue"/>
            <w:vAlign w:val="center"/>
          </w:tcPr>
          <w:p>
            <w:pPr>
              <w:jc w:val="center"/>
              <w:rPr>
                <w:rFonts w:hint="default" w:ascii="Times New Roman" w:hAnsi="Times New Roman" w:eastAsia="宋体" w:cs="Times New Roman"/>
                <w:b/>
                <w:bCs/>
                <w:color w:val="auto"/>
                <w:szCs w:val="21"/>
                <w:highlight w:val="none"/>
              </w:rPr>
            </w:pPr>
          </w:p>
        </w:tc>
        <w:tc>
          <w:tcPr>
            <w:tcW w:w="1750" w:type="dxa"/>
            <w:vMerge w:val="continue"/>
            <w:vAlign w:val="center"/>
          </w:tcPr>
          <w:p>
            <w:pPr>
              <w:jc w:val="center"/>
              <w:rPr>
                <w:rFonts w:hint="default" w:ascii="Times New Roman" w:hAnsi="Times New Roman" w:eastAsia="宋体" w:cs="Times New Roman"/>
                <w:b/>
                <w:bCs/>
                <w:color w:val="auto"/>
                <w:szCs w:val="21"/>
                <w:highlight w:val="none"/>
              </w:rPr>
            </w:pPr>
          </w:p>
        </w:tc>
        <w:tc>
          <w:tcPr>
            <w:tcW w:w="669" w:type="dxa"/>
            <w:vMerge w:val="continue"/>
            <w:vAlign w:val="center"/>
          </w:tcPr>
          <w:p>
            <w:pPr>
              <w:jc w:val="center"/>
              <w:rPr>
                <w:rFonts w:hint="default" w:ascii="Times New Roman" w:hAnsi="Times New Roman" w:eastAsia="宋体" w:cs="Times New Roman"/>
                <w:b/>
                <w:bCs/>
                <w:color w:val="auto"/>
                <w:szCs w:val="21"/>
                <w:highlight w:val="none"/>
              </w:rPr>
            </w:pPr>
          </w:p>
        </w:tc>
        <w:tc>
          <w:tcPr>
            <w:tcW w:w="950" w:type="dxa"/>
            <w:vMerge w:val="continue"/>
            <w:vAlign w:val="center"/>
          </w:tcPr>
          <w:p>
            <w:pPr>
              <w:jc w:val="center"/>
              <w:rPr>
                <w:rFonts w:hint="default" w:ascii="Times New Roman" w:hAnsi="Times New Roman" w:eastAsia="宋体" w:cs="Times New Roman"/>
                <w:b/>
                <w:bCs/>
                <w:color w:val="auto"/>
                <w:szCs w:val="21"/>
                <w:highlight w:val="none"/>
              </w:rPr>
            </w:pPr>
          </w:p>
        </w:tc>
        <w:tc>
          <w:tcPr>
            <w:tcW w:w="773" w:type="dxa"/>
            <w:vMerge w:val="continue"/>
            <w:vAlign w:val="center"/>
          </w:tcPr>
          <w:p>
            <w:pPr>
              <w:jc w:val="center"/>
              <w:rPr>
                <w:rFonts w:hint="default" w:ascii="Times New Roman" w:hAnsi="Times New Roman" w:eastAsia="宋体" w:cs="Times New Roman"/>
                <w:b/>
                <w:bCs/>
                <w:color w:val="auto"/>
                <w:szCs w:val="21"/>
                <w:highlight w:val="none"/>
              </w:rPr>
            </w:pPr>
          </w:p>
        </w:tc>
        <w:tc>
          <w:tcPr>
            <w:tcW w:w="1011" w:type="dxa"/>
            <w:vMerge w:val="continue"/>
            <w:vAlign w:val="center"/>
          </w:tcPr>
          <w:p>
            <w:pPr>
              <w:jc w:val="center"/>
              <w:rPr>
                <w:rFonts w:hint="default" w:ascii="Times New Roman" w:hAnsi="Times New Roman" w:eastAsia="宋体" w:cs="Times New Roman"/>
                <w:b/>
                <w:bCs/>
                <w:color w:val="auto"/>
                <w:szCs w:val="21"/>
                <w:highlight w:val="none"/>
              </w:rPr>
            </w:pPr>
          </w:p>
        </w:tc>
        <w:tc>
          <w:tcPr>
            <w:tcW w:w="1460" w:type="dxa"/>
            <w:vAlign w:val="center"/>
          </w:tcPr>
          <w:p>
            <w:pPr>
              <w:pStyle w:val="223"/>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经度</w:t>
            </w:r>
          </w:p>
        </w:tc>
        <w:tc>
          <w:tcPr>
            <w:tcW w:w="1367" w:type="dxa"/>
            <w:vAlign w:val="center"/>
          </w:tcPr>
          <w:p>
            <w:pPr>
              <w:pStyle w:val="223"/>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48"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750" w:type="dxa"/>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lang w:eastAsia="zh-CN"/>
              </w:rPr>
              <w:t>祁东县</w:t>
            </w:r>
            <w:r>
              <w:rPr>
                <w:rFonts w:hint="default" w:ascii="Times New Roman" w:hAnsi="Times New Roman" w:eastAsia="宋体" w:cs="Times New Roman"/>
                <w:color w:val="auto"/>
                <w:szCs w:val="21"/>
                <w:highlight w:val="none"/>
              </w:rPr>
              <w:t>泗汾镇（泗汾自来水厂）</w:t>
            </w:r>
            <w:r>
              <w:rPr>
                <w:rFonts w:hint="eastAsia" w:ascii="Times New Roman" w:hAnsi="Times New Roman" w:cs="Times New Roman"/>
                <w:color w:val="auto"/>
                <w:szCs w:val="21"/>
                <w:highlight w:val="none"/>
                <w:lang w:eastAsia="zh-CN"/>
              </w:rPr>
              <w:t>祁水</w:t>
            </w:r>
            <w:r>
              <w:rPr>
                <w:rFonts w:hint="default" w:ascii="Times New Roman" w:hAnsi="Times New Roman" w:eastAsia="宋体" w:cs="Times New Roman"/>
                <w:color w:val="auto"/>
                <w:szCs w:val="21"/>
                <w:highlight w:val="none"/>
              </w:rPr>
              <w:t>饮用水水源</w:t>
            </w:r>
            <w:r>
              <w:rPr>
                <w:rFonts w:hint="default" w:ascii="Times New Roman" w:hAnsi="Times New Roman" w:eastAsia="宋体" w:cs="Times New Roman"/>
                <w:color w:val="auto"/>
                <w:highlight w:val="none"/>
              </w:rPr>
              <w:t>保护区</w:t>
            </w:r>
          </w:p>
        </w:tc>
        <w:tc>
          <w:tcPr>
            <w:tcW w:w="669"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河</w:t>
            </w:r>
          </w:p>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流</w:t>
            </w:r>
          </w:p>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型</w:t>
            </w:r>
          </w:p>
        </w:tc>
        <w:tc>
          <w:tcPr>
            <w:tcW w:w="950"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泗汾自来水厂</w:t>
            </w:r>
          </w:p>
        </w:tc>
        <w:tc>
          <w:tcPr>
            <w:tcW w:w="77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2014</w:t>
            </w:r>
          </w:p>
        </w:tc>
        <w:tc>
          <w:tcPr>
            <w:tcW w:w="1011"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10100</w:t>
            </w:r>
          </w:p>
        </w:tc>
        <w:tc>
          <w:tcPr>
            <w:tcW w:w="1460"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113°29′33.40″</w:t>
            </w:r>
          </w:p>
        </w:tc>
        <w:tc>
          <w:tcPr>
            <w:tcW w:w="136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27°32′7.98″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48"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1750" w:type="dxa"/>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highlight w:val="none"/>
                <w:lang w:eastAsia="zh-CN"/>
              </w:rPr>
              <w:t>祁东县</w:t>
            </w:r>
            <w:r>
              <w:rPr>
                <w:rFonts w:hint="default" w:ascii="Times New Roman" w:hAnsi="Times New Roman" w:eastAsia="宋体" w:cs="Times New Roman"/>
                <w:color w:val="auto"/>
                <w:highlight w:val="none"/>
              </w:rPr>
              <w:t>船湾镇（船湾自来水厂）</w:t>
            </w:r>
            <w:r>
              <w:rPr>
                <w:rFonts w:hint="eastAsia" w:ascii="Times New Roman" w:hAnsi="Times New Roman" w:cs="Times New Roman"/>
                <w:color w:val="auto"/>
                <w:highlight w:val="none"/>
                <w:lang w:eastAsia="zh-CN"/>
              </w:rPr>
              <w:t>祁水</w:t>
            </w:r>
            <w:r>
              <w:rPr>
                <w:rFonts w:hint="default" w:ascii="Times New Roman" w:hAnsi="Times New Roman" w:eastAsia="宋体" w:cs="Times New Roman"/>
                <w:color w:val="auto"/>
                <w:highlight w:val="none"/>
              </w:rPr>
              <w:t>饮用水水源保护区</w:t>
            </w:r>
          </w:p>
        </w:tc>
        <w:tc>
          <w:tcPr>
            <w:tcW w:w="669"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河</w:t>
            </w:r>
          </w:p>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流</w:t>
            </w:r>
          </w:p>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型</w:t>
            </w:r>
          </w:p>
        </w:tc>
        <w:tc>
          <w:tcPr>
            <w:tcW w:w="950"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船湾自来水厂</w:t>
            </w:r>
          </w:p>
        </w:tc>
        <w:tc>
          <w:tcPr>
            <w:tcW w:w="77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2007</w:t>
            </w:r>
          </w:p>
        </w:tc>
        <w:tc>
          <w:tcPr>
            <w:tcW w:w="1011"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13879</w:t>
            </w:r>
          </w:p>
        </w:tc>
        <w:tc>
          <w:tcPr>
            <w:tcW w:w="1460"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113°29′97″</w:t>
            </w:r>
          </w:p>
        </w:tc>
        <w:tc>
          <w:tcPr>
            <w:tcW w:w="136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27°25′23″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48"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p>
        </w:tc>
        <w:tc>
          <w:tcPr>
            <w:tcW w:w="1750" w:type="dxa"/>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highlight w:val="none"/>
                <w:lang w:eastAsia="zh-CN"/>
              </w:rPr>
              <w:t>祁东县</w:t>
            </w:r>
            <w:r>
              <w:rPr>
                <w:rFonts w:hint="default" w:ascii="Times New Roman" w:hAnsi="Times New Roman" w:eastAsia="宋体" w:cs="Times New Roman"/>
                <w:color w:val="auto"/>
                <w:highlight w:val="none"/>
              </w:rPr>
              <w:t>船湾镇（新平自来水厂）</w:t>
            </w:r>
            <w:r>
              <w:rPr>
                <w:rFonts w:hint="eastAsia" w:ascii="Times New Roman" w:hAnsi="Times New Roman" w:cs="Times New Roman"/>
                <w:color w:val="auto"/>
                <w:highlight w:val="none"/>
                <w:lang w:eastAsia="zh-CN"/>
              </w:rPr>
              <w:t>祁水</w:t>
            </w:r>
            <w:r>
              <w:rPr>
                <w:rFonts w:hint="default" w:ascii="Times New Roman" w:hAnsi="Times New Roman" w:eastAsia="宋体" w:cs="Times New Roman"/>
                <w:color w:val="auto"/>
                <w:highlight w:val="none"/>
              </w:rPr>
              <w:t>饮用水水源保护区</w:t>
            </w:r>
          </w:p>
        </w:tc>
        <w:tc>
          <w:tcPr>
            <w:tcW w:w="669"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河</w:t>
            </w:r>
          </w:p>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流</w:t>
            </w:r>
          </w:p>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型</w:t>
            </w:r>
          </w:p>
        </w:tc>
        <w:tc>
          <w:tcPr>
            <w:tcW w:w="950"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新平自来水厂</w:t>
            </w:r>
          </w:p>
        </w:tc>
        <w:tc>
          <w:tcPr>
            <w:tcW w:w="77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2012</w:t>
            </w:r>
          </w:p>
        </w:tc>
        <w:tc>
          <w:tcPr>
            <w:tcW w:w="1011"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5000</w:t>
            </w:r>
          </w:p>
        </w:tc>
        <w:tc>
          <w:tcPr>
            <w:tcW w:w="1460"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113°32′12.63″</w:t>
            </w:r>
          </w:p>
        </w:tc>
        <w:tc>
          <w:tcPr>
            <w:tcW w:w="136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27°27′34.03″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548"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p>
        </w:tc>
        <w:tc>
          <w:tcPr>
            <w:tcW w:w="1750" w:type="dxa"/>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highlight w:val="none"/>
                <w:lang w:eastAsia="zh-CN"/>
              </w:rPr>
              <w:t>祁东县</w:t>
            </w:r>
            <w:r>
              <w:rPr>
                <w:rFonts w:hint="default" w:ascii="Times New Roman" w:hAnsi="Times New Roman" w:eastAsia="宋体" w:cs="Times New Roman"/>
                <w:color w:val="auto"/>
                <w:highlight w:val="none"/>
              </w:rPr>
              <w:t>茶山镇</w:t>
            </w:r>
            <w:r>
              <w:rPr>
                <w:rFonts w:hint="eastAsia" w:ascii="Times New Roman" w:hAnsi="Times New Roman" w:cs="Times New Roman"/>
                <w:color w:val="auto"/>
                <w:highlight w:val="none"/>
                <w:lang w:eastAsia="zh-CN"/>
              </w:rPr>
              <w:t>祁水</w:t>
            </w:r>
            <w:r>
              <w:rPr>
                <w:rFonts w:hint="default" w:ascii="Times New Roman" w:hAnsi="Times New Roman" w:eastAsia="宋体" w:cs="Times New Roman"/>
                <w:color w:val="auto"/>
                <w:highlight w:val="none"/>
              </w:rPr>
              <w:t>饮用水水源保护区</w:t>
            </w:r>
          </w:p>
        </w:tc>
        <w:tc>
          <w:tcPr>
            <w:tcW w:w="669"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河</w:t>
            </w:r>
          </w:p>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流</w:t>
            </w:r>
          </w:p>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型</w:t>
            </w:r>
          </w:p>
        </w:tc>
        <w:tc>
          <w:tcPr>
            <w:tcW w:w="950"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东岗自来水厂</w:t>
            </w:r>
          </w:p>
        </w:tc>
        <w:tc>
          <w:tcPr>
            <w:tcW w:w="77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2015</w:t>
            </w:r>
          </w:p>
        </w:tc>
        <w:tc>
          <w:tcPr>
            <w:tcW w:w="1011"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7349</w:t>
            </w:r>
          </w:p>
        </w:tc>
        <w:tc>
          <w:tcPr>
            <w:tcW w:w="1460"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113°23′09″</w:t>
            </w:r>
          </w:p>
        </w:tc>
        <w:tc>
          <w:tcPr>
            <w:tcW w:w="136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27°37′12″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p>
        </w:tc>
        <w:tc>
          <w:tcPr>
            <w:tcW w:w="1750" w:type="dxa"/>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highlight w:val="none"/>
                <w:lang w:eastAsia="zh-CN"/>
              </w:rPr>
              <w:t>祁东县</w:t>
            </w:r>
            <w:r>
              <w:rPr>
                <w:rFonts w:hint="default" w:ascii="Times New Roman" w:hAnsi="Times New Roman" w:eastAsia="宋体" w:cs="Times New Roman"/>
                <w:color w:val="auto"/>
                <w:highlight w:val="none"/>
              </w:rPr>
              <w:t>泗汾镇泗新自来水水公司饮用水水源保护区</w:t>
            </w:r>
          </w:p>
        </w:tc>
        <w:tc>
          <w:tcPr>
            <w:tcW w:w="669"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河</w:t>
            </w:r>
          </w:p>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流</w:t>
            </w:r>
          </w:p>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型</w:t>
            </w:r>
          </w:p>
        </w:tc>
        <w:tc>
          <w:tcPr>
            <w:tcW w:w="950"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泗新自来水厂</w:t>
            </w:r>
          </w:p>
        </w:tc>
        <w:tc>
          <w:tcPr>
            <w:tcW w:w="77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2006</w:t>
            </w:r>
          </w:p>
        </w:tc>
        <w:tc>
          <w:tcPr>
            <w:tcW w:w="1011"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7440</w:t>
            </w:r>
          </w:p>
        </w:tc>
        <w:tc>
          <w:tcPr>
            <w:tcW w:w="1460"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113°30'33.34″</w:t>
            </w:r>
          </w:p>
        </w:tc>
        <w:tc>
          <w:tcPr>
            <w:tcW w:w="136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27°31'3.35″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548"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w:t>
            </w:r>
          </w:p>
        </w:tc>
        <w:tc>
          <w:tcPr>
            <w:tcW w:w="1750" w:type="dxa"/>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highlight w:val="none"/>
                <w:lang w:eastAsia="zh-CN"/>
              </w:rPr>
              <w:t>祁东县</w:t>
            </w:r>
            <w:r>
              <w:rPr>
                <w:rFonts w:hint="default" w:ascii="Times New Roman" w:hAnsi="Times New Roman" w:eastAsia="宋体" w:cs="Times New Roman"/>
                <w:color w:val="auto"/>
                <w:highlight w:val="none"/>
              </w:rPr>
              <w:t>沈潭镇</w:t>
            </w:r>
            <w:r>
              <w:rPr>
                <w:rFonts w:hint="eastAsia" w:ascii="Times New Roman" w:hAnsi="Times New Roman" w:cs="Times New Roman"/>
                <w:color w:val="auto"/>
                <w:highlight w:val="none"/>
                <w:lang w:val="en-US" w:eastAsia="zh-CN"/>
              </w:rPr>
              <w:t>祁水</w:t>
            </w:r>
            <w:r>
              <w:rPr>
                <w:rFonts w:hint="default" w:ascii="Times New Roman" w:hAnsi="Times New Roman" w:eastAsia="宋体" w:cs="Times New Roman"/>
                <w:color w:val="auto"/>
                <w:highlight w:val="none"/>
                <w:lang w:val="en-US" w:eastAsia="zh-CN"/>
              </w:rPr>
              <w:t>饮用水</w:t>
            </w:r>
            <w:r>
              <w:rPr>
                <w:rFonts w:hint="default" w:ascii="Times New Roman" w:hAnsi="Times New Roman" w:eastAsia="宋体" w:cs="Times New Roman"/>
                <w:color w:val="auto"/>
                <w:highlight w:val="none"/>
              </w:rPr>
              <w:t>水源保护区</w:t>
            </w:r>
          </w:p>
        </w:tc>
        <w:tc>
          <w:tcPr>
            <w:tcW w:w="669"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河</w:t>
            </w:r>
          </w:p>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流</w:t>
            </w:r>
          </w:p>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型</w:t>
            </w:r>
          </w:p>
        </w:tc>
        <w:tc>
          <w:tcPr>
            <w:tcW w:w="950" w:type="dxa"/>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rPr>
              <w:t>沈潭镇</w:t>
            </w:r>
            <w:r>
              <w:rPr>
                <w:rFonts w:hint="default" w:ascii="Times New Roman" w:hAnsi="Times New Roman" w:eastAsia="宋体" w:cs="Times New Roman"/>
                <w:color w:val="auto"/>
                <w:highlight w:val="none"/>
                <w:lang w:val="en-US" w:eastAsia="zh-CN"/>
              </w:rPr>
              <w:t>自来水厂</w:t>
            </w:r>
          </w:p>
        </w:tc>
        <w:tc>
          <w:tcPr>
            <w:tcW w:w="77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2013</w:t>
            </w:r>
          </w:p>
        </w:tc>
        <w:tc>
          <w:tcPr>
            <w:tcW w:w="1011"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11000</w:t>
            </w:r>
          </w:p>
        </w:tc>
        <w:tc>
          <w:tcPr>
            <w:tcW w:w="1460"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113°31'42.26″</w:t>
            </w:r>
          </w:p>
        </w:tc>
        <w:tc>
          <w:tcPr>
            <w:tcW w:w="136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27°30'52.52″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548" w:type="dxa"/>
            <w:vAlign w:val="center"/>
          </w:tcPr>
          <w:p>
            <w:pPr>
              <w:jc w:val="center"/>
              <w:rPr>
                <w:rFonts w:hint="eastAsia" w:ascii="Times New Roman" w:hAnsi="Times New Roman" w:eastAsia="宋体" w:cs="Times New Roman"/>
                <w:color w:val="auto"/>
                <w:sz w:val="22"/>
                <w:szCs w:val="21"/>
                <w:highlight w:val="none"/>
                <w:lang w:val="zh-CN" w:eastAsia="zh-CN" w:bidi="zh-CN"/>
              </w:rPr>
            </w:pPr>
            <w:r>
              <w:rPr>
                <w:rFonts w:hint="eastAsia" w:ascii="Times New Roman" w:hAnsi="Times New Roman" w:eastAsia="宋体" w:cs="Times New Roman"/>
                <w:color w:val="auto"/>
                <w:szCs w:val="21"/>
                <w:highlight w:val="none"/>
                <w:lang w:val="en-US" w:eastAsia="zh-CN"/>
              </w:rPr>
              <w:t>7</w:t>
            </w:r>
          </w:p>
        </w:tc>
        <w:tc>
          <w:tcPr>
            <w:tcW w:w="1750" w:type="dxa"/>
            <w:vAlign w:val="center"/>
          </w:tcPr>
          <w:p>
            <w:pPr>
              <w:jc w:val="center"/>
              <w:rPr>
                <w:rFonts w:hint="default" w:ascii="Times New Roman" w:hAnsi="Times New Roman" w:eastAsia="宋体" w:cs="Times New Roman"/>
                <w:color w:val="auto"/>
                <w:sz w:val="22"/>
                <w:szCs w:val="21"/>
                <w:highlight w:val="none"/>
                <w:lang w:val="zh-CN" w:eastAsia="zh-CN" w:bidi="zh-CN"/>
              </w:rPr>
            </w:pPr>
            <w:r>
              <w:rPr>
                <w:rFonts w:hint="default" w:ascii="Times New Roman" w:hAnsi="Times New Roman" w:eastAsia="宋体" w:cs="Times New Roman"/>
                <w:color w:val="auto"/>
                <w:highlight w:val="none"/>
              </w:rPr>
              <w:t>沈潭镇</w:t>
            </w:r>
            <w:r>
              <w:rPr>
                <w:rFonts w:hint="eastAsia" w:ascii="Times New Roman" w:hAnsi="Times New Roman" w:eastAsia="宋体" w:cs="Times New Roman"/>
                <w:color w:val="auto"/>
                <w:highlight w:val="none"/>
                <w:lang w:val="en-US" w:eastAsia="zh-CN"/>
              </w:rPr>
              <w:t>三星里自来水厂</w:t>
            </w:r>
            <w:r>
              <w:rPr>
                <w:rFonts w:hint="default" w:ascii="Times New Roman" w:hAnsi="Times New Roman" w:eastAsia="宋体" w:cs="Times New Roman"/>
                <w:color w:val="auto"/>
                <w:highlight w:val="none"/>
                <w:lang w:val="en-US" w:eastAsia="zh-CN"/>
              </w:rPr>
              <w:t>饮用水</w:t>
            </w:r>
            <w:r>
              <w:rPr>
                <w:rFonts w:hint="default" w:ascii="Times New Roman" w:hAnsi="Times New Roman" w:eastAsia="宋体" w:cs="Times New Roman"/>
                <w:color w:val="auto"/>
                <w:highlight w:val="none"/>
              </w:rPr>
              <w:t>水源保护区</w:t>
            </w:r>
          </w:p>
        </w:tc>
        <w:tc>
          <w:tcPr>
            <w:tcW w:w="669"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河</w:t>
            </w:r>
          </w:p>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流</w:t>
            </w:r>
          </w:p>
          <w:p>
            <w:pPr>
              <w:jc w:val="center"/>
              <w:rPr>
                <w:rFonts w:hint="default" w:ascii="Times New Roman" w:hAnsi="Times New Roman" w:eastAsia="宋体" w:cs="Times New Roman"/>
                <w:color w:val="auto"/>
                <w:sz w:val="22"/>
                <w:szCs w:val="21"/>
                <w:highlight w:val="none"/>
                <w:lang w:val="zh-CN" w:eastAsia="zh-CN" w:bidi="zh-CN"/>
              </w:rPr>
            </w:pPr>
            <w:r>
              <w:rPr>
                <w:rFonts w:hint="default" w:ascii="Times New Roman" w:hAnsi="Times New Roman" w:eastAsia="宋体" w:cs="Times New Roman"/>
                <w:color w:val="auto"/>
                <w:szCs w:val="21"/>
                <w:highlight w:val="none"/>
              </w:rPr>
              <w:t>型</w:t>
            </w:r>
          </w:p>
        </w:tc>
        <w:tc>
          <w:tcPr>
            <w:tcW w:w="950" w:type="dxa"/>
            <w:vAlign w:val="center"/>
          </w:tcPr>
          <w:p>
            <w:pPr>
              <w:jc w:val="center"/>
              <w:rPr>
                <w:rFonts w:hint="default" w:ascii="Times New Roman" w:hAnsi="Times New Roman" w:eastAsia="宋体" w:cs="Times New Roman"/>
                <w:color w:val="auto"/>
                <w:sz w:val="22"/>
                <w:szCs w:val="21"/>
                <w:highlight w:val="none"/>
                <w:lang w:val="en-US" w:eastAsia="zh-CN" w:bidi="zh-CN"/>
              </w:rPr>
            </w:pPr>
            <w:r>
              <w:rPr>
                <w:rFonts w:hint="eastAsia" w:ascii="Times New Roman" w:hAnsi="Times New Roman" w:eastAsia="宋体" w:cs="Times New Roman"/>
                <w:color w:val="auto"/>
                <w:highlight w:val="none"/>
                <w:lang w:val="en-US" w:eastAsia="zh-CN"/>
              </w:rPr>
              <w:t>三星里</w:t>
            </w:r>
            <w:r>
              <w:rPr>
                <w:rFonts w:hint="default" w:ascii="Times New Roman" w:hAnsi="Times New Roman" w:eastAsia="宋体" w:cs="Times New Roman"/>
                <w:color w:val="auto"/>
                <w:highlight w:val="none"/>
                <w:lang w:val="en-US" w:eastAsia="zh-CN"/>
              </w:rPr>
              <w:t>自来水厂</w:t>
            </w:r>
          </w:p>
        </w:tc>
        <w:tc>
          <w:tcPr>
            <w:tcW w:w="773" w:type="dxa"/>
            <w:vAlign w:val="center"/>
          </w:tcPr>
          <w:p>
            <w:pPr>
              <w:jc w:val="center"/>
              <w:rPr>
                <w:rFonts w:hint="eastAsia" w:ascii="Times New Roman" w:hAnsi="Times New Roman" w:eastAsia="宋体" w:cs="Times New Roman"/>
                <w:color w:val="auto"/>
                <w:sz w:val="22"/>
                <w:szCs w:val="21"/>
                <w:highlight w:val="none"/>
                <w:lang w:val="zh-CN" w:eastAsia="zh-CN" w:bidi="zh-CN"/>
              </w:rPr>
            </w:pPr>
            <w:r>
              <w:rPr>
                <w:rFonts w:hint="default" w:ascii="Times New Roman" w:hAnsi="Times New Roman" w:eastAsia="宋体" w:cs="Times New Roman"/>
                <w:color w:val="auto"/>
                <w:szCs w:val="21"/>
                <w:highlight w:val="none"/>
              </w:rPr>
              <w:t>201</w:t>
            </w:r>
            <w:r>
              <w:rPr>
                <w:rFonts w:hint="eastAsia" w:ascii="Times New Roman" w:hAnsi="Times New Roman" w:eastAsia="宋体" w:cs="Times New Roman"/>
                <w:color w:val="auto"/>
                <w:szCs w:val="21"/>
                <w:highlight w:val="none"/>
                <w:lang w:val="en-US" w:eastAsia="zh-CN"/>
              </w:rPr>
              <w:t>5</w:t>
            </w:r>
          </w:p>
        </w:tc>
        <w:tc>
          <w:tcPr>
            <w:tcW w:w="1011" w:type="dxa"/>
            <w:vAlign w:val="center"/>
          </w:tcPr>
          <w:p>
            <w:pPr>
              <w:jc w:val="center"/>
              <w:rPr>
                <w:rFonts w:hint="default" w:ascii="Times New Roman" w:hAnsi="Times New Roman" w:eastAsia="宋体" w:cs="Times New Roman"/>
                <w:color w:val="auto"/>
                <w:sz w:val="22"/>
                <w:szCs w:val="21"/>
                <w:highlight w:val="none"/>
                <w:lang w:val="zh-CN" w:eastAsia="zh-CN" w:bidi="zh-CN"/>
              </w:rPr>
            </w:pPr>
            <w:r>
              <w:rPr>
                <w:rFonts w:hint="eastAsia" w:ascii="Times New Roman" w:hAnsi="Times New Roman" w:eastAsia="宋体" w:cs="Times New Roman"/>
                <w:color w:val="auto"/>
                <w:szCs w:val="21"/>
                <w:highlight w:val="none"/>
                <w:lang w:val="en-US" w:eastAsia="zh-CN"/>
              </w:rPr>
              <w:t>7</w:t>
            </w:r>
            <w:r>
              <w:rPr>
                <w:rFonts w:hint="default" w:ascii="Times New Roman" w:hAnsi="Times New Roman" w:eastAsia="宋体" w:cs="Times New Roman"/>
                <w:color w:val="auto"/>
                <w:szCs w:val="21"/>
                <w:highlight w:val="none"/>
              </w:rPr>
              <w:t>000</w:t>
            </w:r>
          </w:p>
        </w:tc>
        <w:tc>
          <w:tcPr>
            <w:tcW w:w="1460" w:type="dxa"/>
            <w:vAlign w:val="center"/>
          </w:tcPr>
          <w:p>
            <w:pPr>
              <w:jc w:val="center"/>
              <w:rPr>
                <w:rFonts w:hint="default" w:ascii="Times New Roman" w:hAnsi="Times New Roman" w:eastAsia="宋体" w:cs="Times New Roman"/>
                <w:color w:val="auto"/>
                <w:sz w:val="22"/>
                <w:szCs w:val="21"/>
                <w:highlight w:val="none"/>
                <w:lang w:val="zh-CN" w:eastAsia="zh-CN" w:bidi="zh-CN"/>
              </w:rPr>
            </w:pPr>
            <w:r>
              <w:rPr>
                <w:rFonts w:hint="default" w:ascii="Times New Roman" w:hAnsi="Times New Roman" w:eastAsia="宋体" w:cs="Times New Roman"/>
                <w:color w:val="auto"/>
                <w:szCs w:val="21"/>
                <w:highlight w:val="none"/>
              </w:rPr>
              <w:t>113°30'33.</w:t>
            </w:r>
            <w:r>
              <w:rPr>
                <w:rFonts w:hint="eastAsia" w:ascii="Times New Roman" w:hAnsi="Times New Roman" w:eastAsia="宋体" w:cs="Times New Roman"/>
                <w:color w:val="auto"/>
                <w:szCs w:val="21"/>
                <w:highlight w:val="none"/>
                <w:lang w:val="en-US" w:eastAsia="zh-CN"/>
              </w:rPr>
              <w:t>28</w:t>
            </w:r>
            <w:r>
              <w:rPr>
                <w:rFonts w:hint="default" w:ascii="Times New Roman" w:hAnsi="Times New Roman" w:eastAsia="宋体" w:cs="Times New Roman"/>
                <w:color w:val="auto"/>
                <w:szCs w:val="21"/>
                <w:highlight w:val="none"/>
              </w:rPr>
              <w:t>″</w:t>
            </w:r>
          </w:p>
        </w:tc>
        <w:tc>
          <w:tcPr>
            <w:tcW w:w="1367" w:type="dxa"/>
            <w:vAlign w:val="center"/>
          </w:tcPr>
          <w:p>
            <w:pPr>
              <w:jc w:val="center"/>
              <w:rPr>
                <w:rFonts w:hint="default" w:ascii="Times New Roman" w:hAnsi="Times New Roman" w:eastAsia="宋体" w:cs="Times New Roman"/>
                <w:color w:val="auto"/>
                <w:sz w:val="22"/>
                <w:szCs w:val="21"/>
                <w:highlight w:val="none"/>
                <w:lang w:val="zh-CN" w:eastAsia="zh-CN" w:bidi="zh-CN"/>
              </w:rPr>
            </w:pPr>
            <w:r>
              <w:rPr>
                <w:rFonts w:hint="default" w:ascii="Times New Roman" w:hAnsi="Times New Roman" w:eastAsia="宋体" w:cs="Times New Roman"/>
                <w:color w:val="auto"/>
                <w:szCs w:val="21"/>
                <w:highlight w:val="none"/>
              </w:rPr>
              <w:t>27°32′7.</w:t>
            </w:r>
            <w:r>
              <w:rPr>
                <w:rFonts w:hint="eastAsia" w:ascii="Times New Roman" w:hAnsi="Times New Roman" w:eastAsia="宋体" w:cs="Times New Roman"/>
                <w:color w:val="auto"/>
                <w:szCs w:val="21"/>
                <w:highlight w:val="none"/>
                <w:lang w:val="en-US" w:eastAsia="zh-CN"/>
              </w:rPr>
              <w:t>82</w:t>
            </w:r>
            <w:r>
              <w:rPr>
                <w:rFonts w:hint="default" w:ascii="Times New Roman" w:hAnsi="Times New Roman" w:eastAsia="宋体" w:cs="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48" w:type="dxa"/>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8</w:t>
            </w:r>
          </w:p>
        </w:tc>
        <w:tc>
          <w:tcPr>
            <w:tcW w:w="1750" w:type="dxa"/>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lang w:eastAsia="zh-CN"/>
              </w:rPr>
              <w:t>祁东县</w:t>
            </w:r>
            <w:r>
              <w:rPr>
                <w:rFonts w:hint="default" w:ascii="Times New Roman" w:hAnsi="Times New Roman" w:eastAsia="宋体" w:cs="Times New Roman"/>
                <w:color w:val="auto"/>
                <w:szCs w:val="21"/>
                <w:highlight w:val="none"/>
              </w:rPr>
              <w:t>嘉树镇</w:t>
            </w:r>
            <w:r>
              <w:rPr>
                <w:rFonts w:hint="eastAsia" w:ascii="Times New Roman" w:hAnsi="Times New Roman" w:cs="Times New Roman"/>
                <w:color w:val="auto"/>
                <w:szCs w:val="21"/>
                <w:highlight w:val="none"/>
                <w:lang w:eastAsia="zh-CN"/>
              </w:rPr>
              <w:t>祁水</w:t>
            </w:r>
            <w:r>
              <w:rPr>
                <w:rFonts w:hint="default" w:ascii="Times New Roman" w:hAnsi="Times New Roman" w:eastAsia="宋体" w:cs="Times New Roman"/>
                <w:color w:val="auto"/>
                <w:szCs w:val="21"/>
                <w:highlight w:val="none"/>
              </w:rPr>
              <w:t>饮用水水源保护区</w:t>
            </w:r>
          </w:p>
        </w:tc>
        <w:tc>
          <w:tcPr>
            <w:tcW w:w="669"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河</w:t>
            </w:r>
          </w:p>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流</w:t>
            </w:r>
          </w:p>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型</w:t>
            </w:r>
          </w:p>
        </w:tc>
        <w:tc>
          <w:tcPr>
            <w:tcW w:w="950"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嘉树自来水厂</w:t>
            </w:r>
          </w:p>
        </w:tc>
        <w:tc>
          <w:tcPr>
            <w:tcW w:w="77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2015</w:t>
            </w:r>
          </w:p>
        </w:tc>
        <w:tc>
          <w:tcPr>
            <w:tcW w:w="1011"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13500</w:t>
            </w:r>
          </w:p>
        </w:tc>
        <w:tc>
          <w:tcPr>
            <w:tcW w:w="1460"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113°28'31.87″</w:t>
            </w:r>
          </w:p>
        </w:tc>
        <w:tc>
          <w:tcPr>
            <w:tcW w:w="136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27°34'12.41″</w:t>
            </w:r>
          </w:p>
        </w:tc>
      </w:tr>
    </w:tbl>
    <w:p>
      <w:pPr>
        <w:autoSpaceDE/>
        <w:autoSpaceDN/>
        <w:adjustRightInd w:val="0"/>
        <w:snapToGrid w:val="0"/>
        <w:spacing w:line="360" w:lineRule="auto"/>
        <w:jc w:val="both"/>
        <w:outlineLvl w:val="2"/>
        <w:rPr>
          <w:rFonts w:hint="eastAsia" w:ascii="Times New Roman" w:hAnsi="Times New Roman" w:eastAsia="宋体" w:cs="Times New Roman"/>
          <w:b/>
          <w:color w:val="000000" w:themeColor="text1"/>
          <w:sz w:val="28"/>
          <w:szCs w:val="24"/>
          <w:lang w:eastAsia="zh-CN"/>
          <w14:textFill>
            <w14:solidFill>
              <w14:schemeClr w14:val="tx1"/>
            </w14:solidFill>
          </w14:textFill>
        </w:rPr>
      </w:pPr>
      <w:bookmarkStart w:id="244" w:name="_Toc8595"/>
      <w:r>
        <w:rPr>
          <w:rFonts w:ascii="Times New Roman" w:hAnsi="Times New Roman" w:cs="Times New Roman"/>
          <w:b/>
          <w:color w:val="000000" w:themeColor="text1"/>
          <w:sz w:val="28"/>
          <w:szCs w:val="24"/>
          <w14:textFill>
            <w14:solidFill>
              <w14:schemeClr w14:val="tx1"/>
            </w14:solidFill>
          </w14:textFill>
        </w:rPr>
        <w:t>4.</w:t>
      </w:r>
      <w:r>
        <w:rPr>
          <w:rFonts w:hint="eastAsia" w:ascii="Times New Roman" w:hAnsi="Times New Roman" w:cs="Times New Roman"/>
          <w:b/>
          <w:color w:val="000000" w:themeColor="text1"/>
          <w:sz w:val="28"/>
          <w:szCs w:val="24"/>
          <w:lang w:val="en-US" w:eastAsia="zh-CN"/>
          <w14:textFill>
            <w14:solidFill>
              <w14:schemeClr w14:val="tx1"/>
            </w14:solidFill>
          </w14:textFill>
        </w:rPr>
        <w:t>3</w:t>
      </w:r>
      <w:r>
        <w:rPr>
          <w:rFonts w:ascii="Times New Roman" w:hAnsi="Times New Roman" w:cs="Times New Roman"/>
          <w:b/>
          <w:color w:val="000000" w:themeColor="text1"/>
          <w:sz w:val="28"/>
          <w:szCs w:val="24"/>
          <w14:textFill>
            <w14:solidFill>
              <w14:schemeClr w14:val="tx1"/>
            </w14:solidFill>
          </w14:textFill>
        </w:rPr>
        <w:t>.2</w:t>
      </w:r>
      <w:r>
        <w:rPr>
          <w:rFonts w:hint="eastAsia" w:ascii="Times New Roman" w:hAnsi="Times New Roman" w:cs="Times New Roman"/>
          <w:b/>
          <w:color w:val="000000" w:themeColor="text1"/>
          <w:sz w:val="28"/>
          <w:szCs w:val="24"/>
          <w:lang w:eastAsia="zh-CN"/>
          <w14:textFill>
            <w14:solidFill>
              <w14:schemeClr w14:val="tx1"/>
            </w14:solidFill>
          </w14:textFill>
        </w:rPr>
        <w:t>饮用水源保护区具体划分情况</w:t>
      </w:r>
      <w:bookmarkEnd w:id="244"/>
    </w:p>
    <w:p>
      <w:pPr>
        <w:autoSpaceDE/>
        <w:autoSpaceDN/>
        <w:adjustRightInd w:val="0"/>
        <w:snapToGrid w:val="0"/>
        <w:spacing w:line="360" w:lineRule="auto"/>
        <w:ind w:firstLine="480" w:firstLineChars="200"/>
        <w:jc w:val="both"/>
        <w:rPr>
          <w:rFonts w:ascii="Times New Roman" w:hAnsi="Times New Roman" w:cs="Times New Roman"/>
          <w:snapToGrid w:val="0"/>
          <w:color w:val="000000" w:themeColor="text1"/>
          <w:sz w:val="24"/>
          <w:szCs w:val="24"/>
          <w14:textFill>
            <w14:solidFill>
              <w14:schemeClr w14:val="tx1"/>
            </w14:solidFill>
          </w14:textFill>
        </w:rPr>
        <w:sectPr>
          <w:type w:val="nextColumn"/>
          <w:pgSz w:w="11910" w:h="16840"/>
          <w:pgMar w:top="1378" w:right="1542" w:bottom="1378" w:left="1559" w:header="877" w:footer="1077" w:gutter="0"/>
          <w:pgBorders>
            <w:top w:val="none" w:sz="0" w:space="0"/>
            <w:left w:val="none" w:sz="0" w:space="0"/>
            <w:bottom w:val="none" w:sz="0" w:space="0"/>
            <w:right w:val="none" w:sz="0" w:space="0"/>
          </w:pgBorders>
          <w:pgNumType w:fmt="decimal"/>
          <w:cols w:space="720" w:num="1"/>
          <w:docGrid w:linePitch="299" w:charSpace="0"/>
        </w:sectPr>
      </w:pPr>
      <w:r>
        <w:rPr>
          <w:rFonts w:hint="eastAsia" w:ascii="Times New Roman" w:hAnsi="Times New Roman" w:cs="Times New Roman"/>
          <w:snapToGrid w:val="0"/>
          <w:color w:val="000000" w:themeColor="text1"/>
          <w:sz w:val="24"/>
          <w:szCs w:val="24"/>
          <w:lang w:eastAsia="zh-CN"/>
          <w14:textFill>
            <w14:solidFill>
              <w14:schemeClr w14:val="tx1"/>
            </w14:solidFill>
          </w14:textFill>
        </w:rPr>
        <w:t>根据衡阳市</w:t>
      </w:r>
      <w:r>
        <w:rPr>
          <w:rFonts w:hint="eastAsia" w:ascii="Times New Roman" w:hAnsi="Times New Roman" w:cs="Times New Roman"/>
          <w:snapToGrid w:val="0"/>
          <w:color w:val="000000" w:themeColor="text1"/>
          <w:sz w:val="24"/>
          <w:szCs w:val="24"/>
          <w14:textFill>
            <w14:solidFill>
              <w14:schemeClr w14:val="tx1"/>
            </w14:solidFill>
          </w14:textFill>
        </w:rPr>
        <w:t>乡镇集中式饮用水水源保护区划分</w:t>
      </w:r>
      <w:r>
        <w:rPr>
          <w:rFonts w:hint="eastAsia" w:ascii="Times New Roman" w:hAnsi="Times New Roman" w:cs="Times New Roman"/>
          <w:snapToGrid w:val="0"/>
          <w:color w:val="000000" w:themeColor="text1"/>
          <w:sz w:val="24"/>
          <w:szCs w:val="24"/>
          <w:lang w:eastAsia="zh-CN"/>
          <w14:textFill>
            <w14:solidFill>
              <w14:schemeClr w14:val="tx1"/>
            </w14:solidFill>
          </w14:textFill>
        </w:rPr>
        <w:t>方案，本项目涉及的</w:t>
      </w:r>
      <w:r>
        <w:rPr>
          <w:rFonts w:hint="eastAsia" w:ascii="Times New Roman" w:hAnsi="Times New Roman" w:cs="Times New Roman"/>
          <w:snapToGrid w:val="0"/>
          <w:color w:val="000000" w:themeColor="text1"/>
          <w:sz w:val="24"/>
          <w:szCs w:val="24"/>
          <w:lang w:val="en-US" w:eastAsia="zh-CN"/>
          <w14:textFill>
            <w14:solidFill>
              <w14:schemeClr w14:val="tx1"/>
            </w14:solidFill>
          </w14:textFill>
        </w:rPr>
        <w:t>8个饮用水源保护区具体划分情况如下</w:t>
      </w:r>
      <w:r>
        <w:rPr>
          <w:rFonts w:ascii="Times New Roman" w:hAnsi="Times New Roman" w:cs="Times New Roman"/>
          <w:snapToGrid w:val="0"/>
          <w:color w:val="000000" w:themeColor="text1"/>
          <w:sz w:val="24"/>
          <w:szCs w:val="24"/>
          <w14:textFill>
            <w14:solidFill>
              <w14:schemeClr w14:val="tx1"/>
            </w14:solidFill>
          </w14:textFill>
        </w:rPr>
        <w:t>。</w:t>
      </w:r>
    </w:p>
    <w:p>
      <w:pPr>
        <w:spacing w:line="360" w:lineRule="auto"/>
        <w:jc w:val="center"/>
        <w:rPr>
          <w:rFonts w:hint="eastAsia" w:ascii="Times New Roman" w:hAnsi="Times New Roman" w:eastAsia="宋体" w:cs="Times New Roman"/>
          <w:b/>
          <w:color w:val="auto"/>
          <w:sz w:val="24"/>
          <w:szCs w:val="21"/>
          <w:highlight w:val="none"/>
          <w:lang w:eastAsia="zh-CN"/>
        </w:rPr>
      </w:pPr>
      <w:r>
        <w:rPr>
          <w:rFonts w:hint="eastAsia" w:ascii="Times New Roman" w:hAnsi="Times New Roman" w:eastAsia="宋体" w:cs="Times New Roman"/>
          <w:b/>
          <w:color w:val="auto"/>
          <w:sz w:val="24"/>
          <w:szCs w:val="21"/>
          <w:highlight w:val="none"/>
          <w:lang w:eastAsia="zh-CN"/>
        </w:rPr>
        <w:t>表</w:t>
      </w:r>
      <w:r>
        <w:rPr>
          <w:rFonts w:hint="eastAsia" w:ascii="Times New Roman" w:hAnsi="Times New Roman" w:eastAsia="宋体" w:cs="Times New Roman"/>
          <w:b/>
          <w:color w:val="auto"/>
          <w:sz w:val="24"/>
          <w:szCs w:val="21"/>
          <w:highlight w:val="none"/>
          <w:lang w:val="en-US" w:eastAsia="zh-CN"/>
        </w:rPr>
        <w:t xml:space="preserve">4.3-2 </w:t>
      </w:r>
      <w:r>
        <w:rPr>
          <w:rFonts w:hint="eastAsia" w:ascii="Times New Roman" w:hAnsi="Times New Roman" w:eastAsia="宋体" w:cs="Times New Roman"/>
          <w:b/>
          <w:color w:val="auto"/>
          <w:sz w:val="24"/>
          <w:szCs w:val="21"/>
          <w:highlight w:val="none"/>
          <w:lang w:eastAsia="zh-CN"/>
        </w:rPr>
        <w:t>项目涉及</w:t>
      </w:r>
      <w:r>
        <w:rPr>
          <w:rFonts w:hint="eastAsia" w:ascii="Times New Roman" w:hAnsi="Times New Roman" w:eastAsia="宋体" w:cs="Times New Roman"/>
          <w:b/>
          <w:color w:val="auto"/>
          <w:sz w:val="24"/>
          <w:szCs w:val="21"/>
          <w:highlight w:val="none"/>
        </w:rPr>
        <w:t>乡镇集中式饮用水水源保护区划分</w:t>
      </w:r>
      <w:r>
        <w:rPr>
          <w:rFonts w:hint="eastAsia" w:ascii="Times New Roman" w:hAnsi="Times New Roman" w:eastAsia="宋体" w:cs="Times New Roman"/>
          <w:b/>
          <w:color w:val="auto"/>
          <w:sz w:val="24"/>
          <w:szCs w:val="21"/>
          <w:highlight w:val="none"/>
          <w:lang w:eastAsia="zh-CN"/>
        </w:rPr>
        <w:t>情况</w:t>
      </w:r>
    </w:p>
    <w:tbl>
      <w:tblPr>
        <w:tblStyle w:val="89"/>
        <w:tblW w:w="14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269"/>
        <w:gridCol w:w="726"/>
        <w:gridCol w:w="729"/>
        <w:gridCol w:w="978"/>
        <w:gridCol w:w="978"/>
        <w:gridCol w:w="1015"/>
        <w:gridCol w:w="1015"/>
        <w:gridCol w:w="661"/>
        <w:gridCol w:w="2510"/>
        <w:gridCol w:w="3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blHeader/>
          <w:jc w:val="center"/>
        </w:trPr>
        <w:tc>
          <w:tcPr>
            <w:tcW w:w="66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序号</w:t>
            </w:r>
          </w:p>
        </w:tc>
        <w:tc>
          <w:tcPr>
            <w:tcW w:w="126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保护区名称</w:t>
            </w:r>
          </w:p>
        </w:tc>
        <w:tc>
          <w:tcPr>
            <w:tcW w:w="726"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所在市州</w:t>
            </w:r>
          </w:p>
        </w:tc>
        <w:tc>
          <w:tcPr>
            <w:tcW w:w="72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所在县区</w:t>
            </w:r>
          </w:p>
        </w:tc>
        <w:tc>
          <w:tcPr>
            <w:tcW w:w="978"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所在流域</w:t>
            </w:r>
          </w:p>
        </w:tc>
        <w:tc>
          <w:tcPr>
            <w:tcW w:w="978"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类型</w:t>
            </w:r>
          </w:p>
        </w:tc>
        <w:tc>
          <w:tcPr>
            <w:tcW w:w="1015"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现有水厂名称</w:t>
            </w:r>
          </w:p>
        </w:tc>
        <w:tc>
          <w:tcPr>
            <w:tcW w:w="1015"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服务城镇</w:t>
            </w:r>
          </w:p>
        </w:tc>
        <w:tc>
          <w:tcPr>
            <w:tcW w:w="661" w:type="dxa"/>
            <w:vMerge w:val="restart"/>
            <w:tcBorders>
              <w:top w:val="single" w:color="auto" w:sz="4" w:space="0"/>
              <w:left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保护级别</w:t>
            </w:r>
          </w:p>
        </w:tc>
        <w:tc>
          <w:tcPr>
            <w:tcW w:w="6316"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blHeader/>
          <w:jc w:val="center"/>
        </w:trPr>
        <w:tc>
          <w:tcPr>
            <w:tcW w:w="663"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
                <w:kern w:val="0"/>
                <w:szCs w:val="21"/>
              </w:rPr>
            </w:pPr>
          </w:p>
        </w:tc>
        <w:tc>
          <w:tcPr>
            <w:tcW w:w="126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hint="default" w:ascii="Times New Roman" w:hAnsi="Times New Roman" w:eastAsia="宋体" w:cs="Times New Roman"/>
                <w:b/>
                <w:kern w:val="0"/>
                <w:szCs w:val="21"/>
              </w:rPr>
            </w:pPr>
          </w:p>
        </w:tc>
        <w:tc>
          <w:tcPr>
            <w:tcW w:w="72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hint="default" w:ascii="Times New Roman" w:hAnsi="Times New Roman" w:eastAsia="宋体" w:cs="Times New Roman"/>
                <w:b/>
                <w:kern w:val="0"/>
                <w:szCs w:val="21"/>
              </w:rPr>
            </w:pPr>
          </w:p>
        </w:tc>
        <w:tc>
          <w:tcPr>
            <w:tcW w:w="72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hint="default" w:ascii="Times New Roman" w:hAnsi="Times New Roman" w:eastAsia="宋体" w:cs="Times New Roman"/>
                <w:b/>
                <w:kern w:val="0"/>
                <w:szCs w:val="21"/>
              </w:rPr>
            </w:pPr>
          </w:p>
        </w:tc>
        <w:tc>
          <w:tcPr>
            <w:tcW w:w="978"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hint="default" w:ascii="Times New Roman" w:hAnsi="Times New Roman" w:eastAsia="宋体" w:cs="Times New Roman"/>
                <w:b/>
                <w:kern w:val="0"/>
                <w:szCs w:val="21"/>
              </w:rPr>
            </w:pPr>
          </w:p>
        </w:tc>
        <w:tc>
          <w:tcPr>
            <w:tcW w:w="978"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hint="default" w:ascii="Times New Roman" w:hAnsi="Times New Roman" w:eastAsia="宋体" w:cs="Times New Roman"/>
                <w:b/>
                <w:kern w:val="0"/>
                <w:szCs w:val="21"/>
              </w:rPr>
            </w:pPr>
          </w:p>
        </w:tc>
        <w:tc>
          <w:tcPr>
            <w:tcW w:w="10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hint="default" w:ascii="Times New Roman" w:hAnsi="Times New Roman" w:eastAsia="宋体" w:cs="Times New Roman"/>
                <w:b/>
                <w:kern w:val="0"/>
                <w:szCs w:val="21"/>
              </w:rPr>
            </w:pPr>
          </w:p>
        </w:tc>
        <w:tc>
          <w:tcPr>
            <w:tcW w:w="101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hint="default" w:ascii="Times New Roman" w:hAnsi="Times New Roman" w:eastAsia="宋体" w:cs="Times New Roman"/>
                <w:b/>
                <w:kern w:val="0"/>
                <w:szCs w:val="21"/>
              </w:rPr>
            </w:pPr>
          </w:p>
        </w:tc>
        <w:tc>
          <w:tcPr>
            <w:tcW w:w="661" w:type="dxa"/>
            <w:vMerge w:val="continue"/>
            <w:tcBorders>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
                <w:kern w:val="0"/>
                <w:szCs w:val="21"/>
              </w:rPr>
            </w:pPr>
          </w:p>
        </w:tc>
        <w:tc>
          <w:tcPr>
            <w:tcW w:w="2510" w:type="dxa"/>
            <w:tcBorders>
              <w:top w:val="single" w:color="auto" w:sz="4" w:space="0"/>
              <w:left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水域</w:t>
            </w:r>
          </w:p>
        </w:tc>
        <w:tc>
          <w:tcPr>
            <w:tcW w:w="3806" w:type="dxa"/>
            <w:tcBorders>
              <w:top w:val="single" w:color="auto" w:sz="4" w:space="0"/>
              <w:left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6" w:hRule="atLeast"/>
          <w:jc w:val="center"/>
        </w:trPr>
        <w:tc>
          <w:tcPr>
            <w:tcW w:w="663" w:type="dxa"/>
            <w:vMerge w:val="restart"/>
            <w:tcBorders>
              <w:left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val="en-US" w:eastAsia="zh-CN"/>
              </w:rPr>
              <w:t>1</w:t>
            </w:r>
          </w:p>
        </w:tc>
        <w:tc>
          <w:tcPr>
            <w:tcW w:w="1269" w:type="dxa"/>
            <w:vMerge w:val="restart"/>
            <w:tcBorders>
              <w:left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rPr>
            </w:pPr>
            <w:r>
              <w:rPr>
                <w:rFonts w:hint="eastAsia" w:ascii="Times New Roman" w:hAnsi="Times New Roman" w:cs="Times New Roman"/>
                <w:color w:val="auto"/>
                <w:kern w:val="0"/>
                <w:szCs w:val="21"/>
                <w:lang w:eastAsia="zh-CN"/>
              </w:rPr>
              <w:t>祁东县</w:t>
            </w:r>
            <w:r>
              <w:rPr>
                <w:rFonts w:hint="default" w:ascii="Times New Roman" w:hAnsi="Times New Roman" w:eastAsia="宋体" w:cs="Times New Roman"/>
                <w:color w:val="auto"/>
                <w:kern w:val="0"/>
                <w:szCs w:val="21"/>
              </w:rPr>
              <w:t>嘉树镇</w:t>
            </w:r>
            <w:r>
              <w:rPr>
                <w:rFonts w:hint="eastAsia" w:ascii="Times New Roman" w:hAnsi="Times New Roman" w:cs="Times New Roman"/>
                <w:color w:val="auto"/>
                <w:kern w:val="0"/>
                <w:szCs w:val="21"/>
                <w:lang w:eastAsia="zh-CN"/>
              </w:rPr>
              <w:t>祁水</w:t>
            </w:r>
            <w:r>
              <w:rPr>
                <w:rFonts w:hint="default" w:ascii="Times New Roman" w:hAnsi="Times New Roman" w:eastAsia="宋体" w:cs="Times New Roman"/>
                <w:color w:val="auto"/>
                <w:kern w:val="0"/>
                <w:szCs w:val="21"/>
              </w:rPr>
              <w:t>饮用水水源保护区</w:t>
            </w:r>
          </w:p>
        </w:tc>
        <w:tc>
          <w:tcPr>
            <w:tcW w:w="726" w:type="dxa"/>
            <w:vMerge w:val="restart"/>
            <w:tcBorders>
              <w:left w:val="single" w:color="auto" w:sz="4" w:space="0"/>
              <w:right w:val="single" w:color="auto" w:sz="4" w:space="0"/>
            </w:tcBorders>
            <w:vAlign w:val="center"/>
          </w:tcPr>
          <w:p>
            <w:pPr>
              <w:widowControl/>
              <w:adjustRightInd w:val="0"/>
              <w:snapToGrid w:val="0"/>
              <w:jc w:val="left"/>
              <w:rPr>
                <w:rFonts w:hint="eastAsia" w:ascii="Times New Roman" w:hAnsi="Times New Roman" w:eastAsia="宋体" w:cs="Times New Roman"/>
                <w:kern w:val="0"/>
                <w:szCs w:val="21"/>
                <w:lang w:eastAsia="zh-CN"/>
              </w:rPr>
            </w:pPr>
            <w:r>
              <w:rPr>
                <w:rFonts w:hint="eastAsia" w:ascii="Times New Roman" w:hAnsi="Times New Roman" w:cs="Times New Roman"/>
                <w:kern w:val="0"/>
                <w:szCs w:val="21"/>
                <w:lang w:eastAsia="zh-CN"/>
              </w:rPr>
              <w:t>衡阳市</w:t>
            </w:r>
          </w:p>
        </w:tc>
        <w:tc>
          <w:tcPr>
            <w:tcW w:w="729" w:type="dxa"/>
            <w:vMerge w:val="restart"/>
            <w:tcBorders>
              <w:left w:val="single" w:color="auto" w:sz="4" w:space="0"/>
              <w:right w:val="single" w:color="auto" w:sz="4" w:space="0"/>
            </w:tcBorders>
            <w:vAlign w:val="center"/>
          </w:tcPr>
          <w:p>
            <w:pPr>
              <w:widowControl/>
              <w:adjustRightInd w:val="0"/>
              <w:snapToGrid w:val="0"/>
              <w:jc w:val="left"/>
              <w:rPr>
                <w:rFonts w:hint="eastAsia" w:ascii="Times New Roman" w:hAnsi="Times New Roman" w:eastAsia="宋体" w:cs="Times New Roman"/>
                <w:kern w:val="0"/>
                <w:szCs w:val="21"/>
                <w:lang w:eastAsia="zh-CN"/>
              </w:rPr>
            </w:pPr>
            <w:r>
              <w:rPr>
                <w:rFonts w:hint="eastAsia" w:ascii="Times New Roman" w:hAnsi="Times New Roman" w:cs="Times New Roman"/>
                <w:kern w:val="0"/>
                <w:szCs w:val="21"/>
                <w:lang w:eastAsia="zh-CN"/>
              </w:rPr>
              <w:t>祁东县</w:t>
            </w:r>
          </w:p>
        </w:tc>
        <w:tc>
          <w:tcPr>
            <w:tcW w:w="978" w:type="dxa"/>
            <w:vMerge w:val="restart"/>
            <w:tcBorders>
              <w:left w:val="single" w:color="auto" w:sz="4" w:space="0"/>
              <w:right w:val="single" w:color="auto" w:sz="4" w:space="0"/>
            </w:tcBorders>
            <w:vAlign w:val="center"/>
          </w:tcPr>
          <w:p>
            <w:pPr>
              <w:widowControl/>
              <w:adjustRightInd w:val="0"/>
              <w:snapToGrid w:val="0"/>
              <w:jc w:val="left"/>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湘江-</w:t>
            </w:r>
            <w:r>
              <w:rPr>
                <w:rFonts w:hint="eastAsia" w:ascii="Times New Roman" w:hAnsi="Times New Roman" w:cs="Times New Roman"/>
                <w:kern w:val="0"/>
                <w:szCs w:val="21"/>
                <w:lang w:eastAsia="zh-CN"/>
              </w:rPr>
              <w:t>祁水</w:t>
            </w:r>
          </w:p>
        </w:tc>
        <w:tc>
          <w:tcPr>
            <w:tcW w:w="978" w:type="dxa"/>
            <w:vMerge w:val="restart"/>
            <w:tcBorders>
              <w:left w:val="single" w:color="auto" w:sz="4" w:space="0"/>
              <w:right w:val="single" w:color="auto" w:sz="4" w:space="0"/>
            </w:tcBorders>
            <w:vAlign w:val="center"/>
          </w:tcPr>
          <w:p>
            <w:pPr>
              <w:widowControl/>
              <w:adjustRightInd w:val="0"/>
              <w:snapToGrid w:val="0"/>
              <w:jc w:val="left"/>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河流</w:t>
            </w:r>
          </w:p>
        </w:tc>
        <w:tc>
          <w:tcPr>
            <w:tcW w:w="1015" w:type="dxa"/>
            <w:vMerge w:val="restart"/>
            <w:tcBorders>
              <w:left w:val="single" w:color="auto" w:sz="4" w:space="0"/>
              <w:right w:val="single" w:color="auto" w:sz="4" w:space="0"/>
            </w:tcBorders>
            <w:vAlign w:val="center"/>
          </w:tcPr>
          <w:p>
            <w:pPr>
              <w:widowControl/>
              <w:adjustRightInd w:val="0"/>
              <w:snapToGrid w:val="0"/>
              <w:jc w:val="left"/>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孙家湾、嘉树自来水厂</w:t>
            </w:r>
          </w:p>
        </w:tc>
        <w:tc>
          <w:tcPr>
            <w:tcW w:w="1015" w:type="dxa"/>
            <w:vMerge w:val="restart"/>
            <w:tcBorders>
              <w:left w:val="single" w:color="auto" w:sz="4" w:space="0"/>
              <w:right w:val="single" w:color="auto" w:sz="4" w:space="0"/>
            </w:tcBorders>
            <w:vAlign w:val="center"/>
          </w:tcPr>
          <w:p>
            <w:pPr>
              <w:widowControl/>
              <w:adjustRightInd w:val="0"/>
              <w:snapToGrid w:val="0"/>
              <w:jc w:val="left"/>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孙家湾镇、嘉树镇等。</w:t>
            </w:r>
          </w:p>
        </w:tc>
        <w:tc>
          <w:tcPr>
            <w:tcW w:w="66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一级</w:t>
            </w:r>
          </w:p>
        </w:tc>
        <w:tc>
          <w:tcPr>
            <w:tcW w:w="25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孙家湾水厂取水口上游1000米至嘉树水厂取水口下游100米之间的</w:t>
            </w:r>
            <w:r>
              <w:rPr>
                <w:rFonts w:hint="eastAsia" w:ascii="Times New Roman" w:hAnsi="Times New Roman" w:cs="Times New Roman"/>
                <w:kern w:val="0"/>
                <w:szCs w:val="21"/>
                <w:lang w:eastAsia="zh-CN"/>
              </w:rPr>
              <w:t>祁水</w:t>
            </w:r>
            <w:r>
              <w:rPr>
                <w:rFonts w:hint="default" w:ascii="Times New Roman" w:hAnsi="Times New Roman" w:eastAsia="宋体" w:cs="Times New Roman"/>
                <w:kern w:val="0"/>
                <w:szCs w:val="21"/>
              </w:rPr>
              <w:t>河道水域；</w:t>
            </w:r>
            <w:r>
              <w:rPr>
                <w:rFonts w:hint="eastAsia" w:ascii="Times New Roman" w:hAnsi="Times New Roman" w:cs="Times New Roman"/>
                <w:kern w:val="0"/>
                <w:szCs w:val="21"/>
                <w:lang w:eastAsia="zh-CN"/>
              </w:rPr>
              <w:t>祁水</w:t>
            </w:r>
            <w:r>
              <w:rPr>
                <w:rFonts w:hint="default" w:ascii="Times New Roman" w:hAnsi="Times New Roman" w:eastAsia="宋体" w:cs="Times New Roman"/>
                <w:kern w:val="0"/>
                <w:szCs w:val="21"/>
              </w:rPr>
              <w:t>支流东龙河汇入口上溯550米水域。</w:t>
            </w:r>
          </w:p>
        </w:tc>
        <w:tc>
          <w:tcPr>
            <w:tcW w:w="380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hint="default" w:ascii="Times New Roman" w:hAnsi="Times New Roman" w:eastAsia="宋体" w:cs="Times New Roman"/>
                <w:kern w:val="0"/>
                <w:szCs w:val="21"/>
              </w:rPr>
            </w:pPr>
            <w:r>
              <w:rPr>
                <w:rFonts w:hint="eastAsia" w:ascii="Times New Roman" w:hAnsi="Times New Roman" w:cs="Times New Roman"/>
                <w:kern w:val="0"/>
                <w:szCs w:val="21"/>
                <w:lang w:eastAsia="zh-CN"/>
              </w:rPr>
              <w:t>祁水</w:t>
            </w:r>
            <w:r>
              <w:rPr>
                <w:rFonts w:hint="default" w:ascii="Times New Roman" w:hAnsi="Times New Roman" w:eastAsia="宋体" w:cs="Times New Roman"/>
                <w:kern w:val="0"/>
                <w:szCs w:val="21"/>
              </w:rPr>
              <w:t>和东龙河一级保护区水域两岸纵深50米范围陆域。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663" w:type="dxa"/>
            <w:vMerge w:val="continue"/>
            <w:tcBorders>
              <w:left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color w:val="auto"/>
                <w:kern w:val="0"/>
                <w:szCs w:val="21"/>
              </w:rPr>
            </w:pPr>
          </w:p>
        </w:tc>
        <w:tc>
          <w:tcPr>
            <w:tcW w:w="1269" w:type="dxa"/>
            <w:vMerge w:val="continue"/>
            <w:tcBorders>
              <w:left w:val="single" w:color="auto" w:sz="4" w:space="0"/>
              <w:bottom w:val="single" w:color="auto" w:sz="4" w:space="0"/>
              <w:right w:val="single" w:color="auto" w:sz="4" w:space="0"/>
            </w:tcBorders>
            <w:vAlign w:val="center"/>
          </w:tcPr>
          <w:p>
            <w:pPr>
              <w:widowControl/>
              <w:adjustRightInd w:val="0"/>
              <w:snapToGrid w:val="0"/>
              <w:jc w:val="left"/>
              <w:rPr>
                <w:rFonts w:hint="default" w:ascii="Times New Roman" w:hAnsi="Times New Roman" w:eastAsia="宋体" w:cs="Times New Roman"/>
                <w:color w:val="auto"/>
                <w:kern w:val="0"/>
                <w:szCs w:val="21"/>
              </w:rPr>
            </w:pPr>
          </w:p>
        </w:tc>
        <w:tc>
          <w:tcPr>
            <w:tcW w:w="726" w:type="dxa"/>
            <w:vMerge w:val="continue"/>
            <w:tcBorders>
              <w:left w:val="single" w:color="auto" w:sz="4" w:space="0"/>
              <w:bottom w:val="single" w:color="auto" w:sz="4" w:space="0"/>
              <w:right w:val="single" w:color="auto" w:sz="4" w:space="0"/>
            </w:tcBorders>
            <w:vAlign w:val="center"/>
          </w:tcPr>
          <w:p>
            <w:pPr>
              <w:widowControl/>
              <w:adjustRightInd w:val="0"/>
              <w:snapToGrid w:val="0"/>
              <w:jc w:val="left"/>
              <w:rPr>
                <w:rFonts w:hint="default" w:ascii="Times New Roman" w:hAnsi="Times New Roman" w:eastAsia="宋体" w:cs="Times New Roman"/>
                <w:kern w:val="0"/>
                <w:szCs w:val="21"/>
              </w:rPr>
            </w:pPr>
          </w:p>
        </w:tc>
        <w:tc>
          <w:tcPr>
            <w:tcW w:w="729" w:type="dxa"/>
            <w:vMerge w:val="continue"/>
            <w:tcBorders>
              <w:left w:val="single" w:color="auto" w:sz="4" w:space="0"/>
              <w:bottom w:val="single" w:color="auto" w:sz="4" w:space="0"/>
              <w:right w:val="single" w:color="auto" w:sz="4" w:space="0"/>
            </w:tcBorders>
            <w:vAlign w:val="center"/>
          </w:tcPr>
          <w:p>
            <w:pPr>
              <w:widowControl/>
              <w:adjustRightInd w:val="0"/>
              <w:snapToGrid w:val="0"/>
              <w:jc w:val="left"/>
              <w:rPr>
                <w:rFonts w:hint="default" w:ascii="Times New Roman" w:hAnsi="Times New Roman" w:eastAsia="宋体" w:cs="Times New Roman"/>
                <w:kern w:val="0"/>
                <w:szCs w:val="21"/>
              </w:rPr>
            </w:pPr>
          </w:p>
        </w:tc>
        <w:tc>
          <w:tcPr>
            <w:tcW w:w="978" w:type="dxa"/>
            <w:vMerge w:val="continue"/>
            <w:tcBorders>
              <w:left w:val="single" w:color="auto" w:sz="4" w:space="0"/>
              <w:bottom w:val="single" w:color="auto" w:sz="4" w:space="0"/>
              <w:right w:val="single" w:color="auto" w:sz="4" w:space="0"/>
            </w:tcBorders>
            <w:vAlign w:val="center"/>
          </w:tcPr>
          <w:p>
            <w:pPr>
              <w:widowControl/>
              <w:adjustRightInd w:val="0"/>
              <w:snapToGrid w:val="0"/>
              <w:jc w:val="left"/>
              <w:rPr>
                <w:rFonts w:hint="default" w:ascii="Times New Roman" w:hAnsi="Times New Roman" w:eastAsia="宋体" w:cs="Times New Roman"/>
                <w:kern w:val="0"/>
                <w:szCs w:val="21"/>
              </w:rPr>
            </w:pPr>
          </w:p>
        </w:tc>
        <w:tc>
          <w:tcPr>
            <w:tcW w:w="978" w:type="dxa"/>
            <w:vMerge w:val="continue"/>
            <w:tcBorders>
              <w:left w:val="single" w:color="auto" w:sz="4" w:space="0"/>
              <w:bottom w:val="single" w:color="auto" w:sz="4" w:space="0"/>
              <w:right w:val="single" w:color="auto" w:sz="4" w:space="0"/>
            </w:tcBorders>
            <w:vAlign w:val="center"/>
          </w:tcPr>
          <w:p>
            <w:pPr>
              <w:widowControl/>
              <w:adjustRightInd w:val="0"/>
              <w:snapToGrid w:val="0"/>
              <w:jc w:val="left"/>
              <w:rPr>
                <w:rFonts w:hint="default" w:ascii="Times New Roman" w:hAnsi="Times New Roman" w:eastAsia="宋体" w:cs="Times New Roman"/>
                <w:kern w:val="0"/>
                <w:szCs w:val="21"/>
              </w:rPr>
            </w:pPr>
          </w:p>
        </w:tc>
        <w:tc>
          <w:tcPr>
            <w:tcW w:w="1015" w:type="dxa"/>
            <w:vMerge w:val="continue"/>
            <w:tcBorders>
              <w:left w:val="single" w:color="auto" w:sz="4" w:space="0"/>
              <w:bottom w:val="single" w:color="auto" w:sz="4" w:space="0"/>
              <w:right w:val="single" w:color="auto" w:sz="4" w:space="0"/>
            </w:tcBorders>
            <w:vAlign w:val="center"/>
          </w:tcPr>
          <w:p>
            <w:pPr>
              <w:widowControl/>
              <w:adjustRightInd w:val="0"/>
              <w:snapToGrid w:val="0"/>
              <w:jc w:val="left"/>
              <w:rPr>
                <w:rFonts w:hint="default" w:ascii="Times New Roman" w:hAnsi="Times New Roman" w:eastAsia="宋体" w:cs="Times New Roman"/>
                <w:kern w:val="0"/>
                <w:szCs w:val="21"/>
              </w:rPr>
            </w:pPr>
          </w:p>
        </w:tc>
        <w:tc>
          <w:tcPr>
            <w:tcW w:w="1015" w:type="dxa"/>
            <w:vMerge w:val="continue"/>
            <w:tcBorders>
              <w:left w:val="single" w:color="auto" w:sz="4" w:space="0"/>
              <w:bottom w:val="single" w:color="auto" w:sz="4" w:space="0"/>
              <w:right w:val="single" w:color="auto" w:sz="4" w:space="0"/>
            </w:tcBorders>
            <w:vAlign w:val="center"/>
          </w:tcPr>
          <w:p>
            <w:pPr>
              <w:widowControl/>
              <w:adjustRightInd w:val="0"/>
              <w:snapToGrid w:val="0"/>
              <w:jc w:val="left"/>
              <w:rPr>
                <w:rFonts w:hint="default" w:ascii="Times New Roman" w:hAnsi="Times New Roman" w:eastAsia="宋体" w:cs="Times New Roman"/>
                <w:kern w:val="0"/>
                <w:szCs w:val="21"/>
              </w:rPr>
            </w:pPr>
          </w:p>
        </w:tc>
        <w:tc>
          <w:tcPr>
            <w:tcW w:w="66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二级</w:t>
            </w:r>
          </w:p>
        </w:tc>
        <w:tc>
          <w:tcPr>
            <w:tcW w:w="25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一级保护区水域边界上溯2000米、下延200米河道水域；东龙河一级保护区上游边界上溯至醴茶铁路线范围内的水域。</w:t>
            </w:r>
          </w:p>
        </w:tc>
        <w:tc>
          <w:tcPr>
            <w:tcW w:w="380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rPr>
                <w:rFonts w:hint="default" w:ascii="Times New Roman" w:hAnsi="Times New Roman" w:eastAsia="宋体" w:cs="Times New Roman"/>
                <w:kern w:val="0"/>
                <w:szCs w:val="21"/>
              </w:rPr>
            </w:pPr>
            <w:r>
              <w:rPr>
                <w:rFonts w:hint="eastAsia" w:ascii="Times New Roman" w:hAnsi="Times New Roman" w:cs="Times New Roman"/>
                <w:kern w:val="0"/>
                <w:szCs w:val="21"/>
                <w:lang w:eastAsia="zh-CN"/>
              </w:rPr>
              <w:t>祁水</w:t>
            </w:r>
            <w:r>
              <w:rPr>
                <w:rFonts w:hint="default" w:ascii="Times New Roman" w:hAnsi="Times New Roman" w:eastAsia="宋体" w:cs="Times New Roman"/>
                <w:kern w:val="0"/>
                <w:szCs w:val="21"/>
              </w:rPr>
              <w:t>左岸一、二级保护区水域边界至乌石村村道、X101县道及第一重山脊线之间陆域，</w:t>
            </w:r>
            <w:r>
              <w:rPr>
                <w:rFonts w:hint="eastAsia" w:ascii="Times New Roman" w:hAnsi="Times New Roman" w:cs="Times New Roman"/>
                <w:kern w:val="0"/>
                <w:szCs w:val="21"/>
                <w:lang w:eastAsia="zh-CN"/>
              </w:rPr>
              <w:t>祁水</w:t>
            </w:r>
            <w:r>
              <w:rPr>
                <w:rFonts w:hint="default" w:ascii="Times New Roman" w:hAnsi="Times New Roman" w:eastAsia="宋体" w:cs="Times New Roman"/>
                <w:kern w:val="0"/>
                <w:szCs w:val="21"/>
              </w:rPr>
              <w:t>右岸一、二级保护区水域边界至西岸村和龙虎湾村村道、醴茶铁路、泗汾村村道及第一重山脊线之间陆域（一级保护区陆域和东龙河一级、二级保护区水域除外）。</w:t>
            </w:r>
          </w:p>
        </w:tc>
      </w:tr>
    </w:tbl>
    <w:p>
      <w:pPr>
        <w:pStyle w:val="2"/>
        <w:sectPr>
          <w:pgSz w:w="16840" w:h="11910" w:orient="landscape"/>
          <w:pgMar w:top="1559" w:right="1378" w:bottom="1542" w:left="1378" w:header="877" w:footer="1077" w:gutter="0"/>
          <w:pgBorders>
            <w:top w:val="none" w:sz="0" w:space="0"/>
            <w:left w:val="none" w:sz="0" w:space="0"/>
            <w:bottom w:val="none" w:sz="0" w:space="0"/>
            <w:right w:val="none" w:sz="0" w:space="0"/>
          </w:pgBorders>
          <w:pgNumType w:fmt="decimal"/>
          <w:cols w:space="720" w:num="1"/>
          <w:docGrid w:linePitch="299" w:charSpace="0"/>
        </w:sectPr>
      </w:pPr>
    </w:p>
    <w:p>
      <w:pPr>
        <w:pStyle w:val="5"/>
        <w:tabs>
          <w:tab w:val="left" w:pos="766"/>
        </w:tabs>
        <w:autoSpaceDE/>
        <w:autoSpaceDN/>
        <w:adjustRightInd w:val="0"/>
        <w:snapToGrid w:val="0"/>
        <w:spacing w:before="0" w:line="360" w:lineRule="auto"/>
        <w:ind w:left="0" w:firstLine="0"/>
        <w:jc w:val="both"/>
        <w:rPr>
          <w:rFonts w:ascii="Times New Roman" w:hAnsi="Times New Roman" w:cs="Times New Roman"/>
          <w:snapToGrid w:val="0"/>
        </w:rPr>
      </w:pPr>
      <w:bookmarkStart w:id="245" w:name="_Toc32313"/>
      <w:r>
        <w:rPr>
          <w:rFonts w:ascii="Times New Roman" w:hAnsi="Times New Roman" w:cs="Times New Roman"/>
          <w:snapToGrid w:val="0"/>
        </w:rPr>
        <w:t>4.</w:t>
      </w:r>
      <w:r>
        <w:rPr>
          <w:rFonts w:hint="eastAsia" w:ascii="Times New Roman" w:hAnsi="Times New Roman" w:cs="Times New Roman"/>
          <w:snapToGrid w:val="0"/>
          <w:lang w:val="en-US" w:eastAsia="zh-CN"/>
        </w:rPr>
        <w:t>4</w:t>
      </w:r>
      <w:r>
        <w:rPr>
          <w:rFonts w:ascii="Times New Roman" w:hAnsi="Times New Roman" w:cs="Times New Roman"/>
          <w:snapToGrid w:val="0"/>
        </w:rPr>
        <w:t>环境质量现状监测与评价</w:t>
      </w:r>
      <w:bookmarkEnd w:id="245"/>
    </w:p>
    <w:p>
      <w:pPr>
        <w:autoSpaceDE/>
        <w:autoSpaceDN/>
        <w:adjustRightInd w:val="0"/>
        <w:snapToGrid w:val="0"/>
        <w:spacing w:line="360" w:lineRule="auto"/>
        <w:jc w:val="both"/>
        <w:outlineLvl w:val="2"/>
        <w:rPr>
          <w:rFonts w:ascii="Times New Roman" w:hAnsi="Times New Roman" w:cs="Times New Roman"/>
          <w:b/>
          <w:sz w:val="28"/>
          <w:szCs w:val="24"/>
        </w:rPr>
      </w:pPr>
      <w:bookmarkStart w:id="246" w:name="_Toc1156"/>
      <w:bookmarkStart w:id="247" w:name="_Toc66206079"/>
      <w:bookmarkStart w:id="248" w:name="_Toc82593153"/>
      <w:bookmarkStart w:id="249" w:name="_Toc69284605"/>
      <w:r>
        <w:rPr>
          <w:rFonts w:ascii="Times New Roman" w:hAnsi="Times New Roman" w:cs="Times New Roman"/>
          <w:b/>
          <w:sz w:val="28"/>
          <w:szCs w:val="24"/>
        </w:rPr>
        <w:t>4.</w:t>
      </w:r>
      <w:r>
        <w:rPr>
          <w:rFonts w:hint="eastAsia" w:ascii="Times New Roman" w:hAnsi="Times New Roman" w:cs="Times New Roman"/>
          <w:b/>
          <w:sz w:val="28"/>
          <w:szCs w:val="24"/>
          <w:lang w:val="en-US" w:eastAsia="zh-CN"/>
        </w:rPr>
        <w:t>4</w:t>
      </w:r>
      <w:r>
        <w:rPr>
          <w:rFonts w:ascii="Times New Roman" w:hAnsi="Times New Roman" w:cs="Times New Roman"/>
          <w:b/>
          <w:sz w:val="28"/>
          <w:szCs w:val="24"/>
        </w:rPr>
        <w:t>.1大气环境质量现状调查与评价</w:t>
      </w:r>
      <w:bookmarkEnd w:id="246"/>
      <w:bookmarkEnd w:id="247"/>
      <w:bookmarkEnd w:id="248"/>
      <w:bookmarkEnd w:id="249"/>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根据《环境影响评价技术导则大气环境》（HJ2.2-2018）“6.2.1.2 采用评价范围内国家或地方环境空气质量监测网中评价基准年连续 1 年的监测数据，或采用生态环境主管部门公开发布的环境空气质量现状数据。”、“6.2.1.3 评价范围内没有环境空气质量监测网数据或公开发布的环境空气质量现状数据的，可选择符合 HJ664 规定，并且与评价范围地理位置邻近，地形、气候条件相近的环境空气质量城市点或区域点监测数据。”</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lang w:val="en-US"/>
        </w:rPr>
      </w:pPr>
      <w:r>
        <w:rPr>
          <w:rFonts w:hint="eastAsia" w:ascii="Times New Roman" w:hAnsi="Times New Roman" w:cs="Times New Roman"/>
          <w:lang w:val="en-US" w:eastAsia="zh-CN"/>
        </w:rPr>
        <w:t>1、</w:t>
      </w:r>
      <w:r>
        <w:rPr>
          <w:rFonts w:hint="eastAsia" w:ascii="Times New Roman" w:hAnsi="Times New Roman" w:cs="Times New Roman"/>
          <w:lang w:val="en-US"/>
        </w:rPr>
        <w:t>基本因子的监测数据</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ascii="Times New Roman" w:hAnsi="Times New Roman" w:cs="Times New Roman"/>
          <w:lang w:val="en-US" w:eastAsia="zh-CN"/>
        </w:rPr>
        <w:t>本评价收集了衡阳市生态环境局发布的“关于2023年12月及1-12月全市环境质量状况的通报”，2023年祁东县各监测因子平均浓度都符合《环境空气质量标准》（GB3095-2012）及其修改单二级标准，故本项目位于空气质量达标区，环境空气质量监测数据统计情况见表</w:t>
      </w:r>
      <w:r>
        <w:rPr>
          <w:rFonts w:ascii="Times New Roman" w:hAnsi="Times New Roman" w:cs="Times New Roman"/>
          <w:lang w:val="en-US"/>
        </w:rPr>
        <w:t>表4.</w:t>
      </w:r>
      <w:r>
        <w:rPr>
          <w:rFonts w:hint="eastAsia" w:ascii="Times New Roman" w:hAnsi="Times New Roman" w:cs="Times New Roman"/>
          <w:lang w:val="en-US" w:eastAsia="zh-CN"/>
        </w:rPr>
        <w:t>4</w:t>
      </w:r>
      <w:r>
        <w:rPr>
          <w:rFonts w:ascii="Times New Roman" w:hAnsi="Times New Roman" w:cs="Times New Roman"/>
          <w:lang w:val="en-US"/>
        </w:rPr>
        <w:t>-1。</w:t>
      </w:r>
    </w:p>
    <w:p>
      <w:pPr>
        <w:pStyle w:val="2966"/>
        <w:spacing w:before="120"/>
        <w:ind w:firstLine="0" w:firstLineChars="0"/>
        <w:jc w:val="center"/>
        <w:rPr>
          <w:rFonts w:ascii="Times New Roman" w:hAnsi="Times New Roman"/>
          <w:b/>
          <w:bCs/>
          <w:kern w:val="24"/>
        </w:rPr>
      </w:pPr>
      <w:r>
        <w:rPr>
          <w:rFonts w:ascii="Times New Roman" w:hAnsi="Times New Roman"/>
          <w:b/>
          <w:bCs/>
          <w:kern w:val="24"/>
        </w:rPr>
        <w:t>表4</w:t>
      </w:r>
      <w:r>
        <w:rPr>
          <w:rFonts w:hint="eastAsia" w:ascii="Times New Roman" w:hAnsi="Times New Roman"/>
          <w:b/>
          <w:bCs/>
          <w:kern w:val="24"/>
          <w:lang w:val="en-US" w:eastAsia="zh-CN"/>
        </w:rPr>
        <w:t>.4</w:t>
      </w:r>
      <w:r>
        <w:rPr>
          <w:rFonts w:ascii="Times New Roman" w:hAnsi="Times New Roman"/>
          <w:b/>
          <w:bCs/>
          <w:kern w:val="24"/>
        </w:rPr>
        <w:t>-1  202</w:t>
      </w:r>
      <w:r>
        <w:rPr>
          <w:rFonts w:hint="eastAsia" w:ascii="Times New Roman" w:hAnsi="Times New Roman"/>
          <w:b/>
          <w:bCs/>
          <w:kern w:val="24"/>
          <w:lang w:val="en-US" w:eastAsia="zh-CN"/>
        </w:rPr>
        <w:t>2</w:t>
      </w:r>
      <w:r>
        <w:rPr>
          <w:rFonts w:ascii="Times New Roman" w:hAnsi="Times New Roman"/>
          <w:b/>
          <w:bCs/>
          <w:kern w:val="24"/>
        </w:rPr>
        <w:t>年</w:t>
      </w:r>
      <w:r>
        <w:rPr>
          <w:rFonts w:hint="eastAsia" w:ascii="Times New Roman" w:hAnsi="Times New Roman"/>
          <w:b/>
          <w:bCs/>
          <w:kern w:val="24"/>
          <w:lang w:eastAsia="zh-CN"/>
        </w:rPr>
        <w:t>祁东县</w:t>
      </w:r>
      <w:r>
        <w:rPr>
          <w:rFonts w:ascii="Times New Roman" w:hAnsi="Times New Roman"/>
          <w:b/>
          <w:bCs/>
          <w:kern w:val="24"/>
        </w:rPr>
        <w:t>环境空气质量监测结果</w:t>
      </w:r>
      <w:r>
        <w:rPr>
          <w:rFonts w:hint="eastAsia" w:ascii="Times New Roman" w:hAnsi="Times New Roman"/>
          <w:b/>
          <w:bCs/>
          <w:kern w:val="24"/>
        </w:rPr>
        <w:t xml:space="preserve"> </w:t>
      </w:r>
      <w:r>
        <w:rPr>
          <w:rFonts w:ascii="Times New Roman" w:hAnsi="Times New Roman"/>
          <w:b/>
          <w:bCs/>
          <w:kern w:val="24"/>
        </w:rPr>
        <w:t>单位：ug/m</w:t>
      </w:r>
      <w:r>
        <w:rPr>
          <w:rFonts w:ascii="Times New Roman" w:hAnsi="Times New Roman"/>
          <w:b/>
          <w:bCs/>
          <w:kern w:val="24"/>
          <w:vertAlign w:val="superscript"/>
        </w:rPr>
        <w:t>3</w:t>
      </w:r>
    </w:p>
    <w:tbl>
      <w:tblPr>
        <w:tblStyle w:val="89"/>
        <w:tblW w:w="8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900"/>
        <w:gridCol w:w="2805"/>
        <w:gridCol w:w="1320"/>
        <w:gridCol w:w="1305"/>
        <w:gridCol w:w="1096"/>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50" w:hRule="exact"/>
          <w:jc w:val="center"/>
        </w:trPr>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污染物</w:t>
            </w:r>
          </w:p>
        </w:tc>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年评价賊</w:t>
            </w:r>
          </w:p>
        </w:tc>
        <w:tc>
          <w:tcPr>
            <w:tcW w:w="0" w:type="auto"/>
            <w:tcBorders>
              <w:tl2br w:val="nil"/>
              <w:tr2bl w:val="nil"/>
            </w:tcBorders>
            <w:noWrap w:val="0"/>
            <w:vAlign w:val="center"/>
          </w:tcPr>
          <w:p>
            <w:pPr>
              <w:pStyle w:val="2985"/>
              <w:keepNext w:val="0"/>
              <w:keepLines w:val="0"/>
              <w:widowControl w:val="0"/>
              <w:shd w:val="clear" w:color="auto" w:fill="auto"/>
              <w:bidi w:val="0"/>
              <w:spacing w:before="0" w:after="0" w:line="285" w:lineRule="exact"/>
              <w:ind w:left="0" w:right="0" w:firstLine="0"/>
              <w:jc w:val="center"/>
              <w:rPr>
                <w:rFonts w:hint="eastAsia" w:ascii="Times New Roman" w:hAnsi="Times New Roman" w:cs="Times New Roman"/>
                <w:color w:val="181731"/>
                <w:spacing w:val="0"/>
                <w:w w:val="100"/>
                <w:position w:val="0"/>
                <w:sz w:val="21"/>
                <w:szCs w:val="21"/>
                <w:u w:val="none" w:color="auto"/>
                <w:lang w:val="en-US" w:eastAsia="zh-CN"/>
              </w:rPr>
            </w:pPr>
            <w:r>
              <w:rPr>
                <w:rFonts w:hint="eastAsia" w:ascii="Times New Roman" w:hAnsi="Times New Roman" w:cs="Times New Roman"/>
                <w:color w:val="181731"/>
                <w:spacing w:val="0"/>
                <w:w w:val="100"/>
                <w:position w:val="0"/>
                <w:sz w:val="21"/>
                <w:szCs w:val="21"/>
                <w:u w:val="none" w:color="auto"/>
                <w:lang w:val="en-US" w:eastAsia="zh-CN"/>
              </w:rPr>
              <w:t>现状浓度</w:t>
            </w:r>
          </w:p>
          <w:p>
            <w:pPr>
              <w:pStyle w:val="2985"/>
              <w:keepNext w:val="0"/>
              <w:keepLines w:val="0"/>
              <w:widowControl w:val="0"/>
              <w:shd w:val="clear" w:color="auto" w:fill="auto"/>
              <w:bidi w:val="0"/>
              <w:spacing w:before="0" w:after="0" w:line="285" w:lineRule="exact"/>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181731"/>
                <w:spacing w:val="0"/>
                <w:w w:val="100"/>
                <w:position w:val="0"/>
                <w:sz w:val="21"/>
                <w:szCs w:val="21"/>
                <w:u w:val="none" w:color="auto"/>
              </w:rPr>
              <w:t>(μg</w:t>
            </w:r>
            <w:r>
              <w:rPr>
                <w:rFonts w:hint="default" w:ascii="Times New Roman" w:hAnsi="Times New Roman" w:cs="Times New Roman"/>
                <w:color w:val="181731"/>
                <w:spacing w:val="0"/>
                <w:w w:val="100"/>
                <w:position w:val="0"/>
                <w:sz w:val="21"/>
                <w:szCs w:val="21"/>
                <w:u w:val="none" w:color="auto"/>
                <w:lang w:val="en-US" w:eastAsia="en-US" w:bidi="en-US"/>
              </w:rPr>
              <w:t>/m</w:t>
            </w:r>
            <w:r>
              <w:rPr>
                <w:rFonts w:hint="default" w:ascii="Times New Roman" w:hAnsi="Times New Roman" w:cs="Times New Roman"/>
                <w:color w:val="181731"/>
                <w:spacing w:val="0"/>
                <w:w w:val="100"/>
                <w:position w:val="0"/>
                <w:sz w:val="21"/>
                <w:szCs w:val="21"/>
                <w:u w:val="none" w:color="auto"/>
                <w:vertAlign w:val="superscript"/>
                <w:lang w:val="en-US" w:eastAsia="en-US" w:bidi="en-US"/>
              </w:rPr>
              <w:t>3</w:t>
            </w:r>
            <w:r>
              <w:rPr>
                <w:rFonts w:hint="default" w:ascii="Times New Roman" w:hAnsi="Times New Roman" w:cs="Times New Roman"/>
                <w:color w:val="181731"/>
                <w:spacing w:val="0"/>
                <w:w w:val="100"/>
                <w:position w:val="0"/>
                <w:sz w:val="21"/>
                <w:szCs w:val="21"/>
                <w:u w:val="none" w:color="auto"/>
                <w:lang w:val="en-US" w:eastAsia="en-US" w:bidi="en-US"/>
              </w:rPr>
              <w:t>)</w:t>
            </w:r>
          </w:p>
        </w:tc>
        <w:tc>
          <w:tcPr>
            <w:tcW w:w="0" w:type="auto"/>
            <w:tcBorders>
              <w:tl2br w:val="nil"/>
              <w:tr2bl w:val="nil"/>
            </w:tcBorders>
            <w:noWrap w:val="0"/>
            <w:vAlign w:val="center"/>
          </w:tcPr>
          <w:p>
            <w:pPr>
              <w:pStyle w:val="2985"/>
              <w:keepNext w:val="0"/>
              <w:keepLines w:val="0"/>
              <w:widowControl w:val="0"/>
              <w:shd w:val="clear" w:color="auto" w:fill="auto"/>
              <w:bidi w:val="0"/>
              <w:spacing w:before="0" w:after="4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标准值</w:t>
            </w:r>
          </w:p>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eastAsia" w:ascii="Times New Roman" w:hAnsi="Times New Roman" w:cs="Times New Roman"/>
                <w:color w:val="181731"/>
                <w:spacing w:val="0"/>
                <w:w w:val="100"/>
                <w:position w:val="0"/>
                <w:sz w:val="21"/>
                <w:szCs w:val="21"/>
                <w:u w:val="none" w:color="auto"/>
                <w:lang w:val="en-US" w:eastAsia="zh-CN" w:bidi="en-US"/>
              </w:rPr>
              <w:t>（</w:t>
            </w:r>
            <w:r>
              <w:rPr>
                <w:rFonts w:hint="default" w:ascii="Times New Roman" w:hAnsi="Times New Roman" w:cs="Times New Roman"/>
                <w:color w:val="181731"/>
                <w:spacing w:val="0"/>
                <w:w w:val="100"/>
                <w:position w:val="0"/>
                <w:sz w:val="21"/>
                <w:szCs w:val="21"/>
                <w:u w:val="none" w:color="auto"/>
              </w:rPr>
              <w:t>μg</w:t>
            </w:r>
            <w:r>
              <w:rPr>
                <w:rFonts w:hint="default" w:ascii="Times New Roman" w:hAnsi="Times New Roman" w:cs="Times New Roman"/>
                <w:color w:val="181731"/>
                <w:spacing w:val="0"/>
                <w:w w:val="100"/>
                <w:position w:val="0"/>
                <w:sz w:val="21"/>
                <w:szCs w:val="21"/>
                <w:u w:val="none" w:color="auto"/>
                <w:lang w:val="en-US" w:eastAsia="en-US" w:bidi="en-US"/>
              </w:rPr>
              <w:t>/m</w:t>
            </w:r>
            <w:r>
              <w:rPr>
                <w:rFonts w:hint="default" w:ascii="Times New Roman" w:hAnsi="Times New Roman" w:cs="Times New Roman"/>
                <w:color w:val="181731"/>
                <w:spacing w:val="0"/>
                <w:w w:val="100"/>
                <w:position w:val="0"/>
                <w:sz w:val="21"/>
                <w:szCs w:val="21"/>
                <w:u w:val="none" w:color="auto"/>
                <w:vertAlign w:val="superscript"/>
                <w:lang w:val="en-US" w:eastAsia="en-US" w:bidi="en-US"/>
              </w:rPr>
              <w:t>3</w:t>
            </w:r>
            <w:r>
              <w:rPr>
                <w:rFonts w:hint="default" w:ascii="Times New Roman" w:hAnsi="Times New Roman" w:cs="Times New Roman"/>
                <w:color w:val="181731"/>
                <w:spacing w:val="0"/>
                <w:w w:val="100"/>
                <w:position w:val="0"/>
                <w:sz w:val="21"/>
                <w:szCs w:val="21"/>
                <w:u w:val="none" w:color="auto"/>
                <w:lang w:val="en-US" w:eastAsia="en-US" w:bidi="en-US"/>
              </w:rPr>
              <w:t>)</w:t>
            </w:r>
          </w:p>
        </w:tc>
        <w:tc>
          <w:tcPr>
            <w:tcW w:w="1096" w:type="dxa"/>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eastAsia" w:ascii="Times New Roman" w:hAnsi="Times New Roman" w:eastAsia="宋体" w:cs="Times New Roman"/>
                <w:sz w:val="21"/>
                <w:szCs w:val="21"/>
                <w:u w:val="none" w:color="auto"/>
                <w:lang w:eastAsia="zh-CN"/>
              </w:rPr>
            </w:pPr>
            <w:r>
              <w:rPr>
                <w:rFonts w:hint="eastAsia" w:ascii="Times New Roman" w:hAnsi="Times New Roman" w:cs="Times New Roman"/>
                <w:color w:val="000000"/>
                <w:spacing w:val="0"/>
                <w:w w:val="100"/>
                <w:position w:val="0"/>
                <w:sz w:val="21"/>
                <w:szCs w:val="21"/>
                <w:u w:val="none" w:color="auto"/>
                <w:lang w:val="en-US" w:eastAsia="zh-CN"/>
              </w:rPr>
              <w:t>占标率</w:t>
            </w:r>
          </w:p>
        </w:tc>
        <w:tc>
          <w:tcPr>
            <w:tcW w:w="930" w:type="dxa"/>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eastAsia" w:ascii="Times New Roman" w:hAnsi="Times New Roman" w:cs="Times New Roman"/>
                <w:color w:val="000000"/>
                <w:spacing w:val="0"/>
                <w:w w:val="100"/>
                <w:position w:val="0"/>
                <w:sz w:val="21"/>
                <w:szCs w:val="21"/>
                <w:u w:val="none" w:color="auto"/>
                <w:lang w:val="en-US" w:eastAsia="zh-CN"/>
              </w:rPr>
              <w:t>达标</w:t>
            </w:r>
            <w:r>
              <w:rPr>
                <w:rFonts w:hint="default" w:ascii="Times New Roman" w:hAnsi="Times New Roman" w:cs="Times New Roman"/>
                <w:color w:val="000000"/>
                <w:spacing w:val="0"/>
                <w:w w:val="100"/>
                <w:position w:val="0"/>
                <w:sz w:val="21"/>
                <w:szCs w:val="21"/>
                <w:u w:val="none" w:color="auto"/>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4" w:hRule="exact"/>
          <w:jc w:val="center"/>
        </w:trPr>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right="0"/>
              <w:jc w:val="center"/>
              <w:rPr>
                <w:rFonts w:hint="default" w:ascii="Times New Roman" w:hAnsi="Times New Roman" w:eastAsia="宋体" w:cs="Times New Roman"/>
                <w:sz w:val="21"/>
                <w:szCs w:val="21"/>
                <w:u w:val="none" w:color="auto"/>
                <w:vertAlign w:val="subscript"/>
                <w:lang w:val="en-US" w:eastAsia="zh-CN"/>
              </w:rPr>
            </w:pPr>
            <w:r>
              <w:rPr>
                <w:rFonts w:hint="eastAsia" w:ascii="Times New Roman" w:hAnsi="Times New Roman" w:cs="Times New Roman"/>
                <w:sz w:val="21"/>
                <w:szCs w:val="21"/>
                <w:u w:val="none" w:color="auto"/>
                <w:lang w:val="en-US" w:eastAsia="zh-CN"/>
              </w:rPr>
              <w:t>SO</w:t>
            </w:r>
            <w:r>
              <w:rPr>
                <w:rFonts w:hint="eastAsia" w:ascii="Times New Roman" w:hAnsi="Times New Roman" w:cs="Times New Roman"/>
                <w:sz w:val="21"/>
                <w:szCs w:val="21"/>
                <w:u w:val="none" w:color="auto"/>
                <w:vertAlign w:val="subscript"/>
                <w:lang w:val="en-US" w:eastAsia="zh-CN"/>
              </w:rPr>
              <w:t>2</w:t>
            </w:r>
          </w:p>
        </w:tc>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right="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年评价质量浓度</w:t>
            </w:r>
          </w:p>
        </w:tc>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7</w:t>
            </w:r>
          </w:p>
        </w:tc>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60</w:t>
            </w:r>
          </w:p>
        </w:tc>
        <w:tc>
          <w:tcPr>
            <w:tcW w:w="1096" w:type="dxa"/>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eastAsia" w:ascii="Times New Roman" w:hAnsi="Times New Roman" w:cs="Times New Roman"/>
                <w:color w:val="000000"/>
                <w:spacing w:val="0"/>
                <w:w w:val="100"/>
                <w:position w:val="0"/>
                <w:sz w:val="21"/>
                <w:szCs w:val="21"/>
                <w:u w:val="none" w:color="auto"/>
                <w:lang w:val="en-US" w:eastAsia="zh-CN"/>
              </w:rPr>
              <w:t>11.67</w:t>
            </w:r>
            <w:r>
              <w:rPr>
                <w:rFonts w:hint="default" w:ascii="Times New Roman" w:hAnsi="Times New Roman" w:cs="Times New Roman"/>
                <w:color w:val="000000"/>
                <w:spacing w:val="0"/>
                <w:w w:val="100"/>
                <w:position w:val="0"/>
                <w:sz w:val="21"/>
                <w:szCs w:val="21"/>
                <w:u w:val="none" w:color="auto"/>
              </w:rPr>
              <w:t>%</w:t>
            </w:r>
          </w:p>
        </w:tc>
        <w:tc>
          <w:tcPr>
            <w:tcW w:w="930" w:type="dxa"/>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5" w:hRule="exact"/>
          <w:jc w:val="center"/>
        </w:trPr>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right="0"/>
              <w:jc w:val="center"/>
              <w:rPr>
                <w:rFonts w:hint="eastAsia" w:ascii="Times New Roman" w:hAnsi="Times New Roman" w:eastAsia="宋体" w:cs="Times New Roman"/>
                <w:sz w:val="21"/>
                <w:szCs w:val="21"/>
                <w:u w:val="none" w:color="auto"/>
                <w:vertAlign w:val="subscript"/>
                <w:lang w:val="en-US" w:eastAsia="zh-CN"/>
              </w:rPr>
            </w:pPr>
            <w:r>
              <w:rPr>
                <w:rFonts w:hint="default" w:ascii="Times New Roman" w:hAnsi="Times New Roman" w:cs="Times New Roman"/>
                <w:color w:val="000000"/>
                <w:spacing w:val="0"/>
                <w:w w:val="100"/>
                <w:position w:val="0"/>
                <w:sz w:val="21"/>
                <w:szCs w:val="21"/>
                <w:u w:val="none" w:color="auto"/>
                <w:lang w:val="en-US" w:eastAsia="en-US" w:bidi="en-US"/>
              </w:rPr>
              <w:t>NO</w:t>
            </w:r>
            <w:r>
              <w:rPr>
                <w:rFonts w:hint="eastAsia" w:ascii="Times New Roman" w:hAnsi="Times New Roman" w:cs="Times New Roman"/>
                <w:color w:val="000000"/>
                <w:spacing w:val="0"/>
                <w:w w:val="100"/>
                <w:position w:val="0"/>
                <w:sz w:val="21"/>
                <w:szCs w:val="21"/>
                <w:u w:val="none" w:color="auto"/>
                <w:vertAlign w:val="subscript"/>
                <w:lang w:val="en-US" w:eastAsia="zh-CN" w:bidi="en-US"/>
              </w:rPr>
              <w:t>2</w:t>
            </w:r>
          </w:p>
        </w:tc>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right="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年评价质量浓度</w:t>
            </w:r>
          </w:p>
        </w:tc>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11</w:t>
            </w:r>
          </w:p>
        </w:tc>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40</w:t>
            </w:r>
          </w:p>
        </w:tc>
        <w:tc>
          <w:tcPr>
            <w:tcW w:w="1096" w:type="dxa"/>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eastAsia" w:ascii="Times New Roman" w:hAnsi="Times New Roman" w:cs="Times New Roman"/>
                <w:color w:val="000000"/>
                <w:spacing w:val="0"/>
                <w:w w:val="100"/>
                <w:position w:val="0"/>
                <w:sz w:val="21"/>
                <w:szCs w:val="21"/>
                <w:u w:val="none" w:color="auto"/>
                <w:lang w:val="en-US" w:eastAsia="zh-CN"/>
              </w:rPr>
              <w:t>27.50</w:t>
            </w:r>
            <w:r>
              <w:rPr>
                <w:rFonts w:hint="default" w:ascii="Times New Roman" w:hAnsi="Times New Roman" w:cs="Times New Roman"/>
                <w:color w:val="000000"/>
                <w:spacing w:val="0"/>
                <w:w w:val="100"/>
                <w:position w:val="0"/>
                <w:sz w:val="21"/>
                <w:szCs w:val="21"/>
                <w:u w:val="none" w:color="auto"/>
              </w:rPr>
              <w:t>%</w:t>
            </w:r>
          </w:p>
        </w:tc>
        <w:tc>
          <w:tcPr>
            <w:tcW w:w="930" w:type="dxa"/>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0" w:hRule="exact"/>
          <w:jc w:val="center"/>
        </w:trPr>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right="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lang w:val="en-US" w:eastAsia="en-US" w:bidi="en-US"/>
              </w:rPr>
              <w:t>CO</w:t>
            </w:r>
          </w:p>
        </w:tc>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lang w:val="en-US" w:eastAsia="en-US" w:bidi="en-US"/>
              </w:rPr>
              <w:t>24h</w:t>
            </w:r>
            <w:r>
              <w:rPr>
                <w:rFonts w:hint="default" w:ascii="Times New Roman" w:hAnsi="Times New Roman" w:cs="Times New Roman"/>
                <w:color w:val="000000"/>
                <w:spacing w:val="0"/>
                <w:w w:val="100"/>
                <w:position w:val="0"/>
                <w:sz w:val="21"/>
                <w:szCs w:val="21"/>
                <w:u w:val="none" w:color="auto"/>
              </w:rPr>
              <w:t>平均第95位百分位数</w:t>
            </w:r>
          </w:p>
        </w:tc>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1.1</w:t>
            </w:r>
          </w:p>
        </w:tc>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4000</w:t>
            </w:r>
          </w:p>
        </w:tc>
        <w:tc>
          <w:tcPr>
            <w:tcW w:w="1096" w:type="dxa"/>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eastAsia" w:ascii="Times New Roman" w:hAnsi="Times New Roman" w:cs="Times New Roman"/>
                <w:color w:val="000000"/>
                <w:spacing w:val="0"/>
                <w:w w:val="100"/>
                <w:position w:val="0"/>
                <w:sz w:val="21"/>
                <w:szCs w:val="21"/>
                <w:u w:val="none" w:color="auto"/>
                <w:lang w:val="en-US" w:eastAsia="zh-CN"/>
              </w:rPr>
              <w:t>0.028</w:t>
            </w:r>
            <w:r>
              <w:rPr>
                <w:rFonts w:hint="default" w:ascii="Times New Roman" w:hAnsi="Times New Roman" w:cs="Times New Roman"/>
                <w:color w:val="000000"/>
                <w:spacing w:val="0"/>
                <w:w w:val="100"/>
                <w:position w:val="0"/>
                <w:sz w:val="21"/>
                <w:szCs w:val="21"/>
                <w:u w:val="none" w:color="auto"/>
              </w:rPr>
              <w:t>%</w:t>
            </w:r>
          </w:p>
        </w:tc>
        <w:tc>
          <w:tcPr>
            <w:tcW w:w="930" w:type="dxa"/>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5" w:hRule="exact"/>
          <w:jc w:val="center"/>
        </w:trPr>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right="0"/>
              <w:jc w:val="center"/>
              <w:rPr>
                <w:rFonts w:hint="eastAsia" w:ascii="Times New Roman" w:hAnsi="Times New Roman" w:eastAsia="宋体" w:cs="Times New Roman"/>
                <w:sz w:val="21"/>
                <w:szCs w:val="21"/>
                <w:u w:val="none" w:color="auto"/>
                <w:vertAlign w:val="subscript"/>
                <w:lang w:val="en-US" w:eastAsia="zh-CN"/>
              </w:rPr>
            </w:pPr>
            <w:r>
              <w:rPr>
                <w:rFonts w:hint="default" w:ascii="Times New Roman" w:hAnsi="Times New Roman" w:cs="Times New Roman"/>
                <w:color w:val="000000"/>
                <w:spacing w:val="0"/>
                <w:w w:val="100"/>
                <w:position w:val="0"/>
                <w:sz w:val="21"/>
                <w:szCs w:val="21"/>
                <w:u w:val="none" w:color="auto"/>
                <w:lang w:val="en-US" w:eastAsia="en-US" w:bidi="en-US"/>
              </w:rPr>
              <w:t>O</w:t>
            </w:r>
            <w:r>
              <w:rPr>
                <w:rFonts w:hint="eastAsia" w:ascii="Times New Roman" w:hAnsi="Times New Roman" w:cs="Times New Roman"/>
                <w:color w:val="000000"/>
                <w:spacing w:val="0"/>
                <w:w w:val="100"/>
                <w:position w:val="0"/>
                <w:sz w:val="21"/>
                <w:szCs w:val="21"/>
                <w:u w:val="none" w:color="auto"/>
                <w:vertAlign w:val="subscript"/>
                <w:lang w:val="en-US" w:eastAsia="zh-CN" w:bidi="en-US"/>
              </w:rPr>
              <w:t>3</w:t>
            </w:r>
          </w:p>
        </w:tc>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lang w:val="en-US" w:eastAsia="en-US" w:bidi="en-US"/>
              </w:rPr>
              <w:t>8h</w:t>
            </w:r>
            <w:r>
              <w:rPr>
                <w:rFonts w:hint="default" w:ascii="Times New Roman" w:hAnsi="Times New Roman" w:cs="Times New Roman"/>
                <w:color w:val="000000"/>
                <w:spacing w:val="0"/>
                <w:w w:val="100"/>
                <w:position w:val="0"/>
                <w:sz w:val="21"/>
                <w:szCs w:val="21"/>
                <w:u w:val="none" w:color="auto"/>
              </w:rPr>
              <w:t>平均第90位百分位数</w:t>
            </w:r>
          </w:p>
        </w:tc>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123</w:t>
            </w:r>
          </w:p>
        </w:tc>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160</w:t>
            </w:r>
          </w:p>
        </w:tc>
        <w:tc>
          <w:tcPr>
            <w:tcW w:w="1096" w:type="dxa"/>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eastAsia" w:ascii="Times New Roman" w:hAnsi="Times New Roman" w:cs="Times New Roman"/>
                <w:color w:val="000000"/>
                <w:spacing w:val="0"/>
                <w:w w:val="100"/>
                <w:position w:val="0"/>
                <w:sz w:val="21"/>
                <w:szCs w:val="21"/>
                <w:u w:val="none" w:color="auto"/>
                <w:lang w:val="en-US" w:eastAsia="zh-CN"/>
              </w:rPr>
              <w:t>76.86</w:t>
            </w:r>
            <w:r>
              <w:rPr>
                <w:rFonts w:hint="default" w:ascii="Times New Roman" w:hAnsi="Times New Roman" w:cs="Times New Roman"/>
                <w:color w:val="000000"/>
                <w:spacing w:val="0"/>
                <w:w w:val="100"/>
                <w:position w:val="0"/>
                <w:sz w:val="21"/>
                <w:szCs w:val="21"/>
                <w:u w:val="none" w:color="auto"/>
              </w:rPr>
              <w:t>%</w:t>
            </w:r>
          </w:p>
        </w:tc>
        <w:tc>
          <w:tcPr>
            <w:tcW w:w="930" w:type="dxa"/>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0" w:hRule="exact"/>
          <w:jc w:val="center"/>
        </w:trPr>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right="0"/>
              <w:jc w:val="center"/>
              <w:rPr>
                <w:rFonts w:hint="default" w:ascii="Times New Roman" w:hAnsi="Times New Roman" w:eastAsia="宋体" w:cs="Times New Roman"/>
                <w:sz w:val="21"/>
                <w:szCs w:val="21"/>
                <w:u w:val="none" w:color="auto"/>
                <w:vertAlign w:val="subscript"/>
                <w:lang w:val="en-US" w:eastAsia="zh-CN"/>
              </w:rPr>
            </w:pPr>
            <w:r>
              <w:rPr>
                <w:rFonts w:hint="default" w:ascii="Times New Roman" w:hAnsi="Times New Roman" w:cs="Times New Roman"/>
                <w:color w:val="000000"/>
                <w:spacing w:val="0"/>
                <w:w w:val="100"/>
                <w:position w:val="0"/>
                <w:sz w:val="21"/>
                <w:szCs w:val="21"/>
                <w:u w:val="none" w:color="auto"/>
                <w:lang w:val="en-US" w:eastAsia="en-US" w:bidi="en-US"/>
              </w:rPr>
              <w:t>PM</w:t>
            </w:r>
            <w:r>
              <w:rPr>
                <w:rFonts w:hint="eastAsia" w:ascii="Times New Roman" w:hAnsi="Times New Roman" w:cs="Times New Roman"/>
                <w:color w:val="000000"/>
                <w:spacing w:val="0"/>
                <w:w w:val="100"/>
                <w:position w:val="0"/>
                <w:sz w:val="21"/>
                <w:szCs w:val="21"/>
                <w:u w:val="none" w:color="auto"/>
                <w:vertAlign w:val="subscript"/>
                <w:lang w:val="en-US" w:eastAsia="zh-CN" w:bidi="en-US"/>
              </w:rPr>
              <w:t>10</w:t>
            </w:r>
          </w:p>
        </w:tc>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right="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年评价质量浓度</w:t>
            </w:r>
          </w:p>
        </w:tc>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47</w:t>
            </w:r>
          </w:p>
        </w:tc>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70</w:t>
            </w:r>
          </w:p>
        </w:tc>
        <w:tc>
          <w:tcPr>
            <w:tcW w:w="1096" w:type="dxa"/>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eastAsia" w:ascii="Times New Roman" w:hAnsi="Times New Roman" w:cs="Times New Roman"/>
                <w:color w:val="000000"/>
                <w:spacing w:val="0"/>
                <w:w w:val="100"/>
                <w:position w:val="0"/>
                <w:sz w:val="21"/>
                <w:szCs w:val="21"/>
                <w:u w:val="none" w:color="auto"/>
                <w:lang w:val="en-US" w:eastAsia="zh-CN"/>
              </w:rPr>
              <w:t>67.14</w:t>
            </w:r>
            <w:r>
              <w:rPr>
                <w:rFonts w:hint="default" w:ascii="Times New Roman" w:hAnsi="Times New Roman" w:cs="Times New Roman"/>
                <w:color w:val="000000"/>
                <w:spacing w:val="0"/>
                <w:w w:val="100"/>
                <w:position w:val="0"/>
                <w:sz w:val="21"/>
                <w:szCs w:val="21"/>
                <w:u w:val="none" w:color="auto"/>
              </w:rPr>
              <w:t>%</w:t>
            </w:r>
          </w:p>
        </w:tc>
        <w:tc>
          <w:tcPr>
            <w:tcW w:w="930" w:type="dxa"/>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0" w:hRule="exact"/>
          <w:jc w:val="center"/>
        </w:trPr>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1"/>
                <w:szCs w:val="21"/>
                <w:u w:val="none" w:color="auto"/>
                <w:vertAlign w:val="subscript"/>
                <w:lang w:val="en-US" w:eastAsia="zh-CN"/>
              </w:rPr>
            </w:pPr>
            <w:r>
              <w:rPr>
                <w:rFonts w:hint="default" w:ascii="Times New Roman" w:hAnsi="Times New Roman" w:cs="Times New Roman"/>
                <w:color w:val="000000"/>
                <w:spacing w:val="0"/>
                <w:w w:val="100"/>
                <w:position w:val="0"/>
                <w:sz w:val="21"/>
                <w:szCs w:val="21"/>
                <w:u w:val="none" w:color="auto"/>
                <w:lang w:val="en-US" w:eastAsia="en-US" w:bidi="en-US"/>
              </w:rPr>
              <w:t>PM</w:t>
            </w:r>
            <w:r>
              <w:rPr>
                <w:rFonts w:hint="eastAsia" w:ascii="Times New Roman" w:hAnsi="Times New Roman" w:cs="Times New Roman"/>
                <w:color w:val="000000"/>
                <w:spacing w:val="0"/>
                <w:w w:val="100"/>
                <w:position w:val="0"/>
                <w:sz w:val="21"/>
                <w:szCs w:val="21"/>
                <w:u w:val="none" w:color="auto"/>
                <w:vertAlign w:val="subscript"/>
                <w:lang w:val="en-US" w:eastAsia="zh-CN" w:bidi="en-US"/>
              </w:rPr>
              <w:t>2.5</w:t>
            </w:r>
          </w:p>
        </w:tc>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right="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年评价质量浓度</w:t>
            </w:r>
          </w:p>
        </w:tc>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color w:val="000000"/>
                <w:spacing w:val="0"/>
                <w:w w:val="100"/>
                <w:position w:val="0"/>
                <w:sz w:val="21"/>
                <w:szCs w:val="21"/>
                <w:u w:val="none" w:color="auto"/>
                <w:lang w:val="en-US" w:eastAsia="zh-CN"/>
              </w:rPr>
              <w:t>31</w:t>
            </w:r>
          </w:p>
        </w:tc>
        <w:tc>
          <w:tcPr>
            <w:tcW w:w="0" w:type="auto"/>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35</w:t>
            </w:r>
          </w:p>
        </w:tc>
        <w:tc>
          <w:tcPr>
            <w:tcW w:w="1096" w:type="dxa"/>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eastAsia" w:ascii="Times New Roman" w:hAnsi="Times New Roman" w:cs="Times New Roman"/>
                <w:color w:val="000000"/>
                <w:spacing w:val="0"/>
                <w:w w:val="100"/>
                <w:position w:val="0"/>
                <w:sz w:val="21"/>
                <w:szCs w:val="21"/>
                <w:u w:val="none" w:color="auto"/>
                <w:lang w:val="en-US" w:eastAsia="zh-CN"/>
              </w:rPr>
              <w:t>88.57</w:t>
            </w:r>
            <w:r>
              <w:rPr>
                <w:rFonts w:hint="default" w:ascii="Times New Roman" w:hAnsi="Times New Roman" w:cs="Times New Roman"/>
                <w:color w:val="000000"/>
                <w:spacing w:val="0"/>
                <w:w w:val="100"/>
                <w:position w:val="0"/>
                <w:sz w:val="21"/>
                <w:szCs w:val="21"/>
                <w:u w:val="none" w:color="auto"/>
              </w:rPr>
              <w:t>%</w:t>
            </w:r>
          </w:p>
        </w:tc>
        <w:tc>
          <w:tcPr>
            <w:tcW w:w="930" w:type="dxa"/>
            <w:tcBorders>
              <w:tl2br w:val="nil"/>
              <w:tr2bl w:val="nil"/>
            </w:tcBorders>
            <w:noWrap w:val="0"/>
            <w:vAlign w:val="center"/>
          </w:tcPr>
          <w:p>
            <w:pPr>
              <w:pStyle w:val="2985"/>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不达标</w:t>
            </w:r>
          </w:p>
        </w:tc>
      </w:tr>
    </w:tbl>
    <w:p>
      <w:pPr>
        <w:pStyle w:val="87"/>
        <w:adjustRightInd w:val="0"/>
        <w:snapToGrid w:val="0"/>
        <w:spacing w:after="0" w:line="360" w:lineRule="auto"/>
        <w:ind w:firstLine="480" w:firstLineChars="200"/>
        <w:rPr>
          <w:rFonts w:ascii="Times New Roman" w:hAnsi="Times New Roman"/>
          <w:sz w:val="24"/>
        </w:rPr>
      </w:pPr>
      <w:r>
        <w:rPr>
          <w:rFonts w:ascii="Times New Roman" w:hAnsi="Times New Roman"/>
          <w:sz w:val="24"/>
        </w:rPr>
        <w:t>由表4.</w:t>
      </w:r>
      <w:r>
        <w:rPr>
          <w:rFonts w:hint="eastAsia" w:ascii="Times New Roman" w:hAnsi="Times New Roman"/>
          <w:sz w:val="24"/>
          <w:lang w:val="en-US" w:eastAsia="zh-CN"/>
        </w:rPr>
        <w:t>4</w:t>
      </w:r>
      <w:r>
        <w:rPr>
          <w:rFonts w:ascii="Times New Roman" w:hAnsi="Times New Roman"/>
          <w:sz w:val="24"/>
        </w:rPr>
        <w:t>-1可见，</w:t>
      </w:r>
      <w:r>
        <w:rPr>
          <w:rFonts w:hint="eastAsia" w:ascii="Times New Roman" w:hAnsi="Times New Roman"/>
          <w:sz w:val="24"/>
        </w:rPr>
        <w:t>项目区域范围2022年度全年二氧化硫、二氧化氮、O</w:t>
      </w:r>
      <w:r>
        <w:rPr>
          <w:rFonts w:hint="eastAsia" w:ascii="Times New Roman" w:hAnsi="Times New Roman"/>
          <w:sz w:val="24"/>
          <w:vertAlign w:val="subscript"/>
        </w:rPr>
        <w:t>3</w:t>
      </w:r>
      <w:r>
        <w:rPr>
          <w:rFonts w:hint="eastAsia" w:ascii="Times New Roman" w:hAnsi="Times New Roman"/>
          <w:sz w:val="24"/>
        </w:rPr>
        <w:t>、CO、PM</w:t>
      </w:r>
      <w:r>
        <w:rPr>
          <w:rFonts w:hint="eastAsia" w:ascii="Times New Roman" w:hAnsi="Times New Roman"/>
          <w:sz w:val="24"/>
          <w:vertAlign w:val="subscript"/>
        </w:rPr>
        <w:t>10</w:t>
      </w:r>
      <w:r>
        <w:rPr>
          <w:rFonts w:hint="eastAsia" w:ascii="Times New Roman" w:hAnsi="Times New Roman"/>
          <w:sz w:val="24"/>
        </w:rPr>
        <w:t>、PM</w:t>
      </w:r>
      <w:r>
        <w:rPr>
          <w:rFonts w:hint="eastAsia" w:ascii="Times New Roman" w:hAnsi="Times New Roman"/>
          <w:sz w:val="24"/>
          <w:vertAlign w:val="subscript"/>
        </w:rPr>
        <w:t>2.5</w:t>
      </w:r>
      <w:r>
        <w:rPr>
          <w:rFonts w:hint="eastAsia" w:ascii="Times New Roman" w:hAnsi="Times New Roman"/>
          <w:sz w:val="24"/>
        </w:rPr>
        <w:t>均能满足《环境空气质量标准》（GB3095-2012）的要求，项目区属于环境空气达标区</w:t>
      </w:r>
      <w:r>
        <w:rPr>
          <w:rFonts w:ascii="Times New Roman" w:hAnsi="Times New Roman"/>
          <w:sz w:val="24"/>
        </w:rPr>
        <w:t>。</w:t>
      </w:r>
    </w:p>
    <w:p>
      <w:pPr>
        <w:pStyle w:val="2982"/>
        <w:ind w:firstLine="480" w:firstLineChars="200"/>
        <w:rPr>
          <w:rFonts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2、</w:t>
      </w:r>
      <w:r>
        <w:rPr>
          <w:rFonts w:ascii="Times New Roman" w:hAnsi="Times New Roman" w:eastAsia="宋体" w:cs="Times New Roman"/>
          <w:color w:val="auto"/>
          <w:kern w:val="2"/>
          <w:sz w:val="24"/>
          <w:szCs w:val="24"/>
          <w:u w:val="none" w:color="auto"/>
          <w:lang w:val="en-US" w:eastAsia="zh-CN" w:bidi="ar-SA"/>
        </w:rPr>
        <w:t>其他污染物环境质量现状数据</w:t>
      </w:r>
    </w:p>
    <w:p>
      <w:pPr>
        <w:pStyle w:val="2974"/>
        <w:rPr>
          <w:color w:val="auto"/>
          <w:u w:val="none" w:color="auto"/>
        </w:rPr>
      </w:pPr>
      <w:r>
        <w:rPr>
          <w:color w:val="auto"/>
          <w:u w:val="none" w:color="auto"/>
        </w:rPr>
        <w:t>建设单位委托</w:t>
      </w:r>
      <w:r>
        <w:rPr>
          <w:rFonts w:hint="eastAsia"/>
          <w:color w:val="auto"/>
          <w:u w:val="none" w:color="auto"/>
          <w:lang w:eastAsia="zh-CN"/>
        </w:rPr>
        <w:t>湖南中鑫检测技术有限公司</w:t>
      </w:r>
      <w:r>
        <w:rPr>
          <w:color w:val="auto"/>
          <w:u w:val="none" w:color="auto"/>
        </w:rPr>
        <w:t>于</w:t>
      </w:r>
      <w:r>
        <w:rPr>
          <w:rFonts w:hint="eastAsia"/>
          <w:color w:val="auto"/>
          <w:u w:val="none" w:color="auto"/>
          <w:lang w:eastAsia="zh-CN"/>
        </w:rPr>
        <w:t>202</w:t>
      </w:r>
      <w:r>
        <w:rPr>
          <w:rFonts w:hint="eastAsia"/>
          <w:color w:val="auto"/>
          <w:u w:val="none" w:color="auto"/>
          <w:lang w:val="en-US" w:eastAsia="zh-CN"/>
        </w:rPr>
        <w:t>4</w:t>
      </w:r>
      <w:r>
        <w:rPr>
          <w:rFonts w:hint="eastAsia"/>
          <w:color w:val="auto"/>
          <w:u w:val="none" w:color="auto"/>
          <w:lang w:eastAsia="zh-CN"/>
        </w:rPr>
        <w:t>年</w:t>
      </w:r>
      <w:r>
        <w:rPr>
          <w:rFonts w:hint="eastAsia"/>
          <w:color w:val="auto"/>
          <w:u w:val="none" w:color="auto"/>
          <w:lang w:val="en-US" w:eastAsia="zh-CN"/>
        </w:rPr>
        <w:t>6</w:t>
      </w:r>
      <w:r>
        <w:rPr>
          <w:rFonts w:hint="eastAsia"/>
          <w:color w:val="auto"/>
          <w:u w:val="none" w:color="auto"/>
          <w:lang w:eastAsia="zh-CN"/>
        </w:rPr>
        <w:t>月</w:t>
      </w:r>
      <w:r>
        <w:rPr>
          <w:rFonts w:hint="eastAsia"/>
          <w:color w:val="auto"/>
          <w:u w:val="none" w:color="auto"/>
          <w:lang w:val="en-US" w:eastAsia="zh-CN"/>
        </w:rPr>
        <w:t>4</w:t>
      </w:r>
      <w:r>
        <w:rPr>
          <w:rFonts w:hint="eastAsia"/>
          <w:color w:val="auto"/>
          <w:u w:val="none" w:color="auto"/>
          <w:lang w:eastAsia="zh-CN"/>
        </w:rPr>
        <w:t>-1</w:t>
      </w:r>
      <w:r>
        <w:rPr>
          <w:rFonts w:hint="eastAsia"/>
          <w:color w:val="auto"/>
          <w:u w:val="none" w:color="auto"/>
          <w:lang w:val="en-US" w:eastAsia="zh-CN"/>
        </w:rPr>
        <w:t>0</w:t>
      </w:r>
      <w:r>
        <w:rPr>
          <w:color w:val="auto"/>
          <w:u w:val="none" w:color="auto"/>
        </w:rPr>
        <w:t>日对项目区域大气环境进行了补充监测。</w:t>
      </w:r>
    </w:p>
    <w:p>
      <w:pPr>
        <w:pStyle w:val="2974"/>
        <w:rPr>
          <w:color w:val="auto"/>
          <w:u w:val="none" w:color="auto"/>
        </w:rPr>
      </w:pPr>
      <w:r>
        <w:rPr>
          <w:color w:val="auto"/>
          <w:u w:val="none" w:color="auto"/>
        </w:rPr>
        <w:t>（1）监测布点</w:t>
      </w:r>
    </w:p>
    <w:p>
      <w:pPr>
        <w:pStyle w:val="2976"/>
        <w:rPr>
          <w:color w:val="auto"/>
          <w:u w:val="none" w:color="auto"/>
        </w:rPr>
      </w:pPr>
      <w:r>
        <w:rPr>
          <w:color w:val="auto"/>
          <w:u w:val="none" w:color="auto"/>
        </w:rPr>
        <w:t>表</w:t>
      </w:r>
      <w:r>
        <w:rPr>
          <w:rFonts w:ascii="Times New Roman" w:hAnsi="Times New Roman"/>
          <w:b/>
          <w:bCs/>
          <w:kern w:val="24"/>
        </w:rPr>
        <w:t>4</w:t>
      </w:r>
      <w:r>
        <w:rPr>
          <w:rFonts w:hint="eastAsia" w:ascii="Times New Roman" w:hAnsi="Times New Roman"/>
          <w:b/>
          <w:bCs/>
          <w:kern w:val="24"/>
          <w:lang w:val="en-US" w:eastAsia="zh-CN"/>
        </w:rPr>
        <w:t>.4</w:t>
      </w:r>
      <w:r>
        <w:rPr>
          <w:rFonts w:ascii="Times New Roman" w:hAnsi="Times New Roman"/>
          <w:b/>
          <w:bCs/>
          <w:kern w:val="24"/>
        </w:rPr>
        <w:t>-</w:t>
      </w:r>
      <w:r>
        <w:rPr>
          <w:rFonts w:hint="eastAsia" w:ascii="Times New Roman" w:hAnsi="Times New Roman"/>
          <w:b/>
          <w:bCs/>
          <w:kern w:val="24"/>
          <w:lang w:val="en-US" w:eastAsia="zh-CN"/>
        </w:rPr>
        <w:t>2</w:t>
      </w:r>
      <w:r>
        <w:rPr>
          <w:color w:val="auto"/>
          <w:u w:val="none" w:color="auto"/>
        </w:rPr>
        <w:t xml:space="preserve"> </w:t>
      </w:r>
      <w:r>
        <w:rPr>
          <w:rFonts w:hint="eastAsia" w:ascii="Times New Roman" w:hAnsi="Times New Roman" w:eastAsia="宋体" w:cs="Times New Roman"/>
          <w:b/>
          <w:bCs/>
          <w:kern w:val="24"/>
          <w:sz w:val="24"/>
          <w:szCs w:val="24"/>
          <w:lang w:val="en-US" w:eastAsia="zh-CN" w:bidi="ar-SA"/>
        </w:rPr>
        <w:t xml:space="preserve"> 大气补充监测因子布点一览表</w:t>
      </w:r>
    </w:p>
    <w:tbl>
      <w:tblPr>
        <w:tblStyle w:val="8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376"/>
        <w:gridCol w:w="2398"/>
        <w:gridCol w:w="3001"/>
        <w:gridCol w:w="224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63" w:type="pct"/>
            <w:tcBorders>
              <w:tl2br w:val="nil"/>
              <w:tr2bl w:val="nil"/>
            </w:tcBorders>
            <w:vAlign w:val="center"/>
          </w:tcPr>
          <w:p>
            <w:pPr>
              <w:pStyle w:val="2977"/>
              <w:rPr>
                <w:color w:val="auto"/>
                <w:u w:val="none" w:color="auto"/>
              </w:rPr>
            </w:pPr>
            <w:r>
              <w:rPr>
                <w:color w:val="auto"/>
                <w:u w:val="none" w:color="auto"/>
              </w:rPr>
              <w:t>编 号</w:t>
            </w:r>
          </w:p>
        </w:tc>
        <w:tc>
          <w:tcPr>
            <w:tcW w:w="1329" w:type="pct"/>
            <w:tcBorders>
              <w:tl2br w:val="nil"/>
              <w:tr2bl w:val="nil"/>
            </w:tcBorders>
            <w:vAlign w:val="center"/>
          </w:tcPr>
          <w:p>
            <w:pPr>
              <w:pStyle w:val="2977"/>
              <w:rPr>
                <w:color w:val="auto"/>
                <w:u w:val="none" w:color="auto"/>
              </w:rPr>
            </w:pPr>
            <w:r>
              <w:rPr>
                <w:color w:val="auto"/>
                <w:u w:val="none" w:color="auto"/>
              </w:rPr>
              <w:t>监测点</w:t>
            </w:r>
          </w:p>
        </w:tc>
        <w:tc>
          <w:tcPr>
            <w:tcW w:w="1663" w:type="pct"/>
            <w:tcBorders>
              <w:tl2br w:val="nil"/>
              <w:tr2bl w:val="nil"/>
            </w:tcBorders>
            <w:vAlign w:val="center"/>
          </w:tcPr>
          <w:p>
            <w:pPr>
              <w:pStyle w:val="2977"/>
              <w:rPr>
                <w:color w:val="auto"/>
                <w:u w:val="none" w:color="auto"/>
              </w:rPr>
            </w:pPr>
            <w:r>
              <w:rPr>
                <w:color w:val="auto"/>
                <w:u w:val="none" w:color="auto"/>
              </w:rPr>
              <w:t>监测项目</w:t>
            </w:r>
          </w:p>
        </w:tc>
        <w:tc>
          <w:tcPr>
            <w:tcW w:w="1244" w:type="pct"/>
            <w:tcBorders>
              <w:tl2br w:val="nil"/>
              <w:tr2bl w:val="nil"/>
            </w:tcBorders>
            <w:vAlign w:val="center"/>
          </w:tcPr>
          <w:p>
            <w:pPr>
              <w:pStyle w:val="2977"/>
              <w:rPr>
                <w:color w:val="auto"/>
                <w:u w:val="none" w:color="auto"/>
              </w:rPr>
            </w:pPr>
            <w:r>
              <w:rPr>
                <w:color w:val="auto"/>
                <w:u w:val="none" w:color="auto"/>
              </w:rPr>
              <w:t>备注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63" w:type="pct"/>
            <w:tcBorders>
              <w:tl2br w:val="nil"/>
              <w:tr2bl w:val="nil"/>
            </w:tcBorders>
            <w:vAlign w:val="center"/>
          </w:tcPr>
          <w:p>
            <w:pPr>
              <w:pStyle w:val="2977"/>
              <w:rPr>
                <w:color w:val="auto"/>
                <w:u w:val="none" w:color="auto"/>
              </w:rPr>
            </w:pPr>
            <w:r>
              <w:rPr>
                <w:rFonts w:hint="default" w:ascii="Times New Roman" w:hAnsi="Times New Roman" w:eastAsia="宋体" w:cs="Times New Roman"/>
                <w:color w:val="auto"/>
                <w:kern w:val="2"/>
                <w:sz w:val="21"/>
                <w:szCs w:val="21"/>
                <w:highlight w:val="none"/>
                <w:lang w:val="en-US" w:eastAsia="zh-CN" w:bidi="ar-SA"/>
              </w:rPr>
              <w:t>G</w:t>
            </w:r>
            <w:r>
              <w:rPr>
                <w:rFonts w:hint="default" w:ascii="Times New Roman" w:hAnsi="Times New Roman" w:eastAsia="宋体" w:cs="Times New Roman"/>
                <w:color w:val="auto"/>
                <w:kern w:val="2"/>
                <w:sz w:val="21"/>
                <w:szCs w:val="21"/>
                <w:highlight w:val="none"/>
                <w:vertAlign w:val="subscript"/>
                <w:lang w:val="en-US" w:eastAsia="zh-CN" w:bidi="ar-SA"/>
              </w:rPr>
              <w:t>1</w:t>
            </w:r>
          </w:p>
        </w:tc>
        <w:tc>
          <w:tcPr>
            <w:tcW w:w="1329" w:type="pct"/>
            <w:tcBorders>
              <w:tl2br w:val="nil"/>
              <w:tr2bl w:val="nil"/>
            </w:tcBorders>
            <w:vAlign w:val="center"/>
          </w:tcPr>
          <w:p>
            <w:pPr>
              <w:pStyle w:val="22"/>
              <w:keepNext w:val="0"/>
              <w:keepLines w:val="0"/>
              <w:pageBreakBefore w:val="0"/>
              <w:widowControl/>
              <w:tabs>
                <w:tab w:val="left" w:pos="480"/>
              </w:tabs>
              <w:kinsoku/>
              <w:wordWrap/>
              <w:overflowPunct/>
              <w:topLinePunct w:val="0"/>
              <w:autoSpaceDE/>
              <w:autoSpaceDN/>
              <w:bidi w:val="0"/>
              <w:adjustRightInd w:val="0"/>
              <w:snapToGrid w:val="0"/>
              <w:spacing w:line="240" w:lineRule="auto"/>
              <w:ind w:left="0" w:leftChars="0" w:firstLine="0" w:firstLineChars="0"/>
              <w:jc w:val="center"/>
              <w:textAlignment w:val="auto"/>
              <w:rPr>
                <w:color w:val="auto"/>
                <w:u w:val="none" w:color="auto"/>
              </w:rPr>
            </w:pPr>
            <w:r>
              <w:rPr>
                <w:rFonts w:hint="default" w:ascii="Times New Roman" w:hAnsi="Times New Roman" w:eastAsia="宋体" w:cs="Times New Roman"/>
                <w:color w:val="auto"/>
                <w:kern w:val="2"/>
                <w:sz w:val="21"/>
                <w:szCs w:val="21"/>
                <w:highlight w:val="none"/>
                <w:lang w:val="en-US" w:eastAsia="zh-CN" w:bidi="ar-SA"/>
              </w:rPr>
              <w:t>城连圩居民点</w:t>
            </w:r>
          </w:p>
        </w:tc>
        <w:tc>
          <w:tcPr>
            <w:tcW w:w="1663" w:type="pct"/>
            <w:tcBorders>
              <w:tl2br w:val="nil"/>
              <w:tr2bl w:val="nil"/>
            </w:tcBorders>
            <w:vAlign w:val="center"/>
          </w:tcPr>
          <w:p>
            <w:pPr>
              <w:pStyle w:val="2977"/>
              <w:rPr>
                <w:rFonts w:hint="eastAsia" w:eastAsia="宋体"/>
                <w:color w:val="auto"/>
                <w:u w:val="none" w:color="auto"/>
                <w:lang w:eastAsia="zh-CN"/>
              </w:rPr>
            </w:pPr>
            <w:r>
              <w:rPr>
                <w:color w:val="auto"/>
                <w:u w:val="none" w:color="auto"/>
              </w:rPr>
              <w:t>H</w:t>
            </w:r>
            <w:r>
              <w:rPr>
                <w:color w:val="auto"/>
                <w:u w:val="none" w:color="auto"/>
                <w:vertAlign w:val="subscript"/>
              </w:rPr>
              <w:t>2</w:t>
            </w:r>
            <w:r>
              <w:rPr>
                <w:color w:val="auto"/>
                <w:u w:val="none" w:color="auto"/>
              </w:rPr>
              <w:t>S、NH</w:t>
            </w:r>
            <w:r>
              <w:rPr>
                <w:color w:val="auto"/>
                <w:u w:val="none" w:color="auto"/>
                <w:vertAlign w:val="subscript"/>
              </w:rPr>
              <w:t>3</w:t>
            </w:r>
            <w:r>
              <w:rPr>
                <w:color w:val="auto"/>
                <w:u w:val="none" w:color="auto"/>
              </w:rPr>
              <w:t>、TSP</w:t>
            </w:r>
            <w:r>
              <w:rPr>
                <w:rFonts w:hint="eastAsia"/>
                <w:color w:val="auto"/>
                <w:u w:val="none" w:color="auto"/>
                <w:lang w:eastAsia="zh-CN"/>
              </w:rPr>
              <w:t>、臭气浓度</w:t>
            </w:r>
          </w:p>
        </w:tc>
        <w:tc>
          <w:tcPr>
            <w:tcW w:w="1244" w:type="pct"/>
            <w:tcBorders>
              <w:tl2br w:val="nil"/>
              <w:tr2bl w:val="nil"/>
            </w:tcBorders>
            <w:vAlign w:val="center"/>
          </w:tcPr>
          <w:p>
            <w:pPr>
              <w:pStyle w:val="2977"/>
              <w:rPr>
                <w:color w:val="auto"/>
                <w:u w:val="none" w:color="auto"/>
              </w:rPr>
            </w:pPr>
            <w:r>
              <w:rPr>
                <w:color w:val="auto"/>
                <w:u w:val="none" w:color="auto"/>
              </w:rPr>
              <w:t>项目区域</w:t>
            </w:r>
            <w:r>
              <w:rPr>
                <w:rFonts w:hint="eastAsia"/>
                <w:color w:val="auto"/>
                <w:u w:val="none" w:color="auto"/>
                <w:lang w:eastAsia="zh-CN"/>
              </w:rPr>
              <w:t>范围</w:t>
            </w:r>
            <w:r>
              <w:rPr>
                <w:color w:val="auto"/>
                <w:u w:val="none" w:color="auto"/>
              </w:rPr>
              <w:t>内</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63" w:type="pct"/>
            <w:tcBorders>
              <w:tl2br w:val="nil"/>
              <w:tr2bl w:val="nil"/>
            </w:tcBorders>
            <w:vAlign w:val="center"/>
          </w:tcPr>
          <w:p>
            <w:pPr>
              <w:pStyle w:val="2977"/>
              <w:rPr>
                <w:color w:val="auto"/>
                <w:u w:val="none" w:color="auto"/>
              </w:rPr>
            </w:pPr>
            <w:r>
              <w:rPr>
                <w:rFonts w:hint="default" w:ascii="Times New Roman" w:hAnsi="Times New Roman" w:eastAsia="宋体" w:cs="Times New Roman"/>
                <w:color w:val="auto"/>
                <w:kern w:val="2"/>
                <w:sz w:val="21"/>
                <w:szCs w:val="21"/>
                <w:highlight w:val="none"/>
                <w:lang w:val="en-US" w:eastAsia="zh-CN" w:bidi="ar-SA"/>
              </w:rPr>
              <w:t>G</w:t>
            </w:r>
            <w:r>
              <w:rPr>
                <w:rFonts w:hint="default" w:ascii="Times New Roman" w:hAnsi="Times New Roman" w:eastAsia="宋体" w:cs="Times New Roman"/>
                <w:color w:val="auto"/>
                <w:kern w:val="2"/>
                <w:sz w:val="21"/>
                <w:szCs w:val="21"/>
                <w:highlight w:val="none"/>
                <w:vertAlign w:val="subscript"/>
                <w:lang w:val="en-US" w:eastAsia="zh-CN" w:bidi="ar-SA"/>
              </w:rPr>
              <w:t>2</w:t>
            </w:r>
          </w:p>
        </w:tc>
        <w:tc>
          <w:tcPr>
            <w:tcW w:w="1329" w:type="pct"/>
            <w:tcBorders>
              <w:tl2br w:val="nil"/>
              <w:tr2bl w:val="nil"/>
            </w:tcBorders>
            <w:vAlign w:val="center"/>
          </w:tcPr>
          <w:p>
            <w:pPr>
              <w:pStyle w:val="22"/>
              <w:keepNext w:val="0"/>
              <w:keepLines w:val="0"/>
              <w:pageBreakBefore w:val="0"/>
              <w:widowControl/>
              <w:tabs>
                <w:tab w:val="left" w:pos="480"/>
              </w:tabs>
              <w:kinsoku/>
              <w:wordWrap/>
              <w:overflowPunct/>
              <w:topLinePunct w:val="0"/>
              <w:autoSpaceDE/>
              <w:autoSpaceDN/>
              <w:bidi w:val="0"/>
              <w:adjustRightInd w:val="0"/>
              <w:snapToGrid w:val="0"/>
              <w:spacing w:line="240" w:lineRule="auto"/>
              <w:ind w:left="0" w:leftChars="0" w:firstLine="0" w:firstLineChars="0"/>
              <w:jc w:val="center"/>
              <w:textAlignment w:val="auto"/>
              <w:rPr>
                <w:color w:val="auto"/>
                <w:u w:val="none" w:color="auto"/>
              </w:rPr>
            </w:pPr>
            <w:r>
              <w:rPr>
                <w:rFonts w:hint="default" w:ascii="Times New Roman" w:hAnsi="Times New Roman" w:eastAsia="宋体" w:cs="Times New Roman"/>
                <w:color w:val="auto"/>
                <w:kern w:val="2"/>
                <w:sz w:val="21"/>
                <w:szCs w:val="21"/>
                <w:highlight w:val="none"/>
                <w:lang w:val="en-US" w:eastAsia="zh-CN" w:bidi="ar-SA"/>
              </w:rPr>
              <w:t>蒋家桥镇居民点</w:t>
            </w:r>
            <w:r>
              <w:rPr>
                <w:rFonts w:hint="default" w:ascii="Times New Roman" w:hAnsi="Times New Roman" w:cs="Times New Roman"/>
                <w:color w:val="auto"/>
                <w:kern w:val="2"/>
                <w:sz w:val="21"/>
                <w:szCs w:val="21"/>
                <w:highlight w:val="none"/>
                <w:lang w:val="en-US" w:eastAsia="zh-CN" w:bidi="ar-SA"/>
              </w:rPr>
              <w:t>居民点</w:t>
            </w:r>
          </w:p>
        </w:tc>
        <w:tc>
          <w:tcPr>
            <w:tcW w:w="1663" w:type="pct"/>
            <w:tcBorders>
              <w:tl2br w:val="nil"/>
              <w:tr2bl w:val="nil"/>
            </w:tcBorders>
            <w:vAlign w:val="center"/>
          </w:tcPr>
          <w:p>
            <w:pPr>
              <w:pStyle w:val="2977"/>
              <w:rPr>
                <w:color w:val="auto"/>
                <w:u w:val="none" w:color="auto"/>
              </w:rPr>
            </w:pPr>
            <w:r>
              <w:rPr>
                <w:color w:val="auto"/>
                <w:u w:val="none" w:color="auto"/>
              </w:rPr>
              <w:t>H</w:t>
            </w:r>
            <w:r>
              <w:rPr>
                <w:color w:val="auto"/>
                <w:u w:val="none" w:color="auto"/>
                <w:vertAlign w:val="subscript"/>
              </w:rPr>
              <w:t>2</w:t>
            </w:r>
            <w:r>
              <w:rPr>
                <w:color w:val="auto"/>
                <w:u w:val="none" w:color="auto"/>
              </w:rPr>
              <w:t>S、NH</w:t>
            </w:r>
            <w:r>
              <w:rPr>
                <w:color w:val="auto"/>
                <w:u w:val="none" w:color="auto"/>
                <w:vertAlign w:val="subscript"/>
              </w:rPr>
              <w:t>3</w:t>
            </w:r>
            <w:r>
              <w:rPr>
                <w:color w:val="auto"/>
                <w:u w:val="none" w:color="auto"/>
              </w:rPr>
              <w:t>、TSP</w:t>
            </w:r>
            <w:r>
              <w:rPr>
                <w:rFonts w:hint="eastAsia"/>
                <w:color w:val="auto"/>
                <w:u w:val="none" w:color="auto"/>
                <w:lang w:eastAsia="zh-CN"/>
              </w:rPr>
              <w:t>、臭气浓度</w:t>
            </w:r>
          </w:p>
        </w:tc>
        <w:tc>
          <w:tcPr>
            <w:tcW w:w="1244" w:type="pct"/>
            <w:tcBorders>
              <w:tl2br w:val="nil"/>
              <w:tr2bl w:val="nil"/>
            </w:tcBorders>
            <w:vAlign w:val="center"/>
          </w:tcPr>
          <w:p>
            <w:pPr>
              <w:pStyle w:val="2977"/>
              <w:rPr>
                <w:color w:val="auto"/>
                <w:u w:val="none" w:color="auto"/>
              </w:rPr>
            </w:pPr>
            <w:r>
              <w:rPr>
                <w:color w:val="auto"/>
                <w:u w:val="none" w:color="auto"/>
              </w:rPr>
              <w:t>项目区域</w:t>
            </w:r>
            <w:r>
              <w:rPr>
                <w:rFonts w:hint="eastAsia"/>
                <w:color w:val="auto"/>
                <w:u w:val="none" w:color="auto"/>
                <w:lang w:eastAsia="zh-CN"/>
              </w:rPr>
              <w:t>范围</w:t>
            </w:r>
            <w:r>
              <w:rPr>
                <w:color w:val="auto"/>
                <w:u w:val="none" w:color="auto"/>
              </w:rPr>
              <w:t>内</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63" w:type="pct"/>
            <w:tcBorders>
              <w:tl2br w:val="nil"/>
              <w:tr2bl w:val="nil"/>
            </w:tcBorders>
            <w:vAlign w:val="center"/>
          </w:tcPr>
          <w:p>
            <w:pPr>
              <w:pStyle w:val="2977"/>
              <w:rPr>
                <w:color w:val="auto"/>
                <w:u w:val="none" w:color="auto"/>
              </w:rPr>
            </w:pPr>
            <w:r>
              <w:rPr>
                <w:rFonts w:hint="default" w:ascii="Times New Roman" w:hAnsi="Times New Roman" w:eastAsia="宋体" w:cs="Times New Roman"/>
                <w:color w:val="auto"/>
                <w:kern w:val="2"/>
                <w:sz w:val="21"/>
                <w:szCs w:val="21"/>
                <w:highlight w:val="none"/>
                <w:lang w:val="en-US" w:eastAsia="zh-CN" w:bidi="ar-SA"/>
              </w:rPr>
              <w:t>G</w:t>
            </w:r>
            <w:r>
              <w:rPr>
                <w:rFonts w:hint="default" w:ascii="Times New Roman" w:hAnsi="Times New Roman" w:eastAsia="宋体" w:cs="Times New Roman"/>
                <w:color w:val="auto"/>
                <w:kern w:val="2"/>
                <w:sz w:val="21"/>
                <w:szCs w:val="21"/>
                <w:highlight w:val="none"/>
                <w:vertAlign w:val="subscript"/>
                <w:lang w:val="en-US" w:eastAsia="zh-CN" w:bidi="ar-SA"/>
              </w:rPr>
              <w:t>3</w:t>
            </w:r>
          </w:p>
        </w:tc>
        <w:tc>
          <w:tcPr>
            <w:tcW w:w="1329" w:type="pct"/>
            <w:tcBorders>
              <w:tl2br w:val="nil"/>
              <w:tr2bl w:val="nil"/>
            </w:tcBorders>
            <w:vAlign w:val="center"/>
          </w:tcPr>
          <w:p>
            <w:pPr>
              <w:pStyle w:val="22"/>
              <w:keepNext w:val="0"/>
              <w:keepLines w:val="0"/>
              <w:pageBreakBefore w:val="0"/>
              <w:widowControl/>
              <w:tabs>
                <w:tab w:val="left" w:pos="480"/>
              </w:tabs>
              <w:kinsoku/>
              <w:wordWrap/>
              <w:overflowPunct/>
              <w:topLinePunct w:val="0"/>
              <w:autoSpaceDE/>
              <w:autoSpaceDN/>
              <w:bidi w:val="0"/>
              <w:adjustRightInd w:val="0"/>
              <w:snapToGrid w:val="0"/>
              <w:spacing w:line="240" w:lineRule="auto"/>
              <w:ind w:left="0" w:leftChars="0" w:firstLine="0" w:firstLineChars="0"/>
              <w:jc w:val="center"/>
              <w:textAlignment w:val="auto"/>
              <w:rPr>
                <w:color w:val="auto"/>
                <w:u w:val="none" w:color="auto"/>
              </w:rPr>
            </w:pPr>
            <w:r>
              <w:rPr>
                <w:rFonts w:hint="default" w:ascii="Times New Roman" w:hAnsi="Times New Roman" w:eastAsia="宋体" w:cs="Times New Roman"/>
                <w:color w:val="auto"/>
                <w:kern w:val="2"/>
                <w:sz w:val="21"/>
                <w:szCs w:val="21"/>
                <w:highlight w:val="none"/>
                <w:lang w:val="en-US" w:eastAsia="zh-CN" w:bidi="ar-SA"/>
              </w:rPr>
              <w:t>太和堂镇</w:t>
            </w:r>
            <w:r>
              <w:rPr>
                <w:rFonts w:hint="default" w:ascii="Times New Roman" w:hAnsi="Times New Roman" w:cs="Times New Roman"/>
                <w:color w:val="auto"/>
                <w:kern w:val="2"/>
                <w:sz w:val="21"/>
                <w:szCs w:val="21"/>
                <w:highlight w:val="none"/>
                <w:lang w:val="en-US" w:eastAsia="zh-CN" w:bidi="ar-SA"/>
              </w:rPr>
              <w:t>居民点</w:t>
            </w:r>
          </w:p>
        </w:tc>
        <w:tc>
          <w:tcPr>
            <w:tcW w:w="1663" w:type="pct"/>
            <w:tcBorders>
              <w:tl2br w:val="nil"/>
              <w:tr2bl w:val="nil"/>
            </w:tcBorders>
            <w:vAlign w:val="center"/>
          </w:tcPr>
          <w:p>
            <w:pPr>
              <w:pStyle w:val="2977"/>
              <w:rPr>
                <w:color w:val="auto"/>
                <w:u w:val="none" w:color="auto"/>
              </w:rPr>
            </w:pPr>
            <w:r>
              <w:rPr>
                <w:color w:val="auto"/>
                <w:u w:val="none" w:color="auto"/>
              </w:rPr>
              <w:t>H</w:t>
            </w:r>
            <w:r>
              <w:rPr>
                <w:color w:val="auto"/>
                <w:u w:val="none" w:color="auto"/>
                <w:vertAlign w:val="subscript"/>
              </w:rPr>
              <w:t>2</w:t>
            </w:r>
            <w:r>
              <w:rPr>
                <w:color w:val="auto"/>
                <w:u w:val="none" w:color="auto"/>
              </w:rPr>
              <w:t>S、NH</w:t>
            </w:r>
            <w:r>
              <w:rPr>
                <w:color w:val="auto"/>
                <w:u w:val="none" w:color="auto"/>
                <w:vertAlign w:val="subscript"/>
              </w:rPr>
              <w:t>3</w:t>
            </w:r>
            <w:r>
              <w:rPr>
                <w:color w:val="auto"/>
                <w:u w:val="none" w:color="auto"/>
              </w:rPr>
              <w:t>、TSP</w:t>
            </w:r>
            <w:r>
              <w:rPr>
                <w:rFonts w:hint="eastAsia"/>
                <w:color w:val="auto"/>
                <w:u w:val="none" w:color="auto"/>
                <w:lang w:eastAsia="zh-CN"/>
              </w:rPr>
              <w:t>、臭气浓度</w:t>
            </w:r>
          </w:p>
        </w:tc>
        <w:tc>
          <w:tcPr>
            <w:tcW w:w="1244" w:type="pct"/>
            <w:tcBorders>
              <w:tl2br w:val="nil"/>
              <w:tr2bl w:val="nil"/>
            </w:tcBorders>
            <w:vAlign w:val="center"/>
          </w:tcPr>
          <w:p>
            <w:pPr>
              <w:pStyle w:val="2977"/>
              <w:rPr>
                <w:color w:val="auto"/>
                <w:u w:val="none" w:color="auto"/>
              </w:rPr>
            </w:pPr>
            <w:r>
              <w:rPr>
                <w:color w:val="auto"/>
                <w:u w:val="none" w:color="auto"/>
              </w:rPr>
              <w:t>项目区域</w:t>
            </w:r>
            <w:r>
              <w:rPr>
                <w:rFonts w:hint="eastAsia"/>
                <w:color w:val="auto"/>
                <w:u w:val="none" w:color="auto"/>
                <w:lang w:eastAsia="zh-CN"/>
              </w:rPr>
              <w:t>范围</w:t>
            </w:r>
            <w:r>
              <w:rPr>
                <w:color w:val="auto"/>
                <w:u w:val="none" w:color="auto"/>
              </w:rPr>
              <w:t>内</w:t>
            </w:r>
          </w:p>
        </w:tc>
      </w:tr>
    </w:tbl>
    <w:p>
      <w:pPr>
        <w:pStyle w:val="2974"/>
        <w:rPr>
          <w:color w:val="auto"/>
          <w:u w:val="none" w:color="auto"/>
        </w:rPr>
      </w:pPr>
      <w:r>
        <w:rPr>
          <w:color w:val="auto"/>
          <w:u w:val="none" w:color="auto"/>
        </w:rPr>
        <w:t>（2）监测因子</w:t>
      </w:r>
    </w:p>
    <w:p>
      <w:pPr>
        <w:pStyle w:val="2974"/>
        <w:rPr>
          <w:color w:val="auto"/>
          <w:u w:val="none" w:color="auto"/>
        </w:rPr>
      </w:pPr>
      <w:r>
        <w:rPr>
          <w:color w:val="auto"/>
          <w:u w:val="none" w:color="auto"/>
        </w:rPr>
        <w:t>H</w:t>
      </w:r>
      <w:r>
        <w:rPr>
          <w:color w:val="auto"/>
          <w:u w:val="none" w:color="auto"/>
          <w:vertAlign w:val="subscript"/>
        </w:rPr>
        <w:t>2</w:t>
      </w:r>
      <w:r>
        <w:rPr>
          <w:color w:val="auto"/>
          <w:u w:val="none" w:color="auto"/>
        </w:rPr>
        <w:t>S、NH</w:t>
      </w:r>
      <w:r>
        <w:rPr>
          <w:color w:val="auto"/>
          <w:u w:val="none" w:color="auto"/>
          <w:vertAlign w:val="subscript"/>
        </w:rPr>
        <w:t>3</w:t>
      </w:r>
      <w:r>
        <w:rPr>
          <w:color w:val="auto"/>
          <w:u w:val="none" w:color="auto"/>
        </w:rPr>
        <w:t>、TSP</w:t>
      </w:r>
      <w:r>
        <w:rPr>
          <w:rFonts w:hint="eastAsia"/>
          <w:color w:val="auto"/>
          <w:u w:val="none" w:color="auto"/>
          <w:lang w:eastAsia="zh-CN"/>
        </w:rPr>
        <w:t>、臭气浓度</w:t>
      </w:r>
      <w:r>
        <w:rPr>
          <w:color w:val="auto"/>
          <w:u w:val="none" w:color="auto"/>
        </w:rPr>
        <w:t>。</w:t>
      </w:r>
    </w:p>
    <w:p>
      <w:pPr>
        <w:pStyle w:val="2974"/>
        <w:rPr>
          <w:color w:val="auto"/>
          <w:u w:val="none" w:color="auto"/>
        </w:rPr>
      </w:pPr>
      <w:r>
        <w:rPr>
          <w:color w:val="auto"/>
          <w:u w:val="none" w:color="auto"/>
        </w:rPr>
        <w:t>（3）监测时间和频率</w:t>
      </w:r>
    </w:p>
    <w:p>
      <w:pPr>
        <w:pStyle w:val="2974"/>
        <w:rPr>
          <w:color w:val="auto"/>
          <w:u w:val="none" w:color="auto"/>
        </w:rPr>
      </w:pPr>
      <w:r>
        <w:rPr>
          <w:color w:val="auto"/>
          <w:u w:val="none" w:color="auto"/>
        </w:rPr>
        <w:t>202</w:t>
      </w:r>
      <w:r>
        <w:rPr>
          <w:rFonts w:hint="eastAsia"/>
          <w:color w:val="auto"/>
          <w:u w:val="none" w:color="auto"/>
          <w:lang w:val="en-US" w:eastAsia="zh-CN"/>
        </w:rPr>
        <w:t>4</w:t>
      </w:r>
      <w:r>
        <w:rPr>
          <w:color w:val="auto"/>
          <w:u w:val="none" w:color="auto"/>
        </w:rPr>
        <w:t>年</w:t>
      </w:r>
      <w:r>
        <w:rPr>
          <w:rFonts w:hint="eastAsia"/>
          <w:color w:val="auto"/>
          <w:u w:val="none" w:color="auto"/>
          <w:lang w:val="en-US" w:eastAsia="zh-CN"/>
        </w:rPr>
        <w:t>6</w:t>
      </w:r>
      <w:r>
        <w:rPr>
          <w:color w:val="auto"/>
          <w:u w:val="none" w:color="auto"/>
        </w:rPr>
        <w:t>月</w:t>
      </w:r>
      <w:r>
        <w:rPr>
          <w:rFonts w:hint="eastAsia"/>
          <w:color w:val="auto"/>
          <w:u w:val="none" w:color="auto"/>
          <w:lang w:val="en-US" w:eastAsia="zh-CN"/>
        </w:rPr>
        <w:t>4</w:t>
      </w:r>
      <w:r>
        <w:rPr>
          <w:color w:val="auto"/>
          <w:u w:val="none" w:color="auto"/>
        </w:rPr>
        <w:t>-</w:t>
      </w:r>
      <w:r>
        <w:rPr>
          <w:rFonts w:hint="eastAsia"/>
          <w:color w:val="auto"/>
          <w:u w:val="none" w:color="auto"/>
          <w:lang w:val="en-US" w:eastAsia="zh-CN"/>
        </w:rPr>
        <w:t>10</w:t>
      </w:r>
      <w:r>
        <w:rPr>
          <w:color w:val="auto"/>
          <w:u w:val="none" w:color="auto"/>
        </w:rPr>
        <w:t>日，TSP 24h平均浓度每天连续采样时间24个小时；H</w:t>
      </w:r>
      <w:r>
        <w:rPr>
          <w:color w:val="auto"/>
          <w:u w:val="none" w:color="auto"/>
          <w:vertAlign w:val="subscript"/>
        </w:rPr>
        <w:t>2</w:t>
      </w:r>
      <w:r>
        <w:rPr>
          <w:color w:val="auto"/>
          <w:u w:val="none" w:color="auto"/>
        </w:rPr>
        <w:t>S、NH</w:t>
      </w:r>
      <w:r>
        <w:rPr>
          <w:color w:val="auto"/>
          <w:u w:val="none" w:color="auto"/>
          <w:vertAlign w:val="subscript"/>
        </w:rPr>
        <w:t>3</w:t>
      </w:r>
      <w:r>
        <w:rPr>
          <w:rFonts w:hint="eastAsia"/>
          <w:color w:val="auto"/>
          <w:u w:val="none" w:color="auto"/>
          <w:vertAlign w:val="baseline"/>
          <w:lang w:eastAsia="zh-CN"/>
        </w:rPr>
        <w:t>、臭气浓度</w:t>
      </w:r>
      <w:r>
        <w:rPr>
          <w:color w:val="auto"/>
          <w:u w:val="none" w:color="auto"/>
        </w:rPr>
        <w:t>小时平均浓度每天</w:t>
      </w:r>
      <w:r>
        <w:rPr>
          <w:rFonts w:hint="eastAsia"/>
          <w:color w:val="auto"/>
          <w:u w:val="none" w:color="auto"/>
          <w:lang w:val="en-US" w:eastAsia="zh-CN"/>
        </w:rPr>
        <w:t>4次，</w:t>
      </w:r>
      <w:r>
        <w:rPr>
          <w:color w:val="auto"/>
          <w:u w:val="none" w:color="auto"/>
        </w:rPr>
        <w:t>每次至少有45分的采样时间。</w:t>
      </w:r>
    </w:p>
    <w:p>
      <w:pPr>
        <w:pStyle w:val="2974"/>
        <w:rPr>
          <w:color w:val="auto"/>
          <w:u w:val="none" w:color="auto"/>
        </w:rPr>
      </w:pPr>
      <w:r>
        <w:rPr>
          <w:color w:val="auto"/>
          <w:u w:val="none" w:color="auto"/>
        </w:rPr>
        <w:t>（</w:t>
      </w:r>
      <w:r>
        <w:rPr>
          <w:rFonts w:hint="eastAsia"/>
          <w:color w:val="auto"/>
          <w:u w:val="none" w:color="auto"/>
          <w:lang w:val="en-US" w:eastAsia="zh-CN"/>
        </w:rPr>
        <w:t>4</w:t>
      </w:r>
      <w:r>
        <w:rPr>
          <w:color w:val="auto"/>
          <w:u w:val="none" w:color="auto"/>
        </w:rPr>
        <w:t>）监测及评价结果</w:t>
      </w:r>
    </w:p>
    <w:p>
      <w:pPr>
        <w:keepNext w:val="0"/>
        <w:keepLines w:val="0"/>
        <w:pageBreakBefore w:val="0"/>
        <w:widowControl w:val="0"/>
        <w:kinsoku/>
        <w:wordWrap/>
        <w:overflowPunct/>
        <w:topLinePunct w:val="0"/>
        <w:autoSpaceDE/>
        <w:autoSpaceDN/>
        <w:bidi w:val="0"/>
        <w:adjustRightInd w:val="0"/>
        <w:snapToGrid/>
        <w:spacing w:line="240" w:lineRule="atLeast"/>
        <w:ind w:right="0" w:rightChars="0"/>
        <w:jc w:val="center"/>
        <w:textAlignment w:val="auto"/>
        <w:outlineLvl w:val="9"/>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表</w:t>
      </w:r>
      <w:r>
        <w:rPr>
          <w:rFonts w:hint="eastAsia" w:ascii="Times New Roman" w:hAnsi="Times New Roman" w:eastAsia="宋体" w:cs="Times New Roman"/>
          <w:b/>
          <w:sz w:val="24"/>
          <w:szCs w:val="24"/>
          <w:lang w:val="en-US" w:eastAsia="zh-CN"/>
        </w:rPr>
        <w:t>4</w:t>
      </w:r>
      <w:r>
        <w:rPr>
          <w:rFonts w:hint="default"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3</w:t>
      </w:r>
      <w:r>
        <w:rPr>
          <w:rFonts w:hint="eastAsia" w:ascii="Times New Roman" w:hAnsi="Times New Roman" w:eastAsia="宋体" w:cs="Times New Roman"/>
          <w:b/>
          <w:sz w:val="24"/>
          <w:szCs w:val="24"/>
          <w:lang w:val="en-US" w:eastAsia="zh-CN"/>
        </w:rPr>
        <w:t>-</w:t>
      </w:r>
      <w:r>
        <w:rPr>
          <w:rFonts w:hint="eastAsia" w:ascii="Times New Roman" w:hAnsi="Times New Roman" w:cs="Times New Roman"/>
          <w:b/>
          <w:sz w:val="24"/>
          <w:szCs w:val="24"/>
          <w:lang w:val="en-US" w:eastAsia="zh-CN"/>
        </w:rPr>
        <w:t xml:space="preserve">3 </w:t>
      </w:r>
      <w:r>
        <w:rPr>
          <w:rFonts w:hint="eastAsia" w:ascii="Times New Roman" w:hAnsi="Times New Roman" w:eastAsia="宋体" w:cs="Times New Roman"/>
          <w:b/>
          <w:sz w:val="24"/>
          <w:szCs w:val="24"/>
          <w:lang w:val="en-US" w:eastAsia="zh-CN"/>
        </w:rPr>
        <w:t>气象参数</w:t>
      </w:r>
    </w:p>
    <w:tbl>
      <w:tblPr>
        <w:tblStyle w:val="89"/>
        <w:tblW w:w="941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91"/>
        <w:gridCol w:w="1301"/>
        <w:gridCol w:w="1290"/>
        <w:gridCol w:w="1335"/>
        <w:gridCol w:w="1125"/>
        <w:gridCol w:w="1416"/>
        <w:gridCol w:w="156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1"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bCs/>
                <w:color w:val="000000"/>
                <w:kern w:val="2"/>
                <w:sz w:val="21"/>
                <w:szCs w:val="21"/>
                <w:lang w:val="en-US" w:eastAsia="zh-CN"/>
              </w:rPr>
            </w:pPr>
            <w:r>
              <w:rPr>
                <w:rFonts w:hint="default" w:ascii="Times New Roman" w:hAnsi="Times New Roman" w:eastAsia="宋体" w:cs="Times New Roman"/>
                <w:b/>
                <w:bCs/>
                <w:color w:val="000000"/>
                <w:kern w:val="2"/>
                <w:sz w:val="21"/>
                <w:szCs w:val="21"/>
                <w:lang w:val="en-US" w:eastAsia="zh-CN"/>
              </w:rPr>
              <w:t>监测日期</w:t>
            </w:r>
          </w:p>
        </w:tc>
        <w:tc>
          <w:tcPr>
            <w:tcW w:w="1301"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bCs/>
                <w:color w:val="000000"/>
                <w:kern w:val="2"/>
                <w:sz w:val="21"/>
                <w:szCs w:val="21"/>
                <w:lang w:val="en-US" w:eastAsia="zh-CN"/>
              </w:rPr>
            </w:pPr>
            <w:r>
              <w:rPr>
                <w:rFonts w:hint="default" w:ascii="Times New Roman" w:hAnsi="Times New Roman" w:eastAsia="宋体" w:cs="Times New Roman"/>
                <w:b/>
                <w:bCs/>
                <w:color w:val="000000"/>
                <w:kern w:val="2"/>
                <w:sz w:val="21"/>
                <w:szCs w:val="21"/>
                <w:lang w:val="en-US" w:eastAsia="zh-CN"/>
              </w:rPr>
              <w:t>天气</w:t>
            </w:r>
          </w:p>
        </w:tc>
        <w:tc>
          <w:tcPr>
            <w:tcW w:w="1290"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bCs/>
                <w:color w:val="000000"/>
                <w:kern w:val="2"/>
                <w:sz w:val="21"/>
                <w:szCs w:val="21"/>
                <w:lang w:val="en-US" w:eastAsia="zh-CN"/>
              </w:rPr>
            </w:pPr>
            <w:r>
              <w:rPr>
                <w:rFonts w:hint="default" w:ascii="Times New Roman" w:hAnsi="Times New Roman" w:eastAsia="宋体" w:cs="Times New Roman"/>
                <w:b/>
                <w:bCs/>
                <w:color w:val="000000"/>
                <w:kern w:val="2"/>
                <w:sz w:val="21"/>
                <w:szCs w:val="21"/>
                <w:lang w:val="en-US" w:eastAsia="zh-CN"/>
              </w:rPr>
              <w:t>风向</w:t>
            </w:r>
          </w:p>
        </w:tc>
        <w:tc>
          <w:tcPr>
            <w:tcW w:w="1335"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bCs/>
                <w:color w:val="000000"/>
                <w:kern w:val="2"/>
                <w:sz w:val="21"/>
                <w:szCs w:val="21"/>
                <w:lang w:val="en-US" w:eastAsia="zh-CN"/>
              </w:rPr>
            </w:pPr>
            <w:r>
              <w:rPr>
                <w:rFonts w:hint="default" w:ascii="Times New Roman" w:hAnsi="Times New Roman" w:eastAsia="宋体" w:cs="Times New Roman"/>
                <w:b/>
                <w:bCs/>
                <w:color w:val="000000"/>
                <w:kern w:val="2"/>
                <w:sz w:val="21"/>
                <w:szCs w:val="21"/>
                <w:lang w:val="en-US" w:eastAsia="zh-CN"/>
              </w:rPr>
              <w:t>风速（m/s）</w:t>
            </w:r>
          </w:p>
        </w:tc>
        <w:tc>
          <w:tcPr>
            <w:tcW w:w="1125"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bCs/>
                <w:color w:val="000000"/>
                <w:kern w:val="2"/>
                <w:sz w:val="21"/>
                <w:szCs w:val="21"/>
                <w:lang w:val="en-US" w:eastAsia="zh-CN"/>
              </w:rPr>
            </w:pPr>
            <w:r>
              <w:rPr>
                <w:rFonts w:hint="default" w:ascii="Times New Roman" w:hAnsi="Times New Roman" w:eastAsia="宋体" w:cs="Times New Roman"/>
                <w:b/>
                <w:bCs/>
                <w:color w:val="000000"/>
                <w:kern w:val="2"/>
                <w:sz w:val="21"/>
                <w:szCs w:val="21"/>
                <w:lang w:val="en-US" w:eastAsia="zh-CN"/>
              </w:rPr>
              <w:t>湿度(%)</w:t>
            </w:r>
          </w:p>
        </w:tc>
        <w:tc>
          <w:tcPr>
            <w:tcW w:w="1416"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bCs/>
                <w:color w:val="000000"/>
                <w:kern w:val="2"/>
                <w:sz w:val="21"/>
                <w:szCs w:val="21"/>
                <w:lang w:val="en-US" w:eastAsia="zh-CN"/>
              </w:rPr>
            </w:pPr>
            <w:r>
              <w:rPr>
                <w:rFonts w:hint="default" w:ascii="Times New Roman" w:hAnsi="Times New Roman" w:eastAsia="宋体" w:cs="Times New Roman"/>
                <w:b/>
                <w:bCs/>
                <w:color w:val="000000"/>
                <w:kern w:val="2"/>
                <w:sz w:val="21"/>
                <w:szCs w:val="21"/>
                <w:lang w:val="en-US" w:eastAsia="zh-CN"/>
              </w:rPr>
              <w:t>气温（℃）</w:t>
            </w:r>
          </w:p>
        </w:tc>
        <w:tc>
          <w:tcPr>
            <w:tcW w:w="1561"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bCs/>
                <w:color w:val="000000"/>
                <w:kern w:val="2"/>
                <w:sz w:val="21"/>
                <w:szCs w:val="21"/>
                <w:lang w:val="en-US" w:eastAsia="zh-CN"/>
              </w:rPr>
            </w:pPr>
            <w:r>
              <w:rPr>
                <w:rFonts w:hint="default" w:ascii="Times New Roman" w:hAnsi="Times New Roman" w:eastAsia="宋体" w:cs="Times New Roman"/>
                <w:b/>
                <w:bCs/>
                <w:color w:val="000000"/>
                <w:kern w:val="2"/>
                <w:sz w:val="21"/>
                <w:szCs w:val="21"/>
                <w:lang w:val="en-US" w:eastAsia="zh-CN"/>
              </w:rPr>
              <w:t>气压（kPa）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ind w:left="0" w:firstLine="0"/>
              <w:jc w:val="center"/>
              <w:textAlignment w:val="auto"/>
              <w:rPr>
                <w:rFonts w:hint="default" w:ascii="Times New Roman" w:hAnsi="Times New Roman" w:eastAsia="宋体" w:cs="Times New Roman"/>
                <w:b w:val="0"/>
                <w:bCs w:val="0"/>
                <w:color w:val="0000FF"/>
                <w:kern w:val="0"/>
                <w:sz w:val="21"/>
                <w:szCs w:val="21"/>
                <w:lang w:val="en-US" w:eastAsia="zh-CN"/>
              </w:rPr>
            </w:pPr>
            <w:r>
              <w:rPr>
                <w:rFonts w:hint="default" w:ascii="Times New Roman" w:hAnsi="Times New Roman" w:eastAsia="宋体" w:cs="Times New Roman"/>
                <w:color w:val="auto"/>
                <w:sz w:val="21"/>
                <w:szCs w:val="21"/>
                <w:lang w:val="en-US" w:eastAsia="zh-CN"/>
              </w:rPr>
              <w:t>06月04日</w:t>
            </w:r>
          </w:p>
        </w:tc>
        <w:tc>
          <w:tcPr>
            <w:tcW w:w="1301" w:type="dxa"/>
            <w:tcBorders>
              <w:tl2br w:val="nil"/>
              <w:tr2bl w:val="nil"/>
            </w:tcBorders>
            <w:noWrap w:val="0"/>
            <w:vAlign w:val="center"/>
          </w:tcPr>
          <w:p>
            <w:pPr>
              <w:keepNext w:val="0"/>
              <w:keepLines w:val="0"/>
              <w:pageBreakBefore w:val="0"/>
              <w:kinsoku/>
              <w:wordWrap/>
              <w:overflowPunct/>
              <w:topLinePunct w:val="0"/>
              <w:bidi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阴</w:t>
            </w:r>
          </w:p>
        </w:tc>
        <w:tc>
          <w:tcPr>
            <w:tcW w:w="1290" w:type="dxa"/>
            <w:tcBorders>
              <w:tl2br w:val="nil"/>
              <w:tr2bl w:val="nil"/>
            </w:tcBorders>
            <w:noWrap w:val="0"/>
            <w:vAlign w:val="center"/>
          </w:tcPr>
          <w:p>
            <w:pPr>
              <w:keepNext w:val="0"/>
              <w:keepLines w:val="0"/>
              <w:pageBreakBefore w:val="0"/>
              <w:kinsoku/>
              <w:wordWrap/>
              <w:overflowPunct/>
              <w:topLinePunct w:val="0"/>
              <w:bidi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东北</w:t>
            </w:r>
          </w:p>
        </w:tc>
        <w:tc>
          <w:tcPr>
            <w:tcW w:w="1335"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3.1</w:t>
            </w:r>
          </w:p>
        </w:tc>
        <w:tc>
          <w:tcPr>
            <w:tcW w:w="1125"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55-60</w:t>
            </w:r>
          </w:p>
        </w:tc>
        <w:tc>
          <w:tcPr>
            <w:tcW w:w="1416" w:type="dxa"/>
            <w:tcBorders>
              <w:tl2br w:val="nil"/>
              <w:tr2bl w:val="nil"/>
            </w:tcBorders>
            <w:noWrap w:val="0"/>
            <w:vAlign w:val="center"/>
          </w:tcPr>
          <w:p>
            <w:pPr>
              <w:keepNext w:val="0"/>
              <w:keepLines w:val="0"/>
              <w:pageBreakBefore w:val="0"/>
              <w:kinsoku/>
              <w:wordWrap/>
              <w:overflowPunct/>
              <w:topLinePunct w:val="0"/>
              <w:bidi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22.6-36.2</w:t>
            </w:r>
          </w:p>
        </w:tc>
        <w:tc>
          <w:tcPr>
            <w:tcW w:w="1561"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100.02-101.05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ind w:left="0" w:firstLine="0"/>
              <w:jc w:val="center"/>
              <w:textAlignment w:val="auto"/>
              <w:rPr>
                <w:rFonts w:hint="default" w:ascii="Times New Roman" w:hAnsi="Times New Roman" w:eastAsia="宋体" w:cs="Times New Roman"/>
                <w:b w:val="0"/>
                <w:bCs w:val="0"/>
                <w:color w:val="0000FF"/>
                <w:kern w:val="0"/>
                <w:sz w:val="21"/>
                <w:szCs w:val="21"/>
                <w:lang w:val="en-US" w:eastAsia="zh-CN"/>
              </w:rPr>
            </w:pPr>
            <w:r>
              <w:rPr>
                <w:rFonts w:hint="default" w:ascii="Times New Roman" w:hAnsi="Times New Roman" w:eastAsia="宋体" w:cs="Times New Roman"/>
                <w:color w:val="auto"/>
                <w:sz w:val="21"/>
                <w:szCs w:val="21"/>
                <w:lang w:val="en-US" w:eastAsia="zh-CN"/>
              </w:rPr>
              <w:t>06月05日</w:t>
            </w:r>
          </w:p>
        </w:tc>
        <w:tc>
          <w:tcPr>
            <w:tcW w:w="1301" w:type="dxa"/>
            <w:tcBorders>
              <w:tl2br w:val="nil"/>
              <w:tr2bl w:val="nil"/>
            </w:tcBorders>
            <w:noWrap w:val="0"/>
            <w:vAlign w:val="center"/>
          </w:tcPr>
          <w:p>
            <w:pPr>
              <w:keepNext w:val="0"/>
              <w:keepLines w:val="0"/>
              <w:pageBreakBefore w:val="0"/>
              <w:kinsoku/>
              <w:wordWrap/>
              <w:overflowPunct/>
              <w:topLinePunct w:val="0"/>
              <w:bidi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阴</w:t>
            </w:r>
          </w:p>
        </w:tc>
        <w:tc>
          <w:tcPr>
            <w:tcW w:w="1290" w:type="dxa"/>
            <w:tcBorders>
              <w:tl2br w:val="nil"/>
              <w:tr2bl w:val="nil"/>
            </w:tcBorders>
            <w:noWrap w:val="0"/>
            <w:vAlign w:val="center"/>
          </w:tcPr>
          <w:p>
            <w:pPr>
              <w:keepNext w:val="0"/>
              <w:keepLines w:val="0"/>
              <w:pageBreakBefore w:val="0"/>
              <w:kinsoku/>
              <w:wordWrap/>
              <w:overflowPunct/>
              <w:topLinePunct w:val="0"/>
              <w:bidi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东北</w:t>
            </w:r>
          </w:p>
        </w:tc>
        <w:tc>
          <w:tcPr>
            <w:tcW w:w="1335"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3.0</w:t>
            </w:r>
          </w:p>
        </w:tc>
        <w:tc>
          <w:tcPr>
            <w:tcW w:w="1125"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54-59</w:t>
            </w:r>
          </w:p>
        </w:tc>
        <w:tc>
          <w:tcPr>
            <w:tcW w:w="1416" w:type="dxa"/>
            <w:tcBorders>
              <w:tl2br w:val="nil"/>
              <w:tr2bl w:val="nil"/>
            </w:tcBorders>
            <w:noWrap w:val="0"/>
            <w:vAlign w:val="center"/>
          </w:tcPr>
          <w:p>
            <w:pPr>
              <w:keepNext w:val="0"/>
              <w:keepLines w:val="0"/>
              <w:pageBreakBefore w:val="0"/>
              <w:kinsoku/>
              <w:wordWrap/>
              <w:overflowPunct/>
              <w:topLinePunct w:val="0"/>
              <w:bidi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25.7-29.6</w:t>
            </w:r>
          </w:p>
        </w:tc>
        <w:tc>
          <w:tcPr>
            <w:tcW w:w="1561"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100.05-101.13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ind w:left="0" w:firstLine="0"/>
              <w:jc w:val="center"/>
              <w:textAlignment w:val="auto"/>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auto"/>
                <w:sz w:val="21"/>
                <w:szCs w:val="21"/>
                <w:lang w:val="en-US" w:eastAsia="zh-CN"/>
              </w:rPr>
              <w:t>06月06日</w:t>
            </w:r>
          </w:p>
        </w:tc>
        <w:tc>
          <w:tcPr>
            <w:tcW w:w="1301" w:type="dxa"/>
            <w:tcBorders>
              <w:tl2br w:val="nil"/>
              <w:tr2bl w:val="nil"/>
            </w:tcBorders>
            <w:noWrap w:val="0"/>
            <w:vAlign w:val="center"/>
          </w:tcPr>
          <w:p>
            <w:pPr>
              <w:keepNext w:val="0"/>
              <w:keepLines w:val="0"/>
              <w:pageBreakBefore w:val="0"/>
              <w:kinsoku/>
              <w:wordWrap/>
              <w:overflowPunct/>
              <w:topLinePunct w:val="0"/>
              <w:bidi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阴</w:t>
            </w:r>
          </w:p>
        </w:tc>
        <w:tc>
          <w:tcPr>
            <w:tcW w:w="1290" w:type="dxa"/>
            <w:tcBorders>
              <w:tl2br w:val="nil"/>
              <w:tr2bl w:val="nil"/>
            </w:tcBorders>
            <w:noWrap w:val="0"/>
            <w:vAlign w:val="center"/>
          </w:tcPr>
          <w:p>
            <w:pPr>
              <w:keepNext w:val="0"/>
              <w:keepLines w:val="0"/>
              <w:pageBreakBefore w:val="0"/>
              <w:kinsoku/>
              <w:wordWrap/>
              <w:overflowPunct/>
              <w:topLinePunct w:val="0"/>
              <w:bidi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东北</w:t>
            </w:r>
          </w:p>
        </w:tc>
        <w:tc>
          <w:tcPr>
            <w:tcW w:w="1335"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2.7</w:t>
            </w:r>
          </w:p>
        </w:tc>
        <w:tc>
          <w:tcPr>
            <w:tcW w:w="1125"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53-61</w:t>
            </w:r>
          </w:p>
        </w:tc>
        <w:tc>
          <w:tcPr>
            <w:tcW w:w="1416" w:type="dxa"/>
            <w:tcBorders>
              <w:tl2br w:val="nil"/>
              <w:tr2bl w:val="nil"/>
            </w:tcBorders>
            <w:noWrap w:val="0"/>
            <w:vAlign w:val="center"/>
          </w:tcPr>
          <w:p>
            <w:pPr>
              <w:keepNext w:val="0"/>
              <w:keepLines w:val="0"/>
              <w:pageBreakBefore w:val="0"/>
              <w:kinsoku/>
              <w:wordWrap/>
              <w:overflowPunct/>
              <w:topLinePunct w:val="0"/>
              <w:bidi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24.8-29.6</w:t>
            </w:r>
          </w:p>
        </w:tc>
        <w:tc>
          <w:tcPr>
            <w:tcW w:w="1561"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100.79-101.11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ind w:left="0" w:firstLine="0"/>
              <w:jc w:val="center"/>
              <w:textAlignment w:val="auto"/>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auto"/>
                <w:sz w:val="21"/>
                <w:szCs w:val="21"/>
                <w:lang w:val="en-US" w:eastAsia="zh-CN"/>
              </w:rPr>
              <w:t>06月07日</w:t>
            </w:r>
          </w:p>
        </w:tc>
        <w:tc>
          <w:tcPr>
            <w:tcW w:w="1301" w:type="dxa"/>
            <w:tcBorders>
              <w:tl2br w:val="nil"/>
              <w:tr2bl w:val="nil"/>
            </w:tcBorders>
            <w:noWrap w:val="0"/>
            <w:vAlign w:val="center"/>
          </w:tcPr>
          <w:p>
            <w:pPr>
              <w:keepNext w:val="0"/>
              <w:keepLines w:val="0"/>
              <w:pageBreakBefore w:val="0"/>
              <w:kinsoku/>
              <w:wordWrap/>
              <w:overflowPunct/>
              <w:topLinePunct w:val="0"/>
              <w:bidi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晴</w:t>
            </w:r>
          </w:p>
        </w:tc>
        <w:tc>
          <w:tcPr>
            <w:tcW w:w="1290" w:type="dxa"/>
            <w:tcBorders>
              <w:tl2br w:val="nil"/>
              <w:tr2bl w:val="nil"/>
            </w:tcBorders>
            <w:noWrap w:val="0"/>
            <w:vAlign w:val="center"/>
          </w:tcPr>
          <w:p>
            <w:pPr>
              <w:keepNext w:val="0"/>
              <w:keepLines w:val="0"/>
              <w:pageBreakBefore w:val="0"/>
              <w:kinsoku/>
              <w:wordWrap/>
              <w:overflowPunct/>
              <w:topLinePunct w:val="0"/>
              <w:bidi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东北</w:t>
            </w:r>
          </w:p>
        </w:tc>
        <w:tc>
          <w:tcPr>
            <w:tcW w:w="1335"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2.5</w:t>
            </w:r>
          </w:p>
        </w:tc>
        <w:tc>
          <w:tcPr>
            <w:tcW w:w="1125"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33-40</w:t>
            </w:r>
          </w:p>
        </w:tc>
        <w:tc>
          <w:tcPr>
            <w:tcW w:w="1416" w:type="dxa"/>
            <w:tcBorders>
              <w:tl2br w:val="nil"/>
              <w:tr2bl w:val="nil"/>
            </w:tcBorders>
            <w:noWrap w:val="0"/>
            <w:vAlign w:val="center"/>
          </w:tcPr>
          <w:p>
            <w:pPr>
              <w:keepNext w:val="0"/>
              <w:keepLines w:val="0"/>
              <w:pageBreakBefore w:val="0"/>
              <w:kinsoku/>
              <w:wordWrap/>
              <w:overflowPunct/>
              <w:topLinePunct w:val="0"/>
              <w:bidi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25.8-30.4</w:t>
            </w:r>
          </w:p>
        </w:tc>
        <w:tc>
          <w:tcPr>
            <w:tcW w:w="1561"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100.20-100.75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ind w:left="0" w:firstLine="0"/>
              <w:jc w:val="center"/>
              <w:textAlignment w:val="auto"/>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auto"/>
                <w:sz w:val="21"/>
                <w:szCs w:val="21"/>
                <w:lang w:val="en-US" w:eastAsia="zh-CN"/>
              </w:rPr>
              <w:t>06月08日</w:t>
            </w:r>
          </w:p>
        </w:tc>
        <w:tc>
          <w:tcPr>
            <w:tcW w:w="1301" w:type="dxa"/>
            <w:tcBorders>
              <w:tl2br w:val="nil"/>
              <w:tr2bl w:val="nil"/>
            </w:tcBorders>
            <w:noWrap w:val="0"/>
            <w:vAlign w:val="center"/>
          </w:tcPr>
          <w:p>
            <w:pPr>
              <w:keepNext w:val="0"/>
              <w:keepLines w:val="0"/>
              <w:pageBreakBefore w:val="0"/>
              <w:kinsoku/>
              <w:wordWrap/>
              <w:overflowPunct/>
              <w:topLinePunct w:val="0"/>
              <w:bidi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阴</w:t>
            </w:r>
          </w:p>
        </w:tc>
        <w:tc>
          <w:tcPr>
            <w:tcW w:w="1290" w:type="dxa"/>
            <w:tcBorders>
              <w:tl2br w:val="nil"/>
              <w:tr2bl w:val="nil"/>
            </w:tcBorders>
            <w:noWrap w:val="0"/>
            <w:vAlign w:val="center"/>
          </w:tcPr>
          <w:p>
            <w:pPr>
              <w:keepNext w:val="0"/>
              <w:keepLines w:val="0"/>
              <w:pageBreakBefore w:val="0"/>
              <w:kinsoku/>
              <w:wordWrap/>
              <w:overflowPunct/>
              <w:topLinePunct w:val="0"/>
              <w:bidi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东北</w:t>
            </w:r>
          </w:p>
        </w:tc>
        <w:tc>
          <w:tcPr>
            <w:tcW w:w="1335"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2.8</w:t>
            </w:r>
          </w:p>
        </w:tc>
        <w:tc>
          <w:tcPr>
            <w:tcW w:w="1125"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53-60</w:t>
            </w:r>
          </w:p>
        </w:tc>
        <w:tc>
          <w:tcPr>
            <w:tcW w:w="1416" w:type="dxa"/>
            <w:tcBorders>
              <w:tl2br w:val="nil"/>
              <w:tr2bl w:val="nil"/>
            </w:tcBorders>
            <w:noWrap w:val="0"/>
            <w:vAlign w:val="center"/>
          </w:tcPr>
          <w:p>
            <w:pPr>
              <w:keepNext w:val="0"/>
              <w:keepLines w:val="0"/>
              <w:pageBreakBefore w:val="0"/>
              <w:kinsoku/>
              <w:wordWrap/>
              <w:overflowPunct/>
              <w:topLinePunct w:val="0"/>
              <w:bidi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cs="Times New Roman"/>
                <w:b w:val="0"/>
                <w:bCs w:val="0"/>
                <w:color w:val="auto"/>
                <w:kern w:val="2"/>
                <w:sz w:val="21"/>
                <w:szCs w:val="21"/>
                <w:lang w:val="en-US" w:eastAsia="zh-CN"/>
              </w:rPr>
              <w:t>29.3-34.0</w:t>
            </w:r>
          </w:p>
        </w:tc>
        <w:tc>
          <w:tcPr>
            <w:tcW w:w="1561"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cs="Times New Roman"/>
                <w:b w:val="0"/>
                <w:bCs w:val="0"/>
                <w:color w:val="auto"/>
                <w:kern w:val="2"/>
                <w:sz w:val="21"/>
                <w:szCs w:val="21"/>
                <w:lang w:val="en-US" w:eastAsia="zh-CN"/>
              </w:rPr>
              <w:t>99.95-100.42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ind w:left="0" w:firstLine="0"/>
              <w:jc w:val="center"/>
              <w:textAlignment w:val="auto"/>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auto"/>
                <w:sz w:val="21"/>
                <w:szCs w:val="21"/>
                <w:lang w:val="en-US" w:eastAsia="zh-CN"/>
              </w:rPr>
              <w:t>06月09日</w:t>
            </w:r>
          </w:p>
        </w:tc>
        <w:tc>
          <w:tcPr>
            <w:tcW w:w="1301" w:type="dxa"/>
            <w:tcBorders>
              <w:tl2br w:val="nil"/>
              <w:tr2bl w:val="nil"/>
            </w:tcBorders>
            <w:noWrap w:val="0"/>
            <w:vAlign w:val="center"/>
          </w:tcPr>
          <w:p>
            <w:pPr>
              <w:keepNext w:val="0"/>
              <w:keepLines w:val="0"/>
              <w:pageBreakBefore w:val="0"/>
              <w:kinsoku/>
              <w:wordWrap/>
              <w:overflowPunct/>
              <w:topLinePunct w:val="0"/>
              <w:bidi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cs="Times New Roman"/>
                <w:b w:val="0"/>
                <w:bCs w:val="0"/>
                <w:color w:val="auto"/>
                <w:kern w:val="2"/>
                <w:sz w:val="21"/>
                <w:szCs w:val="21"/>
                <w:lang w:val="en-US" w:eastAsia="zh-CN"/>
              </w:rPr>
              <w:t>阴</w:t>
            </w:r>
          </w:p>
        </w:tc>
        <w:tc>
          <w:tcPr>
            <w:tcW w:w="1290" w:type="dxa"/>
            <w:tcBorders>
              <w:tl2br w:val="nil"/>
              <w:tr2bl w:val="nil"/>
            </w:tcBorders>
            <w:noWrap w:val="0"/>
            <w:vAlign w:val="center"/>
          </w:tcPr>
          <w:p>
            <w:pPr>
              <w:keepNext w:val="0"/>
              <w:keepLines w:val="0"/>
              <w:pageBreakBefore w:val="0"/>
              <w:kinsoku/>
              <w:wordWrap/>
              <w:overflowPunct/>
              <w:topLinePunct w:val="0"/>
              <w:bidi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cs="Times New Roman"/>
                <w:b w:val="0"/>
                <w:bCs w:val="0"/>
                <w:color w:val="auto"/>
                <w:kern w:val="2"/>
                <w:sz w:val="21"/>
                <w:szCs w:val="21"/>
                <w:lang w:val="en-US" w:eastAsia="zh-CN"/>
              </w:rPr>
              <w:t>东</w:t>
            </w:r>
          </w:p>
        </w:tc>
        <w:tc>
          <w:tcPr>
            <w:tcW w:w="1335" w:type="dxa"/>
            <w:tcBorders>
              <w:tl2br w:val="nil"/>
              <w:tr2bl w:val="nil"/>
            </w:tcBorders>
            <w:noWrap w:val="0"/>
            <w:vAlign w:val="center"/>
          </w:tcPr>
          <w:p>
            <w:pPr>
              <w:keepNext w:val="0"/>
              <w:keepLines w:val="0"/>
              <w:pageBreakBefore w:val="0"/>
              <w:kinsoku/>
              <w:wordWrap/>
              <w:overflowPunct/>
              <w:topLinePunct w:val="0"/>
              <w:bidi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cs="Times New Roman"/>
                <w:b w:val="0"/>
                <w:bCs w:val="0"/>
                <w:color w:val="auto"/>
                <w:kern w:val="2"/>
                <w:sz w:val="21"/>
                <w:szCs w:val="21"/>
                <w:lang w:val="en-US" w:eastAsia="zh-CN"/>
              </w:rPr>
              <w:t>3.1</w:t>
            </w:r>
          </w:p>
        </w:tc>
        <w:tc>
          <w:tcPr>
            <w:tcW w:w="1125"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cs="Times New Roman"/>
                <w:b w:val="0"/>
                <w:bCs w:val="0"/>
                <w:color w:val="auto"/>
                <w:kern w:val="2"/>
                <w:sz w:val="21"/>
                <w:szCs w:val="21"/>
                <w:lang w:val="en-US" w:eastAsia="zh-CN"/>
              </w:rPr>
              <w:t>53-60</w:t>
            </w:r>
          </w:p>
        </w:tc>
        <w:tc>
          <w:tcPr>
            <w:tcW w:w="1416" w:type="dxa"/>
            <w:tcBorders>
              <w:tl2br w:val="nil"/>
              <w:tr2bl w:val="nil"/>
            </w:tcBorders>
            <w:noWrap w:val="0"/>
            <w:vAlign w:val="center"/>
          </w:tcPr>
          <w:p>
            <w:pPr>
              <w:keepNext w:val="0"/>
              <w:keepLines w:val="0"/>
              <w:pageBreakBefore w:val="0"/>
              <w:kinsoku/>
              <w:wordWrap/>
              <w:overflowPunct/>
              <w:topLinePunct w:val="0"/>
              <w:bidi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cs="Times New Roman"/>
                <w:b w:val="0"/>
                <w:bCs w:val="0"/>
                <w:color w:val="auto"/>
                <w:kern w:val="2"/>
                <w:sz w:val="21"/>
                <w:szCs w:val="21"/>
                <w:lang w:val="en-US" w:eastAsia="zh-CN"/>
              </w:rPr>
              <w:t>28.5-32.5</w:t>
            </w:r>
          </w:p>
        </w:tc>
        <w:tc>
          <w:tcPr>
            <w:tcW w:w="1561"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cs="Times New Roman"/>
                <w:b w:val="0"/>
                <w:bCs w:val="0"/>
                <w:color w:val="auto"/>
                <w:kern w:val="2"/>
                <w:sz w:val="21"/>
                <w:szCs w:val="21"/>
                <w:lang w:val="en-US" w:eastAsia="zh-CN"/>
              </w:rPr>
              <w:t>99.68-100.23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ind w:left="0" w:firstLine="0"/>
              <w:jc w:val="center"/>
              <w:textAlignment w:val="auto"/>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auto"/>
                <w:sz w:val="21"/>
                <w:szCs w:val="21"/>
                <w:lang w:val="en-US" w:eastAsia="zh-CN"/>
              </w:rPr>
              <w:t>06月10日</w:t>
            </w:r>
          </w:p>
        </w:tc>
        <w:tc>
          <w:tcPr>
            <w:tcW w:w="1301" w:type="dxa"/>
            <w:tcBorders>
              <w:tl2br w:val="nil"/>
              <w:tr2bl w:val="nil"/>
            </w:tcBorders>
            <w:noWrap w:val="0"/>
            <w:vAlign w:val="center"/>
          </w:tcPr>
          <w:p>
            <w:pPr>
              <w:keepNext w:val="0"/>
              <w:keepLines w:val="0"/>
              <w:pageBreakBefore w:val="0"/>
              <w:kinsoku/>
              <w:wordWrap/>
              <w:overflowPunct/>
              <w:topLinePunct w:val="0"/>
              <w:bidi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cs="Times New Roman"/>
                <w:b w:val="0"/>
                <w:bCs w:val="0"/>
                <w:color w:val="auto"/>
                <w:kern w:val="2"/>
                <w:sz w:val="21"/>
                <w:szCs w:val="21"/>
                <w:lang w:val="en-US" w:eastAsia="zh-CN"/>
              </w:rPr>
              <w:t>晴</w:t>
            </w:r>
          </w:p>
        </w:tc>
        <w:tc>
          <w:tcPr>
            <w:tcW w:w="1290" w:type="dxa"/>
            <w:tcBorders>
              <w:tl2br w:val="nil"/>
              <w:tr2bl w:val="nil"/>
            </w:tcBorders>
            <w:noWrap w:val="0"/>
            <w:vAlign w:val="center"/>
          </w:tcPr>
          <w:p>
            <w:pPr>
              <w:keepNext w:val="0"/>
              <w:keepLines w:val="0"/>
              <w:pageBreakBefore w:val="0"/>
              <w:kinsoku/>
              <w:wordWrap/>
              <w:overflowPunct/>
              <w:topLinePunct w:val="0"/>
              <w:bidi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cs="Times New Roman"/>
                <w:b w:val="0"/>
                <w:bCs w:val="0"/>
                <w:color w:val="auto"/>
                <w:kern w:val="2"/>
                <w:sz w:val="21"/>
                <w:szCs w:val="21"/>
                <w:lang w:val="en-US" w:eastAsia="zh-CN"/>
              </w:rPr>
              <w:t>东南</w:t>
            </w:r>
          </w:p>
        </w:tc>
        <w:tc>
          <w:tcPr>
            <w:tcW w:w="1335" w:type="dxa"/>
            <w:tcBorders>
              <w:tl2br w:val="nil"/>
              <w:tr2bl w:val="nil"/>
            </w:tcBorders>
            <w:noWrap w:val="0"/>
            <w:vAlign w:val="center"/>
          </w:tcPr>
          <w:p>
            <w:pPr>
              <w:keepNext w:val="0"/>
              <w:keepLines w:val="0"/>
              <w:pageBreakBefore w:val="0"/>
              <w:kinsoku/>
              <w:wordWrap/>
              <w:overflowPunct/>
              <w:topLinePunct w:val="0"/>
              <w:bidi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cs="Times New Roman"/>
                <w:b w:val="0"/>
                <w:bCs w:val="0"/>
                <w:color w:val="auto"/>
                <w:kern w:val="2"/>
                <w:sz w:val="21"/>
                <w:szCs w:val="21"/>
                <w:lang w:val="en-US" w:eastAsia="zh-CN"/>
              </w:rPr>
              <w:t>3.3</w:t>
            </w:r>
          </w:p>
        </w:tc>
        <w:tc>
          <w:tcPr>
            <w:tcW w:w="1125"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cs="Times New Roman"/>
                <w:b w:val="0"/>
                <w:bCs w:val="0"/>
                <w:color w:val="auto"/>
                <w:kern w:val="2"/>
                <w:sz w:val="21"/>
                <w:szCs w:val="21"/>
                <w:lang w:val="en-US" w:eastAsia="zh-CN"/>
              </w:rPr>
              <w:t>53-60</w:t>
            </w:r>
          </w:p>
        </w:tc>
        <w:tc>
          <w:tcPr>
            <w:tcW w:w="1416" w:type="dxa"/>
            <w:tcBorders>
              <w:tl2br w:val="nil"/>
              <w:tr2bl w:val="nil"/>
            </w:tcBorders>
            <w:noWrap w:val="0"/>
            <w:vAlign w:val="center"/>
          </w:tcPr>
          <w:p>
            <w:pPr>
              <w:keepNext w:val="0"/>
              <w:keepLines w:val="0"/>
              <w:pageBreakBefore w:val="0"/>
              <w:kinsoku/>
              <w:wordWrap/>
              <w:overflowPunct/>
              <w:topLinePunct w:val="0"/>
              <w:bidi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cs="Times New Roman"/>
                <w:b w:val="0"/>
                <w:bCs w:val="0"/>
                <w:color w:val="auto"/>
                <w:kern w:val="2"/>
                <w:sz w:val="21"/>
                <w:szCs w:val="21"/>
                <w:lang w:val="en-US" w:eastAsia="zh-CN"/>
              </w:rPr>
              <w:t>28.5-32.5</w:t>
            </w:r>
          </w:p>
        </w:tc>
        <w:tc>
          <w:tcPr>
            <w:tcW w:w="1561" w:type="dxa"/>
            <w:tcBorders>
              <w:tl2br w:val="nil"/>
              <w:tr2bl w:val="nil"/>
            </w:tcBorders>
            <w:noWrap w:val="0"/>
            <w:vAlign w:val="center"/>
          </w:tcPr>
          <w:p>
            <w:pPr>
              <w:pStyle w:val="65"/>
              <w:keepNext w:val="0"/>
              <w:keepLines w:val="0"/>
              <w:pageBreakBefore w:val="0"/>
              <w:numPr>
                <w:ilvl w:val="2"/>
                <w:numId w:val="0"/>
              </w:numPr>
              <w:kinsoku/>
              <w:wordWrap/>
              <w:overflowPunct/>
              <w:topLinePunct w:val="0"/>
              <w:bidi w:val="0"/>
              <w:spacing w:before="0" w:after="0" w:line="240" w:lineRule="auto"/>
              <w:ind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cs="Times New Roman"/>
                <w:b w:val="0"/>
                <w:bCs w:val="0"/>
                <w:color w:val="auto"/>
                <w:kern w:val="2"/>
                <w:sz w:val="21"/>
                <w:szCs w:val="21"/>
                <w:lang w:val="en-US" w:eastAsia="zh-CN"/>
              </w:rPr>
              <w:t>99.67-100.11</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eastAsia="宋体" w:cs="Times New Roman"/>
          <w:b/>
          <w:sz w:val="24"/>
          <w:szCs w:val="24"/>
          <w:highlight w:val="none"/>
          <w:lang w:eastAsia="zh-CN"/>
        </w:rPr>
      </w:pPr>
      <w:r>
        <w:rPr>
          <w:rFonts w:hint="default" w:ascii="Times New Roman" w:hAnsi="Times New Roman" w:eastAsia="宋体" w:cs="Times New Roman"/>
          <w:b/>
          <w:sz w:val="24"/>
          <w:szCs w:val="24"/>
          <w:highlight w:val="none"/>
          <w:lang w:val="en-US" w:eastAsia="zh-CN"/>
        </w:rPr>
        <w:t>表</w:t>
      </w:r>
      <w:r>
        <w:rPr>
          <w:rFonts w:hint="eastAsia" w:ascii="Times New Roman" w:hAnsi="Times New Roman" w:eastAsia="宋体" w:cs="Times New Roman"/>
          <w:b/>
          <w:sz w:val="24"/>
          <w:szCs w:val="24"/>
          <w:highlight w:val="none"/>
          <w:lang w:val="en-US" w:eastAsia="zh-CN"/>
        </w:rPr>
        <w:t>4.4-4</w:t>
      </w:r>
      <w:r>
        <w:rPr>
          <w:rFonts w:hint="default" w:ascii="Times New Roman" w:hAnsi="Times New Roman" w:eastAsia="宋体" w:cs="Times New Roman"/>
          <w:b/>
          <w:sz w:val="24"/>
          <w:szCs w:val="24"/>
          <w:highlight w:val="none"/>
          <w:lang w:val="en-US" w:eastAsia="zh-CN"/>
        </w:rPr>
        <w:t xml:space="preserve"> </w:t>
      </w:r>
      <w:r>
        <w:rPr>
          <w:rFonts w:hint="eastAsia" w:ascii="Times New Roman" w:hAnsi="Times New Roman" w:eastAsia="宋体" w:cs="Times New Roman"/>
          <w:b/>
          <w:sz w:val="24"/>
          <w:szCs w:val="24"/>
          <w:highlight w:val="none"/>
          <w:lang w:val="en-US" w:eastAsia="zh-CN"/>
        </w:rPr>
        <w:t>环境</w:t>
      </w:r>
      <w:r>
        <w:rPr>
          <w:rFonts w:hint="eastAsia" w:ascii="Times New Roman" w:hAnsi="Times New Roman" w:cs="Times New Roman"/>
          <w:b/>
          <w:sz w:val="24"/>
          <w:szCs w:val="24"/>
          <w:highlight w:val="none"/>
          <w:lang w:val="en-US" w:eastAsia="zh-CN"/>
        </w:rPr>
        <w:t>空气</w:t>
      </w:r>
      <w:r>
        <w:rPr>
          <w:rFonts w:hint="default" w:ascii="Times New Roman" w:hAnsi="Times New Roman" w:cs="Times New Roman"/>
          <w:b/>
          <w:sz w:val="24"/>
          <w:szCs w:val="24"/>
          <w:highlight w:val="none"/>
        </w:rPr>
        <w:t>检测结果</w:t>
      </w:r>
      <w:r>
        <w:rPr>
          <w:rFonts w:hint="eastAsia" w:ascii="Times New Roman" w:hAnsi="Times New Roman" w:cs="Times New Roman"/>
          <w:b/>
          <w:sz w:val="24"/>
          <w:szCs w:val="24"/>
          <w:highlight w:val="none"/>
          <w:lang w:eastAsia="zh-CN"/>
        </w:rPr>
        <w:t>（总悬浮颗粒物）</w:t>
      </w:r>
    </w:p>
    <w:tbl>
      <w:tblPr>
        <w:tblStyle w:val="89"/>
        <w:tblW w:w="942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372"/>
        <w:gridCol w:w="2610"/>
        <w:gridCol w:w="1285"/>
        <w:gridCol w:w="1285"/>
        <w:gridCol w:w="1285"/>
        <w:gridCol w:w="15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37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outlineLvl w:val="9"/>
              <w:rPr>
                <w:rFonts w:hint="default" w:ascii="Times New Roman" w:hAnsi="Times New Roman" w:eastAsia="宋体" w:cs="Times New Roman"/>
                <w:b/>
                <w:bCs/>
                <w:i w:val="0"/>
                <w:color w:val="000000"/>
                <w:kern w:val="0"/>
                <w:sz w:val="21"/>
                <w:szCs w:val="21"/>
                <w:u w:val="none"/>
                <w:lang w:val="en-US" w:eastAsia="zh-CN" w:bidi="ar"/>
              </w:rPr>
            </w:pPr>
            <w:r>
              <w:rPr>
                <w:rFonts w:hint="default" w:ascii="Times New Roman" w:hAnsi="Times New Roman" w:eastAsia="宋体" w:cs="Times New Roman"/>
                <w:b/>
                <w:bCs/>
                <w:snapToGrid w:val="0"/>
                <w:color w:val="000000" w:themeColor="text1"/>
                <w:kern w:val="2"/>
                <w:sz w:val="21"/>
                <w:szCs w:val="21"/>
                <w14:textFill>
                  <w14:solidFill>
                    <w14:schemeClr w14:val="tx1"/>
                  </w14:solidFill>
                </w14:textFill>
              </w:rPr>
              <w:t>采样日期</w:t>
            </w:r>
          </w:p>
        </w:tc>
        <w:tc>
          <w:tcPr>
            <w:tcW w:w="2610"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t>检测项目</w:t>
            </w:r>
          </w:p>
        </w:tc>
        <w:tc>
          <w:tcPr>
            <w:tcW w:w="3855" w:type="dxa"/>
            <w:gridSpan w:val="3"/>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1"/>
                <w:szCs w:val="21"/>
                <w:u w:val="none"/>
                <w:lang w:val="en-US" w:eastAsia="zh-CN" w:bidi="ar"/>
              </w:rPr>
            </w:pPr>
            <w:r>
              <w:rPr>
                <w:rFonts w:hint="default" w:ascii="Times New Roman" w:hAnsi="Times New Roman" w:eastAsia="宋体" w:cs="Times New Roman"/>
                <w:b/>
                <w:bCs/>
                <w:i w:val="0"/>
                <w:color w:val="000000"/>
                <w:kern w:val="0"/>
                <w:sz w:val="21"/>
                <w:szCs w:val="21"/>
                <w:u w:val="none"/>
                <w:lang w:val="en-US" w:eastAsia="zh-CN" w:bidi="ar"/>
              </w:rPr>
              <w:t>检测点位</w:t>
            </w:r>
            <w:r>
              <w:rPr>
                <w:rFonts w:hint="eastAsia" w:ascii="Times New Roman" w:hAnsi="Times New Roman" w:eastAsia="宋体" w:cs="Times New Roman"/>
                <w:b/>
                <w:bCs/>
                <w:i w:val="0"/>
                <w:color w:val="000000"/>
                <w:kern w:val="0"/>
                <w:sz w:val="21"/>
                <w:szCs w:val="21"/>
                <w:u w:val="none"/>
                <w:lang w:val="en-US" w:eastAsia="zh-CN" w:bidi="ar"/>
              </w:rPr>
              <w:t>/</w:t>
            </w:r>
            <w:r>
              <w:rPr>
                <w:rFonts w:hint="default" w:ascii="Times New Roman" w:hAnsi="Times New Roman" w:eastAsia="宋体" w:cs="Times New Roman"/>
                <w:b/>
                <w:bCs/>
                <w:i w:val="0"/>
                <w:color w:val="000000"/>
                <w:kern w:val="0"/>
                <w:sz w:val="21"/>
                <w:szCs w:val="21"/>
                <w:u w:val="none"/>
                <w:lang w:val="en-US" w:eastAsia="zh-CN" w:bidi="ar"/>
              </w:rPr>
              <w:t>检测结果</w:t>
            </w:r>
          </w:p>
        </w:tc>
        <w:tc>
          <w:tcPr>
            <w:tcW w:w="1590"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1"/>
                <w:szCs w:val="21"/>
                <w:u w:val="none"/>
                <w:lang w:val="en-US" w:eastAsia="zh-CN" w:bidi="ar"/>
              </w:rPr>
            </w:pPr>
            <w:r>
              <w:rPr>
                <w:rFonts w:hint="eastAsia" w:ascii="Times New Roman" w:hAnsi="Times New Roman" w:eastAsia="宋体" w:cs="Times New Roman"/>
                <w:b/>
                <w:bCs/>
                <w:i w:val="0"/>
                <w:color w:val="000000"/>
                <w:kern w:val="0"/>
                <w:sz w:val="21"/>
                <w:szCs w:val="21"/>
                <w:u w:val="none"/>
                <w:lang w:val="en-US" w:eastAsia="zh-CN" w:bidi="ar"/>
              </w:rPr>
              <w:t>参考限值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37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outlineLvl w:val="9"/>
              <w:rPr>
                <w:rFonts w:hint="default" w:ascii="Times New Roman" w:hAnsi="Times New Roman" w:eastAsia="宋体" w:cs="Times New Roman"/>
                <w:b/>
                <w:bCs/>
                <w:i w:val="0"/>
                <w:color w:val="000000"/>
                <w:kern w:val="0"/>
                <w:sz w:val="21"/>
                <w:szCs w:val="21"/>
                <w:u w:val="none"/>
                <w:lang w:val="en-US" w:eastAsia="zh-CN" w:bidi="ar"/>
              </w:rPr>
            </w:pPr>
          </w:p>
        </w:tc>
        <w:tc>
          <w:tcPr>
            <w:tcW w:w="2610"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pPr>
          </w:p>
        </w:tc>
        <w:tc>
          <w:tcPr>
            <w:tcW w:w="1285"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1"/>
                <w:szCs w:val="21"/>
                <w:u w:val="none"/>
                <w:lang w:val="en-US" w:eastAsia="zh-CN" w:bidi="ar"/>
              </w:rPr>
            </w:pPr>
            <w:r>
              <w:rPr>
                <w:rFonts w:hint="default" w:ascii="Times New Roman" w:hAnsi="Times New Roman" w:eastAsia="宋体" w:cs="Times New Roman"/>
                <w:b/>
                <w:bCs/>
                <w:i w:val="0"/>
                <w:color w:val="000000"/>
                <w:kern w:val="0"/>
                <w:sz w:val="21"/>
                <w:szCs w:val="21"/>
                <w:u w:val="none"/>
                <w:lang w:val="en-US" w:eastAsia="zh-CN" w:bidi="ar"/>
              </w:rPr>
              <w:t>G1城连圩居民点</w:t>
            </w:r>
          </w:p>
        </w:tc>
        <w:tc>
          <w:tcPr>
            <w:tcW w:w="1285"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1"/>
                <w:szCs w:val="21"/>
                <w:u w:val="none"/>
                <w:lang w:val="en-US" w:eastAsia="zh-CN" w:bidi="ar"/>
              </w:rPr>
            </w:pPr>
            <w:r>
              <w:rPr>
                <w:rFonts w:hint="default" w:ascii="Times New Roman" w:hAnsi="Times New Roman" w:eastAsia="宋体" w:cs="Times New Roman"/>
                <w:b/>
                <w:bCs/>
                <w:i w:val="0"/>
                <w:color w:val="000000"/>
                <w:kern w:val="0"/>
                <w:sz w:val="21"/>
                <w:szCs w:val="21"/>
                <w:u w:val="none"/>
                <w:lang w:val="en-US" w:eastAsia="zh-CN" w:bidi="ar"/>
              </w:rPr>
              <w:t>G2蒋家桥镇居民点</w:t>
            </w:r>
          </w:p>
        </w:tc>
        <w:tc>
          <w:tcPr>
            <w:tcW w:w="1285"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1"/>
                <w:szCs w:val="21"/>
                <w:u w:val="none"/>
                <w:lang w:val="en-US" w:eastAsia="zh-CN" w:bidi="ar"/>
              </w:rPr>
            </w:pPr>
            <w:r>
              <w:rPr>
                <w:rFonts w:hint="default" w:ascii="Times New Roman" w:hAnsi="Times New Roman" w:eastAsia="宋体" w:cs="Times New Roman"/>
                <w:b/>
                <w:bCs/>
                <w:i w:val="0"/>
                <w:color w:val="000000"/>
                <w:kern w:val="0"/>
                <w:sz w:val="21"/>
                <w:szCs w:val="21"/>
                <w:u w:val="none"/>
                <w:lang w:val="en-US" w:eastAsia="zh-CN" w:bidi="ar"/>
              </w:rPr>
              <w:t>G3太和堂镇居民点</w:t>
            </w:r>
          </w:p>
        </w:tc>
        <w:tc>
          <w:tcPr>
            <w:tcW w:w="1590"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bCs/>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372"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b w:val="0"/>
                <w:bCs w:val="0"/>
                <w:color w:val="0000FF"/>
                <w:kern w:val="0"/>
                <w:sz w:val="21"/>
                <w:szCs w:val="21"/>
                <w:lang w:val="en-US" w:eastAsia="zh-CN"/>
              </w:rPr>
            </w:pPr>
            <w:r>
              <w:rPr>
                <w:rFonts w:hint="eastAsia" w:ascii="Times New Roman" w:hAnsi="Times New Roman" w:eastAsia="宋体" w:cs="Times New Roman"/>
                <w:color w:val="auto"/>
                <w:sz w:val="21"/>
                <w:szCs w:val="21"/>
                <w:lang w:val="en-US" w:eastAsia="zh-CN"/>
              </w:rPr>
              <w:t>06月04日</w:t>
            </w:r>
          </w:p>
        </w:tc>
        <w:tc>
          <w:tcPr>
            <w:tcW w:w="26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sz w:val="21"/>
                <w:szCs w:val="21"/>
                <w:lang w:val="en-US" w:eastAsia="zh-CN"/>
              </w:rPr>
              <w:t>总悬浮颗粒物</w:t>
            </w: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w:t>
            </w:r>
          </w:p>
        </w:tc>
        <w:tc>
          <w:tcPr>
            <w:tcW w:w="12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0.026</w:t>
            </w:r>
          </w:p>
        </w:tc>
        <w:tc>
          <w:tcPr>
            <w:tcW w:w="12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0.035</w:t>
            </w:r>
          </w:p>
        </w:tc>
        <w:tc>
          <w:tcPr>
            <w:tcW w:w="12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0.056</w:t>
            </w:r>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372"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b w:val="0"/>
                <w:bCs w:val="0"/>
                <w:color w:val="0000FF"/>
                <w:kern w:val="0"/>
                <w:sz w:val="21"/>
                <w:szCs w:val="21"/>
                <w:lang w:val="en-US" w:eastAsia="zh-CN"/>
              </w:rPr>
            </w:pPr>
            <w:r>
              <w:rPr>
                <w:rFonts w:hint="eastAsia" w:ascii="Times New Roman" w:hAnsi="Times New Roman" w:eastAsia="宋体" w:cs="Times New Roman"/>
                <w:color w:val="auto"/>
                <w:sz w:val="21"/>
                <w:szCs w:val="21"/>
                <w:lang w:val="en-US" w:eastAsia="zh-CN"/>
              </w:rPr>
              <w:t>06月05日</w:t>
            </w:r>
          </w:p>
        </w:tc>
        <w:tc>
          <w:tcPr>
            <w:tcW w:w="2610"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sz w:val="21"/>
                <w:szCs w:val="21"/>
                <w:lang w:val="en-US" w:eastAsia="zh-CN"/>
              </w:rPr>
              <w:t>总悬浮颗粒物</w:t>
            </w: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w:t>
            </w:r>
          </w:p>
        </w:tc>
        <w:tc>
          <w:tcPr>
            <w:tcW w:w="128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0.024</w:t>
            </w:r>
          </w:p>
        </w:tc>
        <w:tc>
          <w:tcPr>
            <w:tcW w:w="128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0.038</w:t>
            </w:r>
          </w:p>
        </w:tc>
        <w:tc>
          <w:tcPr>
            <w:tcW w:w="128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0.054</w:t>
            </w:r>
          </w:p>
        </w:tc>
        <w:tc>
          <w:tcPr>
            <w:tcW w:w="15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372"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auto"/>
                <w:sz w:val="21"/>
                <w:szCs w:val="21"/>
                <w:lang w:val="en-US" w:eastAsia="zh-CN"/>
              </w:rPr>
              <w:t>06月06日</w:t>
            </w:r>
          </w:p>
        </w:tc>
        <w:tc>
          <w:tcPr>
            <w:tcW w:w="2610"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总悬浮颗粒物</w:t>
            </w: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w:t>
            </w:r>
          </w:p>
        </w:tc>
        <w:tc>
          <w:tcPr>
            <w:tcW w:w="128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0.028</w:t>
            </w:r>
          </w:p>
        </w:tc>
        <w:tc>
          <w:tcPr>
            <w:tcW w:w="128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0.030</w:t>
            </w:r>
          </w:p>
        </w:tc>
        <w:tc>
          <w:tcPr>
            <w:tcW w:w="128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0.053</w:t>
            </w:r>
          </w:p>
        </w:tc>
        <w:tc>
          <w:tcPr>
            <w:tcW w:w="15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372"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auto"/>
                <w:sz w:val="21"/>
                <w:szCs w:val="21"/>
                <w:lang w:val="en-US" w:eastAsia="zh-CN"/>
              </w:rPr>
              <w:t>06月07日</w:t>
            </w:r>
          </w:p>
        </w:tc>
        <w:tc>
          <w:tcPr>
            <w:tcW w:w="2610"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总悬浮颗粒物</w:t>
            </w: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w:t>
            </w:r>
          </w:p>
        </w:tc>
        <w:tc>
          <w:tcPr>
            <w:tcW w:w="128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0.028</w:t>
            </w:r>
          </w:p>
        </w:tc>
        <w:tc>
          <w:tcPr>
            <w:tcW w:w="128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0.034</w:t>
            </w:r>
          </w:p>
        </w:tc>
        <w:tc>
          <w:tcPr>
            <w:tcW w:w="128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0.052</w:t>
            </w:r>
          </w:p>
        </w:tc>
        <w:tc>
          <w:tcPr>
            <w:tcW w:w="15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372"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auto"/>
                <w:sz w:val="21"/>
                <w:szCs w:val="21"/>
                <w:lang w:val="en-US" w:eastAsia="zh-CN"/>
              </w:rPr>
              <w:t>06月08日</w:t>
            </w:r>
          </w:p>
        </w:tc>
        <w:tc>
          <w:tcPr>
            <w:tcW w:w="2610"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总悬浮颗粒物</w:t>
            </w: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w:t>
            </w:r>
          </w:p>
        </w:tc>
        <w:tc>
          <w:tcPr>
            <w:tcW w:w="128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0.025</w:t>
            </w:r>
          </w:p>
        </w:tc>
        <w:tc>
          <w:tcPr>
            <w:tcW w:w="128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0.036</w:t>
            </w:r>
          </w:p>
        </w:tc>
        <w:tc>
          <w:tcPr>
            <w:tcW w:w="128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0.052</w:t>
            </w:r>
          </w:p>
        </w:tc>
        <w:tc>
          <w:tcPr>
            <w:tcW w:w="15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372"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auto"/>
                <w:sz w:val="21"/>
                <w:szCs w:val="21"/>
                <w:lang w:val="en-US" w:eastAsia="zh-CN"/>
              </w:rPr>
              <w:t>06月09日</w:t>
            </w:r>
          </w:p>
        </w:tc>
        <w:tc>
          <w:tcPr>
            <w:tcW w:w="2610"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总悬浮颗粒物</w:t>
            </w: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w:t>
            </w:r>
          </w:p>
        </w:tc>
        <w:tc>
          <w:tcPr>
            <w:tcW w:w="128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0.022</w:t>
            </w:r>
          </w:p>
        </w:tc>
        <w:tc>
          <w:tcPr>
            <w:tcW w:w="128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0.033</w:t>
            </w:r>
          </w:p>
        </w:tc>
        <w:tc>
          <w:tcPr>
            <w:tcW w:w="128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0.055</w:t>
            </w:r>
          </w:p>
        </w:tc>
        <w:tc>
          <w:tcPr>
            <w:tcW w:w="15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372"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auto"/>
                <w:sz w:val="21"/>
                <w:szCs w:val="21"/>
                <w:lang w:val="en-US" w:eastAsia="zh-CN"/>
              </w:rPr>
              <w:t>06月10日</w:t>
            </w:r>
          </w:p>
        </w:tc>
        <w:tc>
          <w:tcPr>
            <w:tcW w:w="2610"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总悬浮颗粒物</w:t>
            </w: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w:t>
            </w:r>
          </w:p>
        </w:tc>
        <w:tc>
          <w:tcPr>
            <w:tcW w:w="128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0.023</w:t>
            </w:r>
          </w:p>
        </w:tc>
        <w:tc>
          <w:tcPr>
            <w:tcW w:w="128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0.035</w:t>
            </w:r>
          </w:p>
        </w:tc>
        <w:tc>
          <w:tcPr>
            <w:tcW w:w="128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0.053</w:t>
            </w:r>
          </w:p>
        </w:tc>
        <w:tc>
          <w:tcPr>
            <w:tcW w:w="15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37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sz w:val="21"/>
                <w:szCs w:val="21"/>
                <w:lang w:val="en-US" w:eastAsia="zh-CN"/>
              </w:rPr>
              <w:t>备注</w:t>
            </w:r>
          </w:p>
        </w:tc>
        <w:tc>
          <w:tcPr>
            <w:tcW w:w="8055"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sz w:val="21"/>
                <w:szCs w:val="21"/>
                <w:lang w:val="en-US" w:eastAsia="zh-CN"/>
              </w:rPr>
              <w:t>参考限值来源于《</w:t>
            </w:r>
            <w:r>
              <w:rPr>
                <w:rFonts w:hint="default" w:ascii="Times New Roman" w:hAnsi="Times New Roman" w:eastAsia="宋体" w:cs="Times New Roman"/>
                <w:sz w:val="21"/>
                <w:szCs w:val="21"/>
                <w:lang w:val="en-US" w:eastAsia="zh-CN"/>
              </w:rPr>
              <w:t>环境空气质量标准》GB3095-2012表2中二级标准</w:t>
            </w:r>
            <w:r>
              <w:rPr>
                <w:rFonts w:hint="eastAsia" w:ascii="Times New Roman" w:hAnsi="Times New Roman" w:eastAsia="宋体" w:cs="Times New Roman"/>
                <w:sz w:val="21"/>
                <w:szCs w:val="21"/>
                <w:lang w:val="en-US" w:eastAsia="zh-CN"/>
              </w:rPr>
              <w:t>限值。</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eastAsia="宋体" w:cs="Times New Roman"/>
          <w:b/>
          <w:sz w:val="24"/>
          <w:szCs w:val="24"/>
          <w:highlight w:val="none"/>
          <w:lang w:eastAsia="zh-CN"/>
        </w:rPr>
      </w:pPr>
      <w:r>
        <w:rPr>
          <w:rFonts w:hint="default" w:ascii="Times New Roman" w:hAnsi="Times New Roman" w:eastAsia="宋体" w:cs="Times New Roman"/>
          <w:b/>
          <w:sz w:val="24"/>
          <w:szCs w:val="24"/>
          <w:highlight w:val="none"/>
          <w:lang w:val="en-US" w:eastAsia="zh-CN"/>
        </w:rPr>
        <w:t>表</w:t>
      </w:r>
      <w:r>
        <w:rPr>
          <w:rFonts w:hint="eastAsia" w:ascii="Times New Roman" w:hAnsi="Times New Roman" w:eastAsia="宋体" w:cs="Times New Roman"/>
          <w:b/>
          <w:sz w:val="24"/>
          <w:szCs w:val="24"/>
          <w:highlight w:val="none"/>
          <w:lang w:val="en-US" w:eastAsia="zh-CN"/>
        </w:rPr>
        <w:t>4.4-5</w:t>
      </w:r>
      <w:r>
        <w:rPr>
          <w:rFonts w:hint="default" w:ascii="Times New Roman" w:hAnsi="Times New Roman" w:eastAsia="宋体" w:cs="Times New Roman"/>
          <w:b/>
          <w:sz w:val="24"/>
          <w:szCs w:val="24"/>
          <w:highlight w:val="none"/>
          <w:lang w:val="en-US" w:eastAsia="zh-CN"/>
        </w:rPr>
        <w:t xml:space="preserve"> </w:t>
      </w:r>
      <w:r>
        <w:rPr>
          <w:rFonts w:hint="eastAsia" w:ascii="Times New Roman" w:hAnsi="Times New Roman" w:eastAsia="宋体" w:cs="Times New Roman"/>
          <w:b/>
          <w:sz w:val="24"/>
          <w:szCs w:val="24"/>
          <w:highlight w:val="none"/>
          <w:lang w:val="en-US" w:eastAsia="zh-CN"/>
        </w:rPr>
        <w:t>环境</w:t>
      </w:r>
      <w:r>
        <w:rPr>
          <w:rFonts w:hint="eastAsia" w:ascii="Times New Roman" w:hAnsi="Times New Roman" w:cs="Times New Roman"/>
          <w:b/>
          <w:sz w:val="24"/>
          <w:szCs w:val="24"/>
          <w:highlight w:val="none"/>
          <w:lang w:val="en-US" w:eastAsia="zh-CN"/>
        </w:rPr>
        <w:t>空气</w:t>
      </w:r>
      <w:r>
        <w:rPr>
          <w:rFonts w:hint="default" w:ascii="Times New Roman" w:hAnsi="Times New Roman" w:cs="Times New Roman"/>
          <w:b/>
          <w:sz w:val="24"/>
          <w:szCs w:val="24"/>
          <w:highlight w:val="none"/>
        </w:rPr>
        <w:t>检测结果</w:t>
      </w:r>
      <w:r>
        <w:rPr>
          <w:rFonts w:hint="eastAsia" w:ascii="Times New Roman" w:hAnsi="Times New Roman" w:cs="Times New Roman"/>
          <w:b/>
          <w:sz w:val="24"/>
          <w:szCs w:val="24"/>
          <w:highlight w:val="none"/>
          <w:lang w:eastAsia="zh-CN"/>
        </w:rPr>
        <w:t>（氨、硫化氢、臭气浓度）</w:t>
      </w:r>
    </w:p>
    <w:tbl>
      <w:tblPr>
        <w:tblStyle w:val="89"/>
        <w:tblW w:w="94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267"/>
        <w:gridCol w:w="1102"/>
        <w:gridCol w:w="2197"/>
        <w:gridCol w:w="1"/>
        <w:gridCol w:w="977"/>
        <w:gridCol w:w="1"/>
        <w:gridCol w:w="977"/>
        <w:gridCol w:w="1"/>
        <w:gridCol w:w="977"/>
        <w:gridCol w:w="1"/>
        <w:gridCol w:w="978"/>
        <w:gridCol w:w="9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outlineLvl w:val="9"/>
              <w:rPr>
                <w:rFonts w:hint="default" w:ascii="Times New Roman" w:hAnsi="Times New Roman" w:eastAsia="宋体" w:cs="Times New Roman"/>
                <w:b/>
                <w:bCs/>
                <w:i w:val="0"/>
                <w:color w:val="000000"/>
                <w:kern w:val="0"/>
                <w:sz w:val="21"/>
                <w:szCs w:val="21"/>
                <w:u w:val="none"/>
                <w:lang w:val="en-US" w:eastAsia="zh-CN" w:bidi="ar"/>
              </w:rPr>
            </w:pPr>
            <w:r>
              <w:rPr>
                <w:rFonts w:hint="default" w:ascii="Times New Roman" w:hAnsi="Times New Roman" w:eastAsia="宋体" w:cs="Times New Roman"/>
                <w:b/>
                <w:bCs/>
                <w:snapToGrid w:val="0"/>
                <w:color w:val="000000" w:themeColor="text1"/>
                <w:kern w:val="2"/>
                <w:sz w:val="21"/>
                <w:szCs w:val="21"/>
                <w14:textFill>
                  <w14:solidFill>
                    <w14:schemeClr w14:val="tx1"/>
                  </w14:solidFill>
                </w14:textFill>
              </w:rPr>
              <w:t>采样日期</w:t>
            </w:r>
          </w:p>
        </w:tc>
        <w:tc>
          <w:tcPr>
            <w:tcW w:w="1102"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i w:val="0"/>
                <w:color w:val="000000"/>
                <w:kern w:val="0"/>
                <w:sz w:val="21"/>
                <w:szCs w:val="21"/>
                <w:u w:val="none"/>
                <w:lang w:val="en-US" w:eastAsia="zh-CN" w:bidi="ar"/>
              </w:rPr>
              <w:t>检测</w:t>
            </w:r>
            <w:r>
              <w:rPr>
                <w:rFonts w:hint="default" w:ascii="Times New Roman" w:hAnsi="Times New Roman" w:cs="Times New Roman"/>
                <w:b/>
                <w:bCs/>
                <w:i w:val="0"/>
                <w:color w:val="000000"/>
                <w:kern w:val="0"/>
                <w:sz w:val="21"/>
                <w:szCs w:val="21"/>
                <w:u w:val="none"/>
                <w:lang w:val="en-US" w:eastAsia="zh-CN" w:bidi="ar"/>
              </w:rPr>
              <w:t>点位</w:t>
            </w:r>
          </w:p>
        </w:tc>
        <w:tc>
          <w:tcPr>
            <w:tcW w:w="2197"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cs="Times New Roman"/>
                <w:b/>
                <w:bCs/>
                <w:snapToGrid w:val="0"/>
                <w:color w:val="000000" w:themeColor="text1"/>
                <w:kern w:val="2"/>
                <w:sz w:val="21"/>
                <w:szCs w:val="21"/>
                <w:lang w:val="en-US" w:eastAsia="zh-CN"/>
                <w14:textFill>
                  <w14:solidFill>
                    <w14:schemeClr w14:val="tx1"/>
                  </w14:solidFill>
                </w14:textFill>
              </w:rPr>
              <w:t>检测项目</w:t>
            </w:r>
          </w:p>
        </w:tc>
        <w:tc>
          <w:tcPr>
            <w:tcW w:w="3913" w:type="dxa"/>
            <w:gridSpan w:val="8"/>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1"/>
                <w:szCs w:val="21"/>
                <w:u w:val="none"/>
                <w:lang w:val="en-US" w:eastAsia="zh-CN" w:bidi="ar"/>
              </w:rPr>
            </w:pPr>
            <w:r>
              <w:rPr>
                <w:rFonts w:hint="default" w:ascii="Times New Roman" w:hAnsi="Times New Roman" w:eastAsia="宋体" w:cs="Times New Roman"/>
                <w:b/>
                <w:bCs/>
                <w:i w:val="0"/>
                <w:color w:val="000000"/>
                <w:kern w:val="0"/>
                <w:sz w:val="21"/>
                <w:szCs w:val="21"/>
                <w:u w:val="none"/>
                <w:lang w:val="en-US" w:eastAsia="zh-CN" w:bidi="ar"/>
              </w:rPr>
              <w:t>检测结果</w:t>
            </w:r>
          </w:p>
        </w:tc>
        <w:tc>
          <w:tcPr>
            <w:tcW w:w="977"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1"/>
                <w:szCs w:val="21"/>
                <w:u w:val="none"/>
                <w:lang w:val="en-US" w:eastAsia="zh-CN" w:bidi="ar"/>
              </w:rPr>
            </w:pPr>
            <w:r>
              <w:rPr>
                <w:rFonts w:hint="eastAsia" w:ascii="Times New Roman" w:hAnsi="Times New Roman" w:cs="Times New Roman"/>
                <w:b/>
                <w:bCs/>
                <w:i w:val="0"/>
                <w:color w:val="000000"/>
                <w:kern w:val="0"/>
                <w:sz w:val="21"/>
                <w:szCs w:val="21"/>
                <w:u w:val="none"/>
                <w:lang w:val="en-US" w:eastAsia="zh-CN" w:bidi="ar"/>
              </w:rPr>
              <w:t>参考限值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outlineLvl w:val="9"/>
              <w:rPr>
                <w:rFonts w:hint="default" w:ascii="Times New Roman" w:hAnsi="Times New Roman" w:eastAsia="宋体" w:cs="Times New Roman"/>
                <w:b/>
                <w:bCs/>
                <w:snapToGrid w:val="0"/>
                <w:color w:val="000000" w:themeColor="text1"/>
                <w:kern w:val="2"/>
                <w:sz w:val="21"/>
                <w:szCs w:val="21"/>
                <w14:textFill>
                  <w14:solidFill>
                    <w14:schemeClr w14:val="tx1"/>
                  </w14:solidFill>
                </w14:textFill>
              </w:rPr>
            </w:pPr>
          </w:p>
        </w:tc>
        <w:tc>
          <w:tcPr>
            <w:tcW w:w="1102"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1"/>
                <w:szCs w:val="21"/>
                <w:u w:val="none"/>
                <w:lang w:val="en-US" w:eastAsia="zh-CN" w:bidi="ar"/>
              </w:rPr>
            </w:pPr>
          </w:p>
        </w:tc>
        <w:tc>
          <w:tcPr>
            <w:tcW w:w="2197"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snapToGrid w:val="0"/>
                <w:color w:val="000000" w:themeColor="text1"/>
                <w:kern w:val="2"/>
                <w:sz w:val="21"/>
                <w:szCs w:val="21"/>
                <w:lang w:val="en-US" w:eastAsia="zh-CN"/>
                <w14:textFill>
                  <w14:solidFill>
                    <w14:schemeClr w14:val="tx1"/>
                  </w14:solidFill>
                </w14:textFill>
              </w:rPr>
            </w:pPr>
          </w:p>
        </w:tc>
        <w:tc>
          <w:tcPr>
            <w:tcW w:w="978"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1"/>
                <w:szCs w:val="21"/>
                <w:u w:val="none"/>
                <w:lang w:val="en-US" w:eastAsia="zh-CN" w:bidi="ar"/>
              </w:rPr>
            </w:pPr>
            <w:r>
              <w:rPr>
                <w:rFonts w:hint="eastAsia" w:ascii="Times New Roman" w:hAnsi="Times New Roman" w:eastAsia="宋体" w:cs="Times New Roman"/>
                <w:b/>
                <w:bCs/>
                <w:i w:val="0"/>
                <w:color w:val="000000"/>
                <w:kern w:val="0"/>
                <w:sz w:val="21"/>
                <w:szCs w:val="21"/>
                <w:u w:val="none"/>
                <w:lang w:val="en-US" w:eastAsia="zh-CN" w:bidi="ar"/>
              </w:rPr>
              <w:t>第一次</w:t>
            </w:r>
          </w:p>
        </w:tc>
        <w:tc>
          <w:tcPr>
            <w:tcW w:w="978"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1"/>
                <w:szCs w:val="21"/>
                <w:u w:val="none"/>
                <w:lang w:val="en-US" w:eastAsia="zh-CN" w:bidi="ar"/>
              </w:rPr>
            </w:pPr>
            <w:r>
              <w:rPr>
                <w:rFonts w:hint="eastAsia" w:ascii="Times New Roman" w:hAnsi="Times New Roman" w:eastAsia="宋体" w:cs="Times New Roman"/>
                <w:b/>
                <w:bCs/>
                <w:i w:val="0"/>
                <w:color w:val="000000"/>
                <w:kern w:val="0"/>
                <w:sz w:val="21"/>
                <w:szCs w:val="21"/>
                <w:u w:val="none"/>
                <w:lang w:val="en-US" w:eastAsia="zh-CN" w:bidi="ar"/>
              </w:rPr>
              <w:t>第二次</w:t>
            </w:r>
          </w:p>
        </w:tc>
        <w:tc>
          <w:tcPr>
            <w:tcW w:w="978"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1"/>
                <w:szCs w:val="21"/>
                <w:u w:val="none"/>
                <w:lang w:val="en-US" w:eastAsia="zh-CN" w:bidi="ar"/>
              </w:rPr>
            </w:pPr>
            <w:r>
              <w:rPr>
                <w:rFonts w:hint="eastAsia" w:ascii="Times New Roman" w:hAnsi="Times New Roman" w:eastAsia="宋体" w:cs="Times New Roman"/>
                <w:b/>
                <w:bCs/>
                <w:i w:val="0"/>
                <w:color w:val="000000"/>
                <w:kern w:val="0"/>
                <w:sz w:val="21"/>
                <w:szCs w:val="21"/>
                <w:u w:val="none"/>
                <w:lang w:val="en-US" w:eastAsia="zh-CN" w:bidi="ar"/>
              </w:rPr>
              <w:t>第三次</w:t>
            </w:r>
          </w:p>
        </w:tc>
        <w:tc>
          <w:tcPr>
            <w:tcW w:w="979"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1"/>
                <w:szCs w:val="21"/>
                <w:u w:val="none"/>
                <w:lang w:val="en-US" w:eastAsia="zh-CN" w:bidi="ar"/>
              </w:rPr>
            </w:pPr>
            <w:r>
              <w:rPr>
                <w:rFonts w:hint="eastAsia" w:ascii="Times New Roman" w:hAnsi="Times New Roman" w:eastAsia="宋体" w:cs="Times New Roman"/>
                <w:b/>
                <w:bCs/>
                <w:i w:val="0"/>
                <w:color w:val="000000"/>
                <w:kern w:val="0"/>
                <w:sz w:val="21"/>
                <w:szCs w:val="21"/>
                <w:u w:val="none"/>
                <w:lang w:val="en-US" w:eastAsia="zh-CN" w:bidi="ar"/>
              </w:rPr>
              <w:t>第四次</w:t>
            </w:r>
          </w:p>
        </w:tc>
        <w:tc>
          <w:tcPr>
            <w:tcW w:w="977"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b w:val="0"/>
                <w:bCs w:val="0"/>
                <w:color w:val="0000FF"/>
                <w:kern w:val="0"/>
                <w:sz w:val="21"/>
                <w:szCs w:val="21"/>
                <w:lang w:val="en-US" w:eastAsia="zh-CN"/>
              </w:rPr>
            </w:pPr>
            <w:r>
              <w:rPr>
                <w:rFonts w:hint="eastAsia" w:ascii="Times New Roman" w:hAnsi="Times New Roman" w:eastAsia="宋体" w:cs="Times New Roman"/>
                <w:color w:val="auto"/>
                <w:sz w:val="21"/>
                <w:szCs w:val="21"/>
                <w:lang w:val="en-US" w:eastAsia="zh-CN"/>
              </w:rPr>
              <w:t>06月04日</w:t>
            </w:r>
          </w:p>
        </w:tc>
        <w:tc>
          <w:tcPr>
            <w:tcW w:w="1102" w:type="dxa"/>
            <w:vMerge w:val="restart"/>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G1城连圩</w:t>
            </w:r>
          </w:p>
          <w:p>
            <w:pPr>
              <w:keepNext w:val="0"/>
              <w:keepLines w:val="0"/>
              <w:widowControl/>
              <w:suppressLineNumbers w:val="0"/>
              <w:spacing w:line="240" w:lineRule="auto"/>
              <w:jc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居民点</w:t>
            </w:r>
          </w:p>
        </w:tc>
        <w:tc>
          <w:tcPr>
            <w:tcW w:w="21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氨</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0.06</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0.05</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0.05</w:t>
            </w:r>
          </w:p>
        </w:tc>
        <w:tc>
          <w:tcPr>
            <w:tcW w:w="979"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0.06</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lang w:val="en-US" w:eastAsia="zh-CN"/>
              </w:rPr>
            </w:pPr>
          </w:p>
        </w:tc>
        <w:tc>
          <w:tcPr>
            <w:tcW w:w="21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硫化氢</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9"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lang w:val="en-US" w:eastAsia="zh-CN"/>
              </w:rPr>
            </w:pPr>
          </w:p>
        </w:tc>
        <w:tc>
          <w:tcPr>
            <w:tcW w:w="21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臭气浓度（无量纲）</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9"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b w:val="0"/>
                <w:bCs w:val="0"/>
                <w:color w:val="0000FF"/>
                <w:kern w:val="0"/>
                <w:sz w:val="21"/>
                <w:szCs w:val="21"/>
                <w:lang w:val="en-US" w:eastAsia="zh-CN"/>
              </w:rPr>
            </w:pPr>
            <w:r>
              <w:rPr>
                <w:rFonts w:hint="eastAsia" w:ascii="Times New Roman" w:hAnsi="Times New Roman" w:eastAsia="宋体" w:cs="Times New Roman"/>
                <w:color w:val="auto"/>
                <w:sz w:val="21"/>
                <w:szCs w:val="21"/>
                <w:lang w:val="en-US" w:eastAsia="zh-CN"/>
              </w:rPr>
              <w:t>06月05日</w:t>
            </w:r>
          </w:p>
        </w:tc>
        <w:tc>
          <w:tcPr>
            <w:tcW w:w="110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氨</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0.05</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0.04</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0.04</w:t>
            </w:r>
          </w:p>
        </w:tc>
        <w:tc>
          <w:tcPr>
            <w:tcW w:w="979"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0.05</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硫化氢</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9"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臭气浓度（无量纲）</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9"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0000FF"/>
                <w:kern w:val="2"/>
                <w:sz w:val="21"/>
                <w:szCs w:val="21"/>
                <w:lang w:val="en-US" w:eastAsia="zh-CN"/>
              </w:rPr>
            </w:pPr>
            <w:r>
              <w:rPr>
                <w:rFonts w:hint="eastAsia" w:ascii="Times New Roman" w:hAnsi="Times New Roman" w:eastAsia="宋体" w:cs="Times New Roman"/>
                <w:color w:val="auto"/>
                <w:sz w:val="21"/>
                <w:szCs w:val="21"/>
                <w:lang w:val="en-US" w:eastAsia="zh-CN"/>
              </w:rPr>
              <w:t>06月06日</w:t>
            </w:r>
          </w:p>
        </w:tc>
        <w:tc>
          <w:tcPr>
            <w:tcW w:w="110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氨</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0.04</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0.04</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0.05</w:t>
            </w:r>
          </w:p>
        </w:tc>
        <w:tc>
          <w:tcPr>
            <w:tcW w:w="979"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0.04</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硫化氢</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9"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臭气浓度（无量纲）</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9"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restart"/>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0000FF"/>
                <w:kern w:val="2"/>
                <w:sz w:val="21"/>
                <w:szCs w:val="21"/>
                <w:lang w:val="en-US" w:eastAsia="zh-CN"/>
              </w:rPr>
            </w:pPr>
            <w:r>
              <w:rPr>
                <w:rFonts w:hint="eastAsia" w:ascii="Times New Roman" w:hAnsi="Times New Roman" w:eastAsia="宋体" w:cs="Times New Roman"/>
                <w:color w:val="auto"/>
                <w:sz w:val="21"/>
                <w:szCs w:val="21"/>
                <w:lang w:val="en-US" w:eastAsia="zh-CN"/>
              </w:rPr>
              <w:t>06月07日</w:t>
            </w: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氨</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0.05</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0.05</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0.05</w:t>
            </w:r>
          </w:p>
        </w:tc>
        <w:tc>
          <w:tcPr>
            <w:tcW w:w="979"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0.04</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硫化氢</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9"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臭气浓度（无量纲）</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9"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restart"/>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0000FF"/>
                <w:kern w:val="2"/>
                <w:sz w:val="21"/>
                <w:szCs w:val="21"/>
                <w:lang w:val="en-US" w:eastAsia="zh-CN"/>
              </w:rPr>
            </w:pPr>
            <w:r>
              <w:rPr>
                <w:rFonts w:hint="eastAsia" w:ascii="Times New Roman" w:hAnsi="Times New Roman" w:eastAsia="宋体" w:cs="Times New Roman"/>
                <w:color w:val="auto"/>
                <w:sz w:val="21"/>
                <w:szCs w:val="21"/>
                <w:lang w:val="en-US" w:eastAsia="zh-CN"/>
              </w:rPr>
              <w:t>06月08日</w:t>
            </w: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氨</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0.05</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0.06</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0.05</w:t>
            </w:r>
          </w:p>
        </w:tc>
        <w:tc>
          <w:tcPr>
            <w:tcW w:w="979"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0.06</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硫化氢</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9"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臭气浓度（无量纲）</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9"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restart"/>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0000FF"/>
                <w:kern w:val="2"/>
                <w:sz w:val="21"/>
                <w:szCs w:val="21"/>
                <w:lang w:val="en-US" w:eastAsia="zh-CN"/>
              </w:rPr>
            </w:pPr>
            <w:r>
              <w:rPr>
                <w:rFonts w:hint="eastAsia" w:ascii="Times New Roman" w:hAnsi="Times New Roman" w:eastAsia="宋体" w:cs="Times New Roman"/>
                <w:color w:val="auto"/>
                <w:sz w:val="21"/>
                <w:szCs w:val="21"/>
                <w:lang w:val="en-US" w:eastAsia="zh-CN"/>
              </w:rPr>
              <w:t>06月09日</w:t>
            </w: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氨</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0.05</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0.04</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0.04</w:t>
            </w:r>
          </w:p>
        </w:tc>
        <w:tc>
          <w:tcPr>
            <w:tcW w:w="979"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0.05</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硫化氢</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9"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臭气浓度（无量纲）</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9"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restart"/>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0000FF"/>
                <w:kern w:val="2"/>
                <w:sz w:val="21"/>
                <w:szCs w:val="21"/>
                <w:lang w:val="en-US" w:eastAsia="zh-CN"/>
              </w:rPr>
            </w:pPr>
            <w:r>
              <w:rPr>
                <w:rFonts w:hint="eastAsia" w:ascii="Times New Roman" w:hAnsi="Times New Roman" w:eastAsia="宋体" w:cs="Times New Roman"/>
                <w:color w:val="auto"/>
                <w:sz w:val="21"/>
                <w:szCs w:val="21"/>
                <w:lang w:val="en-US" w:eastAsia="zh-CN"/>
              </w:rPr>
              <w:t>06月10日</w:t>
            </w: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氨</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0.04</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0.04</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0.04</w:t>
            </w:r>
          </w:p>
        </w:tc>
        <w:tc>
          <w:tcPr>
            <w:tcW w:w="979"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0.05</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硫化氢</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9"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臭气浓度（无量纲）</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9"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b w:val="0"/>
                <w:bCs w:val="0"/>
                <w:color w:val="0000FF"/>
                <w:kern w:val="0"/>
                <w:sz w:val="21"/>
                <w:szCs w:val="21"/>
                <w:lang w:val="en-US" w:eastAsia="zh-CN"/>
              </w:rPr>
            </w:pPr>
            <w:r>
              <w:rPr>
                <w:rFonts w:hint="eastAsia" w:ascii="Times New Roman" w:hAnsi="Times New Roman" w:eastAsia="宋体" w:cs="Times New Roman"/>
                <w:color w:val="auto"/>
                <w:sz w:val="21"/>
                <w:szCs w:val="21"/>
                <w:lang w:val="en-US" w:eastAsia="zh-CN"/>
              </w:rPr>
              <w:t>06月04日</w:t>
            </w:r>
          </w:p>
        </w:tc>
        <w:tc>
          <w:tcPr>
            <w:tcW w:w="1102" w:type="dxa"/>
            <w:vMerge w:val="restart"/>
            <w:tcBorders>
              <w:tl2br w:val="nil"/>
              <w:tr2bl w:val="nil"/>
            </w:tcBorders>
            <w:vAlign w:val="center"/>
          </w:tcPr>
          <w:p>
            <w:pPr>
              <w:keepNext w:val="0"/>
              <w:keepLines w:val="0"/>
              <w:widowControl/>
              <w:suppressLineNumbers w:val="0"/>
              <w:spacing w:line="240" w:lineRule="auto"/>
              <w:jc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G2蒋家桥镇居民点</w:t>
            </w:r>
          </w:p>
        </w:tc>
        <w:tc>
          <w:tcPr>
            <w:tcW w:w="21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氨</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0.08</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0.07</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0.08</w:t>
            </w:r>
          </w:p>
        </w:tc>
        <w:tc>
          <w:tcPr>
            <w:tcW w:w="979"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0.07</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lang w:val="en-US" w:eastAsia="zh-CN"/>
              </w:rPr>
            </w:pPr>
          </w:p>
        </w:tc>
        <w:tc>
          <w:tcPr>
            <w:tcW w:w="21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硫化氢</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9"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lang w:val="en-US" w:eastAsia="zh-CN"/>
              </w:rPr>
            </w:pPr>
          </w:p>
        </w:tc>
        <w:tc>
          <w:tcPr>
            <w:tcW w:w="21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臭气浓度（无量纲）</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9"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b w:val="0"/>
                <w:bCs w:val="0"/>
                <w:color w:val="0000FF"/>
                <w:kern w:val="0"/>
                <w:sz w:val="21"/>
                <w:szCs w:val="21"/>
                <w:lang w:val="en-US" w:eastAsia="zh-CN"/>
              </w:rPr>
            </w:pPr>
            <w:r>
              <w:rPr>
                <w:rFonts w:hint="eastAsia" w:ascii="Times New Roman" w:hAnsi="Times New Roman" w:eastAsia="宋体" w:cs="Times New Roman"/>
                <w:color w:val="auto"/>
                <w:sz w:val="21"/>
                <w:szCs w:val="21"/>
                <w:lang w:val="en-US" w:eastAsia="zh-CN"/>
              </w:rPr>
              <w:t>06月05日</w:t>
            </w:r>
          </w:p>
        </w:tc>
        <w:tc>
          <w:tcPr>
            <w:tcW w:w="110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氨</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0.06</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0.06</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0.07</w:t>
            </w:r>
          </w:p>
        </w:tc>
        <w:tc>
          <w:tcPr>
            <w:tcW w:w="979"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0.07</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硫化氢</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9"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臭气浓度（无量纲）</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9"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0000FF"/>
                <w:kern w:val="2"/>
                <w:sz w:val="21"/>
                <w:szCs w:val="21"/>
                <w:lang w:val="en-US" w:eastAsia="zh-CN"/>
              </w:rPr>
            </w:pPr>
            <w:r>
              <w:rPr>
                <w:rFonts w:hint="eastAsia" w:ascii="Times New Roman" w:hAnsi="Times New Roman" w:eastAsia="宋体" w:cs="Times New Roman"/>
                <w:color w:val="auto"/>
                <w:sz w:val="21"/>
                <w:szCs w:val="21"/>
                <w:lang w:val="en-US" w:eastAsia="zh-CN"/>
              </w:rPr>
              <w:t>06月06日</w:t>
            </w:r>
          </w:p>
        </w:tc>
        <w:tc>
          <w:tcPr>
            <w:tcW w:w="110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氨</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0.06</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0.06</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0.06</w:t>
            </w:r>
          </w:p>
        </w:tc>
        <w:tc>
          <w:tcPr>
            <w:tcW w:w="979"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0.07</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硫化氢</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9"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臭气浓度（无量纲）</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9"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restart"/>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0000FF"/>
                <w:kern w:val="2"/>
                <w:sz w:val="21"/>
                <w:szCs w:val="21"/>
                <w:lang w:val="en-US" w:eastAsia="zh-CN"/>
              </w:rPr>
            </w:pPr>
            <w:r>
              <w:rPr>
                <w:rFonts w:hint="eastAsia" w:ascii="Times New Roman" w:hAnsi="Times New Roman" w:eastAsia="宋体" w:cs="Times New Roman"/>
                <w:color w:val="auto"/>
                <w:sz w:val="21"/>
                <w:szCs w:val="21"/>
                <w:lang w:val="en-US" w:eastAsia="zh-CN"/>
              </w:rPr>
              <w:t>06月07日</w:t>
            </w: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氨</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0.08</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0.08</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0.07</w:t>
            </w:r>
          </w:p>
        </w:tc>
        <w:tc>
          <w:tcPr>
            <w:tcW w:w="979"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0.07</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硫化氢</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9"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臭气浓度（无量纲）</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9"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restart"/>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0000FF"/>
                <w:kern w:val="2"/>
                <w:sz w:val="21"/>
                <w:szCs w:val="21"/>
                <w:lang w:val="en-US" w:eastAsia="zh-CN"/>
              </w:rPr>
            </w:pPr>
            <w:r>
              <w:rPr>
                <w:rFonts w:hint="eastAsia" w:ascii="Times New Roman" w:hAnsi="Times New Roman" w:eastAsia="宋体" w:cs="Times New Roman"/>
                <w:color w:val="auto"/>
                <w:sz w:val="21"/>
                <w:szCs w:val="21"/>
                <w:lang w:val="en-US" w:eastAsia="zh-CN"/>
              </w:rPr>
              <w:t>06月08日</w:t>
            </w: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氨</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0.08</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0.07</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0.07</w:t>
            </w:r>
          </w:p>
        </w:tc>
        <w:tc>
          <w:tcPr>
            <w:tcW w:w="979"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0.07</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硫化氢</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9"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臭气浓度（无量纲）</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9"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restart"/>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0000FF"/>
                <w:kern w:val="2"/>
                <w:sz w:val="21"/>
                <w:szCs w:val="21"/>
                <w:lang w:val="en-US" w:eastAsia="zh-CN"/>
              </w:rPr>
            </w:pPr>
            <w:r>
              <w:rPr>
                <w:rFonts w:hint="eastAsia" w:ascii="Times New Roman" w:hAnsi="Times New Roman" w:eastAsia="宋体" w:cs="Times New Roman"/>
                <w:color w:val="auto"/>
                <w:sz w:val="21"/>
                <w:szCs w:val="21"/>
                <w:lang w:val="en-US" w:eastAsia="zh-CN"/>
              </w:rPr>
              <w:t>06月09日</w:t>
            </w: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氨</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0.07</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0.08</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0.07</w:t>
            </w:r>
          </w:p>
        </w:tc>
        <w:tc>
          <w:tcPr>
            <w:tcW w:w="979"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0.07</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硫化氢</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9"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臭气浓度（无量纲）</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9"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restart"/>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0000FF"/>
                <w:kern w:val="2"/>
                <w:sz w:val="21"/>
                <w:szCs w:val="21"/>
                <w:lang w:val="en-US" w:eastAsia="zh-CN"/>
              </w:rPr>
            </w:pPr>
            <w:r>
              <w:rPr>
                <w:rFonts w:hint="eastAsia" w:ascii="Times New Roman" w:hAnsi="Times New Roman" w:eastAsia="宋体" w:cs="Times New Roman"/>
                <w:color w:val="auto"/>
                <w:sz w:val="21"/>
                <w:szCs w:val="21"/>
                <w:lang w:val="en-US" w:eastAsia="zh-CN"/>
              </w:rPr>
              <w:t>06月10日</w:t>
            </w: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氨</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0.07</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0.06</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0.07</w:t>
            </w:r>
          </w:p>
        </w:tc>
        <w:tc>
          <w:tcPr>
            <w:tcW w:w="979"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0.07</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硫化氢</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9"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7" w:type="dxa"/>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臭气浓度（无量纲）</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9"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b w:val="0"/>
                <w:bCs w:val="0"/>
                <w:color w:val="0000FF"/>
                <w:kern w:val="0"/>
                <w:sz w:val="21"/>
                <w:szCs w:val="21"/>
                <w:lang w:val="en-US" w:eastAsia="zh-CN"/>
              </w:rPr>
            </w:pPr>
            <w:r>
              <w:rPr>
                <w:rFonts w:hint="eastAsia" w:ascii="Times New Roman" w:hAnsi="Times New Roman" w:eastAsia="宋体" w:cs="Times New Roman"/>
                <w:color w:val="auto"/>
                <w:sz w:val="21"/>
                <w:szCs w:val="21"/>
                <w:lang w:val="en-US" w:eastAsia="zh-CN"/>
              </w:rPr>
              <w:t>06月04日</w:t>
            </w:r>
          </w:p>
        </w:tc>
        <w:tc>
          <w:tcPr>
            <w:tcW w:w="1102" w:type="dxa"/>
            <w:vMerge w:val="restart"/>
            <w:tcBorders>
              <w:tl2br w:val="nil"/>
              <w:tr2bl w:val="nil"/>
            </w:tcBorders>
            <w:vAlign w:val="center"/>
          </w:tcPr>
          <w:p>
            <w:pPr>
              <w:keepNext w:val="0"/>
              <w:keepLines w:val="0"/>
              <w:widowControl/>
              <w:suppressLineNumbers w:val="0"/>
              <w:spacing w:line="240" w:lineRule="auto"/>
              <w:jc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G3太和堂镇居民点</w:t>
            </w:r>
          </w:p>
        </w:tc>
        <w:tc>
          <w:tcPr>
            <w:tcW w:w="2198"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氨</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0.03</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0.03</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0.04</w:t>
            </w:r>
          </w:p>
        </w:tc>
        <w:tc>
          <w:tcPr>
            <w:tcW w:w="9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0.04</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lang w:val="en-US" w:eastAsia="zh-CN"/>
              </w:rPr>
            </w:pPr>
          </w:p>
        </w:tc>
        <w:tc>
          <w:tcPr>
            <w:tcW w:w="2198"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硫化氢</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tcBorders>
              <w:tl2br w:val="nil"/>
              <w:tr2bl w:val="nil"/>
            </w:tcBorders>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lang w:val="en-US" w:eastAsia="zh-CN"/>
              </w:rPr>
            </w:pPr>
          </w:p>
        </w:tc>
        <w:tc>
          <w:tcPr>
            <w:tcW w:w="2198"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臭气浓度（无量纲）</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b w:val="0"/>
                <w:bCs w:val="0"/>
                <w:color w:val="0000FF"/>
                <w:kern w:val="0"/>
                <w:sz w:val="21"/>
                <w:szCs w:val="21"/>
                <w:lang w:val="en-US" w:eastAsia="zh-CN"/>
              </w:rPr>
            </w:pPr>
            <w:r>
              <w:rPr>
                <w:rFonts w:hint="eastAsia" w:ascii="Times New Roman" w:hAnsi="Times New Roman" w:eastAsia="宋体" w:cs="Times New Roman"/>
                <w:color w:val="auto"/>
                <w:sz w:val="21"/>
                <w:szCs w:val="21"/>
                <w:lang w:val="en-US" w:eastAsia="zh-CN"/>
              </w:rPr>
              <w:t>06月05日</w:t>
            </w:r>
          </w:p>
        </w:tc>
        <w:tc>
          <w:tcPr>
            <w:tcW w:w="110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8"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氨</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0.02</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0.03</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0.03</w:t>
            </w:r>
          </w:p>
        </w:tc>
        <w:tc>
          <w:tcPr>
            <w:tcW w:w="9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0.02</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8"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硫化氢</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8"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臭气浓度（无量纲）</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0000FF"/>
                <w:kern w:val="2"/>
                <w:sz w:val="21"/>
                <w:szCs w:val="21"/>
                <w:lang w:val="en-US" w:eastAsia="zh-CN"/>
              </w:rPr>
            </w:pPr>
            <w:r>
              <w:rPr>
                <w:rFonts w:hint="eastAsia" w:ascii="Times New Roman" w:hAnsi="Times New Roman" w:eastAsia="宋体" w:cs="Times New Roman"/>
                <w:color w:val="auto"/>
                <w:sz w:val="21"/>
                <w:szCs w:val="21"/>
                <w:lang w:val="en-US" w:eastAsia="zh-CN"/>
              </w:rPr>
              <w:t>06月06日</w:t>
            </w:r>
          </w:p>
        </w:tc>
        <w:tc>
          <w:tcPr>
            <w:tcW w:w="110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8"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氨</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0.03</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0.02</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0.03</w:t>
            </w:r>
          </w:p>
        </w:tc>
        <w:tc>
          <w:tcPr>
            <w:tcW w:w="9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0.03</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8"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硫化氢</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8" w:type="dxa"/>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臭气浓度（无量纲）</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restart"/>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0000FF"/>
                <w:kern w:val="2"/>
                <w:sz w:val="21"/>
                <w:szCs w:val="21"/>
                <w:lang w:val="en-US" w:eastAsia="zh-CN"/>
              </w:rPr>
            </w:pPr>
            <w:r>
              <w:rPr>
                <w:rFonts w:hint="eastAsia" w:ascii="Times New Roman" w:hAnsi="Times New Roman" w:eastAsia="宋体" w:cs="Times New Roman"/>
                <w:color w:val="auto"/>
                <w:sz w:val="21"/>
                <w:szCs w:val="21"/>
                <w:lang w:val="en-US" w:eastAsia="zh-CN"/>
              </w:rPr>
              <w:t>06月07日</w:t>
            </w: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8" w:type="dxa"/>
            <w:gridSpan w:val="2"/>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氨</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0.04</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0.04</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0.04</w:t>
            </w:r>
          </w:p>
        </w:tc>
        <w:tc>
          <w:tcPr>
            <w:tcW w:w="978" w:type="dxa"/>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0.03</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8" w:type="dxa"/>
            <w:gridSpan w:val="2"/>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硫化氢</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8" w:type="dxa"/>
            <w:gridSpan w:val="2"/>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臭气浓度（无量纲）</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restart"/>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0000FF"/>
                <w:kern w:val="2"/>
                <w:sz w:val="21"/>
                <w:szCs w:val="21"/>
                <w:lang w:val="en-US" w:eastAsia="zh-CN"/>
              </w:rPr>
            </w:pPr>
            <w:r>
              <w:rPr>
                <w:rFonts w:hint="eastAsia" w:ascii="Times New Roman" w:hAnsi="Times New Roman" w:eastAsia="宋体" w:cs="Times New Roman"/>
                <w:color w:val="auto"/>
                <w:sz w:val="21"/>
                <w:szCs w:val="21"/>
                <w:lang w:val="en-US" w:eastAsia="zh-CN"/>
              </w:rPr>
              <w:t>06月08日</w:t>
            </w: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8" w:type="dxa"/>
            <w:gridSpan w:val="2"/>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氨</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0.02</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0.03</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0.02</w:t>
            </w:r>
          </w:p>
        </w:tc>
        <w:tc>
          <w:tcPr>
            <w:tcW w:w="978" w:type="dxa"/>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0.03</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8" w:type="dxa"/>
            <w:gridSpan w:val="2"/>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硫化氢</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8" w:type="dxa"/>
            <w:gridSpan w:val="2"/>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臭气浓度（无量纲）</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restart"/>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0000FF"/>
                <w:kern w:val="2"/>
                <w:sz w:val="21"/>
                <w:szCs w:val="21"/>
                <w:lang w:val="en-US" w:eastAsia="zh-CN"/>
              </w:rPr>
            </w:pPr>
            <w:r>
              <w:rPr>
                <w:rFonts w:hint="eastAsia" w:ascii="Times New Roman" w:hAnsi="Times New Roman" w:eastAsia="宋体" w:cs="Times New Roman"/>
                <w:color w:val="auto"/>
                <w:sz w:val="21"/>
                <w:szCs w:val="21"/>
                <w:lang w:val="en-US" w:eastAsia="zh-CN"/>
              </w:rPr>
              <w:t>06月09日</w:t>
            </w: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8" w:type="dxa"/>
            <w:gridSpan w:val="2"/>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氨</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0.02</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0.02</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0.02</w:t>
            </w:r>
          </w:p>
        </w:tc>
        <w:tc>
          <w:tcPr>
            <w:tcW w:w="978" w:type="dxa"/>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0.02</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8" w:type="dxa"/>
            <w:gridSpan w:val="2"/>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硫化氢</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8" w:type="dxa"/>
            <w:gridSpan w:val="2"/>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臭气浓度（无量纲）</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restart"/>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0000FF"/>
                <w:kern w:val="2"/>
                <w:sz w:val="21"/>
                <w:szCs w:val="21"/>
                <w:lang w:val="en-US" w:eastAsia="zh-CN"/>
              </w:rPr>
            </w:pPr>
            <w:r>
              <w:rPr>
                <w:rFonts w:hint="eastAsia" w:ascii="Times New Roman" w:hAnsi="Times New Roman" w:eastAsia="宋体" w:cs="Times New Roman"/>
                <w:color w:val="auto"/>
                <w:sz w:val="21"/>
                <w:szCs w:val="21"/>
                <w:lang w:val="en-US" w:eastAsia="zh-CN"/>
              </w:rPr>
              <w:t>06月10日</w:t>
            </w: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8" w:type="dxa"/>
            <w:gridSpan w:val="2"/>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氨</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0.03</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0.02</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0.03</w:t>
            </w:r>
          </w:p>
        </w:tc>
        <w:tc>
          <w:tcPr>
            <w:tcW w:w="978" w:type="dxa"/>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0.02</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8" w:type="dxa"/>
            <w:gridSpan w:val="2"/>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硫化氢</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mg/m</w:t>
            </w:r>
            <w:r>
              <w:rPr>
                <w:rFonts w:hint="default"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8" w:type="dxa"/>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0.001L</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p>
        </w:tc>
        <w:tc>
          <w:tcPr>
            <w:tcW w:w="1102" w:type="dxa"/>
            <w:vMerge w:val="continue"/>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p>
        </w:tc>
        <w:tc>
          <w:tcPr>
            <w:tcW w:w="2198" w:type="dxa"/>
            <w:gridSpan w:val="2"/>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outlineLvl w:val="9"/>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臭气浓度（无量纲）</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gridSpan w:val="2"/>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8" w:type="dxa"/>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10L</w:t>
            </w:r>
          </w:p>
        </w:tc>
        <w:tc>
          <w:tcPr>
            <w:tcW w:w="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2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kern w:val="2"/>
                <w:sz w:val="21"/>
                <w:szCs w:val="21"/>
                <w:highlight w:val="none"/>
                <w:lang w:val="en-US" w:eastAsia="zh-CN"/>
              </w:rPr>
            </w:pPr>
            <w:r>
              <w:rPr>
                <w:rFonts w:hint="eastAsia" w:ascii="Times New Roman" w:hAnsi="Times New Roman" w:cs="Times New Roman"/>
                <w:sz w:val="21"/>
                <w:szCs w:val="21"/>
                <w:highlight w:val="none"/>
                <w:lang w:val="en-US" w:eastAsia="zh-CN"/>
              </w:rPr>
              <w:t>备注</w:t>
            </w:r>
          </w:p>
        </w:tc>
        <w:tc>
          <w:tcPr>
            <w:tcW w:w="8189" w:type="dxa"/>
            <w:gridSpan w:val="11"/>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Times New Roman" w:hAnsi="Times New Roman" w:eastAsia="宋体" w:cs="Times New Roman"/>
                <w:kern w:val="2"/>
                <w:sz w:val="21"/>
                <w:szCs w:val="21"/>
                <w:highlight w:val="none"/>
                <w:lang w:val="en-US" w:eastAsia="zh-CN"/>
              </w:rPr>
            </w:pPr>
            <w:r>
              <w:rPr>
                <w:rFonts w:hint="eastAsia" w:ascii="Times New Roman" w:hAnsi="Times New Roman" w:cs="Times New Roman"/>
                <w:color w:val="auto"/>
                <w:sz w:val="21"/>
                <w:szCs w:val="21"/>
                <w:highlight w:val="none"/>
                <w:lang w:val="en-US" w:eastAsia="zh-CN"/>
              </w:rPr>
              <w:t>参考限值来源</w:t>
            </w:r>
            <w:r>
              <w:rPr>
                <w:rFonts w:hint="eastAsia" w:ascii="Times New Roman" w:hAnsi="Times New Roman" w:eastAsia="宋体" w:cs="Times New Roman"/>
                <w:color w:val="auto"/>
                <w:sz w:val="21"/>
                <w:szCs w:val="21"/>
                <w:highlight w:val="none"/>
                <w:lang w:val="en-US" w:eastAsia="zh-CN"/>
              </w:rPr>
              <w:t>于</w:t>
            </w:r>
            <w:r>
              <w:rPr>
                <w:rFonts w:hint="eastAsia" w:ascii="Times New Roman" w:hAnsi="Times New Roman" w:cs="Times New Roman"/>
                <w:color w:val="auto"/>
                <w:sz w:val="21"/>
                <w:szCs w:val="21"/>
                <w:highlight w:val="none"/>
                <w:lang w:val="en-US" w:eastAsia="zh-CN"/>
              </w:rPr>
              <w:t>《环境影响评价技术导则 大气环境》（HJ2.2-2018）附录D限值</w:t>
            </w:r>
            <w:r>
              <w:rPr>
                <w:rFonts w:hint="eastAsia" w:ascii="Times New Roman" w:hAnsi="Times New Roman" w:eastAsia="宋体" w:cs="Times New Roman"/>
                <w:color w:val="auto"/>
                <w:sz w:val="21"/>
                <w:szCs w:val="21"/>
                <w:highlight w:val="none"/>
                <w:lang w:val="en-US" w:eastAsia="zh-CN"/>
              </w:rPr>
              <w:t>。</w:t>
            </w:r>
          </w:p>
        </w:tc>
      </w:tr>
    </w:tbl>
    <w:p>
      <w:pPr>
        <w:pStyle w:val="87"/>
        <w:adjustRightInd w:val="0"/>
        <w:snapToGrid w:val="0"/>
        <w:spacing w:after="0" w:line="360" w:lineRule="auto"/>
        <w:ind w:firstLine="480" w:firstLineChars="200"/>
        <w:rPr>
          <w:rFonts w:ascii="Times New Roman" w:hAnsi="Times New Roman" w:eastAsia="宋体" w:cs="Times New Roman"/>
          <w:kern w:val="0"/>
          <w:sz w:val="24"/>
          <w:szCs w:val="24"/>
          <w:lang w:val="zh-CN" w:eastAsia="zh-CN" w:bidi="zh-CN"/>
        </w:rPr>
      </w:pPr>
      <w:r>
        <w:rPr>
          <w:rFonts w:ascii="Times New Roman" w:hAnsi="Times New Roman" w:eastAsia="宋体" w:cs="Times New Roman"/>
          <w:kern w:val="0"/>
          <w:sz w:val="24"/>
          <w:szCs w:val="24"/>
          <w:lang w:val="zh-CN" w:eastAsia="zh-CN" w:bidi="zh-CN"/>
        </w:rPr>
        <w:t>由上表可见，评价区内监测点的H</w:t>
      </w:r>
      <w:r>
        <w:rPr>
          <w:rFonts w:ascii="Times New Roman" w:hAnsi="Times New Roman" w:eastAsia="宋体" w:cs="Times New Roman"/>
          <w:kern w:val="0"/>
          <w:sz w:val="24"/>
          <w:szCs w:val="24"/>
          <w:vertAlign w:val="subscript"/>
          <w:lang w:val="zh-CN" w:eastAsia="zh-CN" w:bidi="zh-CN"/>
        </w:rPr>
        <w:t>2</w:t>
      </w:r>
      <w:r>
        <w:rPr>
          <w:rFonts w:ascii="Times New Roman" w:hAnsi="Times New Roman" w:eastAsia="宋体" w:cs="Times New Roman"/>
          <w:kern w:val="0"/>
          <w:sz w:val="24"/>
          <w:szCs w:val="24"/>
          <w:lang w:val="zh-CN" w:eastAsia="zh-CN" w:bidi="zh-CN"/>
        </w:rPr>
        <w:t>S、NH</w:t>
      </w:r>
      <w:r>
        <w:rPr>
          <w:rFonts w:ascii="Times New Roman" w:hAnsi="Times New Roman" w:eastAsia="宋体" w:cs="Times New Roman"/>
          <w:kern w:val="0"/>
          <w:sz w:val="24"/>
          <w:szCs w:val="24"/>
          <w:vertAlign w:val="subscript"/>
          <w:lang w:val="zh-CN" w:eastAsia="zh-CN" w:bidi="zh-CN"/>
        </w:rPr>
        <w:t>3</w:t>
      </w:r>
      <w:r>
        <w:rPr>
          <w:rFonts w:ascii="Times New Roman" w:hAnsi="Times New Roman" w:eastAsia="宋体" w:cs="Times New Roman"/>
          <w:kern w:val="0"/>
          <w:sz w:val="24"/>
          <w:szCs w:val="24"/>
          <w:lang w:val="zh-CN" w:eastAsia="zh-CN" w:bidi="zh-CN"/>
        </w:rPr>
        <w:t>连续7天小时平均浓度超标率为0，TSP连续7天的日均浓度超标率为0，TSP均满足《环境空气质量标准》(GB3095-2012)</w:t>
      </w:r>
      <w:r>
        <w:rPr>
          <w:rFonts w:hint="eastAsia" w:ascii="Times New Roman" w:hAnsi="Times New Roman" w:eastAsia="宋体" w:cs="Times New Roman"/>
          <w:kern w:val="0"/>
          <w:sz w:val="24"/>
          <w:szCs w:val="24"/>
          <w:lang w:val="zh-CN" w:eastAsia="zh-CN" w:bidi="zh-CN"/>
        </w:rPr>
        <w:t>二</w:t>
      </w:r>
      <w:r>
        <w:rPr>
          <w:rFonts w:ascii="Times New Roman" w:hAnsi="Times New Roman" w:eastAsia="宋体" w:cs="Times New Roman"/>
          <w:kern w:val="0"/>
          <w:sz w:val="24"/>
          <w:szCs w:val="24"/>
          <w:lang w:val="zh-CN" w:eastAsia="zh-CN" w:bidi="zh-CN"/>
        </w:rPr>
        <w:t>级标准要求</w:t>
      </w:r>
      <w:r>
        <w:rPr>
          <w:rFonts w:hint="eastAsia" w:ascii="Times New Roman" w:hAnsi="Times New Roman" w:eastAsia="宋体" w:cs="Times New Roman"/>
          <w:kern w:val="0"/>
          <w:sz w:val="24"/>
          <w:szCs w:val="24"/>
          <w:lang w:val="zh-CN" w:eastAsia="zh-CN" w:bidi="zh-CN"/>
        </w:rPr>
        <w:t>，</w:t>
      </w:r>
      <w:r>
        <w:rPr>
          <w:rFonts w:ascii="Times New Roman" w:hAnsi="Times New Roman" w:eastAsia="宋体" w:cs="Times New Roman"/>
          <w:kern w:val="0"/>
          <w:sz w:val="24"/>
          <w:szCs w:val="24"/>
          <w:lang w:val="zh-CN" w:eastAsia="zh-CN" w:bidi="zh-CN"/>
        </w:rPr>
        <w:t>H</w:t>
      </w:r>
      <w:r>
        <w:rPr>
          <w:rFonts w:ascii="Times New Roman" w:hAnsi="Times New Roman" w:eastAsia="宋体" w:cs="Times New Roman"/>
          <w:kern w:val="0"/>
          <w:sz w:val="24"/>
          <w:szCs w:val="24"/>
          <w:vertAlign w:val="subscript"/>
          <w:lang w:val="zh-CN" w:eastAsia="zh-CN" w:bidi="zh-CN"/>
        </w:rPr>
        <w:t>2</w:t>
      </w:r>
      <w:r>
        <w:rPr>
          <w:rFonts w:ascii="Times New Roman" w:hAnsi="Times New Roman" w:eastAsia="宋体" w:cs="Times New Roman"/>
          <w:kern w:val="0"/>
          <w:sz w:val="24"/>
          <w:szCs w:val="24"/>
          <w:lang w:val="zh-CN" w:eastAsia="zh-CN" w:bidi="zh-CN"/>
        </w:rPr>
        <w:t>S、NH</w:t>
      </w:r>
      <w:r>
        <w:rPr>
          <w:rFonts w:ascii="Times New Roman" w:hAnsi="Times New Roman" w:eastAsia="宋体" w:cs="Times New Roman"/>
          <w:kern w:val="0"/>
          <w:sz w:val="24"/>
          <w:szCs w:val="24"/>
          <w:vertAlign w:val="subscript"/>
          <w:lang w:val="zh-CN" w:eastAsia="zh-CN" w:bidi="zh-CN"/>
        </w:rPr>
        <w:t>3</w:t>
      </w:r>
      <w:r>
        <w:rPr>
          <w:rFonts w:hint="eastAsia" w:ascii="Times New Roman" w:hAnsi="Times New Roman" w:eastAsia="宋体" w:cs="Times New Roman"/>
          <w:kern w:val="0"/>
          <w:sz w:val="24"/>
          <w:szCs w:val="24"/>
          <w:lang w:val="zh-CN" w:eastAsia="zh-CN" w:bidi="zh-CN"/>
        </w:rPr>
        <w:t>均满足</w:t>
      </w:r>
      <w:r>
        <w:rPr>
          <w:rFonts w:ascii="Times New Roman" w:hAnsi="Times New Roman" w:eastAsia="宋体" w:cs="Times New Roman"/>
          <w:kern w:val="0"/>
          <w:sz w:val="24"/>
          <w:szCs w:val="24"/>
          <w:lang w:val="zh-CN" w:eastAsia="zh-CN" w:bidi="zh-CN"/>
        </w:rPr>
        <w:t>《环境影响评价技术导则大气环境》（HJ 2.2-2018）附录D中标准限值。综上，评价区域环境空气符合评价标准要求。</w:t>
      </w:r>
      <w:r>
        <w:rPr>
          <w:rFonts w:hint="eastAsia" w:ascii="Times New Roman" w:hAnsi="Times New Roman" w:eastAsia="宋体" w:cs="Times New Roman"/>
          <w:kern w:val="0"/>
          <w:sz w:val="24"/>
          <w:szCs w:val="24"/>
          <w:lang w:val="zh-CN" w:eastAsia="zh-CN" w:bidi="zh-CN"/>
        </w:rPr>
        <w:t>臭气浓度未检出，作为背景值。</w:t>
      </w:r>
    </w:p>
    <w:p>
      <w:pPr>
        <w:autoSpaceDE/>
        <w:autoSpaceDN/>
        <w:adjustRightInd w:val="0"/>
        <w:snapToGrid w:val="0"/>
        <w:spacing w:line="360" w:lineRule="auto"/>
        <w:jc w:val="both"/>
        <w:outlineLvl w:val="2"/>
        <w:rPr>
          <w:rFonts w:ascii="Times New Roman" w:hAnsi="Times New Roman" w:cs="Times New Roman"/>
          <w:b/>
          <w:sz w:val="28"/>
          <w:szCs w:val="24"/>
        </w:rPr>
      </w:pPr>
      <w:bookmarkStart w:id="250" w:name="_Toc69284606"/>
      <w:bookmarkStart w:id="251" w:name="_Toc25374"/>
      <w:bookmarkStart w:id="252" w:name="_Toc82593154"/>
      <w:bookmarkStart w:id="253" w:name="_Toc66206080"/>
      <w:r>
        <w:rPr>
          <w:rFonts w:ascii="Times New Roman" w:hAnsi="Times New Roman" w:cs="Times New Roman"/>
          <w:b/>
          <w:sz w:val="28"/>
          <w:szCs w:val="24"/>
        </w:rPr>
        <w:t>4.</w:t>
      </w:r>
      <w:r>
        <w:rPr>
          <w:rFonts w:hint="eastAsia" w:ascii="Times New Roman" w:hAnsi="Times New Roman" w:cs="Times New Roman"/>
          <w:b/>
          <w:sz w:val="28"/>
          <w:szCs w:val="24"/>
          <w:lang w:val="en-US" w:eastAsia="zh-CN"/>
        </w:rPr>
        <w:t>4</w:t>
      </w:r>
      <w:r>
        <w:rPr>
          <w:rFonts w:ascii="Times New Roman" w:hAnsi="Times New Roman" w:cs="Times New Roman"/>
          <w:b/>
          <w:sz w:val="28"/>
          <w:szCs w:val="24"/>
        </w:rPr>
        <w:t>.2地表水环境质量现状调查与评价</w:t>
      </w:r>
      <w:bookmarkEnd w:id="250"/>
      <w:bookmarkEnd w:id="251"/>
      <w:bookmarkEnd w:id="252"/>
      <w:bookmarkEnd w:id="253"/>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为了解评价区域内水质质量，本环评</w:t>
      </w:r>
      <w:r>
        <w:rPr>
          <w:rFonts w:hint="eastAsia" w:ascii="Times New Roman" w:hAnsi="Times New Roman" w:cs="Times New Roman"/>
        </w:rPr>
        <w:t>委托湖南中鑫检测技术有限公司于2024年6月4-</w:t>
      </w:r>
      <w:r>
        <w:rPr>
          <w:rFonts w:hint="eastAsia" w:ascii="Times New Roman" w:hAnsi="Times New Roman" w:cs="Times New Roman"/>
          <w:lang w:val="en-US" w:eastAsia="zh-CN"/>
        </w:rPr>
        <w:t>6</w:t>
      </w:r>
      <w:r>
        <w:rPr>
          <w:rFonts w:hint="eastAsia" w:ascii="Times New Roman" w:hAnsi="Times New Roman" w:cs="Times New Roman"/>
        </w:rPr>
        <w:t>日对项目区域</w:t>
      </w:r>
      <w:r>
        <w:rPr>
          <w:rFonts w:hint="eastAsia" w:ascii="Times New Roman" w:hAnsi="Times New Roman" w:cs="Times New Roman"/>
          <w:lang w:eastAsia="zh-CN"/>
        </w:rPr>
        <w:t>地表水</w:t>
      </w:r>
      <w:r>
        <w:rPr>
          <w:rFonts w:hint="eastAsia" w:ascii="Times New Roman" w:hAnsi="Times New Roman" w:cs="Times New Roman"/>
        </w:rPr>
        <w:t>进行了监测</w:t>
      </w:r>
      <w:r>
        <w:rPr>
          <w:rFonts w:ascii="Times New Roman" w:hAnsi="Times New Roman" w:cs="Times New Roman"/>
        </w:rPr>
        <w:t>。监测结果如下表。</w:t>
      </w:r>
    </w:p>
    <w:p>
      <w:pPr>
        <w:pStyle w:val="87"/>
        <w:adjustRightInd w:val="0"/>
        <w:snapToGrid w:val="0"/>
        <w:spacing w:after="0" w:line="360" w:lineRule="auto"/>
        <w:ind w:firstLine="422" w:firstLineChars="200"/>
        <w:jc w:val="center"/>
        <w:rPr>
          <w:rFonts w:hint="default" w:ascii="Times New Roman" w:hAnsi="Times New Roman" w:eastAsia="宋体" w:cs="Times New Roman"/>
          <w:b/>
          <w:bCs/>
          <w:color w:val="auto"/>
          <w:u w:val="none" w:color="auto"/>
          <w:lang w:val="en-US" w:eastAsia="zh-CN"/>
        </w:rPr>
      </w:pPr>
      <w:r>
        <w:rPr>
          <w:rFonts w:hint="default" w:ascii="Times New Roman" w:hAnsi="Times New Roman" w:eastAsia="宋体" w:cs="Times New Roman"/>
          <w:b/>
          <w:bCs/>
          <w:color w:val="auto"/>
          <w:u w:val="none" w:color="auto"/>
          <w:lang w:val="en-US" w:eastAsia="zh-CN"/>
        </w:rPr>
        <w:t>表</w:t>
      </w:r>
      <w:r>
        <w:rPr>
          <w:rFonts w:ascii="Times New Roman" w:hAnsi="Times New Roman" w:eastAsia="宋体" w:cs="Times New Roman"/>
          <w:b/>
          <w:bCs/>
          <w:color w:val="auto"/>
          <w:u w:val="none" w:color="auto"/>
        </w:rPr>
        <w:t>4</w:t>
      </w:r>
      <w:r>
        <w:rPr>
          <w:rFonts w:hint="eastAsia" w:ascii="Times New Roman" w:hAnsi="Times New Roman" w:eastAsia="宋体" w:cs="Times New Roman"/>
          <w:b/>
          <w:bCs/>
          <w:color w:val="auto"/>
          <w:u w:val="none" w:color="auto"/>
          <w:lang w:val="en-US" w:eastAsia="zh-CN"/>
        </w:rPr>
        <w:t>.4</w:t>
      </w:r>
      <w:r>
        <w:rPr>
          <w:rFonts w:ascii="Times New Roman" w:hAnsi="Times New Roman" w:eastAsia="宋体" w:cs="Times New Roman"/>
          <w:b/>
          <w:bCs/>
          <w:color w:val="auto"/>
          <w:u w:val="none" w:color="auto"/>
        </w:rPr>
        <w:t>-</w:t>
      </w:r>
      <w:r>
        <w:rPr>
          <w:rFonts w:hint="eastAsia" w:ascii="Times New Roman" w:hAnsi="Times New Roman" w:cs="Times New Roman"/>
          <w:b/>
          <w:bCs/>
          <w:color w:val="auto"/>
          <w:u w:val="none" w:color="auto"/>
          <w:lang w:val="en-US" w:eastAsia="zh-CN"/>
        </w:rPr>
        <w:t>6</w:t>
      </w:r>
      <w:r>
        <w:rPr>
          <w:rFonts w:hint="default" w:ascii="Times New Roman" w:hAnsi="Times New Roman" w:eastAsia="宋体" w:cs="Times New Roman"/>
          <w:b/>
          <w:bCs/>
          <w:color w:val="auto"/>
          <w:u w:val="none" w:color="auto"/>
          <w:lang w:val="en-US" w:eastAsia="zh-CN"/>
        </w:rPr>
        <w:t xml:space="preserve"> 地表水检测结果</w:t>
      </w:r>
      <w:r>
        <w:rPr>
          <w:rFonts w:hint="eastAsia" w:ascii="Times New Roman" w:hAnsi="Times New Roman" w:eastAsia="宋体" w:cs="Times New Roman"/>
          <w:b/>
          <w:bCs/>
          <w:color w:val="auto"/>
          <w:u w:val="none" w:color="auto"/>
          <w:lang w:val="en-US" w:eastAsia="zh-CN"/>
        </w:rPr>
        <w:t>表</w:t>
      </w:r>
      <w:r>
        <w:rPr>
          <w:rFonts w:hint="default" w:ascii="Times New Roman" w:hAnsi="Times New Roman" w:eastAsia="宋体" w:cs="Times New Roman"/>
          <w:b/>
          <w:bCs/>
          <w:color w:val="auto"/>
          <w:u w:val="none" w:color="auto"/>
          <w:lang w:val="en-US" w:eastAsia="zh-CN"/>
        </w:rPr>
        <w:t>（总氮不参评）</w:t>
      </w:r>
    </w:p>
    <w:tbl>
      <w:tblPr>
        <w:tblStyle w:val="89"/>
        <w:tblW w:w="914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679"/>
        <w:gridCol w:w="2264"/>
        <w:gridCol w:w="1110"/>
        <w:gridCol w:w="1110"/>
        <w:gridCol w:w="1110"/>
        <w:gridCol w:w="978"/>
        <w:gridCol w:w="1020"/>
        <w:gridCol w:w="8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outlineLvl w:val="9"/>
              <w:rPr>
                <w:rFonts w:hint="default" w:ascii="Times New Roman" w:hAnsi="Times New Roman" w:eastAsia="宋体" w:cs="Times New Roman"/>
                <w:b/>
                <w:bCs/>
                <w:snapToGrid w:val="0"/>
                <w:color w:val="auto"/>
                <w:kern w:val="2"/>
                <w:sz w:val="21"/>
                <w:szCs w:val="21"/>
                <w:highlight w:val="none"/>
              </w:rPr>
            </w:pPr>
            <w:r>
              <w:rPr>
                <w:rFonts w:hint="default" w:ascii="Times New Roman" w:hAnsi="Times New Roman" w:eastAsia="宋体" w:cs="Times New Roman"/>
                <w:b/>
                <w:bCs/>
                <w:snapToGrid w:val="0"/>
                <w:color w:val="auto"/>
                <w:kern w:val="2"/>
                <w:sz w:val="21"/>
                <w:szCs w:val="21"/>
                <w:highlight w:val="none"/>
              </w:rPr>
              <w:t>采样</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outlineLvl w:val="9"/>
              <w:rPr>
                <w:rFonts w:hint="default"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snapToGrid w:val="0"/>
                <w:color w:val="auto"/>
                <w:kern w:val="2"/>
                <w:sz w:val="21"/>
                <w:szCs w:val="21"/>
                <w:highlight w:val="none"/>
              </w:rPr>
              <w:t>日期</w:t>
            </w:r>
          </w:p>
        </w:tc>
        <w:tc>
          <w:tcPr>
            <w:tcW w:w="2264"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cs="Times New Roman"/>
                <w:b/>
                <w:bCs/>
                <w:snapToGrid w:val="0"/>
                <w:color w:val="000000" w:themeColor="text1"/>
                <w:kern w:val="2"/>
                <w:sz w:val="21"/>
                <w:szCs w:val="21"/>
                <w:lang w:val="en-US" w:eastAsia="zh-CN"/>
                <w14:textFill>
                  <w14:solidFill>
                    <w14:schemeClr w14:val="tx1"/>
                  </w14:solidFill>
                </w14:textFill>
              </w:rPr>
              <w:t>检测项目</w:t>
            </w:r>
          </w:p>
        </w:tc>
        <w:tc>
          <w:tcPr>
            <w:tcW w:w="5328" w:type="dxa"/>
            <w:gridSpan w:val="5"/>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1"/>
                <w:szCs w:val="21"/>
                <w:u w:val="none"/>
                <w:lang w:val="en-US" w:eastAsia="zh-CN" w:bidi="ar"/>
              </w:rPr>
            </w:pPr>
            <w:r>
              <w:rPr>
                <w:rFonts w:hint="default" w:ascii="Times New Roman" w:hAnsi="Times New Roman" w:eastAsia="宋体" w:cs="Times New Roman"/>
                <w:b/>
                <w:bCs/>
                <w:snapToGrid w:val="0"/>
                <w:color w:val="auto"/>
                <w:kern w:val="2"/>
                <w:sz w:val="21"/>
                <w:szCs w:val="21"/>
              </w:rPr>
              <w:t>采样日期</w:t>
            </w:r>
            <w:r>
              <w:rPr>
                <w:rFonts w:hint="eastAsia" w:ascii="Times New Roman" w:hAnsi="Times New Roman" w:cs="Times New Roman"/>
                <w:b/>
                <w:bCs/>
                <w:i w:val="0"/>
                <w:color w:val="000000"/>
                <w:kern w:val="0"/>
                <w:sz w:val="21"/>
                <w:szCs w:val="21"/>
                <w:u w:val="none"/>
                <w:lang w:val="en-US" w:eastAsia="zh-CN" w:bidi="ar"/>
              </w:rPr>
              <w:t>/</w:t>
            </w:r>
            <w:r>
              <w:rPr>
                <w:rFonts w:hint="default" w:ascii="Times New Roman" w:hAnsi="Times New Roman" w:eastAsia="宋体" w:cs="Times New Roman"/>
                <w:b/>
                <w:bCs/>
                <w:i w:val="0"/>
                <w:color w:val="000000"/>
                <w:kern w:val="0"/>
                <w:sz w:val="21"/>
                <w:szCs w:val="21"/>
                <w:u w:val="none"/>
                <w:lang w:val="en-US" w:eastAsia="zh-CN" w:bidi="ar"/>
              </w:rPr>
              <w:t>检测结果</w:t>
            </w:r>
          </w:p>
        </w:tc>
        <w:tc>
          <w:tcPr>
            <w:tcW w:w="870"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1"/>
                <w:szCs w:val="21"/>
                <w:u w:val="none"/>
                <w:lang w:val="en-US" w:eastAsia="zh-CN" w:bidi="ar"/>
              </w:rPr>
            </w:pPr>
            <w:r>
              <w:rPr>
                <w:rFonts w:hint="eastAsia" w:ascii="Times New Roman" w:hAnsi="Times New Roman" w:cs="Times New Roman"/>
                <w:b/>
                <w:bCs/>
                <w:i w:val="0"/>
                <w:color w:val="000000"/>
                <w:kern w:val="0"/>
                <w:sz w:val="21"/>
                <w:szCs w:val="21"/>
                <w:u w:val="none"/>
                <w:lang w:val="en-US" w:eastAsia="zh-CN" w:bidi="ar"/>
              </w:rPr>
              <w:t>参考限值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snapToGrid w:val="0"/>
                <w:color w:val="000000" w:themeColor="text1"/>
                <w:kern w:val="2"/>
                <w:sz w:val="21"/>
                <w:szCs w:val="21"/>
                <w:lang w:val="en-US" w:eastAsia="zh-CN"/>
                <w14:textFill>
                  <w14:solidFill>
                    <w14:schemeClr w14:val="tx1"/>
                  </w14:solidFill>
                </w14:textFill>
              </w:rPr>
            </w:pPr>
          </w:p>
        </w:tc>
        <w:tc>
          <w:tcPr>
            <w:tcW w:w="2264"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snapToGrid w:val="0"/>
                <w:color w:val="000000" w:themeColor="text1"/>
                <w:kern w:val="2"/>
                <w:sz w:val="21"/>
                <w:szCs w:val="21"/>
                <w:lang w:val="en-US" w:eastAsia="zh-CN"/>
                <w14:textFill>
                  <w14:solidFill>
                    <w14:schemeClr w14:val="tx1"/>
                  </w14:solidFill>
                </w14:textFill>
              </w:rPr>
            </w:pPr>
          </w:p>
        </w:tc>
        <w:tc>
          <w:tcPr>
            <w:tcW w:w="111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t>W1东风水闸</w:t>
            </w:r>
          </w:p>
        </w:tc>
        <w:tc>
          <w:tcPr>
            <w:tcW w:w="111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t>W2莲花寺河汇入处</w:t>
            </w:r>
          </w:p>
        </w:tc>
        <w:tc>
          <w:tcPr>
            <w:tcW w:w="111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t>W3蒋家桥镇集镇处</w:t>
            </w:r>
          </w:p>
        </w:tc>
        <w:tc>
          <w:tcPr>
            <w:tcW w:w="97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t>W4铜</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t>锣村</w:t>
            </w:r>
          </w:p>
        </w:tc>
        <w:tc>
          <w:tcPr>
            <w:tcW w:w="102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t>W5袁家屋场</w:t>
            </w:r>
          </w:p>
        </w:tc>
        <w:tc>
          <w:tcPr>
            <w:tcW w:w="870"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06</w:t>
            </w:r>
          </w:p>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月</w:t>
            </w:r>
          </w:p>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w:t>
            </w:r>
          </w:p>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sz w:val="21"/>
                <w:szCs w:val="21"/>
                <w:highlight w:val="none"/>
                <w:lang w:val="en-US" w:eastAsia="zh-CN"/>
              </w:rPr>
              <w:t>日</w:t>
            </w: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sz w:val="21"/>
                <w:szCs w:val="21"/>
                <w:lang w:val="en-US" w:eastAsia="zh-CN"/>
              </w:rPr>
              <w:t>水温（</w:t>
            </w:r>
            <w:r>
              <w:rPr>
                <w:rFonts w:hint="eastAsia" w:ascii="宋体" w:hAnsi="宋体" w:eastAsia="宋体" w:cs="宋体"/>
                <w:color w:val="auto"/>
                <w:sz w:val="21"/>
                <w:szCs w:val="21"/>
                <w:lang w:val="en-US" w:eastAsia="zh-CN"/>
              </w:rPr>
              <w:t>℃</w:t>
            </w:r>
            <w:r>
              <w:rPr>
                <w:rFonts w:hint="eastAsia" w:ascii="Times New Roman" w:hAnsi="Times New Roman" w:eastAsia="宋体" w:cs="Times New Roman"/>
                <w:color w:val="auto"/>
                <w:sz w:val="21"/>
                <w:szCs w:val="21"/>
                <w:lang w:val="en-US" w:eastAsia="zh-CN"/>
              </w:rPr>
              <w:t>）</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18.9</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18.7</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19.0</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19.1</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18.8</w:t>
            </w:r>
          </w:p>
        </w:tc>
        <w:tc>
          <w:tcPr>
            <w:tcW w:w="87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pH值</w:t>
            </w:r>
            <w:r>
              <w:rPr>
                <w:rFonts w:hint="eastAsia" w:ascii="Times New Roman" w:hAnsi="Times New Roman" w:eastAsia="宋体" w:cs="Times New Roman"/>
                <w:color w:val="auto"/>
                <w:sz w:val="21"/>
                <w:szCs w:val="21"/>
                <w:lang w:val="en-US" w:eastAsia="zh-CN"/>
              </w:rPr>
              <w:t>（无量纲）</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7.3</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7.2</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7.2</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7.3</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7.3</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sz w:val="21"/>
                <w:szCs w:val="21"/>
                <w:lang w:val="en-US" w:eastAsia="zh-CN"/>
              </w:rPr>
              <w:t>悬浮物（mg/L）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18</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11</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15</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17</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12</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sz w:val="21"/>
                <w:szCs w:val="21"/>
                <w:lang w:val="en-US" w:eastAsia="zh-CN"/>
              </w:rPr>
              <w:t>化学需氧量（mg/L）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15</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17</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15</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16</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17</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五日生化需氧量</w:t>
            </w:r>
            <w:r>
              <w:rPr>
                <w:rFonts w:hint="eastAsia" w:ascii="Times New Roman" w:hAnsi="Times New Roman" w:eastAsia="宋体" w:cs="Times New Roman"/>
                <w:color w:val="auto"/>
                <w:sz w:val="21"/>
                <w:szCs w:val="21"/>
                <w:lang w:val="en-US" w:eastAsia="zh-CN"/>
              </w:rPr>
              <w:t>（mg/L）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3.2</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3.5</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3.2</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3.4</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3.5</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氨氮</w:t>
            </w:r>
            <w:r>
              <w:rPr>
                <w:rFonts w:hint="eastAsia" w:ascii="Times New Roman" w:hAnsi="Times New Roman" w:eastAsia="宋体" w:cs="Times New Roman"/>
                <w:color w:val="auto"/>
                <w:sz w:val="21"/>
                <w:szCs w:val="21"/>
                <w:lang w:val="en-US" w:eastAsia="zh-CN"/>
              </w:rPr>
              <w:t>（mg/L）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2.71</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2.28</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2.03</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2.28</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2.75</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总磷</w:t>
            </w:r>
            <w:r>
              <w:rPr>
                <w:rFonts w:hint="eastAsia" w:ascii="Times New Roman" w:hAnsi="Times New Roman" w:eastAsia="宋体" w:cs="Times New Roman"/>
                <w:color w:val="auto"/>
                <w:sz w:val="21"/>
                <w:szCs w:val="21"/>
                <w:lang w:val="en-US" w:eastAsia="zh-CN"/>
              </w:rPr>
              <w:t>（mg/L）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0.03</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0.03</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0.03</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0.03</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0.03</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0.2</w:t>
            </w:r>
            <w:r>
              <w:rPr>
                <w:rFonts w:hint="eastAsia" w:ascii="Times New Roman" w:hAnsi="Times New Roman" w:eastAsia="宋体" w:cs="Times New Roman"/>
                <w:color w:val="auto"/>
                <w:sz w:val="21"/>
                <w:szCs w:val="21"/>
                <w:lang w:val="en-US" w:eastAsia="zh-CN"/>
              </w:rPr>
              <w:t>（湖、库</w:t>
            </w:r>
            <w:r>
              <w:rPr>
                <w:rFonts w:hint="default" w:ascii="Times New Roman" w:hAnsi="Times New Roman" w:eastAsia="宋体" w:cs="Times New Roman"/>
                <w:color w:val="auto"/>
                <w:sz w:val="21"/>
                <w:szCs w:val="21"/>
                <w:lang w:val="en-US" w:eastAsia="zh-CN"/>
              </w:rPr>
              <w:t>0.05</w:t>
            </w: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sz w:val="21"/>
                <w:szCs w:val="21"/>
                <w:lang w:val="en-US" w:eastAsia="zh-CN"/>
              </w:rPr>
              <w:t>粪大肠菌群（MPN/L）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110</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700</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170</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260</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330</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石油类</w:t>
            </w:r>
            <w:r>
              <w:rPr>
                <w:rFonts w:hint="eastAsia" w:ascii="Times New Roman" w:hAnsi="Times New Roman" w:cs="Times New Roman"/>
                <w:color w:val="auto"/>
                <w:sz w:val="21"/>
                <w:szCs w:val="21"/>
                <w:lang w:val="en-US" w:eastAsia="zh-CN"/>
              </w:rPr>
              <w:t>（mg/L）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0.01L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0.01L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0.01L</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0.01L</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0.01L</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color w:val="auto"/>
                <w:sz w:val="21"/>
                <w:szCs w:val="21"/>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sz w:val="21"/>
                <w:szCs w:val="21"/>
                <w:lang w:val="en-US" w:eastAsia="zh-CN"/>
              </w:rPr>
              <w:t>溶解氧（mg/L）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7.02</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7.19</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7.22</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7.19</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7.23</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06</w:t>
            </w:r>
          </w:p>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月</w:t>
            </w:r>
          </w:p>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w:t>
            </w:r>
          </w:p>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sz w:val="21"/>
                <w:szCs w:val="21"/>
                <w:highlight w:val="none"/>
                <w:lang w:val="en-US" w:eastAsia="zh-CN"/>
              </w:rPr>
              <w:t>日</w:t>
            </w: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sz w:val="21"/>
                <w:szCs w:val="21"/>
                <w:lang w:val="en-US" w:eastAsia="zh-CN"/>
              </w:rPr>
              <w:t>水温（</w:t>
            </w:r>
            <w:r>
              <w:rPr>
                <w:rFonts w:hint="eastAsia" w:ascii="宋体" w:hAnsi="宋体" w:eastAsia="宋体" w:cs="宋体"/>
                <w:color w:val="auto"/>
                <w:sz w:val="21"/>
                <w:szCs w:val="21"/>
                <w:lang w:val="en-US" w:eastAsia="zh-CN"/>
              </w:rPr>
              <w:t>℃</w:t>
            </w:r>
            <w:r>
              <w:rPr>
                <w:rFonts w:hint="eastAsia" w:ascii="Times New Roman" w:hAnsi="Times New Roman" w:eastAsia="宋体" w:cs="Times New Roman"/>
                <w:color w:val="auto"/>
                <w:sz w:val="21"/>
                <w:szCs w:val="21"/>
                <w:lang w:val="en-US" w:eastAsia="zh-CN"/>
              </w:rPr>
              <w:t>）</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20.3</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20.1</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20.5</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20.0</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20.7</w:t>
            </w:r>
          </w:p>
        </w:tc>
        <w:tc>
          <w:tcPr>
            <w:tcW w:w="87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pH值</w:t>
            </w:r>
            <w:r>
              <w:rPr>
                <w:rFonts w:hint="eastAsia" w:ascii="Times New Roman" w:hAnsi="Times New Roman" w:eastAsia="宋体" w:cs="Times New Roman"/>
                <w:color w:val="auto"/>
                <w:sz w:val="21"/>
                <w:szCs w:val="21"/>
                <w:lang w:val="en-US" w:eastAsia="zh-CN"/>
              </w:rPr>
              <w:t>（无量纲）</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7.3</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7.3</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7.2</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7.2</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7.3</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sz w:val="21"/>
                <w:szCs w:val="21"/>
                <w:lang w:val="en-US" w:eastAsia="zh-CN"/>
              </w:rPr>
              <w:t>悬浮物（mg/L）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19</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10</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14</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16</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11</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sz w:val="21"/>
                <w:szCs w:val="21"/>
                <w:lang w:val="en-US" w:eastAsia="zh-CN"/>
              </w:rPr>
              <w:t>化学需氧量（mg/L）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14</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16</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13</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15</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16</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五日生化需氧量</w:t>
            </w:r>
            <w:r>
              <w:rPr>
                <w:rFonts w:hint="eastAsia" w:ascii="Times New Roman" w:hAnsi="Times New Roman" w:eastAsia="宋体" w:cs="Times New Roman"/>
                <w:color w:val="auto"/>
                <w:sz w:val="21"/>
                <w:szCs w:val="21"/>
                <w:lang w:val="en-US" w:eastAsia="zh-CN"/>
              </w:rPr>
              <w:t>（mg/L）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3.1</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3.6</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3.1</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3.3</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3.5</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氨氮</w:t>
            </w:r>
            <w:r>
              <w:rPr>
                <w:rFonts w:hint="eastAsia" w:ascii="Times New Roman" w:hAnsi="Times New Roman" w:eastAsia="宋体" w:cs="Times New Roman"/>
                <w:color w:val="auto"/>
                <w:sz w:val="21"/>
                <w:szCs w:val="21"/>
                <w:lang w:val="en-US" w:eastAsia="zh-CN"/>
              </w:rPr>
              <w:t>（mg/L）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2.74</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2.37</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2.15</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2.39</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2.85</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总磷</w:t>
            </w:r>
            <w:r>
              <w:rPr>
                <w:rFonts w:hint="eastAsia" w:ascii="Times New Roman" w:hAnsi="Times New Roman" w:eastAsia="宋体" w:cs="Times New Roman"/>
                <w:color w:val="auto"/>
                <w:sz w:val="21"/>
                <w:szCs w:val="21"/>
                <w:lang w:val="en-US" w:eastAsia="zh-CN"/>
              </w:rPr>
              <w:t>（mg/L）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0.03</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0.03</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0.02</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0.02</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0.03</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0.2</w:t>
            </w:r>
            <w:r>
              <w:rPr>
                <w:rFonts w:hint="eastAsia" w:ascii="Times New Roman" w:hAnsi="Times New Roman" w:eastAsia="宋体" w:cs="Times New Roman"/>
                <w:color w:val="auto"/>
                <w:sz w:val="21"/>
                <w:szCs w:val="21"/>
                <w:lang w:val="en-US" w:eastAsia="zh-CN"/>
              </w:rPr>
              <w:t>（湖、库</w:t>
            </w:r>
            <w:r>
              <w:rPr>
                <w:rFonts w:hint="default" w:ascii="Times New Roman" w:hAnsi="Times New Roman" w:eastAsia="宋体" w:cs="Times New Roman"/>
                <w:color w:val="auto"/>
                <w:sz w:val="21"/>
                <w:szCs w:val="21"/>
                <w:lang w:val="en-US" w:eastAsia="zh-CN"/>
              </w:rPr>
              <w:t>0.05</w:t>
            </w: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sz w:val="21"/>
                <w:szCs w:val="21"/>
                <w:lang w:val="en-US" w:eastAsia="zh-CN"/>
              </w:rPr>
              <w:t>粪大肠菌群（MPN/L）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140</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700</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220</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270</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330</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石油类</w:t>
            </w:r>
            <w:r>
              <w:rPr>
                <w:rFonts w:hint="eastAsia" w:ascii="Times New Roman" w:hAnsi="Times New Roman" w:cs="Times New Roman"/>
                <w:color w:val="auto"/>
                <w:sz w:val="21"/>
                <w:szCs w:val="21"/>
                <w:lang w:val="en-US" w:eastAsia="zh-CN"/>
              </w:rPr>
              <w:t>（mg/L）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0.01L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0.01L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0.01L</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0.01L</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0.01L</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color w:val="auto"/>
                <w:sz w:val="21"/>
                <w:szCs w:val="21"/>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sz w:val="21"/>
                <w:szCs w:val="21"/>
                <w:lang w:val="en-US" w:eastAsia="zh-CN"/>
              </w:rPr>
              <w:t>溶解氧（mg/L）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7.11</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7.20</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7.17</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7.30</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7.25</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06</w:t>
            </w:r>
          </w:p>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月</w:t>
            </w:r>
          </w:p>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06</w:t>
            </w:r>
          </w:p>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sz w:val="21"/>
                <w:szCs w:val="21"/>
                <w:highlight w:val="none"/>
                <w:lang w:val="en-US" w:eastAsia="zh-CN"/>
              </w:rPr>
              <w:t>日</w:t>
            </w: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sz w:val="21"/>
                <w:szCs w:val="21"/>
                <w:lang w:val="en-US" w:eastAsia="zh-CN"/>
              </w:rPr>
              <w:t>水温（</w:t>
            </w:r>
            <w:r>
              <w:rPr>
                <w:rFonts w:hint="eastAsia" w:ascii="宋体" w:hAnsi="宋体" w:eastAsia="宋体" w:cs="宋体"/>
                <w:color w:val="auto"/>
                <w:sz w:val="21"/>
                <w:szCs w:val="21"/>
                <w:lang w:val="en-US" w:eastAsia="zh-CN"/>
              </w:rPr>
              <w:t>℃</w:t>
            </w:r>
            <w:r>
              <w:rPr>
                <w:rFonts w:hint="eastAsia" w:ascii="Times New Roman" w:hAnsi="Times New Roman" w:eastAsia="宋体" w:cs="Times New Roman"/>
                <w:color w:val="auto"/>
                <w:sz w:val="21"/>
                <w:szCs w:val="21"/>
                <w:lang w:val="en-US" w:eastAsia="zh-CN"/>
              </w:rPr>
              <w:t>）</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19.0</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19.3</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19.6</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19.9</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19.7</w:t>
            </w:r>
          </w:p>
        </w:tc>
        <w:tc>
          <w:tcPr>
            <w:tcW w:w="87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pH值</w:t>
            </w:r>
            <w:r>
              <w:rPr>
                <w:rFonts w:hint="eastAsia" w:ascii="Times New Roman" w:hAnsi="Times New Roman" w:eastAsia="宋体" w:cs="Times New Roman"/>
                <w:color w:val="auto"/>
                <w:sz w:val="21"/>
                <w:szCs w:val="21"/>
                <w:lang w:val="en-US" w:eastAsia="zh-CN"/>
              </w:rPr>
              <w:t>（无量纲）</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7.3</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7.2</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7.3</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7.2</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7.2</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sz w:val="21"/>
                <w:szCs w:val="21"/>
                <w:lang w:val="en-US" w:eastAsia="zh-CN"/>
              </w:rPr>
              <w:t>悬浮物（mg/L）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17</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12</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16</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18</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13</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sz w:val="21"/>
                <w:szCs w:val="21"/>
                <w:lang w:val="en-US" w:eastAsia="zh-CN"/>
              </w:rPr>
              <w:t>化学需氧量（mg/L）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16</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17</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16</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16</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16</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五日生化需氧量</w:t>
            </w:r>
            <w:r>
              <w:rPr>
                <w:rFonts w:hint="eastAsia" w:ascii="Times New Roman" w:hAnsi="Times New Roman" w:eastAsia="宋体" w:cs="Times New Roman"/>
                <w:color w:val="auto"/>
                <w:sz w:val="21"/>
                <w:szCs w:val="21"/>
                <w:lang w:val="en-US" w:eastAsia="zh-CN"/>
              </w:rPr>
              <w:t>（mg/L）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3.1</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3.5</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3.0</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3.2</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3.4</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氨氮</w:t>
            </w:r>
            <w:r>
              <w:rPr>
                <w:rFonts w:hint="eastAsia" w:ascii="Times New Roman" w:hAnsi="Times New Roman" w:eastAsia="宋体" w:cs="Times New Roman"/>
                <w:color w:val="auto"/>
                <w:sz w:val="21"/>
                <w:szCs w:val="21"/>
                <w:lang w:val="en-US" w:eastAsia="zh-CN"/>
              </w:rPr>
              <w:t>（mg/L）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2.60</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2.15</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2.03</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2.40</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2.70</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总磷</w:t>
            </w:r>
            <w:r>
              <w:rPr>
                <w:rFonts w:hint="eastAsia" w:ascii="Times New Roman" w:hAnsi="Times New Roman" w:eastAsia="宋体" w:cs="Times New Roman"/>
                <w:color w:val="auto"/>
                <w:sz w:val="21"/>
                <w:szCs w:val="21"/>
                <w:lang w:val="en-US" w:eastAsia="zh-CN"/>
              </w:rPr>
              <w:t>（mg/L）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0.03</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0.03</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0.03</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0.03</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0.03</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0.2</w:t>
            </w:r>
            <w:r>
              <w:rPr>
                <w:rFonts w:hint="eastAsia" w:ascii="Times New Roman" w:hAnsi="Times New Roman" w:eastAsia="宋体" w:cs="Times New Roman"/>
                <w:color w:val="auto"/>
                <w:sz w:val="21"/>
                <w:szCs w:val="21"/>
                <w:lang w:val="en-US" w:eastAsia="zh-CN"/>
              </w:rPr>
              <w:t>（湖、库</w:t>
            </w:r>
            <w:r>
              <w:rPr>
                <w:rFonts w:hint="default" w:ascii="Times New Roman" w:hAnsi="Times New Roman" w:eastAsia="宋体" w:cs="Times New Roman"/>
                <w:color w:val="auto"/>
                <w:sz w:val="21"/>
                <w:szCs w:val="21"/>
                <w:lang w:val="en-US" w:eastAsia="zh-CN"/>
              </w:rPr>
              <w:t>0.05</w:t>
            </w: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sz w:val="21"/>
                <w:szCs w:val="21"/>
                <w:lang w:val="en-US" w:eastAsia="zh-CN"/>
              </w:rPr>
              <w:t>粪大肠菌群（MPN/L）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110</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790</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170</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260</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330</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石油类</w:t>
            </w:r>
            <w:r>
              <w:rPr>
                <w:rFonts w:hint="eastAsia" w:ascii="Times New Roman" w:hAnsi="Times New Roman" w:cs="Times New Roman"/>
                <w:color w:val="auto"/>
                <w:sz w:val="21"/>
                <w:szCs w:val="21"/>
                <w:lang w:val="en-US" w:eastAsia="zh-CN"/>
              </w:rPr>
              <w:t>（mg/L）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0.01L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0.01L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0.01L</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0.01L</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0.01L</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color w:val="auto"/>
                <w:sz w:val="21"/>
                <w:szCs w:val="21"/>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p>
        </w:tc>
        <w:tc>
          <w:tcPr>
            <w:tcW w:w="226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sz w:val="21"/>
                <w:szCs w:val="21"/>
                <w:lang w:val="en-US" w:eastAsia="zh-CN"/>
              </w:rPr>
              <w:t>溶解氧（mg/L）</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7.10</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7.23</w:t>
            </w:r>
          </w:p>
        </w:tc>
        <w:tc>
          <w:tcPr>
            <w:tcW w:w="111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7.19</w:t>
            </w:r>
          </w:p>
        </w:tc>
        <w:tc>
          <w:tcPr>
            <w:tcW w:w="97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7.03</w:t>
            </w:r>
          </w:p>
        </w:tc>
        <w:tc>
          <w:tcPr>
            <w:tcW w:w="102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7.15</w:t>
            </w:r>
          </w:p>
        </w:tc>
        <w:tc>
          <w:tcPr>
            <w:tcW w:w="870"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6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备注</w:t>
            </w:r>
          </w:p>
        </w:tc>
        <w:tc>
          <w:tcPr>
            <w:tcW w:w="8462" w:type="dxa"/>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参考限值</w:t>
            </w:r>
            <w:r>
              <w:rPr>
                <w:rFonts w:hint="eastAsia" w:ascii="Times New Roman" w:hAnsi="Times New Roman" w:cs="Times New Roman"/>
                <w:kern w:val="2"/>
                <w:sz w:val="21"/>
                <w:szCs w:val="21"/>
                <w:lang w:val="en-US" w:eastAsia="zh-CN"/>
              </w:rPr>
              <w:t>来源</w:t>
            </w:r>
            <w:r>
              <w:rPr>
                <w:rFonts w:hint="eastAsia" w:ascii="Times New Roman" w:hAnsi="Times New Roman" w:eastAsia="宋体" w:cs="Times New Roman"/>
                <w:kern w:val="2"/>
                <w:sz w:val="21"/>
                <w:szCs w:val="21"/>
                <w:lang w:val="en-US" w:eastAsia="zh-CN"/>
              </w:rPr>
              <w:t>于《</w:t>
            </w:r>
            <w:r>
              <w:rPr>
                <w:rFonts w:hint="default" w:ascii="Times New Roman" w:hAnsi="Times New Roman" w:eastAsia="宋体" w:cs="Times New Roman"/>
                <w:kern w:val="2"/>
                <w:sz w:val="21"/>
                <w:szCs w:val="21"/>
                <w:lang w:val="en-US" w:eastAsia="zh-CN"/>
              </w:rPr>
              <w:t>地表水环境质量标准》GB3838-2002中</w:t>
            </w:r>
            <w:r>
              <w:rPr>
                <w:rFonts w:hint="eastAsia" w:ascii="宋体" w:hAnsi="宋体" w:eastAsia="宋体" w:cs="宋体"/>
                <w:kern w:val="2"/>
                <w:sz w:val="21"/>
                <w:szCs w:val="21"/>
                <w:lang w:val="en-US" w:eastAsia="zh-CN"/>
              </w:rPr>
              <w:t>Ⅲ</w:t>
            </w:r>
            <w:r>
              <w:rPr>
                <w:rFonts w:hint="default" w:ascii="Times New Roman" w:hAnsi="Times New Roman" w:eastAsia="宋体" w:cs="Times New Roman"/>
                <w:kern w:val="2"/>
                <w:sz w:val="21"/>
                <w:szCs w:val="21"/>
                <w:lang w:val="en-US" w:eastAsia="zh-CN"/>
              </w:rPr>
              <w:t>类标准限值</w:t>
            </w:r>
            <w:r>
              <w:rPr>
                <w:rFonts w:hint="eastAsia" w:ascii="Times New Roman" w:hAnsi="Times New Roman" w:cs="Times New Roman"/>
                <w:kern w:val="2"/>
                <w:sz w:val="21"/>
                <w:szCs w:val="21"/>
                <w:lang w:val="en-US" w:eastAsia="zh-CN"/>
              </w:rPr>
              <w:t>。</w:t>
            </w:r>
          </w:p>
        </w:tc>
      </w:tr>
    </w:tbl>
    <w:p>
      <w:pPr>
        <w:pStyle w:val="2979"/>
        <w:spacing w:line="360" w:lineRule="auto"/>
        <w:ind w:firstLine="480" w:firstLineChars="200"/>
        <w:outlineLvl w:val="9"/>
        <w:rPr>
          <w:rFonts w:hint="default" w:ascii="Times New Roman" w:hAnsi="Times New Roman" w:cs="Times New Roman"/>
          <w:b w:val="0"/>
          <w:bCs/>
          <w:color w:val="auto"/>
          <w:sz w:val="24"/>
          <w:szCs w:val="24"/>
          <w:highlight w:val="none"/>
          <w:vertAlign w:val="baseline"/>
          <w:lang w:val="en-US" w:eastAsia="zh-CN"/>
        </w:rPr>
      </w:pPr>
      <w:r>
        <w:rPr>
          <w:rFonts w:hint="eastAsia" w:ascii="Times New Roman" w:hAnsi="Times New Roman" w:cs="Times New Roman"/>
          <w:b w:val="0"/>
          <w:bCs/>
          <w:color w:val="auto"/>
          <w:sz w:val="24"/>
          <w:szCs w:val="24"/>
          <w:highlight w:val="none"/>
          <w:vertAlign w:val="baseline"/>
          <w:lang w:val="en-US" w:eastAsia="zh-CN"/>
        </w:rPr>
        <w:t>由上表分析可知，祁水各监测断面各监测因子浓度均能满足《地表水环境质量标准》（GB3838-2002）中的III类标准</w:t>
      </w:r>
      <w:r>
        <w:rPr>
          <w:rFonts w:hint="default" w:ascii="Times New Roman" w:hAnsi="Times New Roman" w:cs="Times New Roman"/>
          <w:b w:val="0"/>
          <w:bCs/>
          <w:color w:val="auto"/>
          <w:sz w:val="24"/>
          <w:szCs w:val="24"/>
          <w:highlight w:val="none"/>
          <w:vertAlign w:val="baseline"/>
          <w:lang w:val="en-US" w:eastAsia="zh-CN"/>
        </w:rPr>
        <w:t>。</w:t>
      </w:r>
    </w:p>
    <w:p>
      <w:pPr>
        <w:rPr>
          <w:rFonts w:hint="default" w:ascii="Times New Roman" w:hAnsi="Times New Roman" w:eastAsia="宋体" w:cs="Times New Roman"/>
          <w:color w:val="FF0000"/>
          <w:sz w:val="24"/>
          <w:szCs w:val="24"/>
          <w:highlight w:val="none"/>
          <w:lang w:val="en-US" w:eastAsia="zh-CN"/>
        </w:rPr>
      </w:pPr>
    </w:p>
    <w:p>
      <w:pPr>
        <w:autoSpaceDE/>
        <w:autoSpaceDN/>
        <w:adjustRightInd w:val="0"/>
        <w:snapToGrid w:val="0"/>
        <w:spacing w:line="360" w:lineRule="auto"/>
        <w:jc w:val="both"/>
        <w:outlineLvl w:val="2"/>
        <w:rPr>
          <w:rFonts w:ascii="Times New Roman" w:hAnsi="Times New Roman" w:cs="Times New Roman"/>
          <w:b/>
          <w:sz w:val="28"/>
          <w:szCs w:val="24"/>
        </w:rPr>
      </w:pPr>
      <w:bookmarkStart w:id="254" w:name="_Toc24651"/>
      <w:r>
        <w:rPr>
          <w:rFonts w:ascii="Times New Roman" w:hAnsi="Times New Roman" w:cs="Times New Roman"/>
          <w:b/>
          <w:sz w:val="28"/>
          <w:szCs w:val="24"/>
        </w:rPr>
        <w:t>4.</w:t>
      </w:r>
      <w:r>
        <w:rPr>
          <w:rFonts w:hint="eastAsia" w:ascii="Times New Roman" w:hAnsi="Times New Roman" w:cs="Times New Roman"/>
          <w:b/>
          <w:sz w:val="28"/>
          <w:szCs w:val="24"/>
          <w:lang w:val="en-US" w:eastAsia="zh-CN"/>
        </w:rPr>
        <w:t>4</w:t>
      </w:r>
      <w:r>
        <w:rPr>
          <w:rFonts w:ascii="Times New Roman" w:hAnsi="Times New Roman" w:cs="Times New Roman"/>
          <w:b/>
          <w:sz w:val="28"/>
          <w:szCs w:val="24"/>
        </w:rPr>
        <w:t>.</w:t>
      </w:r>
      <w:r>
        <w:rPr>
          <w:rFonts w:hint="eastAsia" w:ascii="Times New Roman" w:hAnsi="Times New Roman" w:cs="Times New Roman"/>
          <w:b/>
          <w:sz w:val="28"/>
          <w:szCs w:val="24"/>
          <w:lang w:val="en-US" w:eastAsia="zh-CN"/>
        </w:rPr>
        <w:t>3</w:t>
      </w:r>
      <w:r>
        <w:rPr>
          <w:rFonts w:hint="eastAsia" w:ascii="Times New Roman" w:hAnsi="Times New Roman" w:cs="Times New Roman"/>
          <w:b/>
          <w:sz w:val="28"/>
          <w:szCs w:val="24"/>
          <w:lang w:eastAsia="zh-CN"/>
        </w:rPr>
        <w:t>地下</w:t>
      </w:r>
      <w:r>
        <w:rPr>
          <w:rFonts w:ascii="Times New Roman" w:hAnsi="Times New Roman" w:cs="Times New Roman"/>
          <w:b/>
          <w:sz w:val="28"/>
          <w:szCs w:val="24"/>
        </w:rPr>
        <w:t>环境量现状调查与评价</w:t>
      </w:r>
      <w:bookmarkEnd w:id="254"/>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snapToGrid w:val="0"/>
        </w:rPr>
      </w:pPr>
      <w:r>
        <w:rPr>
          <w:rFonts w:hint="eastAsia" w:ascii="Times New Roman" w:hAnsi="Times New Roman" w:cs="Times New Roman"/>
          <w:snapToGrid w:val="0"/>
        </w:rPr>
        <w:t>为了解项目所在地地下水环境现状，本次评价委托</w:t>
      </w:r>
      <w:r>
        <w:rPr>
          <w:rFonts w:hint="eastAsia" w:ascii="Times New Roman" w:hAnsi="Times New Roman" w:cs="Times New Roman"/>
          <w:snapToGrid w:val="0"/>
          <w:lang w:eastAsia="zh-CN"/>
        </w:rPr>
        <w:t>湖南中鑫检测技术有限公司</w:t>
      </w:r>
      <w:r>
        <w:rPr>
          <w:rFonts w:hint="eastAsia" w:ascii="Times New Roman" w:hAnsi="Times New Roman" w:cs="Times New Roman"/>
          <w:snapToGrid w:val="0"/>
        </w:rPr>
        <w:t>202</w:t>
      </w:r>
      <w:r>
        <w:rPr>
          <w:rFonts w:hint="eastAsia" w:ascii="Times New Roman" w:hAnsi="Times New Roman" w:cs="Times New Roman"/>
          <w:snapToGrid w:val="0"/>
          <w:lang w:val="en-US" w:eastAsia="zh-CN"/>
        </w:rPr>
        <w:t>4</w:t>
      </w:r>
      <w:r>
        <w:rPr>
          <w:rFonts w:hint="eastAsia" w:ascii="Times New Roman" w:hAnsi="Times New Roman" w:cs="Times New Roman"/>
          <w:snapToGrid w:val="0"/>
        </w:rPr>
        <w:t>年</w:t>
      </w:r>
      <w:r>
        <w:rPr>
          <w:rFonts w:hint="eastAsia" w:ascii="Times New Roman" w:hAnsi="Times New Roman" w:cs="Times New Roman"/>
          <w:snapToGrid w:val="0"/>
          <w:lang w:val="en-US" w:eastAsia="zh-CN"/>
        </w:rPr>
        <w:t>6</w:t>
      </w:r>
      <w:r>
        <w:rPr>
          <w:rFonts w:hint="eastAsia" w:ascii="Times New Roman" w:hAnsi="Times New Roman" w:cs="Times New Roman"/>
          <w:snapToGrid w:val="0"/>
        </w:rPr>
        <w:t>月</w:t>
      </w:r>
      <w:r>
        <w:rPr>
          <w:rFonts w:hint="eastAsia" w:ascii="Times New Roman" w:hAnsi="Times New Roman" w:cs="Times New Roman"/>
          <w:snapToGrid w:val="0"/>
          <w:lang w:val="en-US" w:eastAsia="zh-CN"/>
        </w:rPr>
        <w:t>4</w:t>
      </w:r>
      <w:r>
        <w:rPr>
          <w:rFonts w:hint="eastAsia" w:ascii="Times New Roman" w:hAnsi="Times New Roman" w:cs="Times New Roman"/>
          <w:snapToGrid w:val="0"/>
        </w:rPr>
        <w:t>日对项目所在地周边地下水进行了监测，</w:t>
      </w:r>
      <w:r>
        <w:rPr>
          <w:rFonts w:hint="eastAsia" w:ascii="Times New Roman" w:hAnsi="Times New Roman" w:cs="Times New Roman"/>
          <w:snapToGrid w:val="0"/>
          <w:lang w:eastAsia="zh-CN"/>
        </w:rPr>
        <w:t>其中包括城连圩饮用水源水井，</w:t>
      </w:r>
      <w:r>
        <w:rPr>
          <w:rFonts w:hint="eastAsia" w:ascii="Times New Roman" w:hAnsi="Times New Roman" w:cs="Times New Roman"/>
          <w:snapToGrid w:val="0"/>
        </w:rPr>
        <w:t>其监测数据如下。</w:t>
      </w:r>
    </w:p>
    <w:p>
      <w:pPr>
        <w:tabs>
          <w:tab w:val="left" w:pos="2602"/>
        </w:tabs>
        <w:autoSpaceDE/>
        <w:autoSpaceDN/>
        <w:adjustRightInd w:val="0"/>
        <w:snapToGrid w:val="0"/>
        <w:spacing w:line="360" w:lineRule="auto"/>
        <w:jc w:val="center"/>
        <w:rPr>
          <w:rFonts w:hint="eastAsia" w:ascii="Times New Roman" w:hAnsi="Times New Roman" w:cs="Times New Roman"/>
          <w:snapToGrid w:val="0"/>
        </w:rPr>
      </w:pPr>
      <w:r>
        <w:rPr>
          <w:rFonts w:ascii="Times New Roman" w:hAnsi="Times New Roman" w:cs="Times New Roman"/>
          <w:b/>
          <w:snapToGrid w:val="0"/>
          <w:sz w:val="24"/>
          <w:szCs w:val="24"/>
        </w:rPr>
        <w:t>表4.</w:t>
      </w:r>
      <w:r>
        <w:rPr>
          <w:rFonts w:hint="eastAsia" w:ascii="Times New Roman" w:hAnsi="Times New Roman" w:cs="Times New Roman"/>
          <w:b/>
          <w:snapToGrid w:val="0"/>
          <w:sz w:val="24"/>
          <w:szCs w:val="24"/>
          <w:lang w:val="en-US" w:eastAsia="zh-CN"/>
        </w:rPr>
        <w:t>4</w:t>
      </w:r>
      <w:r>
        <w:rPr>
          <w:rFonts w:ascii="Times New Roman" w:hAnsi="Times New Roman" w:cs="Times New Roman"/>
          <w:b/>
          <w:snapToGrid w:val="0"/>
          <w:sz w:val="24"/>
          <w:szCs w:val="24"/>
        </w:rPr>
        <w:t>.</w:t>
      </w:r>
      <w:r>
        <w:rPr>
          <w:rFonts w:hint="eastAsia" w:ascii="Times New Roman" w:hAnsi="Times New Roman" w:cs="Times New Roman"/>
          <w:b/>
          <w:snapToGrid w:val="0"/>
          <w:sz w:val="24"/>
          <w:szCs w:val="24"/>
          <w:lang w:val="en-US" w:eastAsia="zh-CN"/>
        </w:rPr>
        <w:t>7</w:t>
      </w:r>
      <w:r>
        <w:rPr>
          <w:rFonts w:ascii="Times New Roman" w:hAnsi="Times New Roman" w:cs="Times New Roman"/>
          <w:b/>
          <w:snapToGrid w:val="0"/>
          <w:sz w:val="24"/>
          <w:szCs w:val="24"/>
        </w:rPr>
        <w:t xml:space="preserve">  项目</w:t>
      </w:r>
      <w:r>
        <w:rPr>
          <w:rFonts w:hint="eastAsia" w:ascii="Times New Roman" w:hAnsi="Times New Roman" w:cs="Times New Roman"/>
          <w:b/>
          <w:snapToGrid w:val="0"/>
          <w:sz w:val="24"/>
          <w:szCs w:val="24"/>
          <w:lang w:eastAsia="zh-CN"/>
        </w:rPr>
        <w:t>地下水</w:t>
      </w:r>
      <w:r>
        <w:rPr>
          <w:rFonts w:ascii="Times New Roman" w:hAnsi="Times New Roman" w:cs="Times New Roman"/>
          <w:b/>
          <w:snapToGrid w:val="0"/>
          <w:sz w:val="24"/>
          <w:szCs w:val="24"/>
        </w:rPr>
        <w:t>环境现状监测数据</w:t>
      </w:r>
    </w:p>
    <w:tbl>
      <w:tblPr>
        <w:tblStyle w:val="89"/>
        <w:tblW w:w="9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675"/>
        <w:gridCol w:w="1"/>
        <w:gridCol w:w="2279"/>
        <w:gridCol w:w="1"/>
        <w:gridCol w:w="1105"/>
        <w:gridCol w:w="2"/>
        <w:gridCol w:w="1104"/>
        <w:gridCol w:w="3"/>
        <w:gridCol w:w="1103"/>
        <w:gridCol w:w="4"/>
        <w:gridCol w:w="1102"/>
        <w:gridCol w:w="5"/>
        <w:gridCol w:w="1109"/>
        <w:gridCol w:w="1"/>
        <w:gridCol w:w="7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09" w:hRule="atLeast"/>
          <w:jc w:val="center"/>
        </w:trPr>
        <w:tc>
          <w:tcPr>
            <w:tcW w:w="67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outlineLvl w:val="9"/>
              <w:rPr>
                <w:rFonts w:hint="default" w:ascii="Times New Roman" w:hAnsi="Times New Roman" w:eastAsia="宋体" w:cs="Times New Roman"/>
                <w:b/>
                <w:bCs/>
                <w:snapToGrid w:val="0"/>
                <w:color w:val="auto"/>
                <w:kern w:val="2"/>
                <w:sz w:val="21"/>
                <w:szCs w:val="21"/>
              </w:rPr>
            </w:pPr>
            <w:r>
              <w:rPr>
                <w:rFonts w:hint="default" w:ascii="Times New Roman" w:hAnsi="Times New Roman" w:eastAsia="宋体" w:cs="Times New Roman"/>
                <w:b/>
                <w:bCs/>
                <w:snapToGrid w:val="0"/>
                <w:color w:val="auto"/>
                <w:kern w:val="2"/>
                <w:sz w:val="21"/>
                <w:szCs w:val="21"/>
              </w:rPr>
              <w:t>采样</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outlineLvl w:val="9"/>
              <w:rPr>
                <w:rFonts w:hint="default" w:ascii="Times New Roman" w:hAnsi="Times New Roman" w:eastAsia="宋体" w:cs="Times New Roman"/>
                <w:b/>
                <w:bCs/>
                <w:i w:val="0"/>
                <w:color w:val="000000"/>
                <w:kern w:val="0"/>
                <w:sz w:val="21"/>
                <w:szCs w:val="21"/>
                <w:u w:val="none"/>
                <w:lang w:val="en-US" w:eastAsia="zh-CN" w:bidi="ar"/>
              </w:rPr>
            </w:pPr>
            <w:r>
              <w:rPr>
                <w:rFonts w:hint="default" w:ascii="Times New Roman" w:hAnsi="Times New Roman" w:eastAsia="宋体" w:cs="Times New Roman"/>
                <w:b/>
                <w:bCs/>
                <w:snapToGrid w:val="0"/>
                <w:color w:val="auto"/>
                <w:kern w:val="2"/>
                <w:sz w:val="21"/>
                <w:szCs w:val="21"/>
              </w:rPr>
              <w:t>日期</w:t>
            </w:r>
          </w:p>
        </w:tc>
        <w:tc>
          <w:tcPr>
            <w:tcW w:w="2280" w:type="dxa"/>
            <w:gridSpan w:val="2"/>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pPr>
            <w:r>
              <w:rPr>
                <w:rFonts w:hint="eastAsia" w:ascii="Times New Roman" w:hAnsi="Times New Roman" w:cs="Times New Roman"/>
                <w:b/>
                <w:bCs/>
                <w:snapToGrid w:val="0"/>
                <w:color w:val="000000" w:themeColor="text1"/>
                <w:kern w:val="2"/>
                <w:sz w:val="21"/>
                <w:szCs w:val="21"/>
                <w:lang w:val="en-US" w:eastAsia="zh-CN"/>
                <w14:textFill>
                  <w14:solidFill>
                    <w14:schemeClr w14:val="tx1"/>
                  </w14:solidFill>
                </w14:textFill>
              </w:rPr>
              <w:t>检测项目</w:t>
            </w:r>
          </w:p>
        </w:tc>
        <w:tc>
          <w:tcPr>
            <w:tcW w:w="5539" w:type="dxa"/>
            <w:gridSpan w:val="11"/>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1"/>
                <w:szCs w:val="21"/>
                <w:u w:val="none"/>
                <w:lang w:val="en-US" w:eastAsia="zh-CN" w:bidi="ar"/>
              </w:rPr>
            </w:pPr>
            <w:r>
              <w:rPr>
                <w:rFonts w:hint="eastAsia" w:ascii="Times New Roman" w:hAnsi="Times New Roman" w:cs="Times New Roman"/>
                <w:b/>
                <w:bCs/>
                <w:i w:val="0"/>
                <w:color w:val="000000"/>
                <w:kern w:val="0"/>
                <w:sz w:val="21"/>
                <w:szCs w:val="21"/>
                <w:u w:val="none"/>
                <w:lang w:val="en-US" w:eastAsia="zh-CN" w:bidi="ar"/>
              </w:rPr>
              <w:t>检测点位/</w:t>
            </w:r>
            <w:r>
              <w:rPr>
                <w:rFonts w:hint="default" w:ascii="Times New Roman" w:hAnsi="Times New Roman" w:eastAsia="宋体" w:cs="Times New Roman"/>
                <w:b/>
                <w:bCs/>
                <w:i w:val="0"/>
                <w:color w:val="000000"/>
                <w:kern w:val="0"/>
                <w:sz w:val="21"/>
                <w:szCs w:val="21"/>
                <w:u w:val="none"/>
                <w:lang w:val="en-US" w:eastAsia="zh-CN" w:bidi="ar"/>
              </w:rPr>
              <w:t>检测结果</w:t>
            </w:r>
          </w:p>
        </w:tc>
        <w:tc>
          <w:tcPr>
            <w:tcW w:w="783"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i w:val="0"/>
                <w:color w:val="000000"/>
                <w:kern w:val="0"/>
                <w:sz w:val="21"/>
                <w:szCs w:val="21"/>
                <w:u w:val="none"/>
                <w:lang w:val="en-US" w:eastAsia="zh-CN" w:bidi="ar"/>
              </w:rPr>
            </w:pPr>
            <w:r>
              <w:rPr>
                <w:rFonts w:hint="eastAsia" w:ascii="Times New Roman" w:hAnsi="Times New Roman" w:cs="Times New Roman"/>
                <w:b/>
                <w:bCs/>
                <w:i w:val="0"/>
                <w:color w:val="000000"/>
                <w:kern w:val="0"/>
                <w:sz w:val="21"/>
                <w:szCs w:val="21"/>
                <w:u w:val="none"/>
                <w:lang w:val="en-US" w:eastAsia="zh-CN" w:bidi="ar"/>
              </w:rPr>
              <w:t>参考</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1"/>
                <w:szCs w:val="21"/>
                <w:u w:val="none"/>
                <w:lang w:val="en-US" w:eastAsia="zh-CN" w:bidi="ar"/>
              </w:rPr>
            </w:pPr>
            <w:r>
              <w:rPr>
                <w:rFonts w:hint="eastAsia" w:ascii="Times New Roman" w:hAnsi="Times New Roman" w:cs="Times New Roman"/>
                <w:b/>
                <w:bCs/>
                <w:i w:val="0"/>
                <w:color w:val="000000"/>
                <w:kern w:val="0"/>
                <w:sz w:val="21"/>
                <w:szCs w:val="21"/>
                <w:u w:val="none"/>
                <w:lang w:val="en-US" w:eastAsia="zh-CN" w:bidi="ar"/>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1074" w:hRule="atLeast"/>
          <w:jc w:val="center"/>
        </w:trPr>
        <w:tc>
          <w:tcPr>
            <w:tcW w:w="67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outlineLvl w:val="9"/>
              <w:rPr>
                <w:rFonts w:hint="default" w:ascii="Times New Roman" w:hAnsi="Times New Roman" w:eastAsia="宋体" w:cs="Times New Roman"/>
                <w:b/>
                <w:bCs/>
                <w:i w:val="0"/>
                <w:color w:val="000000"/>
                <w:kern w:val="0"/>
                <w:sz w:val="21"/>
                <w:szCs w:val="21"/>
                <w:u w:val="none"/>
                <w:lang w:val="en-US" w:eastAsia="zh-CN" w:bidi="ar"/>
              </w:rPr>
            </w:pPr>
          </w:p>
        </w:tc>
        <w:tc>
          <w:tcPr>
            <w:tcW w:w="2280" w:type="dxa"/>
            <w:gridSpan w:val="2"/>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snapToGrid w:val="0"/>
                <w:color w:val="000000" w:themeColor="text1"/>
                <w:kern w:val="2"/>
                <w:sz w:val="21"/>
                <w:szCs w:val="21"/>
                <w:lang w:val="en-US" w:eastAsia="zh-CN"/>
                <w14:textFill>
                  <w14:solidFill>
                    <w14:schemeClr w14:val="tx1"/>
                  </w14:solidFill>
                </w14:textFill>
              </w:rPr>
            </w:pPr>
          </w:p>
        </w:tc>
        <w:tc>
          <w:tcPr>
            <w:tcW w:w="1106"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t>D1城连圩饮用水源水井</w:t>
            </w:r>
          </w:p>
        </w:tc>
        <w:tc>
          <w:tcPr>
            <w:tcW w:w="1106"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t>D2唐家屋居民井</w:t>
            </w:r>
          </w:p>
        </w:tc>
        <w:tc>
          <w:tcPr>
            <w:tcW w:w="1106"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t>D3朱家岭居民井</w:t>
            </w:r>
          </w:p>
        </w:tc>
        <w:tc>
          <w:tcPr>
            <w:tcW w:w="1106"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t>D4罗口町居民井</w:t>
            </w:r>
          </w:p>
        </w:tc>
        <w:tc>
          <w:tcPr>
            <w:tcW w:w="1115" w:type="dxa"/>
            <w:gridSpan w:val="3"/>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2"/>
                <w:sz w:val="21"/>
                <w:szCs w:val="21"/>
                <w:lang w:val="en-US" w:eastAsia="zh-CN"/>
                <w14:textFill>
                  <w14:solidFill>
                    <w14:schemeClr w14:val="tx1"/>
                  </w14:solidFill>
                </w14:textFill>
              </w:rPr>
              <w:t>D5唐仕居民井</w:t>
            </w:r>
          </w:p>
        </w:tc>
        <w:tc>
          <w:tcPr>
            <w:tcW w:w="783"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1413" w:hRule="atLeast"/>
          <w:jc w:val="center"/>
        </w:trPr>
        <w:tc>
          <w:tcPr>
            <w:tcW w:w="6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06</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月</w:t>
            </w:r>
          </w:p>
          <w:p>
            <w:pPr>
              <w:keepNext w:val="0"/>
              <w:keepLines w:val="0"/>
              <w:widowControl/>
              <w:suppressLineNumbers w:val="0"/>
              <w:spacing w:line="240" w:lineRule="auto"/>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04</w:t>
            </w:r>
          </w:p>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color w:val="auto"/>
                <w:sz w:val="21"/>
                <w:szCs w:val="21"/>
                <w:lang w:val="en-US" w:eastAsia="zh-CN"/>
              </w:rPr>
              <w:t>日</w:t>
            </w:r>
          </w:p>
        </w:tc>
        <w:tc>
          <w:tcPr>
            <w:tcW w:w="228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样品状态</w:t>
            </w:r>
          </w:p>
        </w:tc>
        <w:tc>
          <w:tcPr>
            <w:tcW w:w="1106"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无色、清澈、无气味、无浮油</w:t>
            </w:r>
          </w:p>
        </w:tc>
        <w:tc>
          <w:tcPr>
            <w:tcW w:w="1106" w:type="dxa"/>
            <w:gridSpan w:val="2"/>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lang w:val="en-US" w:eastAsia="zh-CN"/>
              </w:rPr>
            </w:pPr>
            <w:r>
              <w:rPr>
                <w:rFonts w:hint="eastAsia" w:ascii="宋体" w:hAnsi="宋体" w:cs="宋体"/>
                <w:i w:val="0"/>
                <w:iCs w:val="0"/>
                <w:color w:val="auto"/>
                <w:kern w:val="0"/>
                <w:sz w:val="21"/>
                <w:szCs w:val="21"/>
                <w:u w:val="none"/>
                <w:lang w:val="en-US" w:eastAsia="zh-CN" w:bidi="ar"/>
              </w:rPr>
              <w:t>微黄</w:t>
            </w:r>
            <w:r>
              <w:rPr>
                <w:rFonts w:hint="eastAsia" w:ascii="宋体" w:hAnsi="宋体" w:eastAsia="宋体" w:cs="宋体"/>
                <w:i w:val="0"/>
                <w:iCs w:val="0"/>
                <w:color w:val="auto"/>
                <w:kern w:val="0"/>
                <w:sz w:val="21"/>
                <w:szCs w:val="21"/>
                <w:u w:val="none"/>
                <w:lang w:val="en-US" w:eastAsia="zh-CN" w:bidi="ar"/>
              </w:rPr>
              <w:t>、清澈、无气味、无浮油</w:t>
            </w:r>
          </w:p>
        </w:tc>
        <w:tc>
          <w:tcPr>
            <w:tcW w:w="1106" w:type="dxa"/>
            <w:gridSpan w:val="2"/>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rPr>
            </w:pPr>
            <w:r>
              <w:rPr>
                <w:rFonts w:hint="eastAsia" w:ascii="宋体" w:hAnsi="宋体" w:eastAsia="宋体" w:cs="宋体"/>
                <w:i w:val="0"/>
                <w:iCs w:val="0"/>
                <w:color w:val="auto"/>
                <w:kern w:val="0"/>
                <w:sz w:val="21"/>
                <w:szCs w:val="21"/>
                <w:u w:val="none"/>
                <w:lang w:val="en-US" w:eastAsia="zh-CN" w:bidi="ar"/>
              </w:rPr>
              <w:t>无色、清澈、无气味、无浮油</w:t>
            </w:r>
          </w:p>
        </w:tc>
        <w:tc>
          <w:tcPr>
            <w:tcW w:w="1106" w:type="dxa"/>
            <w:gridSpan w:val="2"/>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无色、清澈、无气味、无浮油</w:t>
            </w:r>
          </w:p>
        </w:tc>
        <w:tc>
          <w:tcPr>
            <w:tcW w:w="1115" w:type="dxa"/>
            <w:gridSpan w:val="3"/>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无色、清澈、无气味、无浮油</w:t>
            </w:r>
          </w:p>
        </w:tc>
        <w:tc>
          <w:tcPr>
            <w:tcW w:w="7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88" w:hRule="atLeast"/>
          <w:jc w:val="center"/>
        </w:trPr>
        <w:tc>
          <w:tcPr>
            <w:tcW w:w="675"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28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K</w:t>
            </w:r>
            <w:r>
              <w:rPr>
                <w:rFonts w:hint="default" w:ascii="Times New Roman" w:hAnsi="Times New Roman" w:eastAsia="宋体" w:cs="Times New Roman"/>
                <w:b w:val="0"/>
                <w:bCs w:val="0"/>
                <w:color w:val="auto"/>
                <w:sz w:val="21"/>
                <w:szCs w:val="21"/>
                <w:highlight w:val="none"/>
                <w:vertAlign w:val="superscript"/>
                <w:lang w:val="en-US" w:eastAsia="zh-CN"/>
              </w:rPr>
              <w:t>+</w:t>
            </w:r>
            <w:r>
              <w:rPr>
                <w:rFonts w:hint="default" w:ascii="Times New Roman" w:hAnsi="Times New Roman" w:eastAsia="宋体" w:cs="Times New Roman"/>
                <w:b w:val="0"/>
                <w:bCs w:val="0"/>
                <w:color w:val="auto"/>
                <w:kern w:val="0"/>
                <w:sz w:val="21"/>
                <w:szCs w:val="21"/>
                <w:highlight w:val="none"/>
                <w:lang w:val="en-US" w:eastAsia="zh-CN"/>
              </w:rPr>
              <w:t>*</w:t>
            </w:r>
            <w:r>
              <w:rPr>
                <w:rFonts w:hint="eastAsia" w:ascii="Times New Roman" w:hAnsi="Times New Roman" w:cs="Times New Roman"/>
                <w:color w:val="auto"/>
                <w:sz w:val="21"/>
                <w:szCs w:val="21"/>
                <w:highlight w:val="none"/>
                <w:lang w:val="en-US" w:eastAsia="zh-CN"/>
              </w:rPr>
              <w:t>（mg/L）</w:t>
            </w:r>
          </w:p>
        </w:tc>
        <w:tc>
          <w:tcPr>
            <w:tcW w:w="11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ND</w:t>
            </w:r>
          </w:p>
        </w:tc>
        <w:tc>
          <w:tcPr>
            <w:tcW w:w="11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0.84</w:t>
            </w:r>
          </w:p>
        </w:tc>
        <w:tc>
          <w:tcPr>
            <w:tcW w:w="11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ND</w:t>
            </w:r>
          </w:p>
        </w:tc>
        <w:tc>
          <w:tcPr>
            <w:tcW w:w="11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ND</w:t>
            </w:r>
          </w:p>
        </w:tc>
        <w:tc>
          <w:tcPr>
            <w:tcW w:w="111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0.027</w:t>
            </w:r>
          </w:p>
        </w:tc>
        <w:tc>
          <w:tcPr>
            <w:tcW w:w="7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88" w:hRule="atLeast"/>
          <w:jc w:val="center"/>
        </w:trPr>
        <w:tc>
          <w:tcPr>
            <w:tcW w:w="675"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28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Na</w:t>
            </w:r>
            <w:r>
              <w:rPr>
                <w:rFonts w:hint="default" w:ascii="Times New Roman" w:hAnsi="Times New Roman" w:eastAsia="宋体" w:cs="Times New Roman"/>
                <w:b w:val="0"/>
                <w:bCs w:val="0"/>
                <w:color w:val="auto"/>
                <w:sz w:val="21"/>
                <w:szCs w:val="21"/>
                <w:highlight w:val="none"/>
                <w:vertAlign w:val="superscript"/>
                <w:lang w:val="en-US" w:eastAsia="zh-CN"/>
              </w:rPr>
              <w:t>+</w:t>
            </w:r>
            <w:r>
              <w:rPr>
                <w:rFonts w:hint="default" w:ascii="Times New Roman" w:hAnsi="Times New Roman" w:eastAsia="宋体" w:cs="Times New Roman"/>
                <w:b w:val="0"/>
                <w:bCs w:val="0"/>
                <w:color w:val="auto"/>
                <w:kern w:val="0"/>
                <w:sz w:val="21"/>
                <w:szCs w:val="21"/>
                <w:highlight w:val="none"/>
                <w:lang w:val="en-US" w:eastAsia="zh-CN"/>
              </w:rPr>
              <w:t>*</w:t>
            </w:r>
            <w:r>
              <w:rPr>
                <w:rFonts w:hint="eastAsia" w:ascii="Times New Roman" w:hAnsi="Times New Roman" w:cs="Times New Roman"/>
                <w:color w:val="auto"/>
                <w:sz w:val="21"/>
                <w:szCs w:val="21"/>
                <w:highlight w:val="none"/>
                <w:lang w:val="en-US" w:eastAsia="zh-CN"/>
              </w:rPr>
              <w:t>（mg/L）</w:t>
            </w:r>
          </w:p>
        </w:tc>
        <w:tc>
          <w:tcPr>
            <w:tcW w:w="11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17.1</w:t>
            </w:r>
          </w:p>
        </w:tc>
        <w:tc>
          <w:tcPr>
            <w:tcW w:w="11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3.31</w:t>
            </w:r>
          </w:p>
        </w:tc>
        <w:tc>
          <w:tcPr>
            <w:tcW w:w="11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16.8</w:t>
            </w:r>
          </w:p>
        </w:tc>
        <w:tc>
          <w:tcPr>
            <w:tcW w:w="11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17.6</w:t>
            </w:r>
          </w:p>
        </w:tc>
        <w:tc>
          <w:tcPr>
            <w:tcW w:w="111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1.71</w:t>
            </w:r>
          </w:p>
        </w:tc>
        <w:tc>
          <w:tcPr>
            <w:tcW w:w="7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88" w:hRule="atLeast"/>
          <w:jc w:val="center"/>
        </w:trPr>
        <w:tc>
          <w:tcPr>
            <w:tcW w:w="675"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28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Ca</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kern w:val="0"/>
                <w:sz w:val="21"/>
                <w:szCs w:val="21"/>
                <w:highlight w:val="none"/>
                <w:lang w:val="en-US" w:eastAsia="zh-CN"/>
              </w:rPr>
              <w:t>*</w:t>
            </w:r>
            <w:r>
              <w:rPr>
                <w:rFonts w:hint="eastAsia" w:ascii="Times New Roman" w:hAnsi="Times New Roman" w:cs="Times New Roman"/>
                <w:color w:val="auto"/>
                <w:sz w:val="21"/>
                <w:szCs w:val="21"/>
                <w:highlight w:val="none"/>
                <w:lang w:val="en-US" w:eastAsia="zh-CN"/>
              </w:rPr>
              <w:t>（mg/L）</w:t>
            </w:r>
          </w:p>
        </w:tc>
        <w:tc>
          <w:tcPr>
            <w:tcW w:w="11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0.13</w:t>
            </w:r>
          </w:p>
        </w:tc>
        <w:tc>
          <w:tcPr>
            <w:tcW w:w="11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4.74</w:t>
            </w:r>
          </w:p>
        </w:tc>
        <w:tc>
          <w:tcPr>
            <w:tcW w:w="11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0.15</w:t>
            </w:r>
          </w:p>
        </w:tc>
        <w:tc>
          <w:tcPr>
            <w:tcW w:w="11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0.14</w:t>
            </w:r>
          </w:p>
        </w:tc>
        <w:tc>
          <w:tcPr>
            <w:tcW w:w="111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0.29</w:t>
            </w:r>
          </w:p>
        </w:tc>
        <w:tc>
          <w:tcPr>
            <w:tcW w:w="7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21" w:hRule="atLeast"/>
          <w:jc w:val="center"/>
        </w:trPr>
        <w:tc>
          <w:tcPr>
            <w:tcW w:w="675"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28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Mg</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kern w:val="0"/>
                <w:sz w:val="21"/>
                <w:szCs w:val="21"/>
                <w:highlight w:val="none"/>
                <w:lang w:val="en-US" w:eastAsia="zh-CN"/>
              </w:rPr>
              <w:t>*</w:t>
            </w:r>
            <w:r>
              <w:rPr>
                <w:rFonts w:hint="eastAsia" w:ascii="Times New Roman" w:hAnsi="Times New Roman" w:cs="Times New Roman"/>
                <w:color w:val="auto"/>
                <w:sz w:val="21"/>
                <w:szCs w:val="21"/>
                <w:highlight w:val="none"/>
                <w:lang w:val="en-US" w:eastAsia="zh-CN"/>
              </w:rPr>
              <w:t>（mg/L）</w:t>
            </w:r>
          </w:p>
        </w:tc>
        <w:tc>
          <w:tcPr>
            <w:tcW w:w="11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0.12</w:t>
            </w:r>
          </w:p>
        </w:tc>
        <w:tc>
          <w:tcPr>
            <w:tcW w:w="11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0.62</w:t>
            </w:r>
          </w:p>
        </w:tc>
        <w:tc>
          <w:tcPr>
            <w:tcW w:w="11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0.14</w:t>
            </w:r>
          </w:p>
        </w:tc>
        <w:tc>
          <w:tcPr>
            <w:tcW w:w="11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0.15</w:t>
            </w:r>
          </w:p>
        </w:tc>
        <w:tc>
          <w:tcPr>
            <w:tcW w:w="111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0.25</w:t>
            </w:r>
          </w:p>
        </w:tc>
        <w:tc>
          <w:tcPr>
            <w:tcW w:w="7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76" w:type="dxa"/>
            <w:gridSpan w:val="2"/>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28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CO</w:t>
            </w:r>
            <w:r>
              <w:rPr>
                <w:rFonts w:hint="default" w:ascii="Times New Roman" w:hAnsi="Times New Roman" w:eastAsia="宋体" w:cs="Times New Roman"/>
                <w:b w:val="0"/>
                <w:bCs w:val="0"/>
                <w:color w:val="auto"/>
                <w:sz w:val="21"/>
                <w:szCs w:val="21"/>
                <w:highlight w:val="none"/>
                <w:vertAlign w:val="subscript"/>
                <w:lang w:val="en-US" w:eastAsia="zh-CN"/>
              </w:rPr>
              <w:t>3</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kern w:val="0"/>
                <w:sz w:val="21"/>
                <w:szCs w:val="21"/>
                <w:highlight w:val="none"/>
                <w:lang w:val="en-US" w:eastAsia="zh-CN"/>
              </w:rPr>
              <w:t>*</w:t>
            </w:r>
            <w:r>
              <w:rPr>
                <w:rFonts w:hint="eastAsia" w:ascii="Times New Roman" w:hAnsi="Times New Roman" w:cs="Times New Roman"/>
                <w:color w:val="auto"/>
                <w:sz w:val="21"/>
                <w:szCs w:val="21"/>
                <w:highlight w:val="none"/>
                <w:lang w:val="en-US" w:eastAsia="zh-CN"/>
              </w:rPr>
              <w:t>（mg/L）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ND</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ND</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ND</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ND</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ND</w:t>
            </w:r>
          </w:p>
        </w:tc>
        <w:tc>
          <w:tcPr>
            <w:tcW w:w="78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76" w:type="dxa"/>
            <w:gridSpan w:val="2"/>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28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vertAlign w:val="baseline"/>
                <w:lang w:val="en-US" w:eastAsia="zh-CN"/>
              </w:rPr>
              <w:t>HCO</w:t>
            </w:r>
            <w:r>
              <w:rPr>
                <w:rFonts w:hint="default" w:ascii="Times New Roman" w:hAnsi="Times New Roman" w:eastAsia="宋体" w:cs="Times New Roman"/>
                <w:b w:val="0"/>
                <w:bCs w:val="0"/>
                <w:color w:val="auto"/>
                <w:sz w:val="21"/>
                <w:szCs w:val="21"/>
                <w:highlight w:val="none"/>
                <w:vertAlign w:val="subscript"/>
                <w:lang w:val="en-US" w:eastAsia="zh-CN"/>
              </w:rPr>
              <w:t>3</w:t>
            </w:r>
            <w:r>
              <w:rPr>
                <w:rFonts w:hint="default" w:ascii="Times New Roman" w:hAnsi="Times New Roman" w:eastAsia="宋体" w:cs="Times New Roman"/>
                <w:b w:val="0"/>
                <w:bCs w:val="0"/>
                <w:color w:val="auto"/>
                <w:sz w:val="21"/>
                <w:szCs w:val="21"/>
                <w:highlight w:val="none"/>
                <w:vertAlign w:val="superscript"/>
                <w:lang w:val="en-US" w:eastAsia="zh-CN"/>
              </w:rPr>
              <w:t>-</w:t>
            </w:r>
            <w:r>
              <w:rPr>
                <w:rFonts w:hint="default" w:ascii="Times New Roman" w:hAnsi="Times New Roman" w:eastAsia="宋体" w:cs="Times New Roman"/>
                <w:b w:val="0"/>
                <w:bCs w:val="0"/>
                <w:color w:val="auto"/>
                <w:kern w:val="0"/>
                <w:sz w:val="21"/>
                <w:szCs w:val="21"/>
                <w:highlight w:val="none"/>
                <w:lang w:val="en-US" w:eastAsia="zh-CN"/>
              </w:rPr>
              <w:t>*</w:t>
            </w:r>
            <w:r>
              <w:rPr>
                <w:rFonts w:hint="eastAsia" w:ascii="Times New Roman" w:hAnsi="Times New Roman" w:cs="Times New Roman"/>
                <w:color w:val="auto"/>
                <w:sz w:val="21"/>
                <w:szCs w:val="21"/>
                <w:highlight w:val="none"/>
                <w:lang w:val="en-US" w:eastAsia="zh-CN"/>
              </w:rPr>
              <w:t>（mg/L）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2.02</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2.18</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1.88</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2.30</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1.91</w:t>
            </w:r>
          </w:p>
        </w:tc>
        <w:tc>
          <w:tcPr>
            <w:tcW w:w="78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76" w:type="dxa"/>
            <w:gridSpan w:val="2"/>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28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总硬度*</w:t>
            </w:r>
            <w:r>
              <w:rPr>
                <w:rFonts w:hint="eastAsia" w:ascii="Times New Roman" w:hAnsi="Times New Roman" w:eastAsia="宋体" w:cs="Times New Roman"/>
                <w:b w:val="0"/>
                <w:bCs w:val="0"/>
                <w:color w:val="auto"/>
                <w:sz w:val="21"/>
                <w:szCs w:val="21"/>
                <w:highlight w:val="none"/>
                <w:vertAlign w:val="baseline"/>
                <w:lang w:val="en-US" w:eastAsia="zh-CN"/>
              </w:rPr>
              <w:t>（mg/L）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188</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212</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164</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155</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163</w:t>
            </w:r>
          </w:p>
        </w:tc>
        <w:tc>
          <w:tcPr>
            <w:tcW w:w="784"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76" w:type="dxa"/>
            <w:gridSpan w:val="2"/>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8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pH值（无量纲）</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7.11</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7.15</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7.22</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7.09</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7.17</w:t>
            </w:r>
          </w:p>
        </w:tc>
        <w:tc>
          <w:tcPr>
            <w:tcW w:w="784" w:type="dxa"/>
            <w:gridSpan w:val="2"/>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sz w:val="21"/>
                <w:szCs w:val="21"/>
                <w:vertAlign w:val="baseline"/>
                <w:lang w:val="en-US" w:eastAsia="zh-CN"/>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76" w:type="dxa"/>
            <w:gridSpan w:val="2"/>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8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氨氮</w:t>
            </w:r>
            <w:r>
              <w:rPr>
                <w:rFonts w:hint="eastAsia" w:ascii="Times New Roman" w:hAnsi="Times New Roman" w:cs="Times New Roman"/>
                <w:color w:val="auto"/>
                <w:sz w:val="21"/>
                <w:szCs w:val="21"/>
                <w:lang w:val="en-US" w:eastAsia="zh-CN"/>
              </w:rPr>
              <w:t>（mg/L）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0.025L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0.025L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0.025L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0.025L</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0.025L</w:t>
            </w:r>
          </w:p>
        </w:tc>
        <w:tc>
          <w:tcPr>
            <w:tcW w:w="78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76" w:type="dxa"/>
            <w:gridSpan w:val="2"/>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8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氰化物</w:t>
            </w:r>
            <w:r>
              <w:rPr>
                <w:rFonts w:hint="eastAsia" w:ascii="Times New Roman" w:hAnsi="Times New Roman" w:eastAsia="宋体" w:cs="Times New Roman"/>
                <w:i w:val="0"/>
                <w:iCs w:val="0"/>
                <w:color w:val="auto"/>
                <w:kern w:val="0"/>
                <w:sz w:val="21"/>
                <w:szCs w:val="21"/>
                <w:u w:val="none"/>
                <w:lang w:val="en-US" w:eastAsia="zh-CN" w:bidi="ar"/>
              </w:rPr>
              <w:t>（mg/L）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0.002L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0.002L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0.002L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0.002L</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0.002L</w:t>
            </w:r>
          </w:p>
        </w:tc>
        <w:tc>
          <w:tcPr>
            <w:tcW w:w="78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76" w:type="dxa"/>
            <w:gridSpan w:val="2"/>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8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color w:val="auto"/>
                <w:sz w:val="21"/>
                <w:szCs w:val="21"/>
                <w:lang w:val="en-US" w:eastAsia="zh-CN"/>
              </w:rPr>
              <w:t>氯化物</w:t>
            </w:r>
            <w:r>
              <w:rPr>
                <w:rFonts w:hint="eastAsia" w:ascii="Times New Roman" w:hAnsi="Times New Roman" w:eastAsia="宋体" w:cs="Times New Roman"/>
                <w:i w:val="0"/>
                <w:iCs w:val="0"/>
                <w:color w:val="auto"/>
                <w:kern w:val="0"/>
                <w:sz w:val="21"/>
                <w:szCs w:val="21"/>
                <w:u w:val="none"/>
                <w:lang w:val="en-US" w:eastAsia="zh-CN" w:bidi="ar"/>
              </w:rPr>
              <w:t>（mg/L）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0.537</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0.141</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0.597</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0.983</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3.80</w:t>
            </w:r>
          </w:p>
        </w:tc>
        <w:tc>
          <w:tcPr>
            <w:tcW w:w="78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76" w:type="dxa"/>
            <w:gridSpan w:val="2"/>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8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kern w:val="2"/>
                <w:sz w:val="21"/>
                <w:szCs w:val="21"/>
                <w:lang w:val="en-US" w:eastAsia="zh-CN"/>
              </w:rPr>
              <w:t>挥发性酚类</w:t>
            </w:r>
            <w:r>
              <w:rPr>
                <w:rFonts w:hint="eastAsia" w:ascii="Times New Roman" w:hAnsi="Times New Roman" w:eastAsia="宋体" w:cs="Times New Roman"/>
                <w:i w:val="0"/>
                <w:iCs w:val="0"/>
                <w:color w:val="auto"/>
                <w:kern w:val="0"/>
                <w:sz w:val="21"/>
                <w:szCs w:val="21"/>
                <w:u w:val="none"/>
                <w:lang w:val="en-US" w:eastAsia="zh-CN" w:bidi="ar"/>
              </w:rPr>
              <w:t>（mg/L）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0.0003L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0.0003L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0.0003L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0.0003L</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0.0003L</w:t>
            </w:r>
          </w:p>
        </w:tc>
        <w:tc>
          <w:tcPr>
            <w:tcW w:w="78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76" w:type="dxa"/>
            <w:gridSpan w:val="2"/>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8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铅（mg/L）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0.0025L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0.0025L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0.0025L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0.0025L</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0.0025L</w:t>
            </w:r>
          </w:p>
        </w:tc>
        <w:tc>
          <w:tcPr>
            <w:tcW w:w="78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76" w:type="dxa"/>
            <w:gridSpan w:val="2"/>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80" w:type="dxa"/>
            <w:gridSpan w:val="2"/>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镉（mg/L）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0.0005L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0.0005L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0.0005L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0.0005L</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0.0005L</w:t>
            </w:r>
          </w:p>
        </w:tc>
        <w:tc>
          <w:tcPr>
            <w:tcW w:w="78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76" w:type="dxa"/>
            <w:gridSpan w:val="2"/>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80" w:type="dxa"/>
            <w:gridSpan w:val="2"/>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砷</w:t>
            </w:r>
            <w:r>
              <w:rPr>
                <w:rFonts w:hint="eastAsia" w:ascii="Times New Roman" w:hAnsi="Times New Roman" w:eastAsia="宋体" w:cs="Times New Roman"/>
                <w:i w:val="0"/>
                <w:iCs w:val="0"/>
                <w:color w:val="auto"/>
                <w:kern w:val="0"/>
                <w:sz w:val="21"/>
                <w:szCs w:val="21"/>
                <w:u w:val="none"/>
                <w:lang w:val="en-US" w:eastAsia="zh-CN" w:bidi="ar"/>
              </w:rPr>
              <w:t>（mg/L）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0.0023</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0.0022</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0.0022</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0.0023</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0.0023</w:t>
            </w:r>
          </w:p>
        </w:tc>
        <w:tc>
          <w:tcPr>
            <w:tcW w:w="78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76" w:type="dxa"/>
            <w:gridSpan w:val="2"/>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80" w:type="dxa"/>
            <w:gridSpan w:val="2"/>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汞</w:t>
            </w:r>
            <w:r>
              <w:rPr>
                <w:rFonts w:hint="eastAsia" w:ascii="Times New Roman" w:hAnsi="Times New Roman" w:eastAsia="宋体" w:cs="Times New Roman"/>
                <w:i w:val="0"/>
                <w:iCs w:val="0"/>
                <w:color w:val="auto"/>
                <w:kern w:val="0"/>
                <w:sz w:val="21"/>
                <w:szCs w:val="21"/>
                <w:u w:val="none"/>
                <w:lang w:val="en-US" w:eastAsia="zh-CN" w:bidi="ar"/>
              </w:rPr>
              <w:t>（mg/L）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0.00004L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0.00004L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0.00004L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0.00004L</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0.00004L</w:t>
            </w:r>
          </w:p>
        </w:tc>
        <w:tc>
          <w:tcPr>
            <w:tcW w:w="78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76" w:type="dxa"/>
            <w:gridSpan w:val="2"/>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80" w:type="dxa"/>
            <w:gridSpan w:val="2"/>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六价铬</w:t>
            </w:r>
            <w:r>
              <w:rPr>
                <w:rFonts w:hint="eastAsia" w:ascii="Times New Roman" w:hAnsi="Times New Roman" w:eastAsia="宋体" w:cs="Times New Roman"/>
                <w:i w:val="0"/>
                <w:iCs w:val="0"/>
                <w:color w:val="auto"/>
                <w:kern w:val="0"/>
                <w:sz w:val="21"/>
                <w:szCs w:val="21"/>
                <w:u w:val="none"/>
                <w:lang w:val="en-US" w:eastAsia="zh-CN" w:bidi="ar"/>
              </w:rPr>
              <w:t>（mg/L）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0.004L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0.004L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0.004L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0.004L</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0.004L</w:t>
            </w:r>
          </w:p>
        </w:tc>
        <w:tc>
          <w:tcPr>
            <w:tcW w:w="78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76" w:type="dxa"/>
            <w:gridSpan w:val="2"/>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80" w:type="dxa"/>
            <w:gridSpan w:val="2"/>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溶解性总固体</w:t>
            </w:r>
            <w:r>
              <w:rPr>
                <w:rFonts w:hint="eastAsia" w:ascii="Times New Roman" w:hAnsi="Times New Roman" w:eastAsia="宋体" w:cs="Times New Roman"/>
                <w:i w:val="0"/>
                <w:iCs w:val="0"/>
                <w:color w:val="auto"/>
                <w:kern w:val="0"/>
                <w:sz w:val="21"/>
                <w:szCs w:val="21"/>
                <w:u w:val="none"/>
                <w:lang w:val="en-US" w:eastAsia="zh-CN" w:bidi="ar"/>
              </w:rPr>
              <w:t>（mg/L）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325</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311</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266</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289</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272</w:t>
            </w:r>
          </w:p>
        </w:tc>
        <w:tc>
          <w:tcPr>
            <w:tcW w:w="78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76" w:type="dxa"/>
            <w:gridSpan w:val="2"/>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80" w:type="dxa"/>
            <w:gridSpan w:val="2"/>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color w:val="auto"/>
                <w:sz w:val="21"/>
                <w:szCs w:val="21"/>
                <w:lang w:val="en-US" w:eastAsia="zh-CN"/>
              </w:rPr>
              <w:t>硫酸盐</w:t>
            </w:r>
            <w:r>
              <w:rPr>
                <w:rFonts w:hint="eastAsia" w:ascii="Times New Roman" w:hAnsi="Times New Roman" w:eastAsia="宋体" w:cs="Times New Roman"/>
                <w:i w:val="0"/>
                <w:iCs w:val="0"/>
                <w:color w:val="auto"/>
                <w:kern w:val="0"/>
                <w:sz w:val="21"/>
                <w:szCs w:val="21"/>
                <w:u w:val="none"/>
                <w:lang w:val="en-US" w:eastAsia="zh-CN" w:bidi="ar"/>
              </w:rPr>
              <w:t>（mg/L）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3.50</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2.20</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0.907</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2.30</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1.02</w:t>
            </w:r>
          </w:p>
        </w:tc>
        <w:tc>
          <w:tcPr>
            <w:tcW w:w="78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76" w:type="dxa"/>
            <w:gridSpan w:val="2"/>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80" w:type="dxa"/>
            <w:gridSpan w:val="2"/>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硝酸盐</w:t>
            </w:r>
            <w:r>
              <w:rPr>
                <w:rFonts w:hint="eastAsia" w:ascii="Times New Roman" w:hAnsi="Times New Roman" w:cs="Times New Roman"/>
                <w:color w:val="auto"/>
                <w:sz w:val="21"/>
                <w:szCs w:val="21"/>
                <w:lang w:val="en-US" w:eastAsia="zh-CN"/>
              </w:rPr>
              <w:t>（以N计）</w:t>
            </w:r>
            <w:r>
              <w:rPr>
                <w:rFonts w:hint="eastAsia" w:ascii="Times New Roman" w:hAnsi="Times New Roman" w:eastAsia="宋体" w:cs="Times New Roman"/>
                <w:i w:val="0"/>
                <w:iCs w:val="0"/>
                <w:color w:val="auto"/>
                <w:kern w:val="0"/>
                <w:sz w:val="21"/>
                <w:szCs w:val="21"/>
                <w:u w:val="none"/>
                <w:lang w:val="en-US" w:eastAsia="zh-CN" w:bidi="ar"/>
              </w:rPr>
              <w:t>（mg/L）</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0.213</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0.231</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0.113</w:t>
            </w:r>
          </w:p>
        </w:tc>
        <w:tc>
          <w:tcPr>
            <w:tcW w:w="11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0.155</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0.094</w:t>
            </w:r>
          </w:p>
        </w:tc>
        <w:tc>
          <w:tcPr>
            <w:tcW w:w="78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76" w:type="dxa"/>
            <w:gridSpan w:val="2"/>
            <w:vMerge w:val="continue"/>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80" w:type="dxa"/>
            <w:gridSpan w:val="2"/>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亚硝酸盐</w:t>
            </w:r>
            <w:r>
              <w:rPr>
                <w:rFonts w:hint="eastAsia" w:ascii="Times New Roman" w:hAnsi="Times New Roman" w:cs="Times New Roman"/>
                <w:color w:val="auto"/>
                <w:sz w:val="21"/>
                <w:szCs w:val="21"/>
                <w:lang w:val="en-US" w:eastAsia="zh-CN"/>
              </w:rPr>
              <w:t>（mg/L）</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0.016L</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0.016L</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0.016L</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0.016L</w:t>
            </w:r>
          </w:p>
        </w:tc>
        <w:tc>
          <w:tcPr>
            <w:tcW w:w="11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0.016L</w:t>
            </w:r>
          </w:p>
        </w:tc>
        <w:tc>
          <w:tcPr>
            <w:tcW w:w="78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76" w:type="dxa"/>
            <w:gridSpan w:val="2"/>
            <w:vMerge w:val="continue"/>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80" w:type="dxa"/>
            <w:gridSpan w:val="2"/>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总大肠菌群</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MPN/100mL</w:t>
            </w:r>
            <w:r>
              <w:rPr>
                <w:rFonts w:hint="eastAsia" w:ascii="Times New Roman" w:hAnsi="Times New Roman" w:cs="Times New Roman"/>
                <w:color w:val="auto"/>
                <w:sz w:val="21"/>
                <w:szCs w:val="21"/>
                <w:lang w:val="en-US" w:eastAsia="zh-CN"/>
              </w:rPr>
              <w:t>）</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未检出</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未检出</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未检出</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未检出</w:t>
            </w:r>
          </w:p>
        </w:tc>
        <w:tc>
          <w:tcPr>
            <w:tcW w:w="11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未检出</w:t>
            </w:r>
          </w:p>
        </w:tc>
        <w:tc>
          <w:tcPr>
            <w:tcW w:w="78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76" w:type="dxa"/>
            <w:gridSpan w:val="2"/>
            <w:vMerge w:val="continue"/>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80" w:type="dxa"/>
            <w:gridSpan w:val="2"/>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sz w:val="21"/>
                <w:szCs w:val="21"/>
                <w:lang w:val="en-US" w:eastAsia="zh-CN"/>
              </w:rPr>
              <w:t>氟</w:t>
            </w:r>
            <w:r>
              <w:rPr>
                <w:rFonts w:hint="eastAsia" w:ascii="Times New Roman" w:hAnsi="Times New Roman" w:cs="Times New Roman"/>
                <w:color w:val="auto"/>
                <w:sz w:val="21"/>
                <w:szCs w:val="21"/>
                <w:lang w:val="en-US" w:eastAsia="zh-CN"/>
              </w:rPr>
              <w:t>化物（mg/L）</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0.300</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0.419</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0.215</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0.215</w:t>
            </w:r>
          </w:p>
        </w:tc>
        <w:tc>
          <w:tcPr>
            <w:tcW w:w="11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0.325</w:t>
            </w:r>
          </w:p>
        </w:tc>
        <w:tc>
          <w:tcPr>
            <w:tcW w:w="78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76" w:type="dxa"/>
            <w:gridSpan w:val="2"/>
            <w:vMerge w:val="continue"/>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80" w:type="dxa"/>
            <w:gridSpan w:val="2"/>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sz w:val="21"/>
                <w:szCs w:val="21"/>
                <w:lang w:val="en-US" w:eastAsia="zh-CN"/>
              </w:rPr>
              <w:t>铁（mg/L）</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0.03L</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0.03L</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0.03L</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0.03L</w:t>
            </w:r>
          </w:p>
        </w:tc>
        <w:tc>
          <w:tcPr>
            <w:tcW w:w="11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0.03L</w:t>
            </w:r>
          </w:p>
        </w:tc>
        <w:tc>
          <w:tcPr>
            <w:tcW w:w="78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76" w:type="dxa"/>
            <w:gridSpan w:val="2"/>
            <w:vMerge w:val="continue"/>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80" w:type="dxa"/>
            <w:gridSpan w:val="2"/>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sz w:val="21"/>
                <w:szCs w:val="21"/>
                <w:lang w:val="en-US" w:eastAsia="zh-CN"/>
              </w:rPr>
              <w:t>锰（mg/L）</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0.01L</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0.01L</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0.01L</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0.01L</w:t>
            </w:r>
          </w:p>
        </w:tc>
        <w:tc>
          <w:tcPr>
            <w:tcW w:w="11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0.01L</w:t>
            </w:r>
          </w:p>
        </w:tc>
        <w:tc>
          <w:tcPr>
            <w:tcW w:w="78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FF0000"/>
                <w:kern w:val="2"/>
                <w:sz w:val="21"/>
                <w:szCs w:val="21"/>
                <w:highlight w:val="yellow"/>
                <w:lang w:val="en-US" w:eastAsia="zh-CN"/>
              </w:rPr>
            </w:pPr>
            <w:r>
              <w:rPr>
                <w:rFonts w:hint="eastAsia" w:ascii="Times New Roman" w:hAnsi="Times New Roman" w:cs="Times New Roman"/>
                <w:b w:val="0"/>
                <w:bCs w:val="0"/>
                <w:color w:val="auto"/>
                <w:kern w:val="2"/>
                <w:sz w:val="21"/>
                <w:szCs w:val="21"/>
                <w:highlight w:val="none"/>
                <w:lang w:val="en-US" w:eastAsia="zh-CN"/>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76" w:type="dxa"/>
            <w:gridSpan w:val="2"/>
            <w:vMerge w:val="continue"/>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80" w:type="dxa"/>
            <w:gridSpan w:val="2"/>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sz w:val="21"/>
                <w:szCs w:val="21"/>
                <w:lang w:val="en-US" w:eastAsia="zh-CN"/>
              </w:rPr>
              <w:t>细菌总数（CFU/mL）</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27</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44</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63</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38</w:t>
            </w:r>
          </w:p>
        </w:tc>
        <w:tc>
          <w:tcPr>
            <w:tcW w:w="11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53</w:t>
            </w:r>
          </w:p>
        </w:tc>
        <w:tc>
          <w:tcPr>
            <w:tcW w:w="78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76" w:type="dxa"/>
            <w:gridSpan w:val="2"/>
            <w:vMerge w:val="continue"/>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80" w:type="dxa"/>
            <w:gridSpan w:val="2"/>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高锰酸盐指数（mg/L）</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0.78</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0.98</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1.13</w:t>
            </w:r>
          </w:p>
        </w:tc>
        <w:tc>
          <w:tcPr>
            <w:tcW w:w="11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0.48</w:t>
            </w:r>
          </w:p>
        </w:tc>
        <w:tc>
          <w:tcPr>
            <w:tcW w:w="11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0.66</w:t>
            </w:r>
          </w:p>
        </w:tc>
        <w:tc>
          <w:tcPr>
            <w:tcW w:w="78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7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sz w:val="21"/>
                <w:szCs w:val="21"/>
                <w:lang w:val="en-US" w:eastAsia="zh-CN"/>
              </w:rPr>
              <w:t>备注</w:t>
            </w:r>
          </w:p>
        </w:tc>
        <w:tc>
          <w:tcPr>
            <w:tcW w:w="8601" w:type="dxa"/>
            <w:gridSpan w:val="13"/>
            <w:vAlign w:val="center"/>
          </w:tcPr>
          <w:p>
            <w:pPr>
              <w:keepNext w:val="0"/>
              <w:keepLines w:val="0"/>
              <w:widowControl/>
              <w:suppressLineNumbers w:val="0"/>
              <w:jc w:val="left"/>
              <w:rPr>
                <w:rFonts w:hint="eastAsia"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参考限</w:t>
            </w:r>
            <w:r>
              <w:rPr>
                <w:rFonts w:hint="eastAsia" w:ascii="Times New Roman" w:hAnsi="Times New Roman" w:eastAsia="宋体" w:cs="Times New Roman"/>
                <w:b w:val="0"/>
                <w:bCs w:val="0"/>
                <w:color w:val="auto"/>
                <w:kern w:val="2"/>
                <w:sz w:val="21"/>
                <w:szCs w:val="21"/>
                <w:highlight w:val="none"/>
                <w:lang w:val="en-US" w:eastAsia="zh-CN"/>
              </w:rPr>
              <w:t>值来源于《地下水环境质量标准》GB/T14848-2017表1及表2中Ⅲ类标准限值，</w:t>
            </w:r>
            <w:r>
              <w:rPr>
                <w:rFonts w:hint="default" w:ascii="Times New Roman" w:hAnsi="Times New Roman" w:eastAsia="宋体" w:cs="Times New Roman"/>
                <w:b w:val="0"/>
                <w:bCs w:val="0"/>
                <w:color w:val="auto"/>
                <w:sz w:val="21"/>
                <w:szCs w:val="21"/>
                <w:lang w:val="en-US" w:eastAsia="zh-CN"/>
              </w:rPr>
              <w:t>K</w:t>
            </w:r>
            <w:r>
              <w:rPr>
                <w:rFonts w:hint="default" w:ascii="Times New Roman" w:hAnsi="Times New Roman" w:eastAsia="宋体" w:cs="Times New Roman"/>
                <w:b w:val="0"/>
                <w:bCs w:val="0"/>
                <w:color w:val="auto"/>
                <w:sz w:val="21"/>
                <w:szCs w:val="21"/>
                <w:vertAlign w:val="superscript"/>
                <w:lang w:val="en-US" w:eastAsia="zh-CN"/>
              </w:rPr>
              <w:t>+</w:t>
            </w:r>
            <w:r>
              <w:rPr>
                <w:rFonts w:hint="default" w:ascii="Times New Roman" w:hAnsi="Times New Roman" w:eastAsia="宋体" w:cs="Times New Roman"/>
                <w:b w:val="0"/>
                <w:bCs w:val="0"/>
                <w:color w:val="auto"/>
                <w:kern w:val="0"/>
                <w:sz w:val="21"/>
                <w:szCs w:val="21"/>
                <w:lang w:val="en-US" w:eastAsia="zh-CN"/>
              </w:rPr>
              <w:t>*</w:t>
            </w:r>
            <w:r>
              <w:rPr>
                <w:rFonts w:hint="default" w:ascii="Times New Roman" w:hAnsi="Times New Roman" w:eastAsia="宋体" w:cs="Times New Roman"/>
                <w:b w:val="0"/>
                <w:bCs w:val="0"/>
                <w:color w:val="auto"/>
                <w:kern w:val="2"/>
                <w:sz w:val="21"/>
                <w:szCs w:val="21"/>
                <w:highlight w:val="none"/>
                <w:lang w:val="en-US" w:eastAsia="zh-CN"/>
              </w:rPr>
              <w:t>、</w:t>
            </w:r>
            <w:r>
              <w:rPr>
                <w:rFonts w:hint="default" w:ascii="Times New Roman" w:hAnsi="Times New Roman" w:eastAsia="宋体" w:cs="Times New Roman"/>
                <w:b w:val="0"/>
                <w:bCs w:val="0"/>
                <w:color w:val="auto"/>
                <w:sz w:val="21"/>
                <w:szCs w:val="21"/>
                <w:lang w:val="en-US" w:eastAsia="zh-CN"/>
              </w:rPr>
              <w:t>Na</w:t>
            </w:r>
            <w:r>
              <w:rPr>
                <w:rFonts w:hint="default" w:ascii="Times New Roman" w:hAnsi="Times New Roman" w:eastAsia="宋体" w:cs="Times New Roman"/>
                <w:b w:val="0"/>
                <w:bCs w:val="0"/>
                <w:color w:val="auto"/>
                <w:sz w:val="21"/>
                <w:szCs w:val="21"/>
                <w:vertAlign w:val="superscript"/>
                <w:lang w:val="en-US" w:eastAsia="zh-CN"/>
              </w:rPr>
              <w:t>+</w:t>
            </w:r>
            <w:r>
              <w:rPr>
                <w:rFonts w:hint="default" w:ascii="Times New Roman" w:hAnsi="Times New Roman" w:eastAsia="宋体" w:cs="Times New Roman"/>
                <w:b w:val="0"/>
                <w:bCs w:val="0"/>
                <w:color w:val="auto"/>
                <w:kern w:val="0"/>
                <w:sz w:val="21"/>
                <w:szCs w:val="21"/>
                <w:lang w:val="en-US" w:eastAsia="zh-CN"/>
              </w:rPr>
              <w:t>*</w:t>
            </w:r>
            <w:r>
              <w:rPr>
                <w:rFonts w:hint="default" w:ascii="Times New Roman" w:hAnsi="Times New Roman" w:eastAsia="宋体" w:cs="Times New Roman"/>
                <w:b w:val="0"/>
                <w:bCs w:val="0"/>
                <w:color w:val="auto"/>
                <w:kern w:val="2"/>
                <w:sz w:val="21"/>
                <w:szCs w:val="21"/>
                <w:highlight w:val="none"/>
                <w:lang w:val="en-US" w:eastAsia="zh-CN"/>
              </w:rPr>
              <w:t>、</w:t>
            </w:r>
            <w:r>
              <w:rPr>
                <w:rFonts w:hint="default" w:ascii="Times New Roman" w:hAnsi="Times New Roman" w:eastAsia="宋体" w:cs="Times New Roman"/>
                <w:b w:val="0"/>
                <w:bCs w:val="0"/>
                <w:color w:val="auto"/>
                <w:sz w:val="21"/>
                <w:szCs w:val="21"/>
                <w:lang w:val="en-US" w:eastAsia="zh-CN"/>
              </w:rPr>
              <w:t>Ca</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kern w:val="0"/>
                <w:sz w:val="21"/>
                <w:szCs w:val="21"/>
                <w:lang w:val="en-US" w:eastAsia="zh-CN"/>
              </w:rPr>
              <w:t>*</w:t>
            </w:r>
            <w:r>
              <w:rPr>
                <w:rFonts w:hint="default" w:ascii="Times New Roman" w:hAnsi="Times New Roman" w:eastAsia="宋体" w:cs="Times New Roman"/>
                <w:b w:val="0"/>
                <w:bCs w:val="0"/>
                <w:color w:val="auto"/>
                <w:kern w:val="2"/>
                <w:sz w:val="21"/>
                <w:szCs w:val="21"/>
                <w:highlight w:val="none"/>
                <w:lang w:val="en-US" w:eastAsia="zh-CN"/>
              </w:rPr>
              <w:t>、</w:t>
            </w:r>
            <w:r>
              <w:rPr>
                <w:rFonts w:hint="default" w:ascii="Times New Roman" w:hAnsi="Times New Roman" w:eastAsia="宋体" w:cs="Times New Roman"/>
                <w:b w:val="0"/>
                <w:bCs w:val="0"/>
                <w:color w:val="auto"/>
                <w:sz w:val="21"/>
                <w:szCs w:val="21"/>
                <w:lang w:val="en-US" w:eastAsia="zh-CN"/>
              </w:rPr>
              <w:t>Mg</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kern w:val="0"/>
                <w:sz w:val="21"/>
                <w:szCs w:val="21"/>
                <w:lang w:val="en-US" w:eastAsia="zh-CN"/>
              </w:rPr>
              <w:t>*</w:t>
            </w:r>
            <w:r>
              <w:rPr>
                <w:rFonts w:hint="default" w:ascii="Times New Roman" w:hAnsi="Times New Roman" w:eastAsia="宋体" w:cs="Times New Roman"/>
                <w:b w:val="0"/>
                <w:bCs w:val="0"/>
                <w:color w:val="auto"/>
                <w:kern w:val="2"/>
                <w:sz w:val="21"/>
                <w:szCs w:val="21"/>
                <w:highlight w:val="none"/>
                <w:lang w:val="en-US" w:eastAsia="zh-CN"/>
              </w:rPr>
              <w:t>、</w:t>
            </w:r>
            <w:r>
              <w:rPr>
                <w:rFonts w:hint="default" w:ascii="Times New Roman" w:hAnsi="Times New Roman" w:eastAsia="宋体" w:cs="Times New Roman"/>
                <w:b w:val="0"/>
                <w:bCs w:val="0"/>
                <w:color w:val="auto"/>
                <w:sz w:val="21"/>
                <w:szCs w:val="21"/>
                <w:lang w:val="en-US" w:eastAsia="zh-CN"/>
              </w:rPr>
              <w:t>CO</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kern w:val="0"/>
                <w:sz w:val="21"/>
                <w:szCs w:val="21"/>
                <w:lang w:val="en-US" w:eastAsia="zh-CN"/>
              </w:rPr>
              <w:t>*</w:t>
            </w:r>
            <w:r>
              <w:rPr>
                <w:rFonts w:hint="default" w:ascii="Times New Roman" w:hAnsi="Times New Roman" w:eastAsia="宋体" w:cs="Times New Roman"/>
                <w:b w:val="0"/>
                <w:bCs w:val="0"/>
                <w:color w:val="auto"/>
                <w:kern w:val="2"/>
                <w:sz w:val="21"/>
                <w:szCs w:val="21"/>
                <w:highlight w:val="none"/>
                <w:lang w:val="en-US" w:eastAsia="zh-CN"/>
              </w:rPr>
              <w:t>、</w:t>
            </w:r>
            <w:r>
              <w:rPr>
                <w:rFonts w:hint="default" w:ascii="Times New Roman" w:hAnsi="Times New Roman" w:eastAsia="宋体" w:cs="Times New Roman"/>
                <w:b w:val="0"/>
                <w:bCs w:val="0"/>
                <w:color w:val="auto"/>
                <w:sz w:val="21"/>
                <w:szCs w:val="21"/>
                <w:vertAlign w:val="baseline"/>
                <w:lang w:val="en-US" w:eastAsia="zh-CN"/>
              </w:rPr>
              <w:t>HCO</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vertAlign w:val="superscript"/>
                <w:lang w:val="en-US" w:eastAsia="zh-CN"/>
              </w:rPr>
              <w:t>-</w:t>
            </w:r>
            <w:r>
              <w:rPr>
                <w:rFonts w:hint="default" w:ascii="Times New Roman" w:hAnsi="Times New Roman" w:eastAsia="宋体" w:cs="Times New Roman"/>
                <w:b w:val="0"/>
                <w:bCs w:val="0"/>
                <w:color w:val="auto"/>
                <w:kern w:val="0"/>
                <w:sz w:val="21"/>
                <w:szCs w:val="21"/>
                <w:lang w:val="en-US" w:eastAsia="zh-CN"/>
              </w:rPr>
              <w:t>*</w:t>
            </w:r>
            <w:r>
              <w:rPr>
                <w:rFonts w:hint="eastAsia" w:ascii="Times New Roman" w:hAnsi="Times New Roman" w:eastAsia="宋体" w:cs="Times New Roman"/>
                <w:b w:val="0"/>
                <w:bCs w:val="0"/>
                <w:color w:val="auto"/>
                <w:kern w:val="2"/>
                <w:sz w:val="21"/>
                <w:szCs w:val="21"/>
                <w:highlight w:val="none"/>
                <w:lang w:val="en-US" w:eastAsia="zh-CN"/>
              </w:rPr>
              <w:t>、</w:t>
            </w:r>
            <w:r>
              <w:rPr>
                <w:rFonts w:hint="default" w:ascii="Times New Roman" w:hAnsi="Times New Roman" w:eastAsia="宋体" w:cs="Times New Roman"/>
                <w:b w:val="0"/>
                <w:bCs w:val="0"/>
                <w:color w:val="auto"/>
                <w:kern w:val="2"/>
                <w:sz w:val="21"/>
                <w:szCs w:val="21"/>
                <w:highlight w:val="none"/>
                <w:lang w:val="en-US" w:eastAsia="zh-CN"/>
              </w:rPr>
              <w:t>总硬度*</w:t>
            </w:r>
            <w:r>
              <w:rPr>
                <w:rFonts w:hint="eastAsia" w:ascii="Times New Roman" w:hAnsi="Times New Roman" w:eastAsia="宋体" w:cs="Times New Roman"/>
                <w:b w:val="0"/>
                <w:bCs w:val="0"/>
                <w:color w:val="auto"/>
                <w:kern w:val="2"/>
                <w:sz w:val="21"/>
                <w:szCs w:val="21"/>
                <w:highlight w:val="none"/>
                <w:lang w:val="en-US" w:eastAsia="zh-CN"/>
              </w:rPr>
              <w:t>分</w:t>
            </w:r>
            <w:r>
              <w:rPr>
                <w:rFonts w:hint="default" w:ascii="Times New Roman" w:hAnsi="Times New Roman" w:eastAsia="宋体" w:cs="Times New Roman"/>
                <w:b w:val="0"/>
                <w:bCs w:val="0"/>
                <w:color w:val="auto"/>
                <w:kern w:val="2"/>
                <w:sz w:val="21"/>
                <w:szCs w:val="21"/>
                <w:highlight w:val="none"/>
                <w:lang w:val="en-US" w:eastAsia="zh-CN"/>
              </w:rPr>
              <w:t>包数据来源于湖南昌旭环保科技有限公司出具的检测报告，报告编号为：</w:t>
            </w:r>
            <w:r>
              <w:rPr>
                <w:rFonts w:hint="eastAsia" w:ascii="Times New Roman" w:hAnsi="Times New Roman" w:cs="Times New Roman"/>
                <w:b w:val="0"/>
                <w:bCs w:val="0"/>
                <w:color w:val="auto"/>
                <w:kern w:val="2"/>
                <w:sz w:val="21"/>
                <w:szCs w:val="21"/>
                <w:highlight w:val="none"/>
                <w:lang w:val="en-US" w:eastAsia="zh-CN"/>
              </w:rPr>
              <w:t>HNCX24B06048</w:t>
            </w:r>
            <w:r>
              <w:rPr>
                <w:rFonts w:hint="default" w:ascii="Times New Roman" w:hAnsi="Times New Roman" w:cs="Times New Roman"/>
                <w:b w:val="0"/>
                <w:bCs w:val="0"/>
                <w:color w:val="auto"/>
                <w:kern w:val="2"/>
                <w:sz w:val="21"/>
                <w:szCs w:val="21"/>
                <w:highlight w:val="none"/>
                <w:lang w:val="en-US" w:eastAsia="zh-CN"/>
              </w:rPr>
              <w:t>。</w:t>
            </w:r>
          </w:p>
        </w:tc>
      </w:tr>
    </w:tbl>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ascii="Times New Roman" w:hAnsi="Times New Roman" w:cs="Times New Roman"/>
        </w:rPr>
        <w:t>根据监测结果，项目所在区域地下水</w:t>
      </w:r>
      <w:r>
        <w:rPr>
          <w:rFonts w:hint="eastAsia" w:ascii="Times New Roman" w:hAnsi="Times New Roman" w:cs="Times New Roman"/>
          <w:lang w:eastAsia="zh-CN"/>
        </w:rPr>
        <w:t>（</w:t>
      </w:r>
      <w:r>
        <w:rPr>
          <w:rFonts w:hint="eastAsia" w:ascii="Times New Roman" w:hAnsi="Times New Roman" w:cs="Times New Roman"/>
          <w:snapToGrid w:val="0"/>
          <w:lang w:eastAsia="zh-CN"/>
        </w:rPr>
        <w:t>城连圩饮用水源水井</w:t>
      </w:r>
      <w:r>
        <w:rPr>
          <w:rFonts w:hint="eastAsia" w:ascii="Times New Roman" w:hAnsi="Times New Roman" w:cs="Times New Roman"/>
          <w:lang w:eastAsia="zh-CN"/>
        </w:rPr>
        <w:t>）</w:t>
      </w:r>
      <w:r>
        <w:rPr>
          <w:rFonts w:hint="eastAsia" w:ascii="Times New Roman" w:hAnsi="Times New Roman" w:cs="Times New Roman"/>
          <w:snapToGrid w:val="0"/>
          <w:lang w:eastAsia="zh-CN"/>
        </w:rPr>
        <w:t>水</w:t>
      </w:r>
      <w:r>
        <w:rPr>
          <w:rFonts w:hint="eastAsia" w:ascii="Times New Roman" w:hAnsi="Times New Roman" w:cs="Times New Roman"/>
        </w:rPr>
        <w:t>环境质量满足《地下水质量标准》  GB/T14848-2017 中Ⅲ类标准要求。</w:t>
      </w:r>
    </w:p>
    <w:p>
      <w:pPr>
        <w:autoSpaceDE/>
        <w:autoSpaceDN/>
        <w:adjustRightInd w:val="0"/>
        <w:snapToGrid w:val="0"/>
        <w:spacing w:line="360" w:lineRule="auto"/>
        <w:jc w:val="both"/>
        <w:outlineLvl w:val="2"/>
        <w:rPr>
          <w:rFonts w:ascii="Times New Roman" w:hAnsi="Times New Roman" w:cs="Times New Roman"/>
          <w:b/>
          <w:sz w:val="28"/>
          <w:szCs w:val="24"/>
        </w:rPr>
      </w:pPr>
      <w:bookmarkStart w:id="255" w:name="_Toc5510"/>
      <w:bookmarkStart w:id="256" w:name="_Toc66206082"/>
      <w:bookmarkStart w:id="257" w:name="_Toc82593156"/>
      <w:bookmarkStart w:id="258" w:name="_Toc69284608"/>
      <w:r>
        <w:rPr>
          <w:rFonts w:ascii="Times New Roman" w:hAnsi="Times New Roman" w:cs="Times New Roman"/>
          <w:b/>
          <w:sz w:val="28"/>
          <w:szCs w:val="24"/>
        </w:rPr>
        <w:t>4.</w:t>
      </w:r>
      <w:r>
        <w:rPr>
          <w:rFonts w:hint="eastAsia" w:ascii="Times New Roman" w:hAnsi="Times New Roman" w:cs="Times New Roman"/>
          <w:b/>
          <w:sz w:val="28"/>
          <w:szCs w:val="24"/>
          <w:lang w:val="en-US" w:eastAsia="zh-CN"/>
        </w:rPr>
        <w:t>4</w:t>
      </w:r>
      <w:r>
        <w:rPr>
          <w:rFonts w:ascii="Times New Roman" w:hAnsi="Times New Roman" w:cs="Times New Roman"/>
          <w:b/>
          <w:sz w:val="28"/>
          <w:szCs w:val="24"/>
        </w:rPr>
        <w:t>.</w:t>
      </w:r>
      <w:r>
        <w:rPr>
          <w:rFonts w:hint="eastAsia" w:ascii="Times New Roman" w:hAnsi="Times New Roman" w:cs="Times New Roman"/>
          <w:b/>
          <w:sz w:val="28"/>
          <w:szCs w:val="24"/>
          <w:lang w:val="en-US" w:eastAsia="zh-CN"/>
        </w:rPr>
        <w:t>4</w:t>
      </w:r>
      <w:r>
        <w:rPr>
          <w:rFonts w:ascii="Times New Roman" w:hAnsi="Times New Roman" w:cs="Times New Roman"/>
          <w:b/>
          <w:sz w:val="28"/>
          <w:szCs w:val="24"/>
        </w:rPr>
        <w:t>声环境量现状调查与评价</w:t>
      </w:r>
      <w:bookmarkEnd w:id="255"/>
      <w:bookmarkEnd w:id="256"/>
      <w:bookmarkEnd w:id="257"/>
      <w:bookmarkEnd w:id="258"/>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 xml:space="preserve">工程涉及范围较广，各敏感点以社会生活噪声为主，监测点的布置以能反映沿线敏感点的声环境现状为原则，采用“以点代线，反馈全线”的方法。 </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（1）监测布点：根据本项目周边声环境敏感点分布现状特征，共设</w:t>
      </w:r>
      <w:r>
        <w:rPr>
          <w:rFonts w:hint="eastAsia" w:ascii="Times New Roman" w:hAnsi="Times New Roman" w:cs="Times New Roman"/>
          <w:snapToGrid w:val="0"/>
          <w:lang w:val="en-US" w:eastAsia="zh-CN"/>
        </w:rPr>
        <w:t>16</w:t>
      </w:r>
      <w:r>
        <w:rPr>
          <w:rFonts w:ascii="Times New Roman" w:hAnsi="Times New Roman" w:cs="Times New Roman"/>
          <w:snapToGrid w:val="0"/>
        </w:rPr>
        <w:t>个噪声监测点（N1~N</w:t>
      </w:r>
      <w:r>
        <w:rPr>
          <w:rFonts w:hint="eastAsia" w:ascii="Times New Roman" w:hAnsi="Times New Roman" w:cs="Times New Roman"/>
          <w:snapToGrid w:val="0"/>
          <w:lang w:val="en-US" w:eastAsia="zh-CN"/>
        </w:rPr>
        <w:t>8</w:t>
      </w:r>
      <w:r>
        <w:rPr>
          <w:rFonts w:ascii="Times New Roman" w:hAnsi="Times New Roman" w:cs="Times New Roman"/>
          <w:snapToGrid w:val="0"/>
        </w:rPr>
        <w:t>），具体布点位置详见附图2所示。</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（2）监测项目：等效连续 A 声级 Leq（A）。</w:t>
      </w:r>
    </w:p>
    <w:p>
      <w:pPr>
        <w:pStyle w:val="2"/>
        <w:autoSpaceDE/>
        <w:autoSpaceDN/>
        <w:adjustRightInd w:val="0"/>
        <w:snapToGrid w:val="0"/>
        <w:spacing w:before="0" w:line="360" w:lineRule="auto"/>
        <w:ind w:left="0" w:firstLine="480" w:firstLineChars="200"/>
        <w:jc w:val="both"/>
        <w:rPr>
          <w:rFonts w:hint="default" w:ascii="Times New Roman" w:hAnsi="Times New Roman" w:eastAsia="宋体" w:cs="Times New Roman"/>
          <w:snapToGrid w:val="0"/>
          <w:lang w:val="en-US" w:eastAsia="zh-CN"/>
        </w:rPr>
      </w:pPr>
      <w:r>
        <w:rPr>
          <w:rFonts w:ascii="Times New Roman" w:hAnsi="Times New Roman" w:cs="Times New Roman"/>
          <w:snapToGrid w:val="0"/>
        </w:rPr>
        <w:t>（3）监测时间：202</w:t>
      </w:r>
      <w:r>
        <w:rPr>
          <w:rFonts w:hint="eastAsia" w:ascii="Times New Roman" w:hAnsi="Times New Roman" w:cs="Times New Roman"/>
          <w:snapToGrid w:val="0"/>
          <w:lang w:val="en-US" w:eastAsia="zh-CN"/>
        </w:rPr>
        <w:t>4</w:t>
      </w:r>
      <w:r>
        <w:rPr>
          <w:rFonts w:ascii="Times New Roman" w:hAnsi="Times New Roman" w:cs="Times New Roman"/>
          <w:snapToGrid w:val="0"/>
        </w:rPr>
        <w:t>年</w:t>
      </w:r>
      <w:r>
        <w:rPr>
          <w:rFonts w:hint="eastAsia" w:ascii="Times New Roman" w:hAnsi="Times New Roman" w:cs="Times New Roman"/>
          <w:snapToGrid w:val="0"/>
          <w:lang w:val="en-US" w:eastAsia="zh-CN"/>
        </w:rPr>
        <w:t>6</w:t>
      </w:r>
      <w:r>
        <w:rPr>
          <w:rFonts w:ascii="Times New Roman" w:hAnsi="Times New Roman" w:cs="Times New Roman"/>
          <w:snapToGrid w:val="0"/>
        </w:rPr>
        <w:t>月</w:t>
      </w:r>
      <w:r>
        <w:rPr>
          <w:rFonts w:hint="eastAsia" w:ascii="Times New Roman" w:hAnsi="Times New Roman" w:cs="Times New Roman"/>
          <w:snapToGrid w:val="0"/>
          <w:lang w:val="en-US" w:eastAsia="zh-CN"/>
        </w:rPr>
        <w:t>7</w:t>
      </w:r>
      <w:r>
        <w:rPr>
          <w:rFonts w:ascii="Times New Roman" w:hAnsi="Times New Roman" w:cs="Times New Roman"/>
          <w:snapToGrid w:val="0"/>
        </w:rPr>
        <w:t>日</w:t>
      </w:r>
      <w:r>
        <w:rPr>
          <w:rFonts w:hint="eastAsia" w:ascii="Times New Roman" w:hAnsi="Times New Roman" w:cs="Times New Roman"/>
          <w:snapToGrid w:val="0"/>
          <w:lang w:val="en-US" w:eastAsia="zh-CN"/>
        </w:rPr>
        <w:t>-8日</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（4）监测结果：环境噪声现状监测结果见下表。</w:t>
      </w:r>
    </w:p>
    <w:p>
      <w:pPr>
        <w:tabs>
          <w:tab w:val="left" w:pos="2602"/>
        </w:tabs>
        <w:autoSpaceDE/>
        <w:autoSpaceDN/>
        <w:adjustRightInd w:val="0"/>
        <w:snapToGrid w:val="0"/>
        <w:spacing w:line="360" w:lineRule="auto"/>
        <w:jc w:val="center"/>
        <w:rPr>
          <w:rFonts w:ascii="Times New Roman" w:hAnsi="Times New Roman" w:cs="Times New Roman"/>
          <w:b/>
          <w:snapToGrid w:val="0"/>
          <w:sz w:val="24"/>
          <w:szCs w:val="24"/>
        </w:rPr>
      </w:pPr>
      <w:r>
        <w:rPr>
          <w:rFonts w:ascii="Times New Roman" w:hAnsi="Times New Roman" w:cs="Times New Roman"/>
          <w:b/>
          <w:snapToGrid w:val="0"/>
          <w:sz w:val="24"/>
          <w:szCs w:val="24"/>
        </w:rPr>
        <w:t>表4.</w:t>
      </w:r>
      <w:r>
        <w:rPr>
          <w:rFonts w:hint="eastAsia" w:ascii="Times New Roman" w:hAnsi="Times New Roman" w:cs="Times New Roman"/>
          <w:b/>
          <w:snapToGrid w:val="0"/>
          <w:sz w:val="24"/>
          <w:szCs w:val="24"/>
          <w:lang w:val="en-US" w:eastAsia="zh-CN"/>
        </w:rPr>
        <w:t>4</w:t>
      </w:r>
      <w:r>
        <w:rPr>
          <w:rFonts w:ascii="Times New Roman" w:hAnsi="Times New Roman" w:cs="Times New Roman"/>
          <w:b/>
          <w:snapToGrid w:val="0"/>
          <w:sz w:val="24"/>
          <w:szCs w:val="24"/>
        </w:rPr>
        <w:t>.</w:t>
      </w:r>
      <w:r>
        <w:rPr>
          <w:rFonts w:hint="eastAsia" w:ascii="Times New Roman" w:hAnsi="Times New Roman" w:cs="Times New Roman"/>
          <w:b/>
          <w:snapToGrid w:val="0"/>
          <w:sz w:val="24"/>
          <w:szCs w:val="24"/>
          <w:lang w:val="en-US" w:eastAsia="zh-CN"/>
        </w:rPr>
        <w:t>4</w:t>
      </w:r>
      <w:r>
        <w:rPr>
          <w:rFonts w:ascii="Times New Roman" w:hAnsi="Times New Roman" w:cs="Times New Roman"/>
          <w:b/>
          <w:snapToGrid w:val="0"/>
          <w:sz w:val="24"/>
          <w:szCs w:val="24"/>
        </w:rPr>
        <w:t xml:space="preserve">  项目声环境现状监测数据</w:t>
      </w:r>
    </w:p>
    <w:tbl>
      <w:tblPr>
        <w:tblStyle w:val="89"/>
        <w:tblW w:w="91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1648"/>
        <w:gridCol w:w="1600"/>
        <w:gridCol w:w="2344"/>
        <w:gridCol w:w="18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val="en-US" w:eastAsia="zh-CN"/>
              </w:rPr>
              <w:t>检测点位</w:t>
            </w:r>
          </w:p>
        </w:tc>
        <w:tc>
          <w:tcPr>
            <w:tcW w:w="324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color w:val="auto"/>
                <w:sz w:val="21"/>
                <w:szCs w:val="21"/>
              </w:rPr>
            </w:pPr>
            <w:r>
              <w:rPr>
                <w:rFonts w:hint="default" w:ascii="Times New Roman" w:hAnsi="Times New Roman" w:cs="Times New Roman"/>
                <w:b/>
                <w:color w:val="auto"/>
                <w:sz w:val="21"/>
                <w:szCs w:val="21"/>
                <w:lang w:val="en-US" w:eastAsia="zh-CN"/>
              </w:rPr>
              <w:t>检测</w:t>
            </w:r>
            <w:r>
              <w:rPr>
                <w:rFonts w:hint="default" w:ascii="Times New Roman" w:hAnsi="Times New Roman" w:eastAsia="宋体" w:cs="Times New Roman"/>
                <w:b/>
                <w:color w:val="auto"/>
                <w:sz w:val="21"/>
                <w:szCs w:val="21"/>
              </w:rPr>
              <w:t>时间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val="en-US" w:eastAsia="zh-CN"/>
              </w:rPr>
              <w:t>检测</w:t>
            </w:r>
            <w:r>
              <w:rPr>
                <w:rFonts w:hint="default" w:ascii="Times New Roman" w:hAnsi="Times New Roman" w:eastAsia="宋体" w:cs="Times New Roman"/>
                <w:b/>
                <w:color w:val="auto"/>
                <w:sz w:val="21"/>
                <w:szCs w:val="21"/>
              </w:rPr>
              <w:t>结果</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Leq〔dB</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lang w:val="en-US" w:eastAsia="zh-CN"/>
              </w:rPr>
              <w:t>A</w:t>
            </w:r>
            <w:r>
              <w:rPr>
                <w:rFonts w:hint="default" w:ascii="Times New Roman" w:hAnsi="Times New Roman" w:eastAsia="宋体" w:cs="Times New Roman"/>
                <w:b/>
                <w:color w:val="auto"/>
                <w:sz w:val="21"/>
                <w:szCs w:val="21"/>
                <w:lang w:eastAsia="zh-CN"/>
              </w:rPr>
              <w:t>））</w:t>
            </w:r>
          </w:p>
        </w:tc>
        <w:tc>
          <w:tcPr>
            <w:tcW w:w="1822" w:type="dxa"/>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1"/>
                <w:szCs w:val="21"/>
                <w:lang w:eastAsia="zh-CN"/>
              </w:rPr>
            </w:pPr>
            <w:r>
              <w:rPr>
                <w:rFonts w:hint="default" w:ascii="Times New Roman" w:hAnsi="Times New Roman" w:cs="Times New Roman"/>
                <w:b/>
                <w:bCs/>
                <w:i w:val="0"/>
                <w:color w:val="000000"/>
                <w:kern w:val="0"/>
                <w:sz w:val="21"/>
                <w:szCs w:val="21"/>
                <w:u w:val="none"/>
                <w:lang w:val="en-US" w:eastAsia="zh-CN" w:bidi="ar"/>
              </w:rPr>
              <w:t>参考限值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太公山居民点N1</w:t>
            </w:r>
          </w:p>
        </w:tc>
        <w:tc>
          <w:tcPr>
            <w:tcW w:w="164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06月07日</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FF"/>
                <w:kern w:val="2"/>
                <w:sz w:val="21"/>
                <w:szCs w:val="21"/>
                <w:lang w:val="en-US" w:eastAsia="zh-CN"/>
              </w:rPr>
            </w:pPr>
            <w:r>
              <w:rPr>
                <w:rFonts w:hint="default" w:ascii="Times New Roman" w:hAnsi="Times New Roman" w:cs="Times New Roman"/>
                <w:color w:val="auto"/>
                <w:sz w:val="21"/>
                <w:szCs w:val="21"/>
                <w:lang w:val="en-US" w:eastAsia="zh-CN"/>
              </w:rPr>
              <w:t>-06月08日</w:t>
            </w: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昼间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54.8</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continue"/>
            <w:vAlign w:val="center"/>
          </w:tcPr>
          <w:p>
            <w:pPr>
              <w:pStyle w:val="2992"/>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夜间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45.7</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color w:val="auto"/>
                <w:sz w:val="21"/>
                <w:szCs w:val="21"/>
                <w:lang w:val="en-US" w:eastAsia="zh-CN"/>
              </w:rPr>
              <w:t>石竹山居民点N2</w:t>
            </w: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昼间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54.9</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continue"/>
            <w:vAlign w:val="center"/>
          </w:tcPr>
          <w:p>
            <w:pPr>
              <w:pStyle w:val="2992"/>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夜间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45.8</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color w:val="auto"/>
                <w:sz w:val="21"/>
                <w:szCs w:val="21"/>
                <w:lang w:val="en-US" w:eastAsia="zh-CN"/>
              </w:rPr>
              <w:t>蒋家桥集镇居民点N3</w:t>
            </w: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昼间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52.3</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continue"/>
            <w:vAlign w:val="center"/>
          </w:tcPr>
          <w:p>
            <w:pPr>
              <w:pStyle w:val="2992"/>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夜间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46.0</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白屋院居民点N4</w:t>
            </w: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昼间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53.6</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continue"/>
            <w:vAlign w:val="center"/>
          </w:tcPr>
          <w:p>
            <w:pPr>
              <w:pStyle w:val="2992"/>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夜间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45.4</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司福新村居民点N5</w:t>
            </w: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昼间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53.7</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continue"/>
            <w:vAlign w:val="center"/>
          </w:tcPr>
          <w:p>
            <w:pPr>
              <w:pStyle w:val="2992"/>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outlineLvl w:val="9"/>
              <w:rPr>
                <w:rFonts w:hint="default" w:ascii="Times New Roman" w:hAnsi="Times New Roman" w:eastAsia="宋体" w:cs="Times New Roman"/>
                <w:sz w:val="21"/>
                <w:szCs w:val="21"/>
                <w:lang w:val="en-US" w:eastAsia="zh-CN"/>
              </w:rPr>
            </w:pP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夜间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43.2</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线子排居民点N6</w:t>
            </w: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FF"/>
                <w:kern w:val="2"/>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昼间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52.3</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continue"/>
            <w:vAlign w:val="center"/>
          </w:tcPr>
          <w:p>
            <w:pPr>
              <w:pStyle w:val="2992"/>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outlineLvl w:val="9"/>
              <w:rPr>
                <w:rFonts w:hint="default" w:ascii="Times New Roman" w:hAnsi="Times New Roman" w:eastAsia="宋体" w:cs="Times New Roman"/>
                <w:sz w:val="21"/>
                <w:szCs w:val="21"/>
                <w:lang w:val="en-US" w:eastAsia="zh-CN"/>
              </w:rPr>
            </w:pP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夜间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43.2</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唐家门前居民点N7</w:t>
            </w: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昼间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51.7</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continue"/>
            <w:vAlign w:val="center"/>
          </w:tcPr>
          <w:p>
            <w:pPr>
              <w:pStyle w:val="2992"/>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outlineLvl w:val="9"/>
              <w:rPr>
                <w:rFonts w:hint="default" w:ascii="Times New Roman" w:hAnsi="Times New Roman" w:eastAsia="宋体" w:cs="Times New Roman"/>
                <w:sz w:val="21"/>
                <w:szCs w:val="21"/>
                <w:lang w:val="en-US" w:eastAsia="zh-CN"/>
              </w:rPr>
            </w:pP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夜间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42.7</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双江村居民点N8</w:t>
            </w: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昼间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52.8</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continue"/>
            <w:vAlign w:val="center"/>
          </w:tcPr>
          <w:p>
            <w:pPr>
              <w:pStyle w:val="2992"/>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outlineLvl w:val="9"/>
              <w:rPr>
                <w:rFonts w:hint="default" w:ascii="Times New Roman" w:hAnsi="Times New Roman" w:eastAsia="宋体" w:cs="Times New Roman"/>
                <w:sz w:val="21"/>
                <w:szCs w:val="21"/>
                <w:lang w:val="en-US" w:eastAsia="zh-CN"/>
              </w:rPr>
            </w:pP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夜间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42.9</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太公山居民点N1</w:t>
            </w:r>
          </w:p>
        </w:tc>
        <w:tc>
          <w:tcPr>
            <w:tcW w:w="164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06月08日</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FF"/>
                <w:kern w:val="2"/>
                <w:sz w:val="21"/>
                <w:szCs w:val="21"/>
                <w:lang w:val="en-US" w:eastAsia="zh-CN"/>
              </w:rPr>
            </w:pPr>
            <w:r>
              <w:rPr>
                <w:rFonts w:hint="default" w:ascii="Times New Roman" w:hAnsi="Times New Roman" w:cs="Times New Roman"/>
                <w:color w:val="auto"/>
                <w:sz w:val="21"/>
                <w:szCs w:val="21"/>
                <w:lang w:val="en-US" w:eastAsia="zh-CN"/>
              </w:rPr>
              <w:t>-06月09日</w:t>
            </w: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昼间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52.9</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continue"/>
            <w:vAlign w:val="center"/>
          </w:tcPr>
          <w:p>
            <w:pPr>
              <w:pStyle w:val="2992"/>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outlineLvl w:val="9"/>
              <w:rPr>
                <w:rFonts w:hint="default" w:ascii="Times New Roman" w:hAnsi="Times New Roman" w:eastAsia="宋体" w:cs="Times New Roman"/>
                <w:sz w:val="21"/>
                <w:szCs w:val="21"/>
                <w:lang w:val="en-US" w:eastAsia="zh-CN"/>
              </w:rPr>
            </w:pP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夜间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45.5</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kern w:val="2"/>
                <w:sz w:val="21"/>
                <w:szCs w:val="21"/>
                <w:lang w:val="en-US" w:eastAsia="zh-CN"/>
              </w:rPr>
            </w:pPr>
            <w:r>
              <w:rPr>
                <w:rFonts w:hint="default" w:ascii="Times New Roman" w:hAnsi="Times New Roman" w:cs="Times New Roman"/>
                <w:color w:val="auto"/>
                <w:sz w:val="21"/>
                <w:szCs w:val="21"/>
                <w:lang w:val="en-US" w:eastAsia="zh-CN"/>
              </w:rPr>
              <w:t>石竹山居民点N2</w:t>
            </w: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昼间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53.0</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continue"/>
            <w:vAlign w:val="center"/>
          </w:tcPr>
          <w:p>
            <w:pPr>
              <w:pStyle w:val="2992"/>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outlineLvl w:val="9"/>
              <w:rPr>
                <w:rFonts w:hint="default" w:ascii="Times New Roman" w:hAnsi="Times New Roman" w:eastAsia="宋体" w:cs="Times New Roman"/>
                <w:sz w:val="21"/>
                <w:szCs w:val="21"/>
                <w:lang w:val="en-US" w:eastAsia="zh-CN"/>
              </w:rPr>
            </w:pP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夜间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45.8</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kern w:val="2"/>
                <w:sz w:val="21"/>
                <w:szCs w:val="21"/>
                <w:lang w:val="en-US" w:eastAsia="zh-CN"/>
              </w:rPr>
            </w:pPr>
            <w:r>
              <w:rPr>
                <w:rFonts w:hint="default" w:ascii="Times New Roman" w:hAnsi="Times New Roman" w:cs="Times New Roman"/>
                <w:color w:val="auto"/>
                <w:sz w:val="21"/>
                <w:szCs w:val="21"/>
                <w:lang w:val="en-US" w:eastAsia="zh-CN"/>
              </w:rPr>
              <w:t>蒋家桥集镇居民点N3</w:t>
            </w: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昼间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50.3</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continue"/>
            <w:vAlign w:val="center"/>
          </w:tcPr>
          <w:p>
            <w:pPr>
              <w:pStyle w:val="2992"/>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outlineLvl w:val="9"/>
              <w:rPr>
                <w:rFonts w:hint="default" w:ascii="Times New Roman" w:hAnsi="Times New Roman" w:eastAsia="宋体" w:cs="Times New Roman"/>
                <w:sz w:val="21"/>
                <w:szCs w:val="21"/>
                <w:lang w:val="en-US" w:eastAsia="zh-CN"/>
              </w:rPr>
            </w:pP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夜间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43.8</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白屋院居民点N4</w:t>
            </w: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昼间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52.8</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continue"/>
            <w:vAlign w:val="center"/>
          </w:tcPr>
          <w:p>
            <w:pPr>
              <w:pStyle w:val="2992"/>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outlineLvl w:val="9"/>
              <w:rPr>
                <w:rFonts w:hint="default" w:ascii="Times New Roman" w:hAnsi="Times New Roman" w:eastAsia="宋体" w:cs="Times New Roman"/>
                <w:sz w:val="21"/>
                <w:szCs w:val="21"/>
                <w:lang w:val="en-US" w:eastAsia="zh-CN"/>
              </w:rPr>
            </w:pP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夜间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43.4</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司福新村居民点N5</w:t>
            </w: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昼间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52.2</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continue"/>
            <w:vAlign w:val="center"/>
          </w:tcPr>
          <w:p>
            <w:pPr>
              <w:pStyle w:val="2992"/>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outlineLvl w:val="9"/>
              <w:rPr>
                <w:rFonts w:hint="default" w:ascii="Times New Roman" w:hAnsi="Times New Roman" w:eastAsia="宋体" w:cs="Times New Roman"/>
                <w:sz w:val="21"/>
                <w:szCs w:val="21"/>
                <w:lang w:val="en-US" w:eastAsia="zh-CN"/>
              </w:rPr>
            </w:pP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夜间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43.5</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线子排居民点N6</w:t>
            </w: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昼间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53.0</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continue"/>
            <w:vAlign w:val="center"/>
          </w:tcPr>
          <w:p>
            <w:pPr>
              <w:pStyle w:val="2992"/>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outlineLvl w:val="9"/>
              <w:rPr>
                <w:rFonts w:hint="default" w:ascii="Times New Roman" w:hAnsi="Times New Roman" w:eastAsia="宋体" w:cs="Times New Roman"/>
                <w:sz w:val="21"/>
                <w:szCs w:val="21"/>
                <w:lang w:val="en-US" w:eastAsia="zh-CN"/>
              </w:rPr>
            </w:pP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夜间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43.5</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唐家门前居民点N7</w:t>
            </w: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昼间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52.4</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continue"/>
            <w:vAlign w:val="center"/>
          </w:tcPr>
          <w:p>
            <w:pPr>
              <w:pStyle w:val="2992"/>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outlineLvl w:val="9"/>
              <w:rPr>
                <w:rFonts w:hint="default" w:ascii="Times New Roman" w:hAnsi="Times New Roman" w:eastAsia="宋体" w:cs="Times New Roman"/>
                <w:sz w:val="21"/>
                <w:szCs w:val="21"/>
                <w:lang w:val="en-US" w:eastAsia="zh-CN"/>
              </w:rPr>
            </w:pP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夜间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43.2</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双江村居民点N8</w:t>
            </w: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昼间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52.7</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Merge w:val="continue"/>
            <w:vAlign w:val="center"/>
          </w:tcPr>
          <w:p>
            <w:pPr>
              <w:pStyle w:val="2992"/>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outlineLvl w:val="9"/>
              <w:rPr>
                <w:rFonts w:hint="default" w:ascii="Times New Roman" w:hAnsi="Times New Roman" w:eastAsia="宋体" w:cs="Times New Roman"/>
                <w:sz w:val="21"/>
                <w:szCs w:val="21"/>
                <w:lang w:val="en-US" w:eastAsia="zh-CN"/>
              </w:rPr>
            </w:pPr>
          </w:p>
        </w:tc>
        <w:tc>
          <w:tcPr>
            <w:tcW w:w="164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p>
        </w:tc>
        <w:tc>
          <w:tcPr>
            <w:tcW w:w="1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夜间</w:t>
            </w:r>
          </w:p>
        </w:tc>
        <w:tc>
          <w:tcPr>
            <w:tcW w:w="23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44.6</w:t>
            </w:r>
          </w:p>
        </w:tc>
        <w:tc>
          <w:tcPr>
            <w:tcW w:w="182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备注</w:t>
            </w:r>
          </w:p>
        </w:tc>
        <w:tc>
          <w:tcPr>
            <w:tcW w:w="7414"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sz w:val="21"/>
                <w:szCs w:val="21"/>
                <w:lang w:val="en-US" w:eastAsia="zh-CN"/>
              </w:rPr>
              <w:t>参考限值</w:t>
            </w:r>
            <w:r>
              <w:rPr>
                <w:rFonts w:hint="default" w:ascii="Times New Roman" w:hAnsi="Times New Roman" w:cs="Times New Roman"/>
                <w:color w:val="auto"/>
                <w:sz w:val="21"/>
                <w:szCs w:val="21"/>
                <w:lang w:val="en-US" w:eastAsia="zh-CN"/>
              </w:rPr>
              <w:t>来源于</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声环境质量</w:t>
            </w:r>
            <w:r>
              <w:rPr>
                <w:rFonts w:hint="default" w:ascii="Times New Roman" w:hAnsi="Times New Roman" w:eastAsia="宋体" w:cs="Times New Roman"/>
                <w:color w:val="auto"/>
                <w:sz w:val="21"/>
                <w:szCs w:val="21"/>
                <w:lang w:val="en-US" w:eastAsia="zh-CN"/>
              </w:rPr>
              <w:t>标准》GB</w:t>
            </w:r>
            <w:r>
              <w:rPr>
                <w:rFonts w:hint="default" w:ascii="Times New Roman" w:hAnsi="Times New Roman" w:cs="Times New Roman"/>
                <w:color w:val="auto"/>
                <w:sz w:val="21"/>
                <w:szCs w:val="21"/>
                <w:lang w:val="en-US" w:eastAsia="zh-CN"/>
              </w:rPr>
              <w:t>3096-2008中2</w:t>
            </w:r>
            <w:r>
              <w:rPr>
                <w:rFonts w:hint="default" w:ascii="Times New Roman" w:hAnsi="Times New Roman" w:eastAsia="宋体" w:cs="Times New Roman"/>
                <w:color w:val="auto"/>
                <w:sz w:val="21"/>
                <w:szCs w:val="21"/>
                <w:lang w:val="en-US" w:eastAsia="zh-CN"/>
              </w:rPr>
              <w:t>类</w:t>
            </w:r>
            <w:r>
              <w:rPr>
                <w:rFonts w:hint="default" w:ascii="Times New Roman" w:hAnsi="Times New Roman" w:cs="Times New Roman"/>
                <w:color w:val="auto"/>
                <w:sz w:val="21"/>
                <w:szCs w:val="21"/>
                <w:lang w:val="en-US" w:eastAsia="zh-CN"/>
              </w:rPr>
              <w:t>标准限值。</w:t>
            </w:r>
          </w:p>
        </w:tc>
      </w:tr>
    </w:tbl>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根据以上监测结果，各监测点处昼夜噪声监测值均符合《声环境质量标准》（GB3096-2008）2类标准要求。</w:t>
      </w:r>
    </w:p>
    <w:p>
      <w:pPr>
        <w:autoSpaceDE/>
        <w:autoSpaceDN/>
        <w:adjustRightInd w:val="0"/>
        <w:snapToGrid w:val="0"/>
        <w:spacing w:line="360" w:lineRule="auto"/>
        <w:jc w:val="both"/>
        <w:outlineLvl w:val="2"/>
        <w:rPr>
          <w:rFonts w:ascii="Times New Roman" w:hAnsi="Times New Roman" w:cs="Times New Roman"/>
          <w:b/>
          <w:sz w:val="28"/>
          <w:szCs w:val="24"/>
        </w:rPr>
      </w:pPr>
      <w:bookmarkStart w:id="259" w:name="_Toc18561"/>
      <w:r>
        <w:rPr>
          <w:rFonts w:ascii="Times New Roman" w:hAnsi="Times New Roman" w:cs="Times New Roman"/>
          <w:b/>
          <w:sz w:val="28"/>
          <w:szCs w:val="24"/>
        </w:rPr>
        <w:t>4.</w:t>
      </w:r>
      <w:r>
        <w:rPr>
          <w:rFonts w:hint="eastAsia" w:ascii="Times New Roman" w:hAnsi="Times New Roman" w:cs="Times New Roman"/>
          <w:b/>
          <w:sz w:val="28"/>
          <w:szCs w:val="24"/>
          <w:lang w:val="en-US" w:eastAsia="zh-CN"/>
        </w:rPr>
        <w:t>4</w:t>
      </w:r>
      <w:r>
        <w:rPr>
          <w:rFonts w:ascii="Times New Roman" w:hAnsi="Times New Roman" w:cs="Times New Roman"/>
          <w:b/>
          <w:sz w:val="28"/>
          <w:szCs w:val="24"/>
        </w:rPr>
        <w:t>.</w:t>
      </w:r>
      <w:r>
        <w:rPr>
          <w:rFonts w:hint="eastAsia" w:ascii="Times New Roman" w:hAnsi="Times New Roman" w:cs="Times New Roman"/>
          <w:b/>
          <w:sz w:val="28"/>
          <w:szCs w:val="24"/>
          <w:lang w:val="en-US" w:eastAsia="zh-CN"/>
        </w:rPr>
        <w:t>5</w:t>
      </w:r>
      <w:r>
        <w:rPr>
          <w:rFonts w:hint="eastAsia" w:ascii="Times New Roman" w:hAnsi="Times New Roman" w:cs="Times New Roman"/>
          <w:b/>
          <w:sz w:val="28"/>
          <w:szCs w:val="24"/>
          <w:lang w:eastAsia="zh-CN"/>
        </w:rPr>
        <w:t>底泥</w:t>
      </w:r>
      <w:r>
        <w:rPr>
          <w:rFonts w:ascii="Times New Roman" w:hAnsi="Times New Roman" w:cs="Times New Roman"/>
          <w:b/>
          <w:sz w:val="28"/>
          <w:szCs w:val="24"/>
        </w:rPr>
        <w:t>状调查与评价</w:t>
      </w:r>
      <w:bookmarkEnd w:id="259"/>
    </w:p>
    <w:p>
      <w:pPr>
        <w:pStyle w:val="2974"/>
        <w:rPr>
          <w:color w:val="auto"/>
          <w:u w:val="none" w:color="auto"/>
        </w:rPr>
      </w:pPr>
      <w:r>
        <w:rPr>
          <w:rFonts w:hint="eastAsia"/>
          <w:color w:val="auto"/>
          <w:u w:val="none" w:color="auto"/>
          <w:lang w:eastAsia="zh-CN"/>
        </w:rPr>
        <w:t>本次评价</w:t>
      </w:r>
      <w:r>
        <w:rPr>
          <w:rFonts w:hint="eastAsia"/>
          <w:color w:val="auto"/>
          <w:u w:val="none" w:color="auto"/>
        </w:rPr>
        <w:t>委托</w:t>
      </w:r>
      <w:r>
        <w:rPr>
          <w:rFonts w:hint="eastAsia"/>
          <w:color w:val="auto"/>
          <w:u w:val="none" w:color="auto"/>
          <w:lang w:eastAsia="zh-CN"/>
        </w:rPr>
        <w:t>湖南中鑫检测技术有限公司</w:t>
      </w:r>
      <w:r>
        <w:rPr>
          <w:rFonts w:hint="eastAsia"/>
          <w:color w:val="auto"/>
          <w:u w:val="none" w:color="auto"/>
        </w:rPr>
        <w:t>于202</w:t>
      </w:r>
      <w:r>
        <w:rPr>
          <w:rFonts w:hint="eastAsia"/>
          <w:color w:val="auto"/>
          <w:u w:val="none" w:color="auto"/>
          <w:lang w:val="en-US" w:eastAsia="zh-CN"/>
        </w:rPr>
        <w:t>4</w:t>
      </w:r>
      <w:r>
        <w:rPr>
          <w:rFonts w:hint="eastAsia"/>
          <w:color w:val="auto"/>
          <w:u w:val="none" w:color="auto"/>
        </w:rPr>
        <w:t>年</w:t>
      </w:r>
      <w:r>
        <w:rPr>
          <w:rFonts w:hint="eastAsia"/>
          <w:color w:val="auto"/>
          <w:u w:val="none" w:color="auto"/>
          <w:lang w:val="en-US" w:eastAsia="zh-CN"/>
        </w:rPr>
        <w:t>6</w:t>
      </w:r>
      <w:r>
        <w:rPr>
          <w:rFonts w:hint="eastAsia"/>
          <w:color w:val="auto"/>
          <w:u w:val="none" w:color="auto"/>
        </w:rPr>
        <w:t>月</w:t>
      </w:r>
      <w:r>
        <w:rPr>
          <w:rFonts w:hint="eastAsia"/>
          <w:color w:val="auto"/>
          <w:u w:val="none" w:color="auto"/>
          <w:lang w:val="en-US" w:eastAsia="zh-CN"/>
        </w:rPr>
        <w:t>4</w:t>
      </w:r>
      <w:r>
        <w:rPr>
          <w:rFonts w:hint="eastAsia"/>
          <w:color w:val="auto"/>
          <w:u w:val="none" w:color="auto"/>
        </w:rPr>
        <w:t>日对施工区域内底泥进行土壤环境质量现状监测。</w:t>
      </w:r>
    </w:p>
    <w:p>
      <w:pPr>
        <w:pStyle w:val="2974"/>
        <w:rPr>
          <w:color w:val="auto"/>
          <w:u w:val="none" w:color="auto"/>
        </w:rPr>
      </w:pPr>
      <w:r>
        <w:rPr>
          <w:rFonts w:hint="eastAsia"/>
          <w:color w:val="auto"/>
          <w:u w:val="none" w:color="auto"/>
        </w:rPr>
        <w:t>（1）监测项目</w:t>
      </w:r>
    </w:p>
    <w:p>
      <w:pPr>
        <w:pStyle w:val="2974"/>
        <w:rPr>
          <w:color w:val="auto"/>
          <w:u w:val="none" w:color="auto"/>
        </w:rPr>
      </w:pPr>
      <w:r>
        <w:rPr>
          <w:rFonts w:hint="eastAsia"/>
          <w:color w:val="auto"/>
          <w:u w:val="none" w:color="auto"/>
        </w:rPr>
        <w:t>底泥监测因子：pH、铜、锌、铅、镉、砷、镍、铬。</w:t>
      </w:r>
    </w:p>
    <w:p>
      <w:pPr>
        <w:pStyle w:val="2974"/>
        <w:rPr>
          <w:color w:val="auto"/>
          <w:u w:val="none" w:color="auto"/>
        </w:rPr>
      </w:pPr>
      <w:r>
        <w:rPr>
          <w:rFonts w:hint="eastAsia"/>
          <w:color w:val="auto"/>
          <w:u w:val="none" w:color="auto"/>
        </w:rPr>
        <w:t>（2）监测点位</w:t>
      </w:r>
    </w:p>
    <w:p>
      <w:pPr>
        <w:pStyle w:val="2974"/>
        <w:rPr>
          <w:color w:val="auto"/>
          <w:u w:val="none" w:color="auto"/>
        </w:rPr>
      </w:pPr>
      <w:r>
        <w:rPr>
          <w:rFonts w:hint="eastAsia"/>
          <w:color w:val="auto"/>
          <w:u w:val="none" w:color="auto"/>
        </w:rPr>
        <w:t>在项目范围内设</w:t>
      </w:r>
      <w:r>
        <w:rPr>
          <w:rFonts w:hint="eastAsia"/>
          <w:color w:val="auto"/>
          <w:u w:val="none" w:color="auto"/>
          <w:lang w:val="en-US" w:eastAsia="zh-CN"/>
        </w:rPr>
        <w:t>3</w:t>
      </w:r>
      <w:r>
        <w:rPr>
          <w:rFonts w:hint="eastAsia"/>
          <w:color w:val="auto"/>
          <w:u w:val="none" w:color="auto"/>
        </w:rPr>
        <w:t>个监测点。</w:t>
      </w:r>
    </w:p>
    <w:p>
      <w:pPr>
        <w:pStyle w:val="2974"/>
        <w:rPr>
          <w:color w:val="auto"/>
          <w:u w:val="none" w:color="auto"/>
        </w:rPr>
      </w:pPr>
      <w:r>
        <w:rPr>
          <w:color w:val="auto"/>
          <w:u w:val="none" w:color="auto"/>
        </w:rPr>
        <w:t>（3）</w:t>
      </w:r>
      <w:r>
        <w:rPr>
          <w:rFonts w:hint="eastAsia"/>
          <w:color w:val="auto"/>
          <w:u w:val="none" w:color="auto"/>
        </w:rPr>
        <w:t>评价标准及监测分析方法</w:t>
      </w:r>
    </w:p>
    <w:p>
      <w:pPr>
        <w:pStyle w:val="2974"/>
        <w:rPr>
          <w:color w:val="auto"/>
          <w:u w:val="none" w:color="auto"/>
        </w:rPr>
      </w:pPr>
      <w:r>
        <w:rPr>
          <w:rFonts w:hint="eastAsia"/>
          <w:color w:val="auto"/>
          <w:u w:val="none" w:color="auto"/>
        </w:rPr>
        <w:t>根据《土地利用现状分类》（GB/T21010-2017），河流水面属于未利用地，不属于农用地或建设用地，本评价中底泥不进行对标，只给出监测结果。</w:t>
      </w:r>
    </w:p>
    <w:p>
      <w:pPr>
        <w:tabs>
          <w:tab w:val="left" w:pos="2602"/>
        </w:tabs>
        <w:autoSpaceDE/>
        <w:autoSpaceDN/>
        <w:adjustRightInd w:val="0"/>
        <w:snapToGrid w:val="0"/>
        <w:spacing w:line="360" w:lineRule="auto"/>
        <w:jc w:val="center"/>
        <w:rPr>
          <w:rFonts w:hint="eastAsia" w:ascii="Times New Roman" w:hAnsi="Times New Roman" w:eastAsia="宋体" w:cs="Times New Roman"/>
          <w:snapToGrid w:val="0"/>
          <w:lang w:eastAsia="zh-CN"/>
        </w:rPr>
      </w:pPr>
      <w:r>
        <w:rPr>
          <w:rFonts w:ascii="Times New Roman" w:hAnsi="Times New Roman" w:cs="Times New Roman"/>
          <w:b/>
          <w:snapToGrid w:val="0"/>
          <w:sz w:val="24"/>
          <w:szCs w:val="24"/>
        </w:rPr>
        <w:t>表4.</w:t>
      </w:r>
      <w:r>
        <w:rPr>
          <w:rFonts w:hint="eastAsia" w:ascii="Times New Roman" w:hAnsi="Times New Roman" w:cs="Times New Roman"/>
          <w:b/>
          <w:snapToGrid w:val="0"/>
          <w:sz w:val="24"/>
          <w:szCs w:val="24"/>
          <w:lang w:val="en-US" w:eastAsia="zh-CN"/>
        </w:rPr>
        <w:t>4</w:t>
      </w:r>
      <w:r>
        <w:rPr>
          <w:rFonts w:ascii="Times New Roman" w:hAnsi="Times New Roman" w:cs="Times New Roman"/>
          <w:b/>
          <w:snapToGrid w:val="0"/>
          <w:sz w:val="24"/>
          <w:szCs w:val="24"/>
        </w:rPr>
        <w:t>.</w:t>
      </w:r>
      <w:r>
        <w:rPr>
          <w:rFonts w:hint="eastAsia" w:ascii="Times New Roman" w:hAnsi="Times New Roman" w:cs="Times New Roman"/>
          <w:b/>
          <w:snapToGrid w:val="0"/>
          <w:sz w:val="24"/>
          <w:szCs w:val="24"/>
          <w:lang w:val="en-US" w:eastAsia="zh-CN"/>
        </w:rPr>
        <w:t>5</w:t>
      </w:r>
      <w:r>
        <w:rPr>
          <w:rFonts w:ascii="Times New Roman" w:hAnsi="Times New Roman" w:cs="Times New Roman"/>
          <w:b/>
          <w:snapToGrid w:val="0"/>
          <w:sz w:val="24"/>
          <w:szCs w:val="24"/>
        </w:rPr>
        <w:t xml:space="preserve">  项目</w:t>
      </w:r>
      <w:r>
        <w:rPr>
          <w:rFonts w:hint="eastAsia" w:ascii="Times New Roman" w:hAnsi="Times New Roman" w:cs="Times New Roman"/>
          <w:b/>
          <w:snapToGrid w:val="0"/>
          <w:sz w:val="24"/>
          <w:szCs w:val="24"/>
          <w:lang w:eastAsia="zh-CN"/>
        </w:rPr>
        <w:t>底泥</w:t>
      </w:r>
      <w:r>
        <w:rPr>
          <w:rFonts w:ascii="Times New Roman" w:hAnsi="Times New Roman" w:cs="Times New Roman"/>
          <w:b/>
          <w:snapToGrid w:val="0"/>
          <w:sz w:val="24"/>
          <w:szCs w:val="24"/>
        </w:rPr>
        <w:t>现状监测数据</w:t>
      </w:r>
      <w:r>
        <w:rPr>
          <w:rFonts w:hint="eastAsia" w:ascii="Times New Roman" w:hAnsi="Times New Roman" w:cs="Times New Roman"/>
          <w:b/>
          <w:snapToGrid w:val="0"/>
          <w:sz w:val="24"/>
          <w:szCs w:val="24"/>
          <w:lang w:eastAsia="zh-CN"/>
        </w:rPr>
        <w:t>（总量）</w:t>
      </w:r>
    </w:p>
    <w:tbl>
      <w:tblPr>
        <w:tblStyle w:val="89"/>
        <w:tblW w:w="93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776"/>
        <w:gridCol w:w="2684"/>
        <w:gridCol w:w="1627"/>
        <w:gridCol w:w="1627"/>
        <w:gridCol w:w="1712"/>
        <w:gridCol w:w="8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outlineLvl w:val="9"/>
              <w:rPr>
                <w:rFonts w:hint="default" w:ascii="Times New Roman" w:hAnsi="Times New Roman" w:eastAsia="宋体" w:cs="Times New Roman"/>
                <w:b/>
                <w:bCs/>
                <w:snapToGrid w:val="0"/>
                <w:color w:val="auto"/>
                <w:kern w:val="2"/>
                <w:sz w:val="24"/>
                <w:szCs w:val="24"/>
                <w:highlight w:val="none"/>
              </w:rPr>
            </w:pPr>
            <w:bookmarkStart w:id="260" w:name="_Toc27836"/>
            <w:r>
              <w:rPr>
                <w:rFonts w:hint="default" w:ascii="Times New Roman" w:hAnsi="Times New Roman" w:eastAsia="宋体" w:cs="Times New Roman"/>
                <w:b/>
                <w:bCs/>
                <w:snapToGrid w:val="0"/>
                <w:color w:val="auto"/>
                <w:kern w:val="2"/>
                <w:sz w:val="24"/>
                <w:szCs w:val="24"/>
                <w:highlight w:val="none"/>
              </w:rPr>
              <w:t>采样</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outlineLvl w:val="9"/>
              <w:rPr>
                <w:rFonts w:hint="default" w:ascii="Times New Roman" w:hAnsi="Times New Roman" w:eastAsia="宋体" w:cs="Times New Roman"/>
                <w:b/>
                <w:bCs/>
                <w:i w:val="0"/>
                <w:color w:val="auto"/>
                <w:kern w:val="0"/>
                <w:sz w:val="24"/>
                <w:szCs w:val="24"/>
                <w:highlight w:val="none"/>
                <w:u w:val="none"/>
                <w:lang w:val="en-US" w:eastAsia="zh-CN" w:bidi="ar"/>
              </w:rPr>
            </w:pPr>
            <w:r>
              <w:rPr>
                <w:rFonts w:hint="default" w:ascii="Times New Roman" w:hAnsi="Times New Roman" w:eastAsia="宋体" w:cs="Times New Roman"/>
                <w:b/>
                <w:bCs/>
                <w:snapToGrid w:val="0"/>
                <w:color w:val="auto"/>
                <w:kern w:val="2"/>
                <w:sz w:val="24"/>
                <w:szCs w:val="24"/>
                <w:highlight w:val="none"/>
              </w:rPr>
              <w:t>日期</w:t>
            </w:r>
          </w:p>
        </w:tc>
        <w:tc>
          <w:tcPr>
            <w:tcW w:w="2684"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snapToGrid w:val="0"/>
                <w:color w:val="000000" w:themeColor="text1"/>
                <w:kern w:val="2"/>
                <w:sz w:val="24"/>
                <w:szCs w:val="24"/>
                <w:highlight w:val="none"/>
                <w:lang w:val="en-US" w:eastAsia="zh-CN"/>
                <w14:textFill>
                  <w14:solidFill>
                    <w14:schemeClr w14:val="tx1"/>
                  </w14:solidFill>
                </w14:textFill>
              </w:rPr>
            </w:pPr>
            <w:r>
              <w:rPr>
                <w:rFonts w:hint="eastAsia" w:ascii="Times New Roman" w:hAnsi="Times New Roman" w:cs="Times New Roman"/>
                <w:b/>
                <w:bCs/>
                <w:snapToGrid w:val="0"/>
                <w:color w:val="000000" w:themeColor="text1"/>
                <w:kern w:val="2"/>
                <w:sz w:val="24"/>
                <w:szCs w:val="24"/>
                <w:highlight w:val="none"/>
                <w:lang w:val="en-US" w:eastAsia="zh-CN"/>
                <w14:textFill>
                  <w14:solidFill>
                    <w14:schemeClr w14:val="tx1"/>
                  </w14:solidFill>
                </w14:textFill>
              </w:rPr>
              <w:t>检测项目</w:t>
            </w:r>
          </w:p>
        </w:tc>
        <w:tc>
          <w:tcPr>
            <w:tcW w:w="4966" w:type="dxa"/>
            <w:gridSpan w:val="3"/>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4"/>
                <w:szCs w:val="24"/>
                <w:highlight w:val="none"/>
                <w:u w:val="none"/>
                <w:lang w:val="en-US" w:eastAsia="zh-CN" w:bidi="ar"/>
              </w:rPr>
            </w:pPr>
            <w:r>
              <w:rPr>
                <w:rFonts w:hint="eastAsia" w:ascii="Times New Roman" w:hAnsi="Times New Roman" w:eastAsia="宋体" w:cs="Times New Roman"/>
                <w:b/>
                <w:bCs/>
                <w:i w:val="0"/>
                <w:color w:val="000000"/>
                <w:kern w:val="0"/>
                <w:sz w:val="24"/>
                <w:szCs w:val="24"/>
                <w:highlight w:val="none"/>
                <w:u w:val="none"/>
                <w:lang w:val="en-US" w:eastAsia="zh-CN" w:bidi="ar"/>
              </w:rPr>
              <w:t>检测点位/</w:t>
            </w:r>
            <w:r>
              <w:rPr>
                <w:rFonts w:hint="default" w:ascii="Times New Roman" w:hAnsi="Times New Roman" w:eastAsia="宋体" w:cs="Times New Roman"/>
                <w:b/>
                <w:bCs/>
                <w:i w:val="0"/>
                <w:color w:val="000000"/>
                <w:kern w:val="0"/>
                <w:sz w:val="24"/>
                <w:szCs w:val="24"/>
                <w:highlight w:val="none"/>
                <w:u w:val="none"/>
                <w:lang w:val="en-US" w:eastAsia="zh-CN" w:bidi="ar"/>
              </w:rPr>
              <w:t>检测结果</w:t>
            </w:r>
          </w:p>
        </w:tc>
        <w:tc>
          <w:tcPr>
            <w:tcW w:w="896"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4"/>
                <w:szCs w:val="24"/>
                <w:highlight w:val="none"/>
                <w:u w:val="none"/>
                <w:lang w:val="en-US" w:eastAsia="zh-CN" w:bidi="ar"/>
              </w:rPr>
            </w:pPr>
            <w:r>
              <w:rPr>
                <w:rFonts w:hint="eastAsia" w:ascii="Times New Roman" w:hAnsi="Times New Roman" w:eastAsia="宋体" w:cs="Times New Roman"/>
                <w:b/>
                <w:bCs/>
                <w:i w:val="0"/>
                <w:color w:val="000000"/>
                <w:kern w:val="0"/>
                <w:sz w:val="24"/>
                <w:szCs w:val="24"/>
                <w:highlight w:val="none"/>
                <w:u w:val="none"/>
                <w:lang w:val="en-US" w:eastAsia="zh-CN" w:bidi="ar"/>
              </w:rPr>
              <w:t>参考限值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outlineLvl w:val="9"/>
              <w:rPr>
                <w:rFonts w:hint="default" w:ascii="Times New Roman" w:hAnsi="Times New Roman" w:eastAsia="宋体" w:cs="Times New Roman"/>
                <w:b/>
                <w:bCs/>
                <w:snapToGrid w:val="0"/>
                <w:color w:val="auto"/>
                <w:kern w:val="2"/>
                <w:sz w:val="24"/>
                <w:szCs w:val="24"/>
                <w:highlight w:val="none"/>
              </w:rPr>
            </w:pPr>
          </w:p>
        </w:tc>
        <w:tc>
          <w:tcPr>
            <w:tcW w:w="2684"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snapToGrid w:val="0"/>
                <w:color w:val="000000" w:themeColor="text1"/>
                <w:kern w:val="2"/>
                <w:sz w:val="24"/>
                <w:szCs w:val="24"/>
                <w:highlight w:val="none"/>
                <w:lang w:val="en-US" w:eastAsia="zh-CN"/>
                <w14:textFill>
                  <w14:solidFill>
                    <w14:schemeClr w14:val="tx1"/>
                  </w14:solidFill>
                </w14:textFill>
              </w:rPr>
            </w:pPr>
          </w:p>
        </w:tc>
        <w:tc>
          <w:tcPr>
            <w:tcW w:w="162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4"/>
                <w:szCs w:val="24"/>
                <w:highlight w:val="none"/>
                <w:u w:val="none"/>
                <w:lang w:val="en-US" w:eastAsia="zh-CN" w:bidi="ar"/>
              </w:rPr>
            </w:pPr>
            <w:r>
              <w:rPr>
                <w:rFonts w:hint="default" w:ascii="Times New Roman" w:hAnsi="Times New Roman" w:eastAsia="宋体" w:cs="Times New Roman"/>
                <w:b/>
                <w:bCs/>
                <w:i w:val="0"/>
                <w:color w:val="000000"/>
                <w:kern w:val="0"/>
                <w:sz w:val="24"/>
                <w:szCs w:val="24"/>
                <w:highlight w:val="none"/>
                <w:u w:val="none"/>
                <w:lang w:val="en-US" w:eastAsia="zh-CN" w:bidi="ar"/>
              </w:rPr>
              <w:t>T1东风水闸</w:t>
            </w:r>
          </w:p>
        </w:tc>
        <w:tc>
          <w:tcPr>
            <w:tcW w:w="162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4"/>
                <w:szCs w:val="24"/>
                <w:highlight w:val="none"/>
                <w:u w:val="none"/>
                <w:lang w:val="en-US" w:eastAsia="zh-CN" w:bidi="ar"/>
              </w:rPr>
            </w:pPr>
            <w:r>
              <w:rPr>
                <w:rFonts w:hint="default" w:ascii="Times New Roman" w:hAnsi="Times New Roman" w:eastAsia="宋体" w:cs="Times New Roman"/>
                <w:b/>
                <w:bCs/>
                <w:i w:val="0"/>
                <w:color w:val="000000"/>
                <w:kern w:val="0"/>
                <w:sz w:val="24"/>
                <w:szCs w:val="24"/>
                <w:highlight w:val="none"/>
                <w:u w:val="none"/>
                <w:lang w:val="en-US" w:eastAsia="zh-CN" w:bidi="ar"/>
              </w:rPr>
              <w:t>T3蒋家桥镇集镇处</w:t>
            </w:r>
          </w:p>
        </w:tc>
        <w:tc>
          <w:tcPr>
            <w:tcW w:w="171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4"/>
                <w:szCs w:val="24"/>
                <w:highlight w:val="none"/>
                <w:u w:val="none"/>
                <w:lang w:val="en-US" w:eastAsia="zh-CN" w:bidi="ar"/>
              </w:rPr>
            </w:pPr>
            <w:r>
              <w:rPr>
                <w:rFonts w:hint="default" w:ascii="Times New Roman" w:hAnsi="Times New Roman" w:eastAsia="宋体" w:cs="Times New Roman"/>
                <w:b/>
                <w:bCs/>
                <w:i w:val="0"/>
                <w:color w:val="000000"/>
                <w:kern w:val="0"/>
                <w:sz w:val="24"/>
                <w:szCs w:val="24"/>
                <w:highlight w:val="none"/>
                <w:u w:val="none"/>
                <w:lang w:val="en-US" w:eastAsia="zh-CN" w:bidi="ar"/>
              </w:rPr>
              <w:t>T5袁家屋场</w:t>
            </w:r>
          </w:p>
        </w:tc>
        <w:tc>
          <w:tcPr>
            <w:tcW w:w="896"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bCs/>
                <w:i w:val="0"/>
                <w:color w:val="000000"/>
                <w:kern w:val="0"/>
                <w:sz w:val="24"/>
                <w:szCs w:val="24"/>
                <w:highlight w:val="none"/>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6"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06</w:t>
            </w:r>
          </w:p>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月</w:t>
            </w:r>
          </w:p>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04</w:t>
            </w:r>
          </w:p>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日</w:t>
            </w:r>
          </w:p>
        </w:tc>
        <w:tc>
          <w:tcPr>
            <w:tcW w:w="26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样品状态</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棕</w:t>
            </w:r>
            <w:r>
              <w:rPr>
                <w:rFonts w:hint="eastAsia" w:ascii="Times New Roman" w:hAnsi="Times New Roman" w:cs="Times New Roman"/>
                <w:b w:val="0"/>
                <w:bCs w:val="0"/>
                <w:color w:val="auto"/>
                <w:kern w:val="2"/>
                <w:sz w:val="24"/>
                <w:szCs w:val="24"/>
                <w:highlight w:val="none"/>
                <w:lang w:val="en-US" w:eastAsia="zh-CN"/>
              </w:rPr>
              <w:t>色</w:t>
            </w:r>
            <w:r>
              <w:rPr>
                <w:rFonts w:hint="default" w:ascii="Times New Roman" w:hAnsi="Times New Roman" w:cs="Times New Roman"/>
                <w:b w:val="0"/>
                <w:bCs w:val="0"/>
                <w:color w:val="auto"/>
                <w:kern w:val="2"/>
                <w:sz w:val="24"/>
                <w:szCs w:val="24"/>
                <w:highlight w:val="none"/>
                <w:lang w:val="en-US" w:eastAsia="zh-CN"/>
              </w:rPr>
              <w:t>、</w:t>
            </w:r>
            <w:r>
              <w:rPr>
                <w:rFonts w:hint="eastAsia" w:ascii="Times New Roman" w:hAnsi="Times New Roman" w:cs="Times New Roman"/>
                <w:b w:val="0"/>
                <w:bCs w:val="0"/>
                <w:color w:val="auto"/>
                <w:kern w:val="2"/>
                <w:sz w:val="24"/>
                <w:szCs w:val="24"/>
                <w:highlight w:val="none"/>
                <w:lang w:val="en-US" w:eastAsia="zh-CN"/>
              </w:rPr>
              <w:t>黏土、潮</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黄</w:t>
            </w:r>
            <w:r>
              <w:rPr>
                <w:rFonts w:hint="default" w:ascii="Times New Roman" w:hAnsi="Times New Roman" w:cs="Times New Roman"/>
                <w:b w:val="0"/>
                <w:bCs w:val="0"/>
                <w:color w:val="auto"/>
                <w:kern w:val="2"/>
                <w:sz w:val="24"/>
                <w:szCs w:val="24"/>
                <w:highlight w:val="none"/>
                <w:lang w:val="en-US" w:eastAsia="zh-CN"/>
              </w:rPr>
              <w:t>棕</w:t>
            </w:r>
            <w:r>
              <w:rPr>
                <w:rFonts w:hint="eastAsia" w:ascii="Times New Roman" w:hAnsi="Times New Roman" w:cs="Times New Roman"/>
                <w:b w:val="0"/>
                <w:bCs w:val="0"/>
                <w:color w:val="auto"/>
                <w:kern w:val="2"/>
                <w:sz w:val="24"/>
                <w:szCs w:val="24"/>
                <w:highlight w:val="none"/>
                <w:lang w:val="en-US" w:eastAsia="zh-CN"/>
              </w:rPr>
              <w:t>色</w:t>
            </w:r>
            <w:r>
              <w:rPr>
                <w:rFonts w:hint="default" w:ascii="Times New Roman" w:hAnsi="Times New Roman" w:cs="Times New Roman"/>
                <w:b w:val="0"/>
                <w:bCs w:val="0"/>
                <w:color w:val="auto"/>
                <w:kern w:val="2"/>
                <w:sz w:val="24"/>
                <w:szCs w:val="24"/>
                <w:highlight w:val="none"/>
                <w:lang w:val="en-US" w:eastAsia="zh-CN"/>
              </w:rPr>
              <w:t>、</w:t>
            </w:r>
            <w:r>
              <w:rPr>
                <w:rFonts w:hint="eastAsia" w:ascii="Times New Roman" w:hAnsi="Times New Roman" w:cs="Times New Roman"/>
                <w:b w:val="0"/>
                <w:bCs w:val="0"/>
                <w:color w:val="auto"/>
                <w:kern w:val="2"/>
                <w:sz w:val="24"/>
                <w:szCs w:val="24"/>
                <w:highlight w:val="none"/>
                <w:lang w:val="en-US" w:eastAsia="zh-CN"/>
              </w:rPr>
              <w:t>黏土、潮</w:t>
            </w:r>
          </w:p>
        </w:tc>
        <w:tc>
          <w:tcPr>
            <w:tcW w:w="17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棕</w:t>
            </w:r>
            <w:r>
              <w:rPr>
                <w:rFonts w:hint="eastAsia" w:ascii="Times New Roman" w:hAnsi="Times New Roman" w:cs="Times New Roman"/>
                <w:b w:val="0"/>
                <w:bCs w:val="0"/>
                <w:color w:val="auto"/>
                <w:kern w:val="2"/>
                <w:sz w:val="24"/>
                <w:szCs w:val="24"/>
                <w:highlight w:val="none"/>
                <w:lang w:val="en-US" w:eastAsia="zh-CN"/>
              </w:rPr>
              <w:t>色</w:t>
            </w:r>
            <w:r>
              <w:rPr>
                <w:rFonts w:hint="default" w:ascii="Times New Roman" w:hAnsi="Times New Roman" w:cs="Times New Roman"/>
                <w:b w:val="0"/>
                <w:bCs w:val="0"/>
                <w:color w:val="auto"/>
                <w:kern w:val="2"/>
                <w:sz w:val="24"/>
                <w:szCs w:val="24"/>
                <w:highlight w:val="none"/>
                <w:lang w:val="en-US" w:eastAsia="zh-CN"/>
              </w:rPr>
              <w:t>、</w:t>
            </w:r>
            <w:r>
              <w:rPr>
                <w:rFonts w:hint="eastAsia" w:ascii="Times New Roman" w:hAnsi="Times New Roman" w:cs="Times New Roman"/>
                <w:b w:val="0"/>
                <w:bCs w:val="0"/>
                <w:color w:val="auto"/>
                <w:kern w:val="2"/>
                <w:sz w:val="24"/>
                <w:szCs w:val="24"/>
                <w:highlight w:val="none"/>
                <w:lang w:val="en-US" w:eastAsia="zh-CN"/>
              </w:rPr>
              <w:t>黏土、湿</w:t>
            </w:r>
          </w:p>
        </w:tc>
        <w:tc>
          <w:tcPr>
            <w:tcW w:w="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cs="Times New Roman"/>
                <w:color w:val="auto"/>
                <w:sz w:val="24"/>
                <w:szCs w:val="24"/>
                <w:highlight w:val="none"/>
                <w:lang w:val="en-US" w:eastAsia="zh-CN"/>
              </w:rPr>
            </w:pPr>
          </w:p>
        </w:tc>
        <w:tc>
          <w:tcPr>
            <w:tcW w:w="268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lang w:val="en-US" w:eastAsia="zh-CN"/>
              </w:rPr>
              <w:t>pH值（无量纲）</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7.3</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6.9</w:t>
            </w:r>
          </w:p>
        </w:tc>
        <w:tc>
          <w:tcPr>
            <w:tcW w:w="17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7.0</w:t>
            </w:r>
          </w:p>
        </w:tc>
        <w:tc>
          <w:tcPr>
            <w:tcW w:w="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4"/>
                <w:szCs w:val="24"/>
                <w:highlight w:val="none"/>
                <w:lang w:val="en-US" w:eastAsia="zh-CN"/>
              </w:rPr>
            </w:pPr>
          </w:p>
        </w:tc>
        <w:tc>
          <w:tcPr>
            <w:tcW w:w="26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砷（mg/kg）</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11.3</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8.9</w:t>
            </w:r>
          </w:p>
        </w:tc>
        <w:tc>
          <w:tcPr>
            <w:tcW w:w="17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16.2</w:t>
            </w:r>
          </w:p>
        </w:tc>
        <w:tc>
          <w:tcPr>
            <w:tcW w:w="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4"/>
                <w:szCs w:val="24"/>
                <w:highlight w:val="none"/>
                <w:lang w:val="en-US" w:eastAsia="zh-CN"/>
              </w:rPr>
            </w:pPr>
          </w:p>
        </w:tc>
        <w:tc>
          <w:tcPr>
            <w:tcW w:w="26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镉（mg/kg）</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0.09</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0.04</w:t>
            </w:r>
          </w:p>
        </w:tc>
        <w:tc>
          <w:tcPr>
            <w:tcW w:w="17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0.14</w:t>
            </w:r>
          </w:p>
        </w:tc>
        <w:tc>
          <w:tcPr>
            <w:tcW w:w="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4"/>
                <w:szCs w:val="24"/>
                <w:highlight w:val="none"/>
                <w:lang w:val="en-US" w:eastAsia="zh-CN"/>
              </w:rPr>
            </w:pPr>
          </w:p>
        </w:tc>
        <w:tc>
          <w:tcPr>
            <w:tcW w:w="26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铬（mg/kg）</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44</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63</w:t>
            </w:r>
          </w:p>
        </w:tc>
        <w:tc>
          <w:tcPr>
            <w:tcW w:w="17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47</w:t>
            </w:r>
          </w:p>
        </w:tc>
        <w:tc>
          <w:tcPr>
            <w:tcW w:w="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color w:val="auto"/>
                <w:sz w:val="24"/>
                <w:szCs w:val="24"/>
                <w:highlight w:val="none"/>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4"/>
                <w:szCs w:val="24"/>
                <w:highlight w:val="none"/>
                <w:lang w:val="en-US" w:eastAsia="zh-CN"/>
              </w:rPr>
            </w:pPr>
          </w:p>
        </w:tc>
        <w:tc>
          <w:tcPr>
            <w:tcW w:w="26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铜（mg/kg）</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26</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26</w:t>
            </w:r>
          </w:p>
        </w:tc>
        <w:tc>
          <w:tcPr>
            <w:tcW w:w="17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28</w:t>
            </w:r>
          </w:p>
        </w:tc>
        <w:tc>
          <w:tcPr>
            <w:tcW w:w="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4"/>
                <w:szCs w:val="24"/>
                <w:highlight w:val="none"/>
                <w:lang w:val="en-US" w:eastAsia="zh-CN"/>
              </w:rPr>
            </w:pPr>
          </w:p>
        </w:tc>
        <w:tc>
          <w:tcPr>
            <w:tcW w:w="26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铅（mg/kg）</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24</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23</w:t>
            </w:r>
          </w:p>
        </w:tc>
        <w:tc>
          <w:tcPr>
            <w:tcW w:w="17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24</w:t>
            </w:r>
          </w:p>
        </w:tc>
        <w:tc>
          <w:tcPr>
            <w:tcW w:w="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4"/>
                <w:szCs w:val="24"/>
                <w:highlight w:val="none"/>
                <w:lang w:val="en-US" w:eastAsia="zh-CN"/>
              </w:rPr>
            </w:pPr>
          </w:p>
        </w:tc>
        <w:tc>
          <w:tcPr>
            <w:tcW w:w="26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汞（mg/kg）</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0.087</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0.062</w:t>
            </w:r>
          </w:p>
        </w:tc>
        <w:tc>
          <w:tcPr>
            <w:tcW w:w="17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0.383</w:t>
            </w:r>
          </w:p>
        </w:tc>
        <w:tc>
          <w:tcPr>
            <w:tcW w:w="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77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4"/>
                <w:szCs w:val="24"/>
                <w:highlight w:val="none"/>
                <w:lang w:val="en-US" w:eastAsia="zh-CN"/>
              </w:rPr>
            </w:pPr>
          </w:p>
        </w:tc>
        <w:tc>
          <w:tcPr>
            <w:tcW w:w="26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镍（mg/kg）</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19</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26</w:t>
            </w:r>
          </w:p>
        </w:tc>
        <w:tc>
          <w:tcPr>
            <w:tcW w:w="17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26</w:t>
            </w:r>
          </w:p>
        </w:tc>
        <w:tc>
          <w:tcPr>
            <w:tcW w:w="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4"/>
                <w:szCs w:val="24"/>
                <w:highlight w:val="none"/>
                <w:lang w:val="en-US" w:eastAsia="zh-CN"/>
              </w:rPr>
            </w:pPr>
          </w:p>
        </w:tc>
        <w:tc>
          <w:tcPr>
            <w:tcW w:w="26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锌（mg/kg）</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96</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104</w:t>
            </w:r>
          </w:p>
        </w:tc>
        <w:tc>
          <w:tcPr>
            <w:tcW w:w="17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89</w:t>
            </w:r>
          </w:p>
        </w:tc>
        <w:tc>
          <w:tcPr>
            <w:tcW w:w="8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备注</w:t>
            </w:r>
          </w:p>
        </w:tc>
        <w:tc>
          <w:tcPr>
            <w:tcW w:w="8546"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参考限值来源于《土壤环境质量 农用地土壤污染风险管控标准》GB15618-2018表1中6.5&lt;pH值</w:t>
            </w:r>
            <w:r>
              <w:rPr>
                <w:rFonts w:hint="default" w:ascii="Arial" w:hAnsi="Arial" w:cs="Arial"/>
                <w:b w:val="0"/>
                <w:bCs w:val="0"/>
                <w:color w:val="auto"/>
                <w:kern w:val="2"/>
                <w:sz w:val="24"/>
                <w:szCs w:val="24"/>
                <w:highlight w:val="none"/>
                <w:lang w:val="en-US" w:eastAsia="zh-CN"/>
              </w:rPr>
              <w:t>≤</w:t>
            </w:r>
            <w:r>
              <w:rPr>
                <w:rFonts w:hint="eastAsia" w:ascii="Times New Roman" w:hAnsi="Times New Roman" w:cs="Times New Roman"/>
                <w:b w:val="0"/>
                <w:bCs w:val="0"/>
                <w:color w:val="auto"/>
                <w:kern w:val="2"/>
                <w:sz w:val="24"/>
                <w:szCs w:val="24"/>
                <w:highlight w:val="none"/>
                <w:lang w:val="en-US" w:eastAsia="zh-CN"/>
              </w:rPr>
              <w:t>7.5风险筛选值。</w:t>
            </w:r>
          </w:p>
        </w:tc>
      </w:tr>
    </w:tbl>
    <w:p>
      <w:pPr>
        <w:pStyle w:val="5"/>
        <w:tabs>
          <w:tab w:val="left" w:pos="766"/>
        </w:tabs>
        <w:autoSpaceDE/>
        <w:autoSpaceDN/>
        <w:adjustRightInd w:val="0"/>
        <w:snapToGrid w:val="0"/>
        <w:spacing w:before="0" w:line="360" w:lineRule="auto"/>
        <w:ind w:left="0" w:firstLine="0"/>
        <w:jc w:val="center"/>
        <w:rPr>
          <w:rFonts w:hint="eastAsia" w:ascii="Times New Roman" w:hAnsi="Times New Roman" w:eastAsia="宋体" w:cs="Times New Roman"/>
          <w:b/>
          <w:snapToGrid w:val="0"/>
          <w:sz w:val="24"/>
          <w:szCs w:val="24"/>
          <w:lang w:eastAsia="zh-CN"/>
        </w:rPr>
      </w:pPr>
      <w:r>
        <w:rPr>
          <w:rFonts w:ascii="Times New Roman" w:hAnsi="Times New Roman" w:cs="Times New Roman"/>
          <w:b/>
          <w:snapToGrid w:val="0"/>
          <w:sz w:val="24"/>
          <w:szCs w:val="24"/>
        </w:rPr>
        <w:t>表4.</w:t>
      </w:r>
      <w:r>
        <w:rPr>
          <w:rFonts w:hint="eastAsia" w:ascii="Times New Roman" w:hAnsi="Times New Roman" w:cs="Times New Roman"/>
          <w:b/>
          <w:snapToGrid w:val="0"/>
          <w:sz w:val="24"/>
          <w:szCs w:val="24"/>
          <w:lang w:val="en-US" w:eastAsia="zh-CN"/>
        </w:rPr>
        <w:t>4</w:t>
      </w:r>
      <w:r>
        <w:rPr>
          <w:rFonts w:ascii="Times New Roman" w:hAnsi="Times New Roman" w:cs="Times New Roman"/>
          <w:b/>
          <w:snapToGrid w:val="0"/>
          <w:sz w:val="24"/>
          <w:szCs w:val="24"/>
        </w:rPr>
        <w:t>.</w:t>
      </w:r>
      <w:r>
        <w:rPr>
          <w:rFonts w:hint="eastAsia" w:ascii="Times New Roman" w:hAnsi="Times New Roman" w:cs="Times New Roman"/>
          <w:b/>
          <w:snapToGrid w:val="0"/>
          <w:sz w:val="24"/>
          <w:szCs w:val="24"/>
          <w:lang w:val="en-US" w:eastAsia="zh-CN"/>
        </w:rPr>
        <w:t>5</w:t>
      </w:r>
      <w:r>
        <w:rPr>
          <w:rFonts w:ascii="Times New Roman" w:hAnsi="Times New Roman" w:cs="Times New Roman"/>
          <w:b/>
          <w:snapToGrid w:val="0"/>
          <w:sz w:val="24"/>
          <w:szCs w:val="24"/>
        </w:rPr>
        <w:t xml:space="preserve">  项目</w:t>
      </w:r>
      <w:r>
        <w:rPr>
          <w:rFonts w:hint="eastAsia" w:ascii="Times New Roman" w:hAnsi="Times New Roman" w:cs="Times New Roman"/>
          <w:b/>
          <w:snapToGrid w:val="0"/>
          <w:sz w:val="24"/>
          <w:szCs w:val="24"/>
          <w:lang w:eastAsia="zh-CN"/>
        </w:rPr>
        <w:t>底泥</w:t>
      </w:r>
      <w:r>
        <w:rPr>
          <w:rFonts w:ascii="Times New Roman" w:hAnsi="Times New Roman" w:cs="Times New Roman"/>
          <w:b/>
          <w:snapToGrid w:val="0"/>
          <w:sz w:val="24"/>
          <w:szCs w:val="24"/>
        </w:rPr>
        <w:t>现状监测数据</w:t>
      </w:r>
      <w:r>
        <w:rPr>
          <w:rFonts w:hint="eastAsia" w:ascii="Times New Roman" w:hAnsi="Times New Roman" w:cs="Times New Roman"/>
          <w:b/>
          <w:snapToGrid w:val="0"/>
          <w:sz w:val="24"/>
          <w:szCs w:val="24"/>
          <w:lang w:eastAsia="zh-CN"/>
        </w:rPr>
        <w:t>（水浸）</w:t>
      </w:r>
    </w:p>
    <w:tbl>
      <w:tblPr>
        <w:tblStyle w:val="89"/>
        <w:tblW w:w="93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777"/>
        <w:gridCol w:w="2685"/>
        <w:gridCol w:w="1627"/>
        <w:gridCol w:w="1627"/>
        <w:gridCol w:w="1710"/>
        <w:gridCol w:w="9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outlineLvl w:val="9"/>
              <w:rPr>
                <w:rFonts w:hint="default" w:ascii="Times New Roman" w:hAnsi="Times New Roman" w:eastAsia="宋体" w:cs="Times New Roman"/>
                <w:b/>
                <w:bCs/>
                <w:snapToGrid w:val="0"/>
                <w:color w:val="auto"/>
                <w:kern w:val="2"/>
                <w:sz w:val="24"/>
                <w:szCs w:val="24"/>
                <w:highlight w:val="none"/>
              </w:rPr>
            </w:pPr>
            <w:r>
              <w:rPr>
                <w:rFonts w:hint="default" w:ascii="Times New Roman" w:hAnsi="Times New Roman" w:eastAsia="宋体" w:cs="Times New Roman"/>
                <w:b/>
                <w:bCs/>
                <w:snapToGrid w:val="0"/>
                <w:color w:val="auto"/>
                <w:kern w:val="2"/>
                <w:sz w:val="24"/>
                <w:szCs w:val="24"/>
                <w:highlight w:val="none"/>
              </w:rPr>
              <w:t>采样</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outlineLvl w:val="9"/>
              <w:rPr>
                <w:rFonts w:hint="default" w:ascii="Times New Roman" w:hAnsi="Times New Roman" w:eastAsia="宋体" w:cs="Times New Roman"/>
                <w:b/>
                <w:bCs/>
                <w:i w:val="0"/>
                <w:color w:val="auto"/>
                <w:kern w:val="0"/>
                <w:sz w:val="24"/>
                <w:szCs w:val="24"/>
                <w:highlight w:val="none"/>
                <w:u w:val="none"/>
                <w:lang w:val="en-US" w:eastAsia="zh-CN" w:bidi="ar"/>
              </w:rPr>
            </w:pPr>
            <w:r>
              <w:rPr>
                <w:rFonts w:hint="default" w:ascii="Times New Roman" w:hAnsi="Times New Roman" w:eastAsia="宋体" w:cs="Times New Roman"/>
                <w:b/>
                <w:bCs/>
                <w:snapToGrid w:val="0"/>
                <w:color w:val="auto"/>
                <w:kern w:val="2"/>
                <w:sz w:val="24"/>
                <w:szCs w:val="24"/>
                <w:highlight w:val="none"/>
              </w:rPr>
              <w:t>日期</w:t>
            </w:r>
          </w:p>
        </w:tc>
        <w:tc>
          <w:tcPr>
            <w:tcW w:w="2685"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snapToGrid w:val="0"/>
                <w:color w:val="000000" w:themeColor="text1"/>
                <w:kern w:val="2"/>
                <w:sz w:val="24"/>
                <w:szCs w:val="24"/>
                <w:highlight w:val="none"/>
                <w:lang w:val="en-US" w:eastAsia="zh-CN"/>
                <w14:textFill>
                  <w14:solidFill>
                    <w14:schemeClr w14:val="tx1"/>
                  </w14:solidFill>
                </w14:textFill>
              </w:rPr>
            </w:pPr>
            <w:r>
              <w:rPr>
                <w:rFonts w:hint="eastAsia" w:ascii="Times New Roman" w:hAnsi="Times New Roman" w:cs="Times New Roman"/>
                <w:b/>
                <w:bCs/>
                <w:snapToGrid w:val="0"/>
                <w:color w:val="000000" w:themeColor="text1"/>
                <w:kern w:val="2"/>
                <w:sz w:val="24"/>
                <w:szCs w:val="24"/>
                <w:highlight w:val="none"/>
                <w:lang w:val="en-US" w:eastAsia="zh-CN"/>
                <w14:textFill>
                  <w14:solidFill>
                    <w14:schemeClr w14:val="tx1"/>
                  </w14:solidFill>
                </w14:textFill>
              </w:rPr>
              <w:t>检测项目</w:t>
            </w:r>
          </w:p>
        </w:tc>
        <w:tc>
          <w:tcPr>
            <w:tcW w:w="4964" w:type="dxa"/>
            <w:gridSpan w:val="3"/>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4"/>
                <w:szCs w:val="24"/>
                <w:highlight w:val="none"/>
                <w:u w:val="none"/>
                <w:lang w:val="en-US" w:eastAsia="zh-CN" w:bidi="ar"/>
              </w:rPr>
            </w:pPr>
            <w:r>
              <w:rPr>
                <w:rFonts w:hint="eastAsia" w:ascii="Times New Roman" w:hAnsi="Times New Roman" w:eastAsia="宋体" w:cs="Times New Roman"/>
                <w:b/>
                <w:bCs/>
                <w:i w:val="0"/>
                <w:color w:val="000000"/>
                <w:kern w:val="0"/>
                <w:sz w:val="24"/>
                <w:szCs w:val="24"/>
                <w:highlight w:val="none"/>
                <w:u w:val="none"/>
                <w:lang w:val="en-US" w:eastAsia="zh-CN" w:bidi="ar"/>
              </w:rPr>
              <w:t>检测点位/</w:t>
            </w:r>
            <w:r>
              <w:rPr>
                <w:rFonts w:hint="default" w:ascii="Times New Roman" w:hAnsi="Times New Roman" w:eastAsia="宋体" w:cs="Times New Roman"/>
                <w:b/>
                <w:bCs/>
                <w:i w:val="0"/>
                <w:color w:val="000000"/>
                <w:kern w:val="0"/>
                <w:sz w:val="24"/>
                <w:szCs w:val="24"/>
                <w:highlight w:val="none"/>
                <w:u w:val="none"/>
                <w:lang w:val="en-US" w:eastAsia="zh-CN" w:bidi="ar"/>
              </w:rPr>
              <w:t>检测结果</w:t>
            </w:r>
          </w:p>
        </w:tc>
        <w:tc>
          <w:tcPr>
            <w:tcW w:w="932"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4"/>
                <w:szCs w:val="24"/>
                <w:highlight w:val="none"/>
                <w:u w:val="none"/>
                <w:lang w:val="en-US" w:eastAsia="zh-CN" w:bidi="ar"/>
              </w:rPr>
            </w:pPr>
            <w:r>
              <w:rPr>
                <w:rFonts w:hint="eastAsia" w:ascii="Times New Roman" w:hAnsi="Times New Roman" w:eastAsia="宋体" w:cs="Times New Roman"/>
                <w:b/>
                <w:bCs/>
                <w:i w:val="0"/>
                <w:color w:val="000000"/>
                <w:kern w:val="0"/>
                <w:sz w:val="24"/>
                <w:szCs w:val="24"/>
                <w:highlight w:val="none"/>
                <w:u w:val="none"/>
                <w:lang w:val="en-US" w:eastAsia="zh-CN" w:bidi="ar"/>
              </w:rPr>
              <w:t>参考限值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7"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outlineLvl w:val="9"/>
              <w:rPr>
                <w:rFonts w:hint="default" w:ascii="Times New Roman" w:hAnsi="Times New Roman" w:eastAsia="宋体" w:cs="Times New Roman"/>
                <w:b/>
                <w:bCs/>
                <w:snapToGrid w:val="0"/>
                <w:color w:val="auto"/>
                <w:kern w:val="2"/>
                <w:sz w:val="24"/>
                <w:szCs w:val="24"/>
                <w:highlight w:val="none"/>
              </w:rPr>
            </w:pPr>
          </w:p>
        </w:tc>
        <w:tc>
          <w:tcPr>
            <w:tcW w:w="2685"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snapToGrid w:val="0"/>
                <w:color w:val="000000" w:themeColor="text1"/>
                <w:kern w:val="2"/>
                <w:sz w:val="24"/>
                <w:szCs w:val="24"/>
                <w:highlight w:val="none"/>
                <w:lang w:val="en-US" w:eastAsia="zh-CN"/>
                <w14:textFill>
                  <w14:solidFill>
                    <w14:schemeClr w14:val="tx1"/>
                  </w14:solidFill>
                </w14:textFill>
              </w:rPr>
            </w:pPr>
          </w:p>
        </w:tc>
        <w:tc>
          <w:tcPr>
            <w:tcW w:w="162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4"/>
                <w:szCs w:val="24"/>
                <w:highlight w:val="none"/>
                <w:u w:val="none"/>
                <w:lang w:val="en-US" w:eastAsia="zh-CN" w:bidi="ar"/>
              </w:rPr>
            </w:pPr>
            <w:r>
              <w:rPr>
                <w:rFonts w:hint="default" w:ascii="Times New Roman" w:hAnsi="Times New Roman" w:eastAsia="宋体" w:cs="Times New Roman"/>
                <w:b/>
                <w:bCs/>
                <w:i w:val="0"/>
                <w:color w:val="000000"/>
                <w:kern w:val="0"/>
                <w:sz w:val="24"/>
                <w:szCs w:val="24"/>
                <w:highlight w:val="none"/>
                <w:u w:val="none"/>
                <w:lang w:val="en-US" w:eastAsia="zh-CN" w:bidi="ar"/>
              </w:rPr>
              <w:t>T1东风水闸</w:t>
            </w:r>
          </w:p>
        </w:tc>
        <w:tc>
          <w:tcPr>
            <w:tcW w:w="162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4"/>
                <w:szCs w:val="24"/>
                <w:highlight w:val="none"/>
                <w:u w:val="none"/>
                <w:lang w:val="en-US" w:eastAsia="zh-CN" w:bidi="ar"/>
              </w:rPr>
            </w:pPr>
            <w:r>
              <w:rPr>
                <w:rFonts w:hint="default" w:ascii="Times New Roman" w:hAnsi="Times New Roman" w:eastAsia="宋体" w:cs="Times New Roman"/>
                <w:b/>
                <w:bCs/>
                <w:i w:val="0"/>
                <w:color w:val="000000"/>
                <w:kern w:val="0"/>
                <w:sz w:val="24"/>
                <w:szCs w:val="24"/>
                <w:highlight w:val="none"/>
                <w:u w:val="none"/>
                <w:lang w:val="en-US" w:eastAsia="zh-CN" w:bidi="ar"/>
              </w:rPr>
              <w:t>T3蒋家桥镇集镇处</w:t>
            </w:r>
          </w:p>
        </w:tc>
        <w:tc>
          <w:tcPr>
            <w:tcW w:w="171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olor w:val="000000"/>
                <w:kern w:val="0"/>
                <w:sz w:val="24"/>
                <w:szCs w:val="24"/>
                <w:highlight w:val="none"/>
                <w:u w:val="none"/>
                <w:lang w:val="en-US" w:eastAsia="zh-CN" w:bidi="ar"/>
              </w:rPr>
            </w:pPr>
            <w:r>
              <w:rPr>
                <w:rFonts w:hint="default" w:ascii="Times New Roman" w:hAnsi="Times New Roman" w:eastAsia="宋体" w:cs="Times New Roman"/>
                <w:b/>
                <w:bCs/>
                <w:i w:val="0"/>
                <w:color w:val="000000"/>
                <w:kern w:val="0"/>
                <w:sz w:val="24"/>
                <w:szCs w:val="24"/>
                <w:highlight w:val="none"/>
                <w:u w:val="none"/>
                <w:lang w:val="en-US" w:eastAsia="zh-CN" w:bidi="ar"/>
              </w:rPr>
              <w:t>T5袁家屋场</w:t>
            </w:r>
          </w:p>
        </w:tc>
        <w:tc>
          <w:tcPr>
            <w:tcW w:w="932"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bCs/>
                <w:i w:val="0"/>
                <w:color w:val="000000"/>
                <w:kern w:val="0"/>
                <w:sz w:val="24"/>
                <w:szCs w:val="24"/>
                <w:highlight w:val="none"/>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7"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06</w:t>
            </w:r>
          </w:p>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月</w:t>
            </w:r>
          </w:p>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04</w:t>
            </w:r>
          </w:p>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日</w:t>
            </w:r>
          </w:p>
        </w:tc>
        <w:tc>
          <w:tcPr>
            <w:tcW w:w="2685"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样品状态</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棕</w:t>
            </w:r>
            <w:r>
              <w:rPr>
                <w:rFonts w:hint="eastAsia" w:ascii="Times New Roman" w:hAnsi="Times New Roman" w:cs="Times New Roman"/>
                <w:b w:val="0"/>
                <w:bCs w:val="0"/>
                <w:color w:val="auto"/>
                <w:kern w:val="2"/>
                <w:sz w:val="24"/>
                <w:szCs w:val="24"/>
                <w:highlight w:val="none"/>
                <w:lang w:val="en-US" w:eastAsia="zh-CN"/>
              </w:rPr>
              <w:t>色</w:t>
            </w:r>
            <w:r>
              <w:rPr>
                <w:rFonts w:hint="default" w:ascii="Times New Roman" w:hAnsi="Times New Roman" w:cs="Times New Roman"/>
                <w:b w:val="0"/>
                <w:bCs w:val="0"/>
                <w:color w:val="auto"/>
                <w:kern w:val="2"/>
                <w:sz w:val="24"/>
                <w:szCs w:val="24"/>
                <w:highlight w:val="none"/>
                <w:lang w:val="en-US" w:eastAsia="zh-CN"/>
              </w:rPr>
              <w:t>、</w:t>
            </w:r>
            <w:r>
              <w:rPr>
                <w:rFonts w:hint="eastAsia" w:ascii="Times New Roman" w:hAnsi="Times New Roman" w:cs="Times New Roman"/>
                <w:b w:val="0"/>
                <w:bCs w:val="0"/>
                <w:color w:val="auto"/>
                <w:kern w:val="2"/>
                <w:sz w:val="24"/>
                <w:szCs w:val="24"/>
                <w:highlight w:val="none"/>
                <w:lang w:val="en-US" w:eastAsia="zh-CN"/>
              </w:rPr>
              <w:t>黏土、潮</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黄</w:t>
            </w:r>
            <w:r>
              <w:rPr>
                <w:rFonts w:hint="default" w:ascii="Times New Roman" w:hAnsi="Times New Roman" w:cs="Times New Roman"/>
                <w:b w:val="0"/>
                <w:bCs w:val="0"/>
                <w:color w:val="auto"/>
                <w:kern w:val="2"/>
                <w:sz w:val="24"/>
                <w:szCs w:val="24"/>
                <w:highlight w:val="none"/>
                <w:lang w:val="en-US" w:eastAsia="zh-CN"/>
              </w:rPr>
              <w:t>棕</w:t>
            </w:r>
            <w:r>
              <w:rPr>
                <w:rFonts w:hint="eastAsia" w:ascii="Times New Roman" w:hAnsi="Times New Roman" w:cs="Times New Roman"/>
                <w:b w:val="0"/>
                <w:bCs w:val="0"/>
                <w:color w:val="auto"/>
                <w:kern w:val="2"/>
                <w:sz w:val="24"/>
                <w:szCs w:val="24"/>
                <w:highlight w:val="none"/>
                <w:lang w:val="en-US" w:eastAsia="zh-CN"/>
              </w:rPr>
              <w:t>色</w:t>
            </w:r>
            <w:r>
              <w:rPr>
                <w:rFonts w:hint="default" w:ascii="Times New Roman" w:hAnsi="Times New Roman" w:cs="Times New Roman"/>
                <w:b w:val="0"/>
                <w:bCs w:val="0"/>
                <w:color w:val="auto"/>
                <w:kern w:val="2"/>
                <w:sz w:val="24"/>
                <w:szCs w:val="24"/>
                <w:highlight w:val="none"/>
                <w:lang w:val="en-US" w:eastAsia="zh-CN"/>
              </w:rPr>
              <w:t>、</w:t>
            </w:r>
            <w:r>
              <w:rPr>
                <w:rFonts w:hint="eastAsia" w:ascii="Times New Roman" w:hAnsi="Times New Roman" w:cs="Times New Roman"/>
                <w:b w:val="0"/>
                <w:bCs w:val="0"/>
                <w:color w:val="auto"/>
                <w:kern w:val="2"/>
                <w:sz w:val="24"/>
                <w:szCs w:val="24"/>
                <w:highlight w:val="none"/>
                <w:lang w:val="en-US" w:eastAsia="zh-CN"/>
              </w:rPr>
              <w:t>黏土、潮</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棕</w:t>
            </w:r>
            <w:r>
              <w:rPr>
                <w:rFonts w:hint="eastAsia" w:ascii="Times New Roman" w:hAnsi="Times New Roman" w:cs="Times New Roman"/>
                <w:b w:val="0"/>
                <w:bCs w:val="0"/>
                <w:color w:val="auto"/>
                <w:kern w:val="2"/>
                <w:sz w:val="24"/>
                <w:szCs w:val="24"/>
                <w:highlight w:val="none"/>
                <w:lang w:val="en-US" w:eastAsia="zh-CN"/>
              </w:rPr>
              <w:t>色</w:t>
            </w:r>
            <w:r>
              <w:rPr>
                <w:rFonts w:hint="default" w:ascii="Times New Roman" w:hAnsi="Times New Roman" w:cs="Times New Roman"/>
                <w:b w:val="0"/>
                <w:bCs w:val="0"/>
                <w:color w:val="auto"/>
                <w:kern w:val="2"/>
                <w:sz w:val="24"/>
                <w:szCs w:val="24"/>
                <w:highlight w:val="none"/>
                <w:lang w:val="en-US" w:eastAsia="zh-CN"/>
              </w:rPr>
              <w:t>、</w:t>
            </w:r>
            <w:r>
              <w:rPr>
                <w:rFonts w:hint="eastAsia" w:ascii="Times New Roman" w:hAnsi="Times New Roman" w:cs="Times New Roman"/>
                <w:b w:val="0"/>
                <w:bCs w:val="0"/>
                <w:color w:val="auto"/>
                <w:kern w:val="2"/>
                <w:sz w:val="24"/>
                <w:szCs w:val="24"/>
                <w:highlight w:val="none"/>
                <w:lang w:val="en-US" w:eastAsia="zh-CN"/>
              </w:rPr>
              <w:t>黏土、湿</w:t>
            </w:r>
          </w:p>
        </w:tc>
        <w:tc>
          <w:tcPr>
            <w:tcW w:w="9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cs="Times New Roman"/>
                <w:color w:val="auto"/>
                <w:sz w:val="24"/>
                <w:szCs w:val="24"/>
                <w:highlight w:val="none"/>
                <w:lang w:val="en-US" w:eastAsia="zh-CN"/>
              </w:rPr>
            </w:pPr>
          </w:p>
        </w:tc>
        <w:tc>
          <w:tcPr>
            <w:tcW w:w="2685"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lang w:val="en-US" w:eastAsia="zh-CN"/>
              </w:rPr>
              <w:t>pH值（无量纲）</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6.7</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6.9</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7.0</w:t>
            </w:r>
          </w:p>
        </w:tc>
        <w:tc>
          <w:tcPr>
            <w:tcW w:w="9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4"/>
                <w:szCs w:val="24"/>
                <w:highlight w:val="none"/>
                <w:lang w:val="en-US" w:eastAsia="zh-CN"/>
              </w:rPr>
            </w:pPr>
          </w:p>
        </w:tc>
        <w:tc>
          <w:tcPr>
            <w:tcW w:w="26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镉（mg/L）</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0.05L</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0.05L</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0.05L</w:t>
            </w:r>
          </w:p>
        </w:tc>
        <w:tc>
          <w:tcPr>
            <w:tcW w:w="9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4"/>
                <w:szCs w:val="24"/>
                <w:highlight w:val="none"/>
                <w:lang w:val="en-US" w:eastAsia="zh-CN"/>
              </w:rPr>
            </w:pPr>
          </w:p>
        </w:tc>
        <w:tc>
          <w:tcPr>
            <w:tcW w:w="26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铬（mg/L）</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0.03L</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0.03L</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0.03L</w:t>
            </w:r>
          </w:p>
        </w:tc>
        <w:tc>
          <w:tcPr>
            <w:tcW w:w="9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4"/>
                <w:szCs w:val="24"/>
                <w:highlight w:val="none"/>
                <w:lang w:val="en-US" w:eastAsia="zh-CN"/>
              </w:rPr>
            </w:pPr>
          </w:p>
        </w:tc>
        <w:tc>
          <w:tcPr>
            <w:tcW w:w="26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铜（mg/L）</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0.02L</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0.02L</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0.02L</w:t>
            </w:r>
          </w:p>
        </w:tc>
        <w:tc>
          <w:tcPr>
            <w:tcW w:w="9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77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4"/>
                <w:szCs w:val="24"/>
                <w:highlight w:val="none"/>
                <w:lang w:val="en-US" w:eastAsia="zh-CN"/>
              </w:rPr>
            </w:pPr>
          </w:p>
        </w:tc>
        <w:tc>
          <w:tcPr>
            <w:tcW w:w="26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铅（mg/L）</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0.06L</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0.06L</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0.06L</w:t>
            </w:r>
          </w:p>
        </w:tc>
        <w:tc>
          <w:tcPr>
            <w:tcW w:w="9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4"/>
                <w:szCs w:val="24"/>
                <w:highlight w:val="none"/>
                <w:lang w:val="en-US" w:eastAsia="zh-CN"/>
              </w:rPr>
            </w:pPr>
          </w:p>
        </w:tc>
        <w:tc>
          <w:tcPr>
            <w:tcW w:w="26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镍（mg/L）</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0.03L</w:t>
            </w:r>
          </w:p>
        </w:tc>
        <w:tc>
          <w:tcPr>
            <w:tcW w:w="1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0.03L</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0.03L</w:t>
            </w:r>
          </w:p>
        </w:tc>
        <w:tc>
          <w:tcPr>
            <w:tcW w:w="9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备注</w:t>
            </w:r>
          </w:p>
        </w:tc>
        <w:tc>
          <w:tcPr>
            <w:tcW w:w="8581"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highlight w:val="none"/>
                <w:lang w:val="en-US" w:eastAsia="zh-CN"/>
              </w:rPr>
              <w:t>参考限值来源于《污水综合排放标准》GB 8978-1996表1及表4中一级标准限值，砷</w:t>
            </w:r>
            <w:r>
              <w:rPr>
                <w:rFonts w:hint="default" w:ascii="Times New Roman" w:hAnsi="Times New Roman" w:eastAsia="宋体" w:cs="Times New Roman"/>
                <w:b w:val="0"/>
                <w:bCs w:val="0"/>
                <w:color w:val="auto"/>
                <w:kern w:val="0"/>
                <w:sz w:val="24"/>
                <w:szCs w:val="24"/>
                <w:lang w:val="en-US" w:eastAsia="zh-CN"/>
              </w:rPr>
              <w:t>*</w:t>
            </w:r>
            <w:r>
              <w:rPr>
                <w:rFonts w:hint="default" w:ascii="Times New Roman" w:hAnsi="Times New Roman" w:eastAsia="宋体" w:cs="Times New Roman"/>
                <w:b w:val="0"/>
                <w:bCs w:val="0"/>
                <w:color w:val="auto"/>
                <w:kern w:val="2"/>
                <w:sz w:val="24"/>
                <w:szCs w:val="24"/>
                <w:highlight w:val="none"/>
                <w:lang w:val="en-US" w:eastAsia="zh-CN"/>
              </w:rPr>
              <w:t>、</w:t>
            </w:r>
            <w:r>
              <w:rPr>
                <w:rFonts w:hint="eastAsia" w:ascii="Times New Roman" w:hAnsi="Times New Roman" w:cs="Times New Roman"/>
                <w:b w:val="0"/>
                <w:bCs w:val="0"/>
                <w:color w:val="auto"/>
                <w:kern w:val="2"/>
                <w:sz w:val="24"/>
                <w:szCs w:val="24"/>
                <w:highlight w:val="none"/>
                <w:lang w:val="en-US" w:eastAsia="zh-CN"/>
              </w:rPr>
              <w:t>锌</w:t>
            </w:r>
            <w:r>
              <w:rPr>
                <w:rFonts w:hint="default" w:ascii="Times New Roman" w:hAnsi="Times New Roman" w:eastAsia="宋体" w:cs="Times New Roman"/>
                <w:b w:val="0"/>
                <w:bCs w:val="0"/>
                <w:color w:val="auto"/>
                <w:kern w:val="0"/>
                <w:sz w:val="24"/>
                <w:szCs w:val="24"/>
                <w:lang w:val="en-US" w:eastAsia="zh-CN"/>
              </w:rPr>
              <w:t>*</w:t>
            </w:r>
            <w:r>
              <w:rPr>
                <w:rFonts w:hint="default" w:ascii="Times New Roman" w:hAnsi="Times New Roman" w:eastAsia="宋体" w:cs="Times New Roman"/>
                <w:b w:val="0"/>
                <w:bCs w:val="0"/>
                <w:color w:val="auto"/>
                <w:kern w:val="2"/>
                <w:sz w:val="24"/>
                <w:szCs w:val="24"/>
                <w:highlight w:val="none"/>
                <w:lang w:val="en-US" w:eastAsia="zh-CN"/>
              </w:rPr>
              <w:t>、</w:t>
            </w:r>
            <w:r>
              <w:rPr>
                <w:rFonts w:hint="eastAsia" w:ascii="Times New Roman" w:hAnsi="Times New Roman" w:cs="Times New Roman"/>
                <w:b w:val="0"/>
                <w:bCs w:val="0"/>
                <w:color w:val="auto"/>
                <w:kern w:val="2"/>
                <w:sz w:val="24"/>
                <w:szCs w:val="24"/>
                <w:highlight w:val="none"/>
                <w:lang w:val="en-US" w:eastAsia="zh-CN"/>
              </w:rPr>
              <w:t>汞</w:t>
            </w:r>
            <w:r>
              <w:rPr>
                <w:rFonts w:hint="default" w:ascii="Times New Roman" w:hAnsi="Times New Roman" w:eastAsia="宋体" w:cs="Times New Roman"/>
                <w:b w:val="0"/>
                <w:bCs w:val="0"/>
                <w:color w:val="auto"/>
                <w:kern w:val="0"/>
                <w:sz w:val="24"/>
                <w:szCs w:val="24"/>
                <w:lang w:val="en-US" w:eastAsia="zh-CN"/>
              </w:rPr>
              <w:t>*</w:t>
            </w:r>
            <w:r>
              <w:rPr>
                <w:rFonts w:hint="eastAsia" w:ascii="Times New Roman" w:hAnsi="Times New Roman" w:eastAsia="宋体" w:cs="Times New Roman"/>
                <w:b w:val="0"/>
                <w:bCs w:val="0"/>
                <w:color w:val="auto"/>
                <w:kern w:val="2"/>
                <w:sz w:val="24"/>
                <w:szCs w:val="24"/>
                <w:highlight w:val="none"/>
                <w:lang w:val="en-US" w:eastAsia="zh-CN"/>
              </w:rPr>
              <w:t>分</w:t>
            </w:r>
            <w:r>
              <w:rPr>
                <w:rFonts w:hint="default" w:ascii="Times New Roman" w:hAnsi="Times New Roman" w:eastAsia="宋体" w:cs="Times New Roman"/>
                <w:b w:val="0"/>
                <w:bCs w:val="0"/>
                <w:color w:val="auto"/>
                <w:kern w:val="2"/>
                <w:sz w:val="24"/>
                <w:szCs w:val="24"/>
                <w:highlight w:val="none"/>
                <w:lang w:val="en-US" w:eastAsia="zh-CN"/>
              </w:rPr>
              <w:t>包数据来源于湖南昌旭环保科技有限公司出具的检测报告，报告编号为：</w:t>
            </w:r>
            <w:r>
              <w:rPr>
                <w:rFonts w:hint="eastAsia" w:ascii="Times New Roman" w:hAnsi="Times New Roman" w:cs="Times New Roman"/>
                <w:b w:val="0"/>
                <w:bCs w:val="0"/>
                <w:color w:val="auto"/>
                <w:kern w:val="2"/>
                <w:sz w:val="24"/>
                <w:szCs w:val="24"/>
                <w:highlight w:val="none"/>
                <w:lang w:val="en-US" w:eastAsia="zh-CN"/>
              </w:rPr>
              <w:t>HNCX24B06048。</w:t>
            </w:r>
          </w:p>
        </w:tc>
      </w:tr>
    </w:tbl>
    <w:p>
      <w:pPr>
        <w:pStyle w:val="5"/>
        <w:tabs>
          <w:tab w:val="left" w:pos="766"/>
        </w:tabs>
        <w:autoSpaceDE/>
        <w:autoSpaceDN/>
        <w:adjustRightInd w:val="0"/>
        <w:snapToGrid w:val="0"/>
        <w:spacing w:before="0" w:line="360" w:lineRule="auto"/>
        <w:ind w:left="0" w:firstLine="0"/>
        <w:jc w:val="both"/>
        <w:rPr>
          <w:rFonts w:ascii="Times New Roman" w:hAnsi="Times New Roman" w:cs="Times New Roman"/>
          <w:snapToGrid w:val="0"/>
          <w:u w:val="none"/>
        </w:rPr>
      </w:pPr>
      <w:r>
        <w:rPr>
          <w:rFonts w:ascii="Times New Roman" w:hAnsi="Times New Roman" w:cs="Times New Roman"/>
          <w:snapToGrid w:val="0"/>
          <w:u w:val="none"/>
        </w:rPr>
        <w:t>4.</w:t>
      </w:r>
      <w:r>
        <w:rPr>
          <w:rFonts w:hint="eastAsia" w:ascii="Times New Roman" w:hAnsi="Times New Roman" w:cs="Times New Roman"/>
          <w:snapToGrid w:val="0"/>
          <w:u w:val="none"/>
          <w:lang w:val="en-US" w:eastAsia="zh-CN"/>
        </w:rPr>
        <w:t>5</w:t>
      </w:r>
      <w:r>
        <w:rPr>
          <w:rFonts w:ascii="Times New Roman" w:hAnsi="Times New Roman" w:cs="Times New Roman"/>
          <w:snapToGrid w:val="0"/>
          <w:u w:val="none"/>
        </w:rPr>
        <w:t>生态环境现状</w:t>
      </w:r>
      <w:bookmarkEnd w:id="260"/>
    </w:p>
    <w:p>
      <w:pPr>
        <w:autoSpaceDE/>
        <w:autoSpaceDN/>
        <w:adjustRightInd w:val="0"/>
        <w:snapToGrid w:val="0"/>
        <w:spacing w:line="360" w:lineRule="auto"/>
        <w:jc w:val="both"/>
        <w:outlineLvl w:val="2"/>
        <w:rPr>
          <w:rFonts w:ascii="Times New Roman" w:hAnsi="Times New Roman" w:cs="Times New Roman"/>
          <w:b/>
          <w:color w:val="auto"/>
          <w:sz w:val="28"/>
          <w:szCs w:val="24"/>
          <w:u w:val="none"/>
        </w:rPr>
      </w:pPr>
      <w:bookmarkStart w:id="261" w:name="_Toc66206086"/>
      <w:bookmarkStart w:id="262" w:name="_Toc26866"/>
      <w:bookmarkStart w:id="263" w:name="_Toc69284612"/>
      <w:bookmarkStart w:id="264" w:name="_Toc82593159"/>
      <w:r>
        <w:rPr>
          <w:rFonts w:ascii="Times New Roman" w:hAnsi="Times New Roman" w:cs="Times New Roman"/>
          <w:b/>
          <w:color w:val="auto"/>
          <w:sz w:val="28"/>
          <w:szCs w:val="24"/>
          <w:u w:val="none"/>
        </w:rPr>
        <w:t>4.</w:t>
      </w:r>
      <w:r>
        <w:rPr>
          <w:rFonts w:hint="eastAsia" w:ascii="Times New Roman" w:hAnsi="Times New Roman" w:cs="Times New Roman"/>
          <w:b/>
          <w:color w:val="auto"/>
          <w:sz w:val="28"/>
          <w:szCs w:val="24"/>
          <w:u w:val="none"/>
          <w:lang w:val="en-US" w:eastAsia="zh-CN"/>
        </w:rPr>
        <w:t>5</w:t>
      </w:r>
      <w:r>
        <w:rPr>
          <w:rFonts w:ascii="Times New Roman" w:hAnsi="Times New Roman" w:cs="Times New Roman"/>
          <w:b/>
          <w:color w:val="auto"/>
          <w:sz w:val="28"/>
          <w:szCs w:val="24"/>
          <w:u w:val="none"/>
        </w:rPr>
        <w:t>.1</w:t>
      </w:r>
      <w:r>
        <w:rPr>
          <w:rFonts w:hint="eastAsia" w:ascii="Times New Roman" w:hAnsi="Times New Roman" w:cs="Times New Roman"/>
          <w:b/>
          <w:color w:val="auto"/>
          <w:sz w:val="28"/>
          <w:szCs w:val="24"/>
          <w:u w:val="none"/>
          <w:lang w:eastAsia="zh-CN"/>
        </w:rPr>
        <w:t>陆生生态</w:t>
      </w:r>
      <w:r>
        <w:rPr>
          <w:rFonts w:ascii="Times New Roman" w:hAnsi="Times New Roman" w:cs="Times New Roman"/>
          <w:b/>
          <w:color w:val="auto"/>
          <w:sz w:val="28"/>
          <w:szCs w:val="24"/>
          <w:u w:val="none"/>
        </w:rPr>
        <w:t>调查</w:t>
      </w:r>
      <w:bookmarkEnd w:id="261"/>
      <w:bookmarkEnd w:id="262"/>
      <w:bookmarkEnd w:id="263"/>
      <w:bookmarkEnd w:id="264"/>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sz w:val="24"/>
          <w:szCs w:val="24"/>
          <w:u w:val="none" w:color="auto"/>
          <w:lang w:val="en-US" w:eastAsia="zh-CN"/>
        </w:rPr>
      </w:pPr>
      <w:r>
        <w:rPr>
          <w:rFonts w:hint="eastAsia" w:ascii="Times New Roman" w:hAnsi="Times New Roman" w:eastAsia="宋体" w:cs="Times New Roman"/>
          <w:b/>
          <w:bCs w:val="0"/>
          <w:sz w:val="24"/>
          <w:szCs w:val="24"/>
          <w:u w:val="none" w:color="auto"/>
          <w:lang w:val="en-US" w:eastAsia="zh-CN"/>
        </w:rPr>
        <w:t>1、调查方法</w:t>
      </w:r>
    </w:p>
    <w:p>
      <w:pPr>
        <w:pStyle w:val="2984"/>
        <w:rPr>
          <w:rFonts w:hint="eastAsia"/>
          <w:color w:val="auto"/>
          <w:highlight w:val="none"/>
          <w:u w:val="none" w:color="auto"/>
          <w:lang w:val="en-US" w:eastAsia="zh-CN"/>
        </w:rPr>
      </w:pPr>
      <w:r>
        <w:rPr>
          <w:rFonts w:hint="eastAsia" w:ascii="宋体" w:hAnsi="宋体" w:eastAsia="宋体" w:cs="宋体"/>
          <w:color w:val="auto"/>
          <w:highlight w:val="none"/>
          <w:u w:val="none" w:color="auto"/>
          <w:lang w:val="en-US" w:eastAsia="zh-CN"/>
        </w:rPr>
        <w:t>①</w:t>
      </w:r>
      <w:r>
        <w:rPr>
          <w:rFonts w:hint="eastAsia" w:ascii="宋体" w:hAnsi="宋体" w:cs="宋体"/>
          <w:color w:val="auto"/>
          <w:highlight w:val="none"/>
          <w:u w:val="none" w:color="auto"/>
          <w:lang w:val="en-US" w:eastAsia="zh-CN"/>
        </w:rPr>
        <w:t>植物调查：</w:t>
      </w:r>
      <w:r>
        <w:rPr>
          <w:rFonts w:hint="eastAsia"/>
          <w:color w:val="auto"/>
          <w:highlight w:val="none"/>
          <w:u w:val="none" w:color="auto"/>
          <w:lang w:val="en-US" w:eastAsia="zh-CN"/>
        </w:rPr>
        <w:t>本次调查采取施工区域以及植被状况良好的区域布设样方进行调查。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sz w:val="24"/>
          <w:szCs w:val="24"/>
          <w:u w:val="none" w:color="auto"/>
          <w:lang w:val="en-US" w:eastAsia="zh-CN"/>
        </w:rPr>
      </w:pPr>
      <w:r>
        <w:rPr>
          <w:rFonts w:hint="eastAsia" w:ascii="宋体" w:hAnsi="宋体" w:eastAsia="宋体" w:cs="宋体"/>
          <w:b w:val="0"/>
          <w:bCs/>
          <w:sz w:val="24"/>
          <w:szCs w:val="24"/>
          <w:u w:val="none" w:color="auto"/>
          <w:lang w:val="en-US" w:eastAsia="zh-CN"/>
        </w:rPr>
        <w:t>②</w:t>
      </w:r>
      <w:r>
        <w:rPr>
          <w:rFonts w:hint="eastAsia" w:ascii="Times New Roman" w:hAnsi="Times New Roman" w:eastAsia="宋体" w:cs="Times New Roman"/>
          <w:b w:val="0"/>
          <w:bCs/>
          <w:sz w:val="24"/>
          <w:szCs w:val="24"/>
          <w:u w:val="none" w:color="auto"/>
          <w:lang w:val="en-US" w:eastAsia="zh-CN"/>
        </w:rPr>
        <w:t>动物调查：主要采用</w:t>
      </w:r>
      <w:r>
        <w:rPr>
          <w:rFonts w:hint="eastAsia" w:ascii="Times New Roman" w:hAnsi="Times New Roman" w:eastAsia="宋体" w:cs="Times New Roman"/>
          <w:snapToGrid/>
          <w:color w:val="auto"/>
          <w:kern w:val="2"/>
          <w:sz w:val="24"/>
          <w:szCs w:val="24"/>
          <w:highlight w:val="none"/>
          <w:u w:val="none" w:color="auto"/>
          <w:lang w:val="en-US" w:eastAsia="zh-CN" w:bidi="ar-SA"/>
        </w:rPr>
        <w:t>访问调查法和资料查询。</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sz w:val="24"/>
          <w:szCs w:val="24"/>
          <w:u w:val="none" w:color="auto"/>
          <w:lang w:val="en-US" w:eastAsia="zh-CN"/>
        </w:rPr>
      </w:pPr>
      <w:r>
        <w:rPr>
          <w:rFonts w:hint="eastAsia" w:ascii="Times New Roman" w:hAnsi="Times New Roman" w:eastAsia="宋体" w:cs="Times New Roman"/>
          <w:b/>
          <w:bCs w:val="0"/>
          <w:sz w:val="24"/>
          <w:szCs w:val="24"/>
          <w:u w:val="none" w:color="auto"/>
          <w:lang w:val="en-US" w:eastAsia="zh-CN"/>
        </w:rPr>
        <w:t>2、生态系统现状</w:t>
      </w:r>
    </w:p>
    <w:p>
      <w:pPr>
        <w:pStyle w:val="2984"/>
        <w:rPr>
          <w:rFonts w:hint="default" w:ascii="Times New Roman" w:hAnsi="Times New Roman" w:cs="Times New Roman"/>
          <w:b w:val="0"/>
          <w:bCs w:val="0"/>
          <w:color w:val="auto"/>
          <w:highlight w:val="none"/>
          <w:u w:val="none" w:color="auto"/>
          <w:lang w:val="en-US" w:eastAsia="zh-CN"/>
        </w:rPr>
      </w:pPr>
      <w:r>
        <w:rPr>
          <w:rFonts w:hint="eastAsia"/>
          <w:b w:val="0"/>
          <w:bCs w:val="0"/>
          <w:color w:val="auto"/>
          <w:highlight w:val="none"/>
          <w:u w:val="none" w:color="auto"/>
          <w:lang w:val="en-US" w:eastAsia="zh-CN"/>
        </w:rPr>
        <w:t>评价区生态系统参考《中国生态系统》的分类原则及方法，根据对评价区土地利用现状的分析，结合动植物分布和生物量的调查，可将评价区生态系统现状划分为自然的森林生态系统、灌丛/灌草丛生态系统、半自然的农业生态系统和人工的城镇/村落生态系统。评价区各生态系统面积及比例见表</w:t>
      </w:r>
      <w:r>
        <w:rPr>
          <w:rFonts w:hint="default" w:ascii="Times New Roman" w:hAnsi="Times New Roman" w:cs="Times New Roman"/>
          <w:b w:val="0"/>
          <w:bCs w:val="0"/>
          <w:color w:val="auto"/>
          <w:highlight w:val="none"/>
          <w:u w:val="none" w:color="auto"/>
          <w:lang w:val="en-US" w:eastAsia="zh-CN"/>
        </w:rPr>
        <w:t>5.2-15。</w:t>
      </w:r>
    </w:p>
    <w:p>
      <w:pPr>
        <w:pStyle w:val="979"/>
        <w:bidi w:val="0"/>
        <w:jc w:val="center"/>
        <w:rPr>
          <w:rFonts w:hint="eastAsia"/>
          <w:b w:val="0"/>
          <w:bCs/>
          <w:highlight w:val="none"/>
          <w:u w:val="none" w:color="auto"/>
          <w:lang w:val="en-US" w:eastAsia="zh-CN"/>
        </w:rPr>
      </w:pPr>
      <w:r>
        <w:rPr>
          <w:rFonts w:hint="eastAsia"/>
          <w:b w:val="0"/>
          <w:bCs/>
          <w:highlight w:val="none"/>
          <w:u w:val="none" w:color="auto"/>
          <w:lang w:val="en-US" w:eastAsia="zh-CN"/>
        </w:rPr>
        <w:t>表4.5-15  评价区各生态系统面积及比例</w:t>
      </w:r>
    </w:p>
    <w:tbl>
      <w:tblPr>
        <w:tblStyle w:val="90"/>
        <w:tblW w:w="510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6" w:type="dxa"/>
          <w:bottom w:w="0" w:type="dxa"/>
          <w:right w:w="6" w:type="dxa"/>
        </w:tblCellMar>
      </w:tblPr>
      <w:tblGrid>
        <w:gridCol w:w="1581"/>
        <w:gridCol w:w="1447"/>
        <w:gridCol w:w="2213"/>
        <w:gridCol w:w="1844"/>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trPr>
        <w:tc>
          <w:tcPr>
            <w:tcW w:w="1491" w:type="dxa"/>
            <w:tcBorders>
              <w:tl2br w:val="nil"/>
              <w:tr2bl w:val="nil"/>
            </w:tcBorders>
            <w:noWrap w:val="0"/>
            <w:vAlign w:val="center"/>
          </w:tcPr>
          <w:p>
            <w:pPr>
              <w:pStyle w:val="298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u w:val="none" w:color="auto"/>
                <w:vertAlign w:val="baseline"/>
                <w:lang w:val="en-US" w:eastAsia="zh-CN"/>
              </w:rPr>
            </w:pPr>
            <w:r>
              <w:rPr>
                <w:rFonts w:hint="eastAsia"/>
                <w:b w:val="0"/>
                <w:bCs w:val="0"/>
                <w:color w:val="auto"/>
                <w:sz w:val="21"/>
                <w:szCs w:val="21"/>
                <w:highlight w:val="none"/>
                <w:u w:val="none" w:color="auto"/>
                <w:vertAlign w:val="baseline"/>
                <w:lang w:val="en-US" w:eastAsia="zh-CN"/>
              </w:rPr>
              <w:t>生态系统类型</w:t>
            </w:r>
          </w:p>
        </w:tc>
        <w:tc>
          <w:tcPr>
            <w:tcW w:w="1365" w:type="dxa"/>
            <w:tcBorders>
              <w:tl2br w:val="nil"/>
              <w:tr2bl w:val="nil"/>
            </w:tcBorders>
            <w:noWrap w:val="0"/>
            <w:vAlign w:val="center"/>
          </w:tcPr>
          <w:p>
            <w:pPr>
              <w:pStyle w:val="298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u w:val="none" w:color="auto"/>
                <w:vertAlign w:val="baseline"/>
                <w:lang w:val="en-US" w:eastAsia="zh-CN"/>
              </w:rPr>
            </w:pPr>
            <w:r>
              <w:rPr>
                <w:rFonts w:hint="eastAsia"/>
                <w:b w:val="0"/>
                <w:bCs w:val="0"/>
                <w:color w:val="auto"/>
                <w:sz w:val="21"/>
                <w:szCs w:val="21"/>
                <w:highlight w:val="none"/>
                <w:u w:val="none" w:color="auto"/>
                <w:vertAlign w:val="baseline"/>
                <w:lang w:val="en-US" w:eastAsia="zh-CN"/>
              </w:rPr>
              <w:t>森林生态系统</w:t>
            </w:r>
          </w:p>
        </w:tc>
        <w:tc>
          <w:tcPr>
            <w:tcW w:w="2087" w:type="dxa"/>
            <w:tcBorders>
              <w:tl2br w:val="nil"/>
              <w:tr2bl w:val="nil"/>
            </w:tcBorders>
            <w:noWrap w:val="0"/>
            <w:vAlign w:val="center"/>
          </w:tcPr>
          <w:p>
            <w:pPr>
              <w:pStyle w:val="298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u w:val="none" w:color="auto"/>
                <w:vertAlign w:val="baseline"/>
                <w:lang w:val="en-US" w:eastAsia="zh-CN"/>
              </w:rPr>
            </w:pPr>
            <w:r>
              <w:rPr>
                <w:rFonts w:hint="eastAsia"/>
                <w:b w:val="0"/>
                <w:bCs w:val="0"/>
                <w:color w:val="auto"/>
                <w:sz w:val="21"/>
                <w:szCs w:val="21"/>
                <w:highlight w:val="none"/>
                <w:u w:val="none" w:color="auto"/>
                <w:vertAlign w:val="baseline"/>
                <w:lang w:val="en-US" w:eastAsia="zh-CN"/>
              </w:rPr>
              <w:t>灌丛/灌草丛生态系统</w:t>
            </w:r>
          </w:p>
        </w:tc>
        <w:tc>
          <w:tcPr>
            <w:tcW w:w="1739" w:type="dxa"/>
            <w:tcBorders>
              <w:tl2br w:val="nil"/>
              <w:tr2bl w:val="nil"/>
            </w:tcBorders>
            <w:noWrap w:val="0"/>
            <w:vAlign w:val="center"/>
          </w:tcPr>
          <w:p>
            <w:pPr>
              <w:pStyle w:val="298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u w:val="none" w:color="auto"/>
                <w:vertAlign w:val="baseline"/>
                <w:lang w:val="en-US" w:eastAsia="zh-CN"/>
              </w:rPr>
            </w:pPr>
            <w:r>
              <w:rPr>
                <w:rFonts w:hint="eastAsia"/>
                <w:b w:val="0"/>
                <w:bCs w:val="0"/>
                <w:color w:val="auto"/>
                <w:sz w:val="21"/>
                <w:szCs w:val="21"/>
                <w:highlight w:val="none"/>
                <w:u w:val="none" w:color="auto"/>
                <w:vertAlign w:val="baseline"/>
                <w:lang w:val="en-US" w:eastAsia="zh-CN"/>
              </w:rPr>
              <w:t>农业生态系统</w:t>
            </w:r>
          </w:p>
        </w:tc>
        <w:tc>
          <w:tcPr>
            <w:tcW w:w="1811" w:type="dxa"/>
            <w:tcBorders>
              <w:tl2br w:val="nil"/>
              <w:tr2bl w:val="nil"/>
            </w:tcBorders>
            <w:noWrap w:val="0"/>
            <w:vAlign w:val="center"/>
          </w:tcPr>
          <w:p>
            <w:pPr>
              <w:pStyle w:val="298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u w:val="none" w:color="auto"/>
                <w:vertAlign w:val="baseline"/>
                <w:lang w:val="en-US" w:eastAsia="zh-CN"/>
              </w:rPr>
            </w:pPr>
            <w:r>
              <w:rPr>
                <w:rFonts w:hint="eastAsia"/>
                <w:b w:val="0"/>
                <w:bCs w:val="0"/>
                <w:color w:val="auto"/>
                <w:sz w:val="21"/>
                <w:szCs w:val="21"/>
                <w:highlight w:val="none"/>
                <w:u w:val="none" w:color="auto"/>
                <w:vertAlign w:val="baseline"/>
                <w:lang w:val="en-US" w:eastAsia="zh-CN"/>
              </w:rPr>
              <w:t>城镇/村落生态系统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trPr>
        <w:tc>
          <w:tcPr>
            <w:tcW w:w="1491" w:type="dxa"/>
            <w:tcBorders>
              <w:tl2br w:val="nil"/>
              <w:tr2bl w:val="nil"/>
            </w:tcBorders>
            <w:noWrap w:val="0"/>
            <w:vAlign w:val="center"/>
          </w:tcPr>
          <w:p>
            <w:pPr>
              <w:pStyle w:val="298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u w:val="none" w:color="auto"/>
                <w:vertAlign w:val="baseline"/>
                <w:lang w:val="en-US" w:eastAsia="zh-CN"/>
              </w:rPr>
            </w:pPr>
            <w:r>
              <w:rPr>
                <w:rFonts w:hint="eastAsia"/>
                <w:b w:val="0"/>
                <w:bCs w:val="0"/>
                <w:color w:val="auto"/>
                <w:sz w:val="21"/>
                <w:szCs w:val="21"/>
                <w:highlight w:val="none"/>
                <w:u w:val="none" w:color="auto"/>
                <w:vertAlign w:val="baseline"/>
                <w:lang w:val="en-US" w:eastAsia="zh-CN"/>
              </w:rPr>
              <w:t>面积（公顷）</w:t>
            </w:r>
          </w:p>
        </w:tc>
        <w:tc>
          <w:tcPr>
            <w:tcW w:w="1365" w:type="dxa"/>
            <w:tcBorders>
              <w:tl2br w:val="nil"/>
              <w:tr2bl w:val="nil"/>
            </w:tcBorders>
            <w:noWrap w:val="0"/>
            <w:vAlign w:val="center"/>
          </w:tcPr>
          <w:p>
            <w:pPr>
              <w:pStyle w:val="298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u w:val="none" w:color="auto"/>
                <w:vertAlign w:val="baseline"/>
                <w:lang w:val="en-US" w:eastAsia="zh-CN"/>
              </w:rPr>
            </w:pPr>
            <w:r>
              <w:rPr>
                <w:rFonts w:hint="eastAsia" w:ascii="Times New Roman" w:hAnsi="Times New Roman" w:cs="Times New Roman"/>
                <w:b w:val="0"/>
                <w:bCs w:val="0"/>
                <w:color w:val="auto"/>
                <w:sz w:val="21"/>
                <w:szCs w:val="21"/>
                <w:highlight w:val="none"/>
                <w:u w:val="none" w:color="auto"/>
                <w:vertAlign w:val="baseline"/>
                <w:lang w:val="en-US" w:eastAsia="zh-CN"/>
              </w:rPr>
              <w:t>6</w:t>
            </w:r>
            <w:r>
              <w:rPr>
                <w:rFonts w:hint="default" w:ascii="Times New Roman" w:hAnsi="Times New Roman" w:cs="Times New Roman"/>
                <w:b w:val="0"/>
                <w:bCs w:val="0"/>
                <w:color w:val="auto"/>
                <w:sz w:val="21"/>
                <w:szCs w:val="21"/>
                <w:highlight w:val="none"/>
                <w:u w:val="none" w:color="auto"/>
                <w:vertAlign w:val="baseline"/>
                <w:lang w:val="en-US" w:eastAsia="zh-CN"/>
              </w:rPr>
              <w:t>65.4</w:t>
            </w:r>
          </w:p>
        </w:tc>
        <w:tc>
          <w:tcPr>
            <w:tcW w:w="2087" w:type="dxa"/>
            <w:tcBorders>
              <w:tl2br w:val="nil"/>
              <w:tr2bl w:val="nil"/>
            </w:tcBorders>
            <w:noWrap w:val="0"/>
            <w:vAlign w:val="center"/>
          </w:tcPr>
          <w:p>
            <w:pPr>
              <w:pStyle w:val="298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u w:val="none" w:color="auto"/>
                <w:vertAlign w:val="baseline"/>
                <w:lang w:val="en-US" w:eastAsia="zh-CN"/>
              </w:rPr>
            </w:pPr>
            <w:r>
              <w:rPr>
                <w:rFonts w:hint="eastAsia" w:ascii="Times New Roman" w:hAnsi="Times New Roman" w:cs="Times New Roman"/>
                <w:b w:val="0"/>
                <w:bCs w:val="0"/>
                <w:color w:val="auto"/>
                <w:sz w:val="21"/>
                <w:szCs w:val="21"/>
                <w:highlight w:val="none"/>
                <w:u w:val="none" w:color="auto"/>
                <w:vertAlign w:val="baseline"/>
                <w:lang w:val="en-US" w:eastAsia="zh-CN"/>
              </w:rPr>
              <w:t>2</w:t>
            </w:r>
            <w:r>
              <w:rPr>
                <w:rFonts w:hint="default" w:ascii="Times New Roman" w:hAnsi="Times New Roman" w:cs="Times New Roman"/>
                <w:b w:val="0"/>
                <w:bCs w:val="0"/>
                <w:color w:val="auto"/>
                <w:sz w:val="21"/>
                <w:szCs w:val="21"/>
                <w:highlight w:val="none"/>
                <w:u w:val="none" w:color="auto"/>
                <w:vertAlign w:val="baseline"/>
                <w:lang w:val="en-US" w:eastAsia="zh-CN"/>
              </w:rPr>
              <w:t>49.1</w:t>
            </w:r>
          </w:p>
        </w:tc>
        <w:tc>
          <w:tcPr>
            <w:tcW w:w="1739" w:type="dxa"/>
            <w:tcBorders>
              <w:tl2br w:val="nil"/>
              <w:tr2bl w:val="nil"/>
            </w:tcBorders>
            <w:noWrap w:val="0"/>
            <w:vAlign w:val="center"/>
          </w:tcPr>
          <w:p>
            <w:pPr>
              <w:pStyle w:val="298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u w:val="none" w:color="auto"/>
                <w:vertAlign w:val="baseline"/>
                <w:lang w:val="en-US" w:eastAsia="zh-CN"/>
              </w:rPr>
            </w:pPr>
            <w:r>
              <w:rPr>
                <w:rFonts w:hint="default" w:ascii="Times New Roman" w:hAnsi="Times New Roman" w:cs="Times New Roman"/>
                <w:b w:val="0"/>
                <w:bCs w:val="0"/>
                <w:color w:val="auto"/>
                <w:sz w:val="21"/>
                <w:szCs w:val="21"/>
                <w:highlight w:val="none"/>
                <w:u w:val="none" w:color="auto"/>
                <w:vertAlign w:val="baseline"/>
                <w:lang w:val="en-US" w:eastAsia="zh-CN"/>
              </w:rPr>
              <w:t>86.8</w:t>
            </w:r>
          </w:p>
        </w:tc>
        <w:tc>
          <w:tcPr>
            <w:tcW w:w="1811" w:type="dxa"/>
            <w:tcBorders>
              <w:tl2br w:val="nil"/>
              <w:tr2bl w:val="nil"/>
            </w:tcBorders>
            <w:noWrap w:val="0"/>
            <w:vAlign w:val="center"/>
          </w:tcPr>
          <w:p>
            <w:pPr>
              <w:pStyle w:val="298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u w:val="none" w:color="auto"/>
                <w:vertAlign w:val="baseline"/>
                <w:lang w:val="en-US" w:eastAsia="zh-CN"/>
              </w:rPr>
            </w:pPr>
            <w:r>
              <w:rPr>
                <w:rFonts w:hint="eastAsia" w:ascii="Times New Roman" w:hAnsi="Times New Roman" w:cs="Times New Roman"/>
                <w:b w:val="0"/>
                <w:bCs w:val="0"/>
                <w:color w:val="auto"/>
                <w:sz w:val="21"/>
                <w:szCs w:val="21"/>
                <w:highlight w:val="none"/>
                <w:u w:val="none" w:color="auto"/>
                <w:vertAlign w:val="baseline"/>
                <w:lang w:val="en-US" w:eastAsia="zh-CN"/>
              </w:rPr>
              <w:t>2</w:t>
            </w:r>
            <w:r>
              <w:rPr>
                <w:rFonts w:hint="default" w:ascii="Times New Roman" w:hAnsi="Times New Roman" w:cs="Times New Roman"/>
                <w:b w:val="0"/>
                <w:bCs w:val="0"/>
                <w:color w:val="auto"/>
                <w:sz w:val="21"/>
                <w:szCs w:val="21"/>
                <w:highlight w:val="none"/>
                <w:u w:val="none" w:color="auto"/>
                <w:vertAlign w:val="baseline"/>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trPr>
        <w:tc>
          <w:tcPr>
            <w:tcW w:w="1491" w:type="dxa"/>
            <w:tcBorders>
              <w:tl2br w:val="nil"/>
              <w:tr2bl w:val="nil"/>
            </w:tcBorders>
            <w:noWrap w:val="0"/>
            <w:vAlign w:val="center"/>
          </w:tcPr>
          <w:p>
            <w:pPr>
              <w:pStyle w:val="298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z w:val="21"/>
                <w:szCs w:val="21"/>
                <w:highlight w:val="none"/>
                <w:u w:val="none" w:color="auto"/>
                <w:vertAlign w:val="baseline"/>
                <w:lang w:val="en-US" w:eastAsia="zh-CN"/>
              </w:rPr>
            </w:pPr>
            <w:r>
              <w:rPr>
                <w:rFonts w:hint="eastAsia"/>
                <w:b w:val="0"/>
                <w:bCs w:val="0"/>
                <w:color w:val="auto"/>
                <w:sz w:val="21"/>
                <w:szCs w:val="21"/>
                <w:highlight w:val="none"/>
                <w:u w:val="none" w:color="auto"/>
                <w:vertAlign w:val="baseline"/>
                <w:lang w:val="en-US" w:eastAsia="zh-CN"/>
              </w:rPr>
              <w:t>所占比例（%）</w:t>
            </w:r>
          </w:p>
        </w:tc>
        <w:tc>
          <w:tcPr>
            <w:tcW w:w="1365" w:type="dxa"/>
            <w:tcBorders>
              <w:tl2br w:val="nil"/>
              <w:tr2bl w:val="nil"/>
            </w:tcBorders>
            <w:noWrap w:val="0"/>
            <w:vAlign w:val="center"/>
          </w:tcPr>
          <w:p>
            <w:pPr>
              <w:pStyle w:val="298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u w:val="none" w:color="auto"/>
                <w:vertAlign w:val="baseline"/>
                <w:lang w:val="en-US" w:eastAsia="zh-CN"/>
              </w:rPr>
            </w:pPr>
            <w:r>
              <w:rPr>
                <w:rFonts w:hint="eastAsia" w:ascii="Times New Roman" w:hAnsi="Times New Roman" w:cs="Times New Roman"/>
                <w:b w:val="0"/>
                <w:bCs w:val="0"/>
                <w:color w:val="auto"/>
                <w:sz w:val="21"/>
                <w:szCs w:val="21"/>
                <w:highlight w:val="none"/>
                <w:u w:val="none" w:color="auto"/>
                <w:vertAlign w:val="baseline"/>
                <w:lang w:val="en-US" w:eastAsia="zh-CN"/>
              </w:rPr>
              <w:t>64.95</w:t>
            </w:r>
            <w:r>
              <w:rPr>
                <w:rFonts w:hint="default" w:ascii="Times New Roman" w:hAnsi="Times New Roman" w:cs="Times New Roman"/>
                <w:b w:val="0"/>
                <w:bCs w:val="0"/>
                <w:color w:val="auto"/>
                <w:sz w:val="21"/>
                <w:szCs w:val="21"/>
                <w:highlight w:val="none"/>
                <w:u w:val="none" w:color="auto"/>
                <w:vertAlign w:val="baseline"/>
                <w:lang w:val="en-US" w:eastAsia="zh-CN"/>
              </w:rPr>
              <w:t>%</w:t>
            </w:r>
          </w:p>
        </w:tc>
        <w:tc>
          <w:tcPr>
            <w:tcW w:w="2087" w:type="dxa"/>
            <w:tcBorders>
              <w:tl2br w:val="nil"/>
              <w:tr2bl w:val="nil"/>
            </w:tcBorders>
            <w:noWrap w:val="0"/>
            <w:vAlign w:val="center"/>
          </w:tcPr>
          <w:p>
            <w:pPr>
              <w:pStyle w:val="298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u w:val="none" w:color="auto"/>
                <w:vertAlign w:val="baseline"/>
                <w:lang w:val="en-US" w:eastAsia="zh-CN"/>
              </w:rPr>
            </w:pPr>
            <w:r>
              <w:rPr>
                <w:rFonts w:hint="eastAsia" w:ascii="Times New Roman" w:hAnsi="Times New Roman" w:cs="Times New Roman"/>
                <w:b w:val="0"/>
                <w:bCs w:val="0"/>
                <w:color w:val="auto"/>
                <w:sz w:val="21"/>
                <w:szCs w:val="21"/>
                <w:highlight w:val="none"/>
                <w:u w:val="none" w:color="auto"/>
                <w:vertAlign w:val="baseline"/>
                <w:lang w:val="en-US" w:eastAsia="zh-CN"/>
              </w:rPr>
              <w:t>24.31</w:t>
            </w:r>
            <w:r>
              <w:rPr>
                <w:rFonts w:hint="default" w:ascii="Times New Roman" w:hAnsi="Times New Roman" w:cs="Times New Roman"/>
                <w:b w:val="0"/>
                <w:bCs w:val="0"/>
                <w:color w:val="auto"/>
                <w:sz w:val="21"/>
                <w:szCs w:val="21"/>
                <w:highlight w:val="none"/>
                <w:u w:val="none" w:color="auto"/>
                <w:vertAlign w:val="baseline"/>
                <w:lang w:val="en-US" w:eastAsia="zh-CN"/>
              </w:rPr>
              <w:t>%</w:t>
            </w:r>
          </w:p>
        </w:tc>
        <w:tc>
          <w:tcPr>
            <w:tcW w:w="1739" w:type="dxa"/>
            <w:tcBorders>
              <w:tl2br w:val="nil"/>
              <w:tr2bl w:val="nil"/>
            </w:tcBorders>
            <w:noWrap w:val="0"/>
            <w:vAlign w:val="center"/>
          </w:tcPr>
          <w:p>
            <w:pPr>
              <w:pStyle w:val="298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u w:val="none" w:color="auto"/>
                <w:vertAlign w:val="baseline"/>
                <w:lang w:val="en-US" w:eastAsia="zh-CN"/>
              </w:rPr>
            </w:pPr>
            <w:r>
              <w:rPr>
                <w:rFonts w:hint="eastAsia" w:ascii="Times New Roman" w:hAnsi="Times New Roman" w:cs="Times New Roman"/>
                <w:b w:val="0"/>
                <w:bCs w:val="0"/>
                <w:color w:val="auto"/>
                <w:sz w:val="21"/>
                <w:szCs w:val="21"/>
                <w:highlight w:val="none"/>
                <w:u w:val="none" w:color="auto"/>
                <w:vertAlign w:val="baseline"/>
                <w:lang w:val="en-US" w:eastAsia="zh-CN"/>
              </w:rPr>
              <w:t>8.47</w:t>
            </w:r>
            <w:r>
              <w:rPr>
                <w:rFonts w:hint="default" w:ascii="Times New Roman" w:hAnsi="Times New Roman" w:cs="Times New Roman"/>
                <w:b w:val="0"/>
                <w:bCs w:val="0"/>
                <w:color w:val="auto"/>
                <w:sz w:val="21"/>
                <w:szCs w:val="21"/>
                <w:highlight w:val="none"/>
                <w:u w:val="none" w:color="auto"/>
                <w:vertAlign w:val="baseline"/>
                <w:lang w:val="en-US" w:eastAsia="zh-CN"/>
              </w:rPr>
              <w:t>%</w:t>
            </w:r>
          </w:p>
        </w:tc>
        <w:tc>
          <w:tcPr>
            <w:tcW w:w="1811" w:type="dxa"/>
            <w:tcBorders>
              <w:tl2br w:val="nil"/>
              <w:tr2bl w:val="nil"/>
            </w:tcBorders>
            <w:noWrap w:val="0"/>
            <w:vAlign w:val="center"/>
          </w:tcPr>
          <w:p>
            <w:pPr>
              <w:pStyle w:val="298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u w:val="none" w:color="auto"/>
                <w:vertAlign w:val="baseline"/>
                <w:lang w:val="en-US" w:eastAsia="zh-CN"/>
              </w:rPr>
            </w:pPr>
            <w:r>
              <w:rPr>
                <w:rFonts w:hint="eastAsia" w:ascii="Times New Roman" w:hAnsi="Times New Roman" w:cs="Times New Roman"/>
                <w:b w:val="0"/>
                <w:bCs w:val="0"/>
                <w:color w:val="auto"/>
                <w:sz w:val="21"/>
                <w:szCs w:val="21"/>
                <w:highlight w:val="none"/>
                <w:u w:val="none" w:color="auto"/>
                <w:vertAlign w:val="baseline"/>
                <w:lang w:val="en-US" w:eastAsia="zh-CN"/>
              </w:rPr>
              <w:t>2.26</w:t>
            </w:r>
            <w:r>
              <w:rPr>
                <w:rFonts w:hint="default" w:ascii="Times New Roman" w:hAnsi="Times New Roman" w:cs="Times New Roman"/>
                <w:b w:val="0"/>
                <w:bCs w:val="0"/>
                <w:color w:val="auto"/>
                <w:sz w:val="21"/>
                <w:szCs w:val="21"/>
                <w:highlight w:val="none"/>
                <w:u w:val="none" w:color="auto"/>
                <w:vertAlign w:val="baseline"/>
                <w:lang w:val="en-US" w:eastAsia="zh-CN"/>
              </w:rPr>
              <w:t>%</w:t>
            </w:r>
          </w:p>
        </w:tc>
      </w:tr>
    </w:tbl>
    <w:p>
      <w:pPr>
        <w:pStyle w:val="2984"/>
        <w:rPr>
          <w:rFonts w:hint="eastAsia" w:eastAsia="宋体" w:cs="Times New Roman"/>
          <w:b w:val="0"/>
          <w:bCs w:val="0"/>
          <w:color w:val="auto"/>
          <w:highlight w:val="none"/>
          <w:u w:val="none" w:color="auto"/>
          <w:lang w:val="en-US" w:eastAsia="zh-CN"/>
        </w:rPr>
      </w:pPr>
      <w:r>
        <w:rPr>
          <w:rFonts w:hint="eastAsia" w:eastAsia="宋体" w:cs="Times New Roman"/>
          <w:b w:val="0"/>
          <w:bCs w:val="0"/>
          <w:color w:val="auto"/>
          <w:highlight w:val="none"/>
          <w:u w:val="none" w:color="auto"/>
          <w:lang w:val="en-US" w:eastAsia="zh-CN"/>
        </w:rPr>
        <w:t>由上表可知，评价区生态系统以森林生态系统、灌丛/灌草丛生态系统及农业生态系统为主，城镇/村落生态系统所占面积相对较小。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sz w:val="24"/>
          <w:szCs w:val="24"/>
          <w:u w:val="none" w:color="auto"/>
          <w:lang w:val="en-US" w:eastAsia="zh-CN"/>
        </w:rPr>
      </w:pPr>
      <w:r>
        <w:rPr>
          <w:rFonts w:hint="eastAsia" w:ascii="宋体" w:hAnsi="宋体" w:eastAsia="宋体" w:cs="宋体"/>
          <w:b/>
          <w:bCs w:val="0"/>
          <w:sz w:val="24"/>
          <w:szCs w:val="24"/>
          <w:u w:val="none" w:color="auto"/>
          <w:lang w:val="en-US" w:eastAsia="zh-CN"/>
        </w:rPr>
        <w:t>①</w:t>
      </w:r>
      <w:r>
        <w:rPr>
          <w:rFonts w:hint="eastAsia" w:ascii="Times New Roman" w:hAnsi="Times New Roman" w:eastAsia="宋体" w:cs="Times New Roman"/>
          <w:b/>
          <w:bCs w:val="0"/>
          <w:sz w:val="24"/>
          <w:szCs w:val="24"/>
          <w:u w:val="none" w:color="auto"/>
          <w:lang w:val="en-US" w:eastAsia="zh-CN"/>
        </w:rPr>
        <w:t>森林生态系统</w:t>
      </w:r>
    </w:p>
    <w:p>
      <w:pPr>
        <w:pStyle w:val="2984"/>
        <w:rPr>
          <w:rFonts w:hint="default" w:ascii="Times New Roman" w:hAnsi="Times New Roman" w:eastAsia="宋体" w:cs="Times New Roman"/>
          <w:b w:val="0"/>
          <w:bCs w:val="0"/>
          <w:color w:val="auto"/>
          <w:highlight w:val="none"/>
          <w:u w:val="none" w:color="auto"/>
          <w:lang w:val="en-US" w:eastAsia="zh-CN"/>
        </w:rPr>
      </w:pPr>
      <w:r>
        <w:rPr>
          <w:rFonts w:hint="default" w:ascii="Times New Roman" w:hAnsi="Times New Roman" w:eastAsia="宋体" w:cs="Times New Roman"/>
          <w:b w:val="0"/>
          <w:bCs w:val="0"/>
          <w:color w:val="auto"/>
          <w:highlight w:val="none"/>
          <w:u w:val="none" w:color="auto"/>
          <w:lang w:val="en-US" w:eastAsia="zh-CN"/>
        </w:rPr>
        <w:t>评价区森林生态系统面积为</w:t>
      </w:r>
      <w:r>
        <w:rPr>
          <w:rFonts w:hint="eastAsia" w:ascii="Times New Roman" w:hAnsi="Times New Roman" w:eastAsia="宋体" w:cs="Times New Roman"/>
          <w:b w:val="0"/>
          <w:bCs w:val="0"/>
          <w:color w:val="auto"/>
          <w:highlight w:val="none"/>
          <w:u w:val="none" w:color="auto"/>
          <w:lang w:val="en-US" w:eastAsia="zh-CN"/>
        </w:rPr>
        <w:t>66</w:t>
      </w:r>
      <w:r>
        <w:rPr>
          <w:rFonts w:hint="eastAsia" w:ascii="Times New Roman" w:hAnsi="Times New Roman" w:cs="Times New Roman"/>
          <w:b w:val="0"/>
          <w:bCs w:val="0"/>
          <w:color w:val="auto"/>
          <w:highlight w:val="none"/>
          <w:u w:val="none" w:color="auto"/>
          <w:lang w:val="en-US" w:eastAsia="zh-CN"/>
        </w:rPr>
        <w:t>7</w:t>
      </w:r>
      <w:r>
        <w:rPr>
          <w:rFonts w:hint="eastAsia" w:ascii="Times New Roman" w:hAnsi="Times New Roman" w:eastAsia="宋体" w:cs="Times New Roman"/>
          <w:b w:val="0"/>
          <w:bCs w:val="0"/>
          <w:color w:val="auto"/>
          <w:highlight w:val="none"/>
          <w:u w:val="none" w:color="auto"/>
          <w:lang w:val="en-US" w:eastAsia="zh-CN"/>
        </w:rPr>
        <w:t>.4</w:t>
      </w:r>
      <w:r>
        <w:rPr>
          <w:rFonts w:hint="default" w:ascii="Times New Roman" w:hAnsi="Times New Roman" w:eastAsia="宋体" w:cs="Times New Roman"/>
          <w:b w:val="0"/>
          <w:bCs w:val="0"/>
          <w:color w:val="auto"/>
          <w:highlight w:val="none"/>
          <w:u w:val="none" w:color="auto"/>
          <w:lang w:val="en-US" w:eastAsia="zh-CN"/>
        </w:rPr>
        <w:t>hm</w:t>
      </w:r>
      <w:r>
        <w:rPr>
          <w:rFonts w:hint="default" w:ascii="Times New Roman" w:hAnsi="Times New Roman" w:eastAsia="宋体" w:cs="Times New Roman"/>
          <w:b w:val="0"/>
          <w:bCs w:val="0"/>
          <w:color w:val="auto"/>
          <w:highlight w:val="none"/>
          <w:u w:val="none" w:color="auto"/>
          <w:vertAlign w:val="superscript"/>
          <w:lang w:val="en-US" w:eastAsia="zh-CN"/>
        </w:rPr>
        <w:t>2</w:t>
      </w:r>
      <w:r>
        <w:rPr>
          <w:rFonts w:hint="default" w:ascii="Times New Roman" w:hAnsi="Times New Roman" w:eastAsia="宋体" w:cs="Times New Roman"/>
          <w:b w:val="0"/>
          <w:bCs w:val="0"/>
          <w:color w:val="auto"/>
          <w:highlight w:val="none"/>
          <w:u w:val="none" w:color="auto"/>
          <w:lang w:val="en-US" w:eastAsia="zh-CN"/>
        </w:rPr>
        <w:t>，占评价区总面积的</w:t>
      </w:r>
      <w:r>
        <w:rPr>
          <w:rFonts w:hint="eastAsia" w:ascii="Times New Roman" w:hAnsi="Times New Roman" w:eastAsia="宋体" w:cs="Times New Roman"/>
          <w:b w:val="0"/>
          <w:bCs w:val="0"/>
          <w:color w:val="auto"/>
          <w:highlight w:val="none"/>
          <w:u w:val="none" w:color="auto"/>
          <w:lang w:val="en-US" w:eastAsia="zh-CN"/>
        </w:rPr>
        <w:t>64.95</w:t>
      </w:r>
      <w:r>
        <w:rPr>
          <w:rFonts w:hint="default" w:ascii="Times New Roman" w:hAnsi="Times New Roman" w:eastAsia="宋体" w:cs="Times New Roman"/>
          <w:b w:val="0"/>
          <w:bCs w:val="0"/>
          <w:color w:val="auto"/>
          <w:highlight w:val="none"/>
          <w:u w:val="none" w:color="auto"/>
          <w:lang w:val="en-US" w:eastAsia="zh-CN"/>
        </w:rPr>
        <w:t>%，评价区森林生态系统分布面积较大。</w:t>
      </w:r>
    </w:p>
    <w:p>
      <w:pPr>
        <w:pStyle w:val="2984"/>
        <w:rPr>
          <w:rFonts w:hint="default" w:ascii="Times New Roman" w:hAnsi="Times New Roman" w:eastAsia="宋体" w:cs="Times New Roman"/>
          <w:b w:val="0"/>
          <w:bCs w:val="0"/>
          <w:color w:val="auto"/>
          <w:highlight w:val="none"/>
          <w:u w:val="none" w:color="auto"/>
          <w:lang w:val="en-US" w:eastAsia="zh-CN"/>
        </w:rPr>
      </w:pPr>
      <w:r>
        <w:rPr>
          <w:rFonts w:hint="default" w:ascii="Times New Roman" w:hAnsi="Times New Roman" w:eastAsia="宋体" w:cs="Times New Roman"/>
          <w:b w:val="0"/>
          <w:bCs w:val="0"/>
          <w:color w:val="auto"/>
          <w:highlight w:val="none"/>
          <w:u w:val="none" w:color="auto"/>
          <w:lang w:val="en-US" w:eastAsia="zh-CN"/>
        </w:rPr>
        <w:t>评价区森林生态系统内植被包括阔叶林和针叶林，以阔叶林为主。其中，针叶林主要为低山针叶林，其常呈小片状分布于山坡中下部或零星点缀于山坡上部阔叶林中，常见的群系为马尾松林（Form.Pinus massoniana）等；阔叶林主要为落叶阔叶林和竹林，其常呈团状或条带状分布于山坡上部，常见的群系有毛竹林（Form.Phyllostachys heterocyclecv.Pubescens）、檫木林（Form.sassafrases）、锥栗林（Form. Castanea henryi）等。</w:t>
      </w:r>
    </w:p>
    <w:p>
      <w:pPr>
        <w:pStyle w:val="2984"/>
        <w:rPr>
          <w:rFonts w:hint="default" w:ascii="Times New Roman" w:hAnsi="Times New Roman" w:eastAsia="宋体" w:cs="Times New Roman"/>
          <w:b w:val="0"/>
          <w:bCs w:val="0"/>
          <w:color w:val="auto"/>
          <w:highlight w:val="none"/>
          <w:u w:val="none" w:color="auto"/>
          <w:lang w:val="en-US" w:eastAsia="zh-CN"/>
        </w:rPr>
      </w:pPr>
      <w:r>
        <w:rPr>
          <w:rFonts w:hint="default" w:ascii="Times New Roman" w:hAnsi="Times New Roman" w:eastAsia="宋体" w:cs="Times New Roman"/>
          <w:b w:val="0"/>
          <w:bCs w:val="0"/>
          <w:color w:val="auto"/>
          <w:highlight w:val="none"/>
          <w:u w:val="none" w:color="auto"/>
          <w:lang w:val="en-US" w:eastAsia="zh-CN"/>
        </w:rPr>
        <w:t>森林生态系统亦是多种动物的栖息地，如两栖类中的陆栖-静水型物种，包括中华蟾蜍（Bufo gargarizans）、镇海林蛙（Rana zhenhaiensis）等；爬行类中的林栖傍水型物种，如王锦蛇（Elaphe carinata）、虎斑颈槽蛇（Rhabdophis tigrinus）等；鸟类中的陆禽如环颈雉（Phasianus colchicus）、山斑鸠（Streptopelia orientalis）等，猛禽如领鸺鹠（Glaucidium brodiei）、领角鸮（Otus lettia）等，攀禽如四声杜鹃（Cuculus micropterus）、大斑啄木鸟（Dendrocopos major）等，鸣禽如红嘴蓝鹊（Urocissa erythrorhyncha）、领雀嘴鹎（Spizixos semitorques）、大山雀（Parusmajor）、红头穗鹛（Stachyris ruficeps）等；哺乳类中地面生活型物种如野猪（Susscrofa），半地下生活型物种如猪獾（Arctonyx collaris）、鼬獾（Melogale moschata），树栖型物种如隐纹花松鼠（Tamiops swinhoei）和赤腹松鼠（Callosciuruserythraeus）等。</w:t>
      </w:r>
    </w:p>
    <w:p>
      <w:pPr>
        <w:pStyle w:val="2984"/>
        <w:rPr>
          <w:rFonts w:hint="default" w:ascii="Times New Roman" w:hAnsi="Times New Roman" w:eastAsia="宋体" w:cs="Times New Roman"/>
          <w:b w:val="0"/>
          <w:bCs w:val="0"/>
          <w:color w:val="auto"/>
          <w:highlight w:val="none"/>
          <w:u w:val="none" w:color="auto"/>
          <w:lang w:val="en-US" w:eastAsia="zh-CN"/>
        </w:rPr>
      </w:pPr>
      <w:r>
        <w:rPr>
          <w:rFonts w:hint="default" w:ascii="Times New Roman" w:hAnsi="Times New Roman" w:eastAsia="宋体" w:cs="Times New Roman"/>
          <w:b w:val="0"/>
          <w:bCs w:val="0"/>
          <w:color w:val="auto"/>
          <w:highlight w:val="none"/>
          <w:u w:val="none" w:color="auto"/>
          <w:lang w:val="en-US" w:eastAsia="zh-CN"/>
        </w:rPr>
        <w:t>评价区森林生态系统分布广泛，面积较大，其主要特点有：①评价区森林生态系统内植被受人为干扰严重，多以次生林、人工林为主，主要为杉木林，林相整齐，植被层次结构、层片结构相对简单。②森林生态系统内群系结构比较简单，动植物种类组成相对贫乏，食物网结构、营养结构相对较简单。其生态服务功能主要有：光能利用、调节气候、涵养水源、改良土壤、净化空气、保持水土、防风固沙、吸烟滞尘、改变区域水热状况、孕育和保存生物多样性等方面。</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val="0"/>
          <w:sz w:val="24"/>
          <w:szCs w:val="24"/>
          <w:u w:val="none" w:color="auto"/>
          <w:lang w:val="en-US" w:eastAsia="zh-CN"/>
        </w:rPr>
      </w:pPr>
      <w:r>
        <w:rPr>
          <w:rFonts w:hint="eastAsia" w:ascii="宋体" w:hAnsi="宋体" w:eastAsia="宋体" w:cs="宋体"/>
          <w:b/>
          <w:bCs w:val="0"/>
          <w:sz w:val="24"/>
          <w:szCs w:val="24"/>
          <w:u w:val="none" w:color="auto"/>
          <w:lang w:val="en-US" w:eastAsia="zh-CN"/>
        </w:rPr>
        <w:t>②灌丛/灌草丛生态系统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评价区灌丛/灌草丛生态系统面积为249.1hm</w:t>
      </w:r>
      <w:r>
        <w:rPr>
          <w:rFonts w:hint="eastAsia" w:ascii="Times New Roman" w:hAnsi="Times New Roman" w:eastAsia="宋体" w:cs="Times New Roman"/>
          <w:b w:val="0"/>
          <w:bCs/>
          <w:sz w:val="24"/>
          <w:szCs w:val="24"/>
          <w:u w:val="none" w:color="auto"/>
          <w:vertAlign w:val="superscript"/>
          <w:lang w:val="en-US" w:eastAsia="zh-CN"/>
        </w:rPr>
        <w:t>2</w:t>
      </w:r>
      <w:r>
        <w:rPr>
          <w:rFonts w:hint="eastAsia" w:ascii="Times New Roman" w:hAnsi="Times New Roman" w:eastAsia="宋体" w:cs="Times New Roman"/>
          <w:b w:val="0"/>
          <w:bCs/>
          <w:sz w:val="24"/>
          <w:szCs w:val="24"/>
          <w:u w:val="none" w:color="auto"/>
          <w:lang w:val="en-US" w:eastAsia="zh-CN"/>
        </w:rPr>
        <w:t>，占评价区总面积的24.31%。评价区内灌丛/灌草丛生态系统多位于山坡下部以及道路两边。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评价区灌丛和草地生态系统内植被多以灌丛和灌草丛为主，常呈斑块状分布，常见的群系有山茶灌丛（Form.Camellia japonica）、檵木灌丛（Form.Loropetalumchinense）、芒灌草丛（Form.Miscanthussinensis）、千里光灌草丛（Form.Senecio scandens）等。评价区处我国中纬度亚热带地区，区域灌丛/灌草丛生态系统多由森林生态系统退化而形成，生态系统内植被类型单一，群系结构简单，物种组成贫乏，其中灌木层常见的植物有马银花（Rhododendron ovatum）、高粱泡（Rubus lambertianus）、构棘（Cudrania cochinchinensis）、野桐（Mallotusjaponicus var.floccosus）、格药柃(Eurya muricata)、紫珠（Callicarpabodinieri）等；草本层常见的植物有芒萁（Dicranopteris dichotoma）、乌蕨（Stenolomachusanum）、兰香草（Caryopteris incana）、芒（Miscanthussinensis）、三脉紫菀（Asterageratoides）、狗脊（Woodwardia japonica）等。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灌丛生态系统还是一些鸟类、爬行类及小型哺乳类动物良好的栖息地和庇护场所，其中活动的两栖类为树栖型物种如斑腿泛树蛙（Polypedates megacephalus）等；爬行类为部分灌丛石隙型物种如中国石龙子（Plestiodon chinensis）、铜蜓蜥（Sphenomorphus indicus）、北草蜥（Takydromus septentrionalis）、尖吻蝮（Deinagkistrodon acutus）等；哺乳类为穴居型物种如华南兔（Lepus sinensis），地面生活型物种如小麂（Muntiacus reevesi）等；在此系统中活动的绝大部分鸟类为雀形目鸣禽，如白头鹎（Pycnonotus sinensis）、鹊鸲（Copsychus saularis）、北红尾鸲（Phoenicurus auroreus）、画眉（Garrulax canorus）、棕颈钩嘴鹛（Pomatorhinusruficollis）、棕头鸦雀（Paradoxornis webbianus）、强脚树莺（Cettia fortipes）、灰眶雀鹛（Alcippe morrisonia）、小鹀（Emberiza pusilla）等。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评价区灌丛/灌草丛生系统多分布林缘、山坡下部和山脊区，其主要特点为：①灌丛生态系统多由森林生态系统退化而形成，生态系统内动植物受人为活动影响强烈；②灌丛/灌草丛生态系统中多以适应性强的种类为主，植被类型单一，群系结构简单，物种组成贫乏。其主要的生态服务功能有保持水土、防风固沙等方面。</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sz w:val="24"/>
          <w:szCs w:val="24"/>
          <w:u w:val="none" w:color="auto"/>
          <w:lang w:val="en-US" w:eastAsia="zh-CN"/>
        </w:rPr>
      </w:pPr>
      <w:r>
        <w:rPr>
          <w:rFonts w:hint="eastAsia" w:ascii="宋体" w:hAnsi="宋体" w:eastAsia="宋体" w:cs="宋体"/>
          <w:b/>
          <w:bCs w:val="0"/>
          <w:sz w:val="24"/>
          <w:szCs w:val="24"/>
          <w:u w:val="none" w:color="auto"/>
          <w:lang w:val="en-US" w:eastAsia="zh-CN"/>
        </w:rPr>
        <w:t>③</w:t>
      </w:r>
      <w:r>
        <w:rPr>
          <w:rFonts w:hint="eastAsia" w:ascii="Times New Roman" w:hAnsi="Times New Roman" w:eastAsia="宋体" w:cs="Times New Roman"/>
          <w:b/>
          <w:bCs w:val="0"/>
          <w:sz w:val="24"/>
          <w:szCs w:val="24"/>
          <w:u w:val="none" w:color="auto"/>
          <w:lang w:val="en-US" w:eastAsia="zh-CN"/>
        </w:rPr>
        <w:t>农业生态系统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评价区内农业生态系统面积为86.8hm</w:t>
      </w:r>
      <w:r>
        <w:rPr>
          <w:rFonts w:hint="eastAsia" w:ascii="Times New Roman" w:hAnsi="Times New Roman" w:eastAsia="宋体" w:cs="Times New Roman"/>
          <w:b w:val="0"/>
          <w:bCs/>
          <w:sz w:val="24"/>
          <w:szCs w:val="24"/>
          <w:u w:val="none" w:color="auto"/>
          <w:vertAlign w:val="superscript"/>
          <w:lang w:val="en-US" w:eastAsia="zh-CN"/>
        </w:rPr>
        <w:t>2</w:t>
      </w:r>
      <w:r>
        <w:rPr>
          <w:rFonts w:hint="eastAsia" w:ascii="Times New Roman" w:hAnsi="Times New Roman" w:eastAsia="宋体" w:cs="Times New Roman"/>
          <w:b w:val="0"/>
          <w:bCs/>
          <w:sz w:val="24"/>
          <w:szCs w:val="24"/>
          <w:u w:val="none" w:color="auto"/>
          <w:lang w:val="en-US" w:eastAsia="zh-CN"/>
        </w:rPr>
        <w:t>，占评价区总面积的8.47%。评价区内农业生态系统多位于村庄附近以及道路两边。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评价区农业生态系统内植被以农作物为主，主要为粮食作物和经济作物，其常呈小片状分布于村落附近及部分道路两边，常见的粮食作物有水稻（Oryzasativa）、红薯（Ipomoeabatatas）等，常见的经济作物有油茶（Camellia oleifera）、黄花菜（Hemerocallis fulva Linn）等。农业生态系统内人为活动频繁，植物种类组成较简单，多以适应性强、抗逆性强的杂草为主，常见的杂草有狗尾草（Setaria viridis）、一年蓬（Erigeron annuus）等。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由于农业生态系统中植被类型较为单一，植物种类较少，距离居民区较近而易受人为干扰，因此农田生态系统中动物种类不甚丰富。主要有鸟类中的[树]麻雀（Passer montanus）、白腰文鸟（Lonchura striata）、喜鹊（Pica pica）、家燕（Hirundo rustica）、纯色山鹪莺（Prinia inornata）等；部分哺乳类如黑线姬鼠（Apodemus agrarius）、小家鼠（Mus musculus）等；少数蛇类如短尾蝮（Gloydius brevicaudus）等。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评价区农业生态系统分布零散，其主要特点为：评价区农业生态系统面积较小，群落结构及种类组成较简单，动植物种类单一。其生态功能主要体现在农产品及副产品生产上，包括为人类提供农产品，为现代工业提供加工原料，以及提供生物能源等。此外，评价区农业生态系统还具有土壤保持、养分循环、水分调节、病虫害控制、保存生物多样性及基因资源等功能。</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val="0"/>
          <w:sz w:val="24"/>
          <w:szCs w:val="24"/>
          <w:u w:val="none" w:color="auto"/>
          <w:lang w:val="en-US" w:eastAsia="zh-CN"/>
        </w:rPr>
      </w:pPr>
      <w:r>
        <w:rPr>
          <w:rFonts w:hint="eastAsia" w:ascii="宋体" w:hAnsi="宋体" w:eastAsia="宋体" w:cs="宋体"/>
          <w:b/>
          <w:bCs w:val="0"/>
          <w:sz w:val="24"/>
          <w:szCs w:val="24"/>
          <w:u w:val="none" w:color="auto"/>
          <w:lang w:val="en-US" w:eastAsia="zh-CN"/>
        </w:rPr>
        <w:t>④城镇/村落生态系统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评价区的城镇/村落生态系统面积较小，为23.2hm</w:t>
      </w:r>
      <w:r>
        <w:rPr>
          <w:rFonts w:hint="eastAsia" w:ascii="Times New Roman" w:hAnsi="Times New Roman" w:eastAsia="宋体" w:cs="Times New Roman"/>
          <w:b w:val="0"/>
          <w:bCs/>
          <w:sz w:val="24"/>
          <w:szCs w:val="24"/>
          <w:u w:val="none" w:color="auto"/>
          <w:vertAlign w:val="superscript"/>
          <w:lang w:val="en-US" w:eastAsia="zh-CN"/>
        </w:rPr>
        <w:t>2</w:t>
      </w:r>
      <w:r>
        <w:rPr>
          <w:rFonts w:hint="eastAsia" w:ascii="Times New Roman" w:hAnsi="Times New Roman" w:eastAsia="宋体" w:cs="Times New Roman"/>
          <w:b w:val="0"/>
          <w:bCs/>
          <w:sz w:val="24"/>
          <w:szCs w:val="24"/>
          <w:u w:val="none" w:color="auto"/>
          <w:lang w:val="en-US" w:eastAsia="zh-CN"/>
        </w:rPr>
        <w:t>，占总面积的2.26%，主要为村落房屋、县道及少量的乡村道路。</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评价区城镇/村落生态系统内植物主要为栽培的行道树及灌木，如复羽叶栾树（Koelreuteria bipinnata）、加杨（Populuscanadensis）、香樟(Cinnamomum camphora)、红檵木（Loropetalum chinense）等。喜与人类伴居的动物多活动于此，如多疣壁虎（Gekko japonicus）、珠颈斑鸠（Streptopelia chinensis）、家燕（Hirundo rustica）、金腰燕（Cecropis daurica）、[树]麻雀（Passer montanus）、白头鹎（Pycnonotus sinensis）和各种鼠类等。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城镇/村落是一个高度复合的人工化生态系统，与自然生态系统在结构和功能上都存在明显差别。城镇/村落生态系统的生态服务功能主要是提供生活和生产物质的功能，包括食物生产、原材料生产以及满足人类精神和物质生活需求的功能。</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sz w:val="24"/>
          <w:szCs w:val="24"/>
          <w:u w:val="none" w:color="auto"/>
          <w:lang w:val="en-US" w:eastAsia="zh-CN"/>
        </w:rPr>
      </w:pPr>
      <w:r>
        <w:rPr>
          <w:rFonts w:hint="eastAsia" w:ascii="Times New Roman" w:hAnsi="Times New Roman" w:eastAsia="宋体" w:cs="Times New Roman"/>
          <w:b/>
          <w:bCs w:val="0"/>
          <w:sz w:val="24"/>
          <w:szCs w:val="24"/>
          <w:u w:val="none" w:color="auto"/>
          <w:lang w:val="en-US" w:eastAsia="zh-CN"/>
        </w:rPr>
        <w:t>3、陆生植被</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sz w:val="24"/>
          <w:szCs w:val="24"/>
          <w:u w:val="none" w:color="auto"/>
          <w:lang w:val="en-US" w:eastAsia="zh-CN"/>
        </w:rPr>
      </w:pPr>
      <w:r>
        <w:rPr>
          <w:rFonts w:hint="eastAsia" w:ascii="宋体" w:hAnsi="宋体" w:eastAsia="宋体" w:cs="宋体"/>
          <w:b/>
          <w:bCs w:val="0"/>
          <w:sz w:val="24"/>
          <w:szCs w:val="24"/>
          <w:u w:val="none" w:color="auto"/>
          <w:lang w:val="en-US" w:eastAsia="zh-CN"/>
        </w:rPr>
        <w:t>①</w:t>
      </w:r>
      <w:r>
        <w:rPr>
          <w:rFonts w:hint="eastAsia" w:ascii="Times New Roman" w:hAnsi="Times New Roman" w:eastAsia="宋体" w:cs="Times New Roman"/>
          <w:b/>
          <w:bCs w:val="0"/>
          <w:sz w:val="24"/>
          <w:szCs w:val="24"/>
          <w:u w:val="none" w:color="auto"/>
          <w:lang w:val="en-US" w:eastAsia="zh-CN"/>
        </w:rPr>
        <w:t>主要植被类型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根据《湖南植被》（祁承经等，1990），评价区属亚热带常绿阔叶林区域—中亚热带典型常绿叶林北部植被亚热带—湘中、湘东山丘盆地栲稠林、马尾松林、黄山松林、毛竹林、油茶林及农田植被区—涟、邵丘陵盆地植被小区。本小区地势由西南向东北倾斜，地形以丘陵为主，成土母质以石灰岩、自云岩等可溶性岩类为主，部分为页岩、板岩、千枚岩、石英砂岩，花岗岩也有较大面积。土壤以石灰岩红壤占绝大部分，紫色土面积较小，黄壤、山地黄棕壤分布在南部和西部山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根据《湖南植被》（祁承经等，1990），结合对评价区内现状植被中群落组成的建群种与优势种的外貌，以及群落的环境生态与地理分布特征等分析，将评价区自然植被划分为3个植被型组，5个植被型，8个群系。详见表5.2-16。</w:t>
      </w:r>
    </w:p>
    <w:p>
      <w:pPr>
        <w:pStyle w:val="298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eastAsia="宋体" w:cs="Times New Roman"/>
          <w:b/>
          <w:bCs/>
          <w:color w:val="auto"/>
          <w:highlight w:val="none"/>
          <w:u w:val="none" w:color="auto"/>
          <w:lang w:val="en-US" w:eastAsia="zh-CN"/>
        </w:rPr>
        <w:t>表</w:t>
      </w:r>
      <w:r>
        <w:rPr>
          <w:rFonts w:hint="eastAsia" w:ascii="Times New Roman" w:hAnsi="Times New Roman" w:cs="Times New Roman"/>
          <w:b/>
          <w:bCs/>
          <w:color w:val="auto"/>
          <w:highlight w:val="none"/>
          <w:u w:val="none" w:color="auto"/>
          <w:lang w:val="en-US" w:eastAsia="zh-CN"/>
        </w:rPr>
        <w:t>4.5</w:t>
      </w:r>
      <w:r>
        <w:rPr>
          <w:rFonts w:hint="default" w:ascii="Times New Roman" w:hAnsi="Times New Roman" w:cs="Times New Roman"/>
          <w:b/>
          <w:bCs/>
          <w:color w:val="auto"/>
          <w:highlight w:val="none"/>
          <w:u w:val="none" w:color="auto"/>
          <w:lang w:val="en-US" w:eastAsia="zh-CN"/>
        </w:rPr>
        <w:t>-16</w:t>
      </w:r>
      <w:r>
        <w:rPr>
          <w:rFonts w:hint="default" w:ascii="Times New Roman" w:hAnsi="Times New Roman" w:eastAsia="宋体" w:cs="Times New Roman"/>
          <w:b/>
          <w:bCs/>
          <w:color w:val="auto"/>
          <w:highlight w:val="none"/>
          <w:u w:val="none" w:color="auto"/>
          <w:lang w:val="en-US" w:eastAsia="zh-CN"/>
        </w:rPr>
        <w:t xml:space="preserve">  评价区植被类型</w:t>
      </w:r>
    </w:p>
    <w:tbl>
      <w:tblPr>
        <w:tblStyle w:val="90"/>
        <w:tblW w:w="46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8"/>
        <w:gridCol w:w="1558"/>
        <w:gridCol w:w="1558"/>
        <w:gridCol w:w="3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0" w:type="dxa"/>
            <w:tcBorders>
              <w:tl2br w:val="nil"/>
              <w:tr2bl w:val="nil"/>
            </w:tcBorders>
            <w:noWrap w:val="0"/>
            <w:vAlign w:val="center"/>
          </w:tcPr>
          <w:p>
            <w:pPr>
              <w:pStyle w:val="159"/>
              <w:bidi w:val="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植被型组</w:t>
            </w:r>
          </w:p>
        </w:tc>
        <w:tc>
          <w:tcPr>
            <w:tcW w:w="1720" w:type="dxa"/>
            <w:tcBorders>
              <w:tl2br w:val="nil"/>
              <w:tr2bl w:val="nil"/>
            </w:tcBorders>
            <w:noWrap w:val="0"/>
            <w:vAlign w:val="center"/>
          </w:tcPr>
          <w:p>
            <w:pPr>
              <w:pStyle w:val="159"/>
              <w:bidi w:val="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植被型</w:t>
            </w:r>
          </w:p>
        </w:tc>
        <w:tc>
          <w:tcPr>
            <w:tcW w:w="1720" w:type="dxa"/>
            <w:tcBorders>
              <w:tl2br w:val="nil"/>
              <w:tr2bl w:val="nil"/>
            </w:tcBorders>
            <w:noWrap w:val="0"/>
            <w:vAlign w:val="center"/>
          </w:tcPr>
          <w:p>
            <w:pPr>
              <w:pStyle w:val="159"/>
              <w:bidi w:val="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群系</w:t>
            </w:r>
          </w:p>
        </w:tc>
        <w:tc>
          <w:tcPr>
            <w:tcW w:w="4181" w:type="dxa"/>
            <w:tcBorders>
              <w:tl2br w:val="nil"/>
              <w:tr2bl w:val="nil"/>
            </w:tcBorders>
            <w:noWrap w:val="0"/>
            <w:vAlign w:val="center"/>
          </w:tcPr>
          <w:p>
            <w:pPr>
              <w:pStyle w:val="159"/>
              <w:bidi w:val="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群系拉丁名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0" w:type="dxa"/>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针叶林</w:t>
            </w:r>
          </w:p>
        </w:tc>
        <w:tc>
          <w:tcPr>
            <w:tcW w:w="1720" w:type="dxa"/>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低山针叶林</w:t>
            </w:r>
          </w:p>
        </w:tc>
        <w:tc>
          <w:tcPr>
            <w:tcW w:w="1720" w:type="dxa"/>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1.马尾松林</w:t>
            </w:r>
          </w:p>
        </w:tc>
        <w:tc>
          <w:tcPr>
            <w:tcW w:w="4181" w:type="dxa"/>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i/>
                <w:iCs/>
                <w:color w:val="auto"/>
                <w:highlight w:val="none"/>
                <w:u w:val="none" w:color="auto"/>
                <w:lang w:val="en-US" w:eastAsia="zh-CN"/>
              </w:rPr>
            </w:pPr>
            <w:r>
              <w:rPr>
                <w:rFonts w:hint="default" w:ascii="Times New Roman" w:hAnsi="Times New Roman" w:cs="Times New Roman"/>
                <w:i/>
                <w:iCs/>
                <w:color w:val="auto"/>
                <w:highlight w:val="none"/>
                <w:u w:val="none" w:color="auto"/>
                <w:lang w:val="en-US" w:eastAsia="zh-CN"/>
              </w:rPr>
              <w:t>Form.Pinu smassoniana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0" w:type="dxa"/>
            <w:vMerge w:val="restart"/>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阔叶林</w:t>
            </w:r>
          </w:p>
        </w:tc>
        <w:tc>
          <w:tcPr>
            <w:tcW w:w="1720" w:type="dxa"/>
            <w:vMerge w:val="restart"/>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落叶阔叶林</w:t>
            </w:r>
          </w:p>
        </w:tc>
        <w:tc>
          <w:tcPr>
            <w:tcW w:w="1720" w:type="dxa"/>
            <w:tcBorders>
              <w:tl2br w:val="nil"/>
              <w:tr2bl w:val="nil"/>
            </w:tcBorders>
            <w:noWrap w:val="0"/>
            <w:vAlign w:val="center"/>
          </w:tcPr>
          <w:p>
            <w:pPr>
              <w:pStyle w:val="159"/>
              <w:bidi w:val="0"/>
              <w:ind w:right="0" w:rightChars="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highlight w:val="none"/>
                <w:u w:val="none" w:color="auto"/>
                <w:lang w:val="en-US" w:eastAsia="zh-CN"/>
              </w:rPr>
              <w:t>2.锥栗林</w:t>
            </w:r>
          </w:p>
        </w:tc>
        <w:tc>
          <w:tcPr>
            <w:tcW w:w="4181" w:type="dxa"/>
            <w:tcBorders>
              <w:tl2br w:val="nil"/>
              <w:tr2bl w:val="nil"/>
            </w:tcBorders>
            <w:noWrap w:val="0"/>
            <w:vAlign w:val="center"/>
          </w:tcPr>
          <w:p>
            <w:pPr>
              <w:pStyle w:val="159"/>
              <w:bidi w:val="0"/>
              <w:ind w:right="0" w:rightChars="0" w:firstLine="0" w:firstLineChars="0"/>
              <w:jc w:val="center"/>
              <w:rPr>
                <w:rFonts w:hint="default" w:ascii="Times New Roman" w:hAnsi="Times New Roman" w:eastAsia="宋体" w:cs="Times New Roman"/>
                <w:i/>
                <w:iCs/>
                <w:color w:val="auto"/>
                <w:kern w:val="2"/>
                <w:sz w:val="21"/>
                <w:szCs w:val="21"/>
                <w:highlight w:val="none"/>
                <w:u w:val="none" w:color="auto"/>
                <w:lang w:val="en-US" w:eastAsia="zh-CN" w:bidi="ar-SA"/>
              </w:rPr>
            </w:pPr>
            <w:r>
              <w:rPr>
                <w:rFonts w:hint="default" w:ascii="Times New Roman" w:hAnsi="Times New Roman" w:cs="Times New Roman"/>
                <w:i/>
                <w:iCs/>
                <w:color w:val="auto"/>
                <w:highlight w:val="none"/>
                <w:u w:val="none" w:color="auto"/>
              </w:rPr>
              <w:t>Form.Castanea henryi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0" w:type="dxa"/>
            <w:vMerge w:val="continue"/>
            <w:tcBorders>
              <w:tl2br w:val="nil"/>
              <w:tr2bl w:val="nil"/>
            </w:tcBorders>
            <w:noWrap w:val="0"/>
            <w:vAlign w:val="center"/>
          </w:tcPr>
          <w:p>
            <w:pPr>
              <w:pStyle w:val="159"/>
              <w:bidi w:val="0"/>
              <w:jc w:val="center"/>
              <w:rPr>
                <w:rFonts w:hint="default" w:ascii="Times New Roman" w:hAnsi="Times New Roman" w:cs="Times New Roman"/>
                <w:color w:val="auto"/>
                <w:highlight w:val="none"/>
                <w:u w:val="none" w:color="auto"/>
                <w:lang w:val="en-US" w:eastAsia="zh-CN"/>
              </w:rPr>
            </w:pPr>
          </w:p>
        </w:tc>
        <w:tc>
          <w:tcPr>
            <w:tcW w:w="1720" w:type="dxa"/>
            <w:vMerge w:val="continue"/>
            <w:tcBorders>
              <w:tl2br w:val="nil"/>
              <w:tr2bl w:val="nil"/>
            </w:tcBorders>
            <w:noWrap w:val="0"/>
            <w:vAlign w:val="center"/>
          </w:tcPr>
          <w:p>
            <w:pPr>
              <w:pStyle w:val="159"/>
              <w:bidi w:val="0"/>
              <w:jc w:val="center"/>
              <w:rPr>
                <w:rFonts w:hint="default" w:ascii="Times New Roman" w:hAnsi="Times New Roman" w:cs="Times New Roman"/>
                <w:color w:val="auto"/>
                <w:highlight w:val="none"/>
                <w:u w:val="none" w:color="auto"/>
                <w:lang w:val="en-US" w:eastAsia="zh-CN"/>
              </w:rPr>
            </w:pPr>
          </w:p>
        </w:tc>
        <w:tc>
          <w:tcPr>
            <w:tcW w:w="1720" w:type="dxa"/>
            <w:tcBorders>
              <w:tl2br w:val="nil"/>
              <w:tr2bl w:val="nil"/>
            </w:tcBorders>
            <w:noWrap w:val="0"/>
            <w:vAlign w:val="center"/>
          </w:tcPr>
          <w:p>
            <w:pPr>
              <w:pStyle w:val="159"/>
              <w:bidi w:val="0"/>
              <w:ind w:right="0" w:rightChars="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highlight w:val="none"/>
                <w:u w:val="none" w:color="auto"/>
                <w:lang w:val="en-US" w:eastAsia="zh-CN"/>
              </w:rPr>
              <w:t>3.檫木林</w:t>
            </w:r>
          </w:p>
        </w:tc>
        <w:tc>
          <w:tcPr>
            <w:tcW w:w="4181" w:type="dxa"/>
            <w:tcBorders>
              <w:tl2br w:val="nil"/>
              <w:tr2bl w:val="nil"/>
            </w:tcBorders>
            <w:noWrap w:val="0"/>
            <w:vAlign w:val="center"/>
          </w:tcPr>
          <w:p>
            <w:pPr>
              <w:pStyle w:val="159"/>
              <w:bidi w:val="0"/>
              <w:ind w:right="0" w:rightChars="0" w:firstLine="0" w:firstLineChars="0"/>
              <w:jc w:val="center"/>
              <w:rPr>
                <w:rFonts w:hint="default" w:ascii="Times New Roman" w:hAnsi="Times New Roman" w:eastAsia="宋体" w:cs="Times New Roman"/>
                <w:i/>
                <w:iCs/>
                <w:color w:val="auto"/>
                <w:kern w:val="2"/>
                <w:sz w:val="21"/>
                <w:szCs w:val="21"/>
                <w:highlight w:val="none"/>
                <w:u w:val="none" w:color="auto"/>
                <w:lang w:val="en-US" w:eastAsia="zh-CN" w:bidi="ar-SA"/>
              </w:rPr>
            </w:pPr>
            <w:r>
              <w:rPr>
                <w:rFonts w:hint="default" w:ascii="Times New Roman" w:hAnsi="Times New Roman" w:cs="Times New Roman"/>
                <w:i/>
                <w:iCs/>
                <w:color w:val="auto"/>
                <w:highlight w:val="none"/>
                <w:u w:val="none" w:color="auto"/>
                <w:lang w:val="en-US" w:eastAsia="zh-CN"/>
              </w:rPr>
              <w:t>Form.sassafrases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0" w:type="dxa"/>
            <w:vMerge w:val="continue"/>
            <w:tcBorders>
              <w:tl2br w:val="nil"/>
              <w:tr2bl w:val="nil"/>
            </w:tcBorders>
            <w:noWrap w:val="0"/>
            <w:vAlign w:val="center"/>
          </w:tcPr>
          <w:p>
            <w:pPr>
              <w:pStyle w:val="159"/>
              <w:bidi w:val="0"/>
              <w:jc w:val="center"/>
              <w:rPr>
                <w:rFonts w:hint="default" w:ascii="Times New Roman" w:hAnsi="Times New Roman" w:cs="Times New Roman"/>
                <w:color w:val="auto"/>
                <w:highlight w:val="none"/>
                <w:u w:val="none" w:color="auto"/>
                <w:lang w:val="en-US" w:eastAsia="zh-CN"/>
              </w:rPr>
            </w:pPr>
          </w:p>
        </w:tc>
        <w:tc>
          <w:tcPr>
            <w:tcW w:w="1720" w:type="dxa"/>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竹林</w:t>
            </w:r>
          </w:p>
        </w:tc>
        <w:tc>
          <w:tcPr>
            <w:tcW w:w="1720" w:type="dxa"/>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4.毛竹林</w:t>
            </w:r>
          </w:p>
        </w:tc>
        <w:tc>
          <w:tcPr>
            <w:tcW w:w="4181" w:type="dxa"/>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i/>
                <w:iCs/>
                <w:color w:val="auto"/>
                <w:highlight w:val="none"/>
                <w:u w:val="none" w:color="auto"/>
                <w:lang w:val="en-US" w:eastAsia="zh-CN"/>
              </w:rPr>
            </w:pPr>
            <w:r>
              <w:rPr>
                <w:rFonts w:hint="default" w:ascii="Times New Roman" w:hAnsi="Times New Roman" w:cs="Times New Roman"/>
                <w:i/>
                <w:iCs/>
                <w:color w:val="auto"/>
                <w:highlight w:val="none"/>
                <w:u w:val="none" w:color="auto"/>
              </w:rPr>
              <w:t>Form.Phyllostachys heterocyclacv Pubescens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0" w:type="dxa"/>
            <w:vMerge w:val="restart"/>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灌丛及灌草丛</w:t>
            </w:r>
          </w:p>
        </w:tc>
        <w:tc>
          <w:tcPr>
            <w:tcW w:w="1720" w:type="dxa"/>
            <w:vMerge w:val="restart"/>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灌丛</w:t>
            </w:r>
          </w:p>
        </w:tc>
        <w:tc>
          <w:tcPr>
            <w:tcW w:w="1720" w:type="dxa"/>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5.檵木灌丛</w:t>
            </w:r>
          </w:p>
        </w:tc>
        <w:tc>
          <w:tcPr>
            <w:tcW w:w="4181" w:type="dxa"/>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i/>
                <w:iCs/>
                <w:color w:val="auto"/>
                <w:highlight w:val="none"/>
                <w:u w:val="none" w:color="auto"/>
              </w:rPr>
            </w:pPr>
            <w:r>
              <w:rPr>
                <w:rFonts w:hint="default" w:ascii="Times New Roman" w:hAnsi="Times New Roman" w:cs="Times New Roman"/>
                <w:i/>
                <w:iCs/>
                <w:color w:val="auto"/>
                <w:highlight w:val="none"/>
                <w:u w:val="none" w:color="auto"/>
              </w:rPr>
              <w:t>Form.Loropetalum chinense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0" w:type="dxa"/>
            <w:vMerge w:val="continue"/>
            <w:tcBorders>
              <w:tl2br w:val="nil"/>
              <w:tr2bl w:val="nil"/>
            </w:tcBorders>
            <w:noWrap w:val="0"/>
            <w:vAlign w:val="center"/>
          </w:tcPr>
          <w:p>
            <w:pPr>
              <w:pStyle w:val="159"/>
              <w:bidi w:val="0"/>
              <w:jc w:val="center"/>
              <w:rPr>
                <w:rFonts w:hint="default" w:ascii="Times New Roman" w:hAnsi="Times New Roman" w:cs="Times New Roman"/>
                <w:color w:val="auto"/>
                <w:highlight w:val="none"/>
                <w:u w:val="none" w:color="auto"/>
                <w:lang w:val="en-US" w:eastAsia="zh-CN"/>
              </w:rPr>
            </w:pPr>
          </w:p>
        </w:tc>
        <w:tc>
          <w:tcPr>
            <w:tcW w:w="1720" w:type="dxa"/>
            <w:vMerge w:val="continue"/>
            <w:tcBorders>
              <w:tl2br w:val="nil"/>
              <w:tr2bl w:val="nil"/>
            </w:tcBorders>
            <w:noWrap w:val="0"/>
            <w:vAlign w:val="center"/>
          </w:tcPr>
          <w:p>
            <w:pPr>
              <w:pStyle w:val="159"/>
              <w:bidi w:val="0"/>
              <w:jc w:val="center"/>
              <w:rPr>
                <w:rFonts w:hint="default" w:ascii="Times New Roman" w:hAnsi="Times New Roman" w:cs="Times New Roman"/>
                <w:color w:val="auto"/>
                <w:highlight w:val="none"/>
                <w:u w:val="none" w:color="auto"/>
                <w:lang w:val="en-US" w:eastAsia="zh-CN"/>
              </w:rPr>
            </w:pPr>
          </w:p>
        </w:tc>
        <w:tc>
          <w:tcPr>
            <w:tcW w:w="1720" w:type="dxa"/>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6.金樱子灌丛</w:t>
            </w:r>
          </w:p>
        </w:tc>
        <w:tc>
          <w:tcPr>
            <w:tcW w:w="4181" w:type="dxa"/>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i/>
                <w:iCs/>
                <w:color w:val="auto"/>
                <w:highlight w:val="none"/>
                <w:u w:val="none" w:color="auto"/>
              </w:rPr>
            </w:pPr>
            <w:r>
              <w:rPr>
                <w:rFonts w:hint="default" w:ascii="Times New Roman" w:hAnsi="Times New Roman" w:cs="Times New Roman"/>
                <w:i/>
                <w:iCs/>
                <w:color w:val="auto"/>
                <w:highlight w:val="none"/>
                <w:u w:val="none" w:color="auto"/>
              </w:rPr>
              <w:t>Form.Rosa laevigata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0" w:type="dxa"/>
            <w:vMerge w:val="continue"/>
            <w:tcBorders>
              <w:tl2br w:val="nil"/>
              <w:tr2bl w:val="nil"/>
            </w:tcBorders>
            <w:noWrap w:val="0"/>
            <w:vAlign w:val="center"/>
          </w:tcPr>
          <w:p>
            <w:pPr>
              <w:pStyle w:val="159"/>
              <w:bidi w:val="0"/>
              <w:jc w:val="center"/>
              <w:rPr>
                <w:rFonts w:hint="default" w:ascii="Times New Roman" w:hAnsi="Times New Roman" w:cs="Times New Roman"/>
                <w:color w:val="auto"/>
                <w:highlight w:val="none"/>
                <w:u w:val="none" w:color="auto"/>
                <w:lang w:val="en-US" w:eastAsia="zh-CN"/>
              </w:rPr>
            </w:pPr>
          </w:p>
        </w:tc>
        <w:tc>
          <w:tcPr>
            <w:tcW w:w="1720" w:type="dxa"/>
            <w:vMerge w:val="restart"/>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灌草丛</w:t>
            </w:r>
          </w:p>
        </w:tc>
        <w:tc>
          <w:tcPr>
            <w:tcW w:w="1720" w:type="dxa"/>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7</w:t>
            </w:r>
            <w:r>
              <w:rPr>
                <w:rFonts w:hint="default" w:ascii="Times New Roman" w:hAnsi="Times New Roman" w:cs="Times New Roman"/>
                <w:color w:val="auto"/>
                <w:highlight w:val="none"/>
                <w:u w:val="none" w:color="auto"/>
              </w:rPr>
              <w:t>.芒萁灌草丛</w:t>
            </w:r>
          </w:p>
        </w:tc>
        <w:tc>
          <w:tcPr>
            <w:tcW w:w="4181" w:type="dxa"/>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i/>
                <w:iCs/>
                <w:color w:val="auto"/>
                <w:highlight w:val="none"/>
                <w:u w:val="none" w:color="auto"/>
              </w:rPr>
            </w:pPr>
            <w:r>
              <w:rPr>
                <w:rFonts w:hint="default" w:ascii="Times New Roman" w:hAnsi="Times New Roman" w:cs="Times New Roman"/>
                <w:i/>
                <w:iCs/>
                <w:color w:val="auto"/>
                <w:highlight w:val="none"/>
                <w:u w:val="none" w:color="auto"/>
              </w:rPr>
              <w:t>Form.Dicranopteris dichotoma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0" w:type="dxa"/>
            <w:vMerge w:val="continue"/>
            <w:tcBorders>
              <w:tl2br w:val="nil"/>
              <w:tr2bl w:val="nil"/>
            </w:tcBorders>
            <w:noWrap w:val="0"/>
            <w:vAlign w:val="center"/>
          </w:tcPr>
          <w:p>
            <w:pPr>
              <w:pStyle w:val="159"/>
              <w:bidi w:val="0"/>
              <w:jc w:val="center"/>
              <w:rPr>
                <w:rFonts w:hint="default" w:ascii="Times New Roman" w:hAnsi="Times New Roman" w:cs="Times New Roman"/>
                <w:color w:val="auto"/>
                <w:highlight w:val="none"/>
                <w:u w:val="none" w:color="auto"/>
                <w:lang w:val="en-US" w:eastAsia="zh-CN"/>
              </w:rPr>
            </w:pPr>
          </w:p>
        </w:tc>
        <w:tc>
          <w:tcPr>
            <w:tcW w:w="1720" w:type="dxa"/>
            <w:vMerge w:val="continue"/>
            <w:tcBorders>
              <w:tl2br w:val="nil"/>
              <w:tr2bl w:val="nil"/>
            </w:tcBorders>
            <w:noWrap w:val="0"/>
            <w:vAlign w:val="center"/>
          </w:tcPr>
          <w:p>
            <w:pPr>
              <w:pStyle w:val="159"/>
              <w:bidi w:val="0"/>
              <w:jc w:val="center"/>
              <w:rPr>
                <w:rFonts w:hint="default" w:ascii="Times New Roman" w:hAnsi="Times New Roman" w:cs="Times New Roman"/>
                <w:color w:val="auto"/>
                <w:highlight w:val="none"/>
                <w:u w:val="none" w:color="auto"/>
                <w:lang w:val="en-US" w:eastAsia="zh-CN"/>
              </w:rPr>
            </w:pPr>
          </w:p>
        </w:tc>
        <w:tc>
          <w:tcPr>
            <w:tcW w:w="1720" w:type="dxa"/>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8</w:t>
            </w:r>
            <w:r>
              <w:rPr>
                <w:rFonts w:hint="default" w:ascii="Times New Roman" w:hAnsi="Times New Roman" w:cs="Times New Roman"/>
                <w:color w:val="auto"/>
                <w:highlight w:val="none"/>
                <w:u w:val="none" w:color="auto"/>
              </w:rPr>
              <w:t>.芒灌草丛</w:t>
            </w:r>
          </w:p>
        </w:tc>
        <w:tc>
          <w:tcPr>
            <w:tcW w:w="4181" w:type="dxa"/>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i/>
                <w:iCs/>
                <w:color w:val="auto"/>
                <w:highlight w:val="none"/>
                <w:u w:val="none" w:color="auto"/>
                <w:lang w:val="en-US" w:eastAsia="zh-CN"/>
              </w:rPr>
            </w:pPr>
            <w:r>
              <w:rPr>
                <w:rFonts w:hint="default" w:ascii="Times New Roman" w:hAnsi="Times New Roman" w:cs="Times New Roman"/>
                <w:i/>
                <w:iCs/>
                <w:color w:val="auto"/>
                <w:highlight w:val="none"/>
                <w:u w:val="none" w:color="auto"/>
              </w:rPr>
              <w:t>Form.Miscanthus sinensis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0" w:type="dxa"/>
            <w:vMerge w:val="restart"/>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栽培植被</w:t>
            </w:r>
          </w:p>
        </w:tc>
        <w:tc>
          <w:tcPr>
            <w:tcW w:w="1720" w:type="dxa"/>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用材林型</w:t>
            </w:r>
          </w:p>
        </w:tc>
        <w:tc>
          <w:tcPr>
            <w:tcW w:w="5901" w:type="dxa"/>
            <w:gridSpan w:val="2"/>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杉木、马尾松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0" w:type="dxa"/>
            <w:vMerge w:val="continue"/>
            <w:tcBorders>
              <w:tl2br w:val="nil"/>
              <w:tr2bl w:val="nil"/>
            </w:tcBorders>
            <w:noWrap w:val="0"/>
            <w:vAlign w:val="center"/>
          </w:tcPr>
          <w:p>
            <w:pPr>
              <w:pStyle w:val="159"/>
              <w:bidi w:val="0"/>
              <w:jc w:val="center"/>
              <w:rPr>
                <w:rFonts w:hint="default" w:ascii="Times New Roman" w:hAnsi="Times New Roman" w:cs="Times New Roman"/>
                <w:color w:val="auto"/>
                <w:highlight w:val="none"/>
                <w:u w:val="none" w:color="auto"/>
                <w:lang w:val="en-US" w:eastAsia="zh-CN"/>
              </w:rPr>
            </w:pPr>
          </w:p>
        </w:tc>
        <w:tc>
          <w:tcPr>
            <w:tcW w:w="1720" w:type="dxa"/>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经济作物</w:t>
            </w:r>
          </w:p>
        </w:tc>
        <w:tc>
          <w:tcPr>
            <w:tcW w:w="5901" w:type="dxa"/>
            <w:gridSpan w:val="2"/>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油茶、黄花菜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0" w:type="dxa"/>
            <w:vMerge w:val="continue"/>
            <w:tcBorders>
              <w:tl2br w:val="nil"/>
              <w:tr2bl w:val="nil"/>
            </w:tcBorders>
            <w:noWrap w:val="0"/>
            <w:vAlign w:val="center"/>
          </w:tcPr>
          <w:p>
            <w:pPr>
              <w:pStyle w:val="159"/>
              <w:bidi w:val="0"/>
              <w:jc w:val="center"/>
              <w:rPr>
                <w:rFonts w:hint="default" w:ascii="Times New Roman" w:hAnsi="Times New Roman" w:cs="Times New Roman"/>
                <w:color w:val="auto"/>
                <w:highlight w:val="none"/>
                <w:u w:val="none" w:color="auto"/>
                <w:lang w:val="en-US" w:eastAsia="zh-CN"/>
              </w:rPr>
            </w:pPr>
          </w:p>
        </w:tc>
        <w:tc>
          <w:tcPr>
            <w:tcW w:w="1720" w:type="dxa"/>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粮食作物</w:t>
            </w:r>
          </w:p>
        </w:tc>
        <w:tc>
          <w:tcPr>
            <w:tcW w:w="5901" w:type="dxa"/>
            <w:gridSpan w:val="2"/>
            <w:tcBorders>
              <w:tl2br w:val="nil"/>
              <w:tr2bl w:val="nil"/>
            </w:tcBorders>
            <w:noWrap w:val="0"/>
            <w:vAlign w:val="center"/>
          </w:tcPr>
          <w:p>
            <w:pPr>
              <w:pStyle w:val="159"/>
              <w:bidi w:val="0"/>
              <w:ind w:left="0" w:leftChars="0" w:firstLine="0" w:firstLineChars="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水稻、红薯</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由上表可知，评价区阔叶林、灌丛和灌草丛群系组成较丰富。低山针叶林组成较单一。根据现场调查，评价区人为活动频繁，区域植被受人为活动影响强烈，以落叶阔叶林、灌丛及灌草丛为主，植被类型及群系组成较简单。</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sz w:val="24"/>
          <w:szCs w:val="24"/>
          <w:u w:val="none" w:color="auto"/>
          <w:lang w:val="en-US" w:eastAsia="zh-CN"/>
        </w:rPr>
      </w:pPr>
      <w:r>
        <w:rPr>
          <w:rFonts w:hint="eastAsia" w:ascii="宋体" w:hAnsi="宋体" w:eastAsia="宋体" w:cs="宋体"/>
          <w:b/>
          <w:bCs w:val="0"/>
          <w:sz w:val="24"/>
          <w:szCs w:val="24"/>
          <w:u w:val="none" w:color="auto"/>
          <w:lang w:val="en-US" w:eastAsia="zh-CN"/>
        </w:rPr>
        <w:t>②</w:t>
      </w:r>
      <w:r>
        <w:rPr>
          <w:rFonts w:hint="eastAsia" w:ascii="Times New Roman" w:hAnsi="Times New Roman" w:eastAsia="宋体" w:cs="Times New Roman"/>
          <w:b/>
          <w:bCs w:val="0"/>
          <w:sz w:val="24"/>
          <w:szCs w:val="24"/>
          <w:u w:val="none" w:color="auto"/>
          <w:lang w:val="en-US" w:eastAsia="zh-CN"/>
        </w:rPr>
        <w:t>主要植被类型描述</w:t>
      </w:r>
    </w:p>
    <w:p>
      <w:pPr>
        <w:pStyle w:val="2984"/>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针叶林</w:t>
      </w:r>
    </w:p>
    <w:p>
      <w:pPr>
        <w:pStyle w:val="2984"/>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评价区处我国中纬度亚热带地区，区域内自然环境优越，气候适宜，较有利于针叶林发育，通过现场调查，区域针叶林以低山针叶林为主，其在评价区分布较广。</w:t>
      </w:r>
    </w:p>
    <w:p>
      <w:pPr>
        <w:pStyle w:val="2984"/>
        <w:rPr>
          <w:rFonts w:hint="eastAsia"/>
          <w:b/>
          <w:bCs/>
          <w:color w:val="auto"/>
          <w:highlight w:val="none"/>
          <w:u w:val="none" w:color="auto"/>
          <w:lang w:val="en-US" w:eastAsia="zh-CN"/>
        </w:rPr>
      </w:pPr>
      <w:r>
        <w:rPr>
          <w:rFonts w:hint="eastAsia"/>
          <w:b/>
          <w:bCs/>
          <w:color w:val="auto"/>
          <w:highlight w:val="none"/>
          <w:u w:val="none" w:color="auto"/>
          <w:lang w:val="en-US" w:eastAsia="zh-CN"/>
        </w:rPr>
        <w:t>（一）低山针叶林</w:t>
      </w:r>
    </w:p>
    <w:p>
      <w:pPr>
        <w:pStyle w:val="2984"/>
        <w:rPr>
          <w:rFonts w:hint="default" w:ascii="Times New Roman" w:hAnsi="Times New Roman"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1）马尾松林</w:t>
      </w:r>
      <w:r>
        <w:rPr>
          <w:rFonts w:hint="default" w:ascii="Times New Roman" w:hAnsi="Times New Roman" w:cs="Times New Roman"/>
          <w:b/>
          <w:bCs/>
          <w:i/>
          <w:iCs/>
          <w:color w:val="auto"/>
          <w:highlight w:val="none"/>
          <w:u w:val="none" w:color="auto"/>
          <w:lang w:val="en-US" w:eastAsia="zh-CN"/>
        </w:rPr>
        <w:t>(Form.Pinus massoniana)</w:t>
      </w:r>
    </w:p>
    <w:p>
      <w:pPr>
        <w:pStyle w:val="2984"/>
        <w:rPr>
          <w:rFonts w:hint="eastAsia"/>
          <w:color w:val="auto"/>
          <w:highlight w:val="none"/>
          <w:u w:val="none" w:color="auto"/>
          <w:lang w:val="en-US" w:eastAsia="zh-CN"/>
        </w:rPr>
      </w:pPr>
      <w:r>
        <w:rPr>
          <w:rFonts w:hint="eastAsia"/>
          <w:color w:val="auto"/>
          <w:highlight w:val="none"/>
          <w:u w:val="none" w:color="auto"/>
          <w:lang w:val="en-US" w:eastAsia="zh-CN"/>
        </w:rPr>
        <w:t>马尾松原产于我国南部，为阳性树种，不耐庇荫，喜光、喜温。对土壤要求不严格，喜微酸性土壤，分布极广。马尾松林在评价区零散分布，多为次生林。</w:t>
      </w:r>
    </w:p>
    <w:p>
      <w:pPr>
        <w:pStyle w:val="2984"/>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马尾松林乔木层郁闭度0.5，层均高7m，优势种为马尾松</w:t>
      </w:r>
      <w:r>
        <w:rPr>
          <w:rFonts w:hint="default" w:ascii="Times New Roman" w:hAnsi="Times New Roman" w:cs="Times New Roman"/>
          <w:i/>
          <w:iCs/>
          <w:color w:val="auto"/>
          <w:highlight w:val="none"/>
          <w:u w:val="none" w:color="auto"/>
          <w:lang w:val="en-US" w:eastAsia="zh-CN"/>
        </w:rPr>
        <w:t>(Pinus massoniana)</w:t>
      </w:r>
      <w:r>
        <w:rPr>
          <w:rFonts w:hint="default" w:ascii="Times New Roman" w:hAnsi="Times New Roman" w:cs="Times New Roman"/>
          <w:color w:val="auto"/>
          <w:highlight w:val="none"/>
          <w:u w:val="none" w:color="auto"/>
          <w:lang w:val="en-US" w:eastAsia="zh-CN"/>
        </w:rPr>
        <w:t>，高约6-9m，胸径5-8cm，盖度40%，主要伴生种有毛竹</w:t>
      </w:r>
      <w:r>
        <w:rPr>
          <w:rFonts w:hint="default" w:ascii="Times New Roman" w:hAnsi="Times New Roman" w:cs="Times New Roman"/>
          <w:i/>
          <w:iCs/>
          <w:color w:val="auto"/>
          <w:highlight w:val="none"/>
          <w:u w:val="none" w:color="auto"/>
          <w:lang w:val="en-US" w:eastAsia="zh-CN"/>
        </w:rPr>
        <w:t>(Phyllostachys heterocyclacv. Pubescens )</w:t>
      </w:r>
      <w:r>
        <w:rPr>
          <w:rFonts w:hint="default" w:ascii="Times New Roman" w:hAnsi="Times New Roman" w:cs="Times New Roman"/>
          <w:color w:val="auto"/>
          <w:highlight w:val="none"/>
          <w:u w:val="none" w:color="auto"/>
          <w:lang w:val="en-US" w:eastAsia="zh-CN"/>
        </w:rPr>
        <w:t>、杉木</w:t>
      </w:r>
      <w:r>
        <w:rPr>
          <w:rFonts w:hint="default" w:ascii="Times New Roman" w:hAnsi="Times New Roman" w:cs="Times New Roman"/>
          <w:i/>
          <w:iCs/>
          <w:color w:val="auto"/>
          <w:highlight w:val="none"/>
          <w:u w:val="none" w:color="auto"/>
          <w:lang w:val="en-US" w:eastAsia="zh-CN"/>
        </w:rPr>
        <w:t>(Cunninghamia lanceolata )</w:t>
      </w:r>
      <w:r>
        <w:rPr>
          <w:rFonts w:hint="default" w:ascii="Times New Roman" w:hAnsi="Times New Roman" w:cs="Times New Roman"/>
          <w:color w:val="auto"/>
          <w:highlight w:val="none"/>
          <w:u w:val="none" w:color="auto"/>
          <w:lang w:val="en-US" w:eastAsia="zh-CN"/>
        </w:rPr>
        <w:t>、锥栗</w:t>
      </w:r>
      <w:r>
        <w:rPr>
          <w:rFonts w:hint="default" w:ascii="Times New Roman" w:hAnsi="Times New Roman" w:cs="Times New Roman"/>
          <w:i/>
          <w:iCs/>
          <w:color w:val="auto"/>
          <w:highlight w:val="none"/>
          <w:u w:val="none" w:color="auto"/>
          <w:lang w:val="en-US" w:eastAsia="zh-CN"/>
        </w:rPr>
        <w:t>(Castanea henryi)</w:t>
      </w:r>
      <w:r>
        <w:rPr>
          <w:rFonts w:hint="default" w:ascii="Times New Roman" w:hAnsi="Times New Roman" w:cs="Times New Roman"/>
          <w:color w:val="auto"/>
          <w:highlight w:val="none"/>
          <w:u w:val="none" w:color="auto"/>
          <w:lang w:val="en-US" w:eastAsia="zh-CN"/>
        </w:rPr>
        <w:t>等。</w:t>
      </w:r>
    </w:p>
    <w:p>
      <w:pPr>
        <w:pStyle w:val="2984"/>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灌木层盖度25%，层均高1.2m，优势种为短柄枹栎</w:t>
      </w:r>
      <w:r>
        <w:rPr>
          <w:rFonts w:hint="default" w:ascii="Times New Roman" w:hAnsi="Times New Roman" w:cs="Times New Roman"/>
          <w:i/>
          <w:iCs/>
          <w:color w:val="auto"/>
          <w:highlight w:val="none"/>
          <w:u w:val="none" w:color="auto"/>
          <w:lang w:val="en-US" w:eastAsia="zh-CN"/>
        </w:rPr>
        <w:t>(Quercusserratavar.brevipetiolata)</w:t>
      </w:r>
      <w:r>
        <w:rPr>
          <w:rFonts w:hint="default" w:ascii="Times New Roman" w:hAnsi="Times New Roman" w:cs="Times New Roman"/>
          <w:color w:val="auto"/>
          <w:highlight w:val="none"/>
          <w:u w:val="none" w:color="auto"/>
          <w:lang w:val="en-US" w:eastAsia="zh-CN"/>
        </w:rPr>
        <w:t>，高约0.8-1m，盖度15%，主要伴生种有山茶</w:t>
      </w:r>
      <w:r>
        <w:rPr>
          <w:rFonts w:hint="default" w:ascii="Times New Roman" w:hAnsi="Times New Roman" w:cs="Times New Roman"/>
          <w:i/>
          <w:iCs/>
          <w:color w:val="auto"/>
          <w:highlight w:val="none"/>
          <w:u w:val="none" w:color="auto"/>
          <w:lang w:val="en-US" w:eastAsia="zh-CN"/>
        </w:rPr>
        <w:t>(Camelliajaponica )</w:t>
      </w:r>
      <w:r>
        <w:rPr>
          <w:rFonts w:hint="default" w:ascii="Times New Roman" w:hAnsi="Times New Roman" w:cs="Times New Roman"/>
          <w:color w:val="auto"/>
          <w:highlight w:val="none"/>
          <w:u w:val="none" w:color="auto"/>
          <w:lang w:val="en-US" w:eastAsia="zh-CN"/>
        </w:rPr>
        <w:t>、盐肤木</w:t>
      </w:r>
      <w:r>
        <w:rPr>
          <w:rFonts w:hint="default" w:ascii="Times New Roman" w:hAnsi="Times New Roman" w:cs="Times New Roman"/>
          <w:i/>
          <w:iCs/>
          <w:color w:val="auto"/>
          <w:highlight w:val="none"/>
          <w:u w:val="none" w:color="auto"/>
          <w:lang w:val="en-US" w:eastAsia="zh-CN"/>
        </w:rPr>
        <w:t>(Rhus chinensis)</w:t>
      </w:r>
      <w:r>
        <w:rPr>
          <w:rFonts w:hint="default" w:ascii="Times New Roman" w:hAnsi="Times New Roman" w:cs="Times New Roman"/>
          <w:color w:val="auto"/>
          <w:highlight w:val="none"/>
          <w:u w:val="none" w:color="auto"/>
          <w:lang w:val="en-US" w:eastAsia="zh-CN"/>
        </w:rPr>
        <w:t>、野桐</w:t>
      </w:r>
      <w:r>
        <w:rPr>
          <w:rFonts w:hint="default" w:ascii="Times New Roman" w:hAnsi="Times New Roman" w:cs="Times New Roman"/>
          <w:i/>
          <w:iCs/>
          <w:color w:val="auto"/>
          <w:highlight w:val="none"/>
          <w:u w:val="none" w:color="auto"/>
          <w:lang w:val="en-US" w:eastAsia="zh-CN"/>
        </w:rPr>
        <w:t>(Mallotus japonicusvar.floccosus)</w:t>
      </w:r>
      <w:r>
        <w:rPr>
          <w:rFonts w:hint="default" w:ascii="Times New Roman" w:hAnsi="Times New Roman" w:cs="Times New Roman"/>
          <w:color w:val="auto"/>
          <w:highlight w:val="none"/>
          <w:u w:val="none" w:color="auto"/>
          <w:lang w:val="en-US" w:eastAsia="zh-CN"/>
        </w:rPr>
        <w:t>、马银花</w:t>
      </w:r>
      <w:r>
        <w:rPr>
          <w:rFonts w:hint="default" w:ascii="Times New Roman" w:hAnsi="Times New Roman" w:cs="Times New Roman"/>
          <w:i/>
          <w:iCs/>
          <w:color w:val="auto"/>
          <w:highlight w:val="none"/>
          <w:u w:val="none" w:color="auto"/>
          <w:lang w:val="en-US" w:eastAsia="zh-CN"/>
        </w:rPr>
        <w:t>(Rhododendron ovatum)</w:t>
      </w:r>
      <w:r>
        <w:rPr>
          <w:rFonts w:hint="default" w:ascii="Times New Roman" w:hAnsi="Times New Roman" w:cs="Times New Roman"/>
          <w:color w:val="auto"/>
          <w:highlight w:val="none"/>
          <w:u w:val="none" w:color="auto"/>
          <w:lang w:val="en-US" w:eastAsia="zh-CN"/>
        </w:rPr>
        <w:t>等。</w:t>
      </w:r>
    </w:p>
    <w:p>
      <w:pPr>
        <w:pStyle w:val="2984"/>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草本层盖度20%，层均高1m，优势种为芒</w:t>
      </w:r>
      <w:r>
        <w:rPr>
          <w:rFonts w:hint="default" w:ascii="Times New Roman" w:hAnsi="Times New Roman" w:cs="Times New Roman"/>
          <w:i/>
          <w:iCs/>
          <w:color w:val="auto"/>
          <w:highlight w:val="none"/>
          <w:u w:val="none" w:color="auto"/>
          <w:lang w:val="en-US" w:eastAsia="zh-CN"/>
        </w:rPr>
        <w:t>(Miscanthus sinensis)</w:t>
      </w:r>
      <w:r>
        <w:rPr>
          <w:rFonts w:hint="default" w:ascii="Times New Roman" w:hAnsi="Times New Roman" w:cs="Times New Roman"/>
          <w:color w:val="auto"/>
          <w:highlight w:val="none"/>
          <w:u w:val="none" w:color="auto"/>
          <w:lang w:val="en-US" w:eastAsia="zh-CN"/>
        </w:rPr>
        <w:t>，高约1-1.5m，盖度20%，主要伴生种有三脉紫菀</w:t>
      </w:r>
      <w:r>
        <w:rPr>
          <w:rFonts w:hint="default" w:ascii="Times New Roman" w:hAnsi="Times New Roman" w:cs="Times New Roman"/>
          <w:i/>
          <w:iCs/>
          <w:color w:val="auto"/>
          <w:highlight w:val="none"/>
          <w:u w:val="none" w:color="auto"/>
          <w:lang w:val="en-US" w:eastAsia="zh-CN"/>
        </w:rPr>
        <w:t>(Aster ageratoides)</w:t>
      </w:r>
      <w:r>
        <w:rPr>
          <w:rFonts w:hint="default" w:ascii="Times New Roman" w:hAnsi="Times New Roman" w:cs="Times New Roman"/>
          <w:color w:val="auto"/>
          <w:highlight w:val="none"/>
          <w:u w:val="none" w:color="auto"/>
          <w:lang w:val="en-US" w:eastAsia="zh-CN"/>
        </w:rPr>
        <w:t>、香薷</w:t>
      </w:r>
      <w:r>
        <w:rPr>
          <w:rFonts w:hint="default" w:ascii="Times New Roman" w:hAnsi="Times New Roman" w:cs="Times New Roman"/>
          <w:i/>
          <w:iCs/>
          <w:color w:val="auto"/>
          <w:highlight w:val="none"/>
          <w:u w:val="none" w:color="auto"/>
          <w:lang w:val="en-US" w:eastAsia="zh-CN"/>
        </w:rPr>
        <w:t>(Elsholtzia ciliata)</w:t>
      </w:r>
      <w:r>
        <w:rPr>
          <w:rFonts w:hint="default" w:ascii="Times New Roman" w:hAnsi="Times New Roman" w:cs="Times New Roman"/>
          <w:color w:val="auto"/>
          <w:highlight w:val="none"/>
          <w:u w:val="none" w:color="auto"/>
          <w:lang w:val="en-US" w:eastAsia="zh-CN"/>
        </w:rPr>
        <w:t>等。</w:t>
      </w:r>
    </w:p>
    <w:p>
      <w:pPr>
        <w:pStyle w:val="2984"/>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黑体" w:cs="Times New Roman"/>
          <w:color w:val="auto"/>
          <w:highlight w:val="none"/>
          <w:u w:val="none" w:color="auto"/>
          <w:lang w:val="en-US" w:eastAsia="zh-CN"/>
        </w:rPr>
      </w:pPr>
      <w:r>
        <w:rPr>
          <w:rFonts w:hint="eastAsia"/>
          <w:color w:val="auto"/>
          <w:highlight w:val="none"/>
          <w:u w:val="none" w:color="auto"/>
          <w:lang w:val="en-US" w:eastAsia="zh-CN"/>
        </w:rPr>
        <w:t>样方位置：红旗水库主坝(</w:t>
      </w:r>
      <w:r>
        <w:rPr>
          <w:rFonts w:hint="default" w:ascii="Times New Roman" w:hAnsi="Times New Roman" w:cs="Times New Roman"/>
          <w:color w:val="auto"/>
          <w:highlight w:val="none"/>
          <w:u w:val="none" w:color="auto"/>
          <w:lang w:val="en-US" w:eastAsia="zh-CN"/>
        </w:rPr>
        <w:t>N26.789757424°，E112.136311944</w:t>
      </w:r>
      <w:r>
        <w:rPr>
          <w:rFonts w:hint="eastAsia"/>
          <w:color w:val="auto"/>
          <w:highlight w:val="none"/>
          <w:u w:val="none" w:color="auto"/>
          <w:lang w:val="en-US" w:eastAsia="zh-CN"/>
        </w:rPr>
        <w:t>°)；H：163m。</w:t>
      </w:r>
    </w:p>
    <w:tbl>
      <w:tblPr>
        <w:tblStyle w:val="122"/>
        <w:tblW w:w="5000" w:type="pct"/>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9"/>
        <w:gridCol w:w="856"/>
        <w:gridCol w:w="2269"/>
        <w:gridCol w:w="1162"/>
        <w:gridCol w:w="130"/>
        <w:gridCol w:w="1021"/>
        <w:gridCol w:w="1152"/>
        <w:gridCol w:w="11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82" w:type="dxa"/>
            <w:vMerge w:val="restart"/>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植被类型</w:t>
            </w:r>
          </w:p>
        </w:tc>
        <w:tc>
          <w:tcPr>
            <w:tcW w:w="3107" w:type="dxa"/>
            <w:gridSpan w:val="2"/>
            <w:vMerge w:val="restart"/>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马尾松林</w:t>
            </w:r>
            <w:r>
              <w:rPr>
                <w:rFonts w:hint="default" w:ascii="Times New Roman" w:hAnsi="Times New Roman" w:cs="Times New Roman"/>
                <w:i/>
                <w:iCs/>
                <w:color w:val="auto"/>
                <w:sz w:val="21"/>
                <w:szCs w:val="21"/>
                <w:highlight w:val="none"/>
                <w:u w:val="none" w:color="auto"/>
              </w:rPr>
              <w:t>(Form. Pinus massoniana)</w:t>
            </w:r>
          </w:p>
        </w:tc>
        <w:tc>
          <w:tcPr>
            <w:tcW w:w="4576" w:type="dxa"/>
            <w:gridSpan w:val="5"/>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环境特征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82" w:type="dxa"/>
            <w:vMerge w:val="continue"/>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p>
        </w:tc>
        <w:tc>
          <w:tcPr>
            <w:tcW w:w="3107" w:type="dxa"/>
            <w:gridSpan w:val="2"/>
            <w:vMerge w:val="continue"/>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p>
        </w:tc>
        <w:tc>
          <w:tcPr>
            <w:tcW w:w="1143"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地形</w:t>
            </w:r>
          </w:p>
        </w:tc>
        <w:tc>
          <w:tcPr>
            <w:tcW w:w="1142" w:type="dxa"/>
            <w:gridSpan w:val="2"/>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海拔(m)</w:t>
            </w:r>
          </w:p>
        </w:tc>
        <w:tc>
          <w:tcPr>
            <w:tcW w:w="1143"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坡向</w:t>
            </w:r>
          </w:p>
        </w:tc>
        <w:tc>
          <w:tcPr>
            <w:tcW w:w="1148"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坡度(°)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82"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地点</w:t>
            </w:r>
          </w:p>
        </w:tc>
        <w:tc>
          <w:tcPr>
            <w:tcW w:w="3107" w:type="dxa"/>
            <w:gridSpan w:val="2"/>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红旗水库主坝</w:t>
            </w:r>
            <w:r>
              <w:rPr>
                <w:rFonts w:hint="default" w:ascii="Times New Roman" w:hAnsi="Times New Roman" w:eastAsia="宋体" w:cs="Times New Roman"/>
                <w:color w:val="auto"/>
                <w:sz w:val="21"/>
                <w:szCs w:val="21"/>
                <w:highlight w:val="none"/>
                <w:u w:val="none" w:color="auto"/>
                <w:lang w:val="en-US" w:eastAsia="zh-CN"/>
              </w:rPr>
              <w:t>附近</w:t>
            </w:r>
          </w:p>
        </w:tc>
        <w:tc>
          <w:tcPr>
            <w:tcW w:w="1143"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山地</w:t>
            </w:r>
          </w:p>
        </w:tc>
        <w:tc>
          <w:tcPr>
            <w:tcW w:w="1142" w:type="dxa"/>
            <w:gridSpan w:val="2"/>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163</w:t>
            </w:r>
          </w:p>
        </w:tc>
        <w:tc>
          <w:tcPr>
            <w:tcW w:w="1143"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S</w:t>
            </w:r>
          </w:p>
        </w:tc>
        <w:tc>
          <w:tcPr>
            <w:tcW w:w="1148"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82"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经纬度</w:t>
            </w:r>
          </w:p>
        </w:tc>
        <w:tc>
          <w:tcPr>
            <w:tcW w:w="7683" w:type="dxa"/>
            <w:gridSpan w:val="7"/>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N26.789757424°，E112.136311944°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82"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层次</w:t>
            </w:r>
          </w:p>
        </w:tc>
        <w:tc>
          <w:tcPr>
            <w:tcW w:w="7683" w:type="dxa"/>
            <w:gridSpan w:val="7"/>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三层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82"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分层</w:t>
            </w:r>
          </w:p>
        </w:tc>
        <w:tc>
          <w:tcPr>
            <w:tcW w:w="850"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层盖度</w:t>
            </w:r>
          </w:p>
        </w:tc>
        <w:tc>
          <w:tcPr>
            <w:tcW w:w="3541" w:type="dxa"/>
            <w:gridSpan w:val="3"/>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种类组成与生长状况</w:t>
            </w:r>
          </w:p>
        </w:tc>
        <w:tc>
          <w:tcPr>
            <w:tcW w:w="3292" w:type="dxa"/>
            <w:gridSpan w:val="3"/>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考察照片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82"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乔木层</w:t>
            </w:r>
          </w:p>
        </w:tc>
        <w:tc>
          <w:tcPr>
            <w:tcW w:w="850"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郁闭度0.5</w:t>
            </w:r>
          </w:p>
        </w:tc>
        <w:tc>
          <w:tcPr>
            <w:tcW w:w="3541" w:type="dxa"/>
            <w:gridSpan w:val="3"/>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层均高7m，优势种为马尾松</w:t>
            </w:r>
            <w:r>
              <w:rPr>
                <w:rFonts w:hint="default" w:ascii="Times New Roman" w:hAnsi="Times New Roman" w:cs="Times New Roman"/>
                <w:i/>
                <w:iCs/>
                <w:color w:val="auto"/>
                <w:sz w:val="21"/>
                <w:szCs w:val="21"/>
                <w:highlight w:val="none"/>
                <w:u w:val="none" w:color="auto"/>
              </w:rPr>
              <w:t>(Pinus massoniana)</w:t>
            </w:r>
            <w:r>
              <w:rPr>
                <w:rFonts w:hint="default" w:ascii="Times New Roman" w:hAnsi="Times New Roman" w:cs="Times New Roman"/>
                <w:color w:val="auto"/>
                <w:sz w:val="21"/>
                <w:szCs w:val="21"/>
                <w:highlight w:val="none"/>
                <w:u w:val="none" w:color="auto"/>
              </w:rPr>
              <w:t>，高约6-9m，胸径5-8cm， 盖度40%，主要伴生种有毛竹</w:t>
            </w:r>
            <w:r>
              <w:rPr>
                <w:rFonts w:hint="default" w:ascii="Times New Roman" w:hAnsi="Times New Roman" w:cs="Times New Roman"/>
                <w:i/>
                <w:iCs/>
                <w:color w:val="auto"/>
                <w:sz w:val="21"/>
                <w:szCs w:val="21"/>
                <w:highlight w:val="none"/>
                <w:u w:val="none" w:color="auto"/>
              </w:rPr>
              <w:t>(Phyllostachysheterocyclacv.Pubescens)</w:t>
            </w:r>
            <w:r>
              <w:rPr>
                <w:rFonts w:hint="default" w:ascii="Times New Roman" w:hAnsi="Times New Roman" w:cs="Times New Roman"/>
                <w:color w:val="auto"/>
                <w:sz w:val="21"/>
                <w:szCs w:val="21"/>
                <w:highlight w:val="none"/>
                <w:u w:val="none" w:color="auto"/>
              </w:rPr>
              <w:t>、杉木</w:t>
            </w:r>
            <w:r>
              <w:rPr>
                <w:rFonts w:hint="default" w:ascii="Times New Roman" w:hAnsi="Times New Roman" w:cs="Times New Roman"/>
                <w:i/>
                <w:iCs/>
                <w:color w:val="auto"/>
                <w:sz w:val="21"/>
                <w:szCs w:val="21"/>
                <w:highlight w:val="none"/>
                <w:u w:val="none" w:color="auto"/>
              </w:rPr>
              <w:t>(Cunninghamia lanceolata)</w:t>
            </w:r>
            <w:r>
              <w:rPr>
                <w:rFonts w:hint="default" w:ascii="Times New Roman" w:hAnsi="Times New Roman" w:cs="Times New Roman"/>
                <w:color w:val="auto"/>
                <w:sz w:val="21"/>
                <w:szCs w:val="21"/>
                <w:highlight w:val="none"/>
                <w:u w:val="none" w:color="auto"/>
              </w:rPr>
              <w:t>、锥栗</w:t>
            </w:r>
            <w:r>
              <w:rPr>
                <w:rFonts w:hint="default" w:ascii="Times New Roman" w:hAnsi="Times New Roman" w:cs="Times New Roman"/>
                <w:i/>
                <w:iCs/>
                <w:color w:val="auto"/>
                <w:sz w:val="21"/>
                <w:szCs w:val="21"/>
                <w:highlight w:val="none"/>
                <w:u w:val="none" w:color="auto"/>
              </w:rPr>
              <w:t>(Castanea henryi)</w:t>
            </w:r>
            <w:r>
              <w:rPr>
                <w:rFonts w:hint="default" w:ascii="Times New Roman" w:hAnsi="Times New Roman" w:cs="Times New Roman"/>
                <w:color w:val="auto"/>
                <w:sz w:val="21"/>
                <w:szCs w:val="21"/>
                <w:highlight w:val="none"/>
                <w:u w:val="none" w:color="auto"/>
              </w:rPr>
              <w:t>等。</w:t>
            </w:r>
          </w:p>
        </w:tc>
        <w:tc>
          <w:tcPr>
            <w:tcW w:w="3292" w:type="dxa"/>
            <w:gridSpan w:val="3"/>
            <w:vMerge w:val="restart"/>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u w:val="none" w:color="auto"/>
              </w:rPr>
            </w:pPr>
            <w:r>
              <w:rPr>
                <w:u w:val="none" w:color="auto"/>
              </w:rPr>
              <w:drawing>
                <wp:inline distT="0" distB="0" distL="114300" distR="114300">
                  <wp:extent cx="1322705" cy="1167765"/>
                  <wp:effectExtent l="0" t="0" r="10795" b="1333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9"/>
                          <a:stretch>
                            <a:fillRect/>
                          </a:stretch>
                        </pic:blipFill>
                        <pic:spPr>
                          <a:xfrm>
                            <a:off x="0" y="0"/>
                            <a:ext cx="1322705" cy="1167765"/>
                          </a:xfrm>
                          <a:prstGeom prst="rect">
                            <a:avLst/>
                          </a:prstGeom>
                          <a:noFill/>
                          <a:ln>
                            <a:noFill/>
                          </a:ln>
                        </pic:spPr>
                      </pic:pic>
                    </a:graphicData>
                  </a:graphic>
                </wp:inline>
              </w:drawing>
            </w:r>
          </w:p>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u w:val="none" w:color="auto"/>
              </w:rPr>
            </w:pPr>
          </w:p>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u w:val="none" w:color="auto"/>
              </w:rPr>
            </w:pPr>
            <w:r>
              <w:rPr>
                <w:u w:val="none" w:color="auto"/>
              </w:rPr>
              <w:drawing>
                <wp:inline distT="0" distB="0" distL="114300" distR="114300">
                  <wp:extent cx="1296670" cy="1219200"/>
                  <wp:effectExtent l="0" t="0" r="17780" b="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30"/>
                          <a:stretch>
                            <a:fillRect/>
                          </a:stretch>
                        </pic:blipFill>
                        <pic:spPr>
                          <a:xfrm>
                            <a:off x="0" y="0"/>
                            <a:ext cx="1296670" cy="1219200"/>
                          </a:xfrm>
                          <a:prstGeom prst="rect">
                            <a:avLst/>
                          </a:prstGeom>
                          <a:noFill/>
                          <a:ln>
                            <a:noFill/>
                          </a:ln>
                        </pic:spPr>
                      </pic:pic>
                    </a:graphicData>
                  </a:graphic>
                </wp:inline>
              </w:drawing>
            </w:r>
          </w:p>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u w:val="none" w:color="auto"/>
              </w:rPr>
            </w:pPr>
          </w:p>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u w:val="none" w:color="auto"/>
                <w:lang w:eastAsia="zh-CN"/>
              </w:rPr>
            </w:pPr>
            <w:r>
              <w:rPr>
                <w:u w:val="none" w:color="auto"/>
              </w:rPr>
              <w:drawing>
                <wp:inline distT="0" distB="0" distL="114300" distR="114300">
                  <wp:extent cx="1376680" cy="1176655"/>
                  <wp:effectExtent l="0" t="0" r="13970" b="444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1"/>
                          <a:stretch>
                            <a:fillRect/>
                          </a:stretch>
                        </pic:blipFill>
                        <pic:spPr>
                          <a:xfrm>
                            <a:off x="0" y="0"/>
                            <a:ext cx="1376680" cy="117665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82"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灌木层</w:t>
            </w:r>
          </w:p>
        </w:tc>
        <w:tc>
          <w:tcPr>
            <w:tcW w:w="850"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层盖度25%</w:t>
            </w:r>
          </w:p>
        </w:tc>
        <w:tc>
          <w:tcPr>
            <w:tcW w:w="3541" w:type="dxa"/>
            <w:gridSpan w:val="3"/>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层均高1.2m，优势种为短柄枹栎</w:t>
            </w:r>
            <w:r>
              <w:rPr>
                <w:rFonts w:hint="default" w:ascii="Times New Roman" w:hAnsi="Times New Roman" w:cs="Times New Roman"/>
                <w:i/>
                <w:iCs/>
                <w:color w:val="auto"/>
                <w:sz w:val="21"/>
                <w:szCs w:val="21"/>
                <w:highlight w:val="none"/>
                <w:u w:val="none" w:color="auto"/>
              </w:rPr>
              <w:t>(Quercusserratavar.brevipetiolata)</w:t>
            </w:r>
            <w:r>
              <w:rPr>
                <w:rFonts w:hint="default" w:ascii="Times New Roman" w:hAnsi="Times New Roman" w:cs="Times New Roman"/>
                <w:color w:val="auto"/>
                <w:sz w:val="21"/>
                <w:szCs w:val="21"/>
                <w:highlight w:val="none"/>
                <w:u w:val="none" w:color="auto"/>
              </w:rPr>
              <w:t>，高约0.8-1m，盖度15%，主要伴生种有山茶</w:t>
            </w:r>
            <w:r>
              <w:rPr>
                <w:rFonts w:hint="default" w:ascii="Times New Roman" w:hAnsi="Times New Roman" w:cs="Times New Roman"/>
                <w:i/>
                <w:iCs/>
                <w:color w:val="auto"/>
                <w:sz w:val="21"/>
                <w:szCs w:val="21"/>
                <w:highlight w:val="none"/>
                <w:u w:val="none" w:color="auto"/>
              </w:rPr>
              <w:t>(Camellia japonica)</w:t>
            </w:r>
            <w:r>
              <w:rPr>
                <w:rFonts w:hint="default" w:ascii="Times New Roman" w:hAnsi="Times New Roman" w:cs="Times New Roman"/>
                <w:color w:val="auto"/>
                <w:sz w:val="21"/>
                <w:szCs w:val="21"/>
                <w:highlight w:val="none"/>
                <w:u w:val="none" w:color="auto"/>
              </w:rPr>
              <w:t>、盐肤木</w:t>
            </w:r>
            <w:r>
              <w:rPr>
                <w:rFonts w:hint="default" w:ascii="Times New Roman" w:hAnsi="Times New Roman" w:cs="Times New Roman"/>
                <w:i/>
                <w:iCs/>
                <w:color w:val="auto"/>
                <w:sz w:val="21"/>
                <w:szCs w:val="21"/>
                <w:highlight w:val="none"/>
                <w:u w:val="none" w:color="auto"/>
              </w:rPr>
              <w:t>(Rhus chinensis)</w:t>
            </w:r>
            <w:r>
              <w:rPr>
                <w:rFonts w:hint="default" w:ascii="Times New Roman" w:hAnsi="Times New Roman" w:cs="Times New Roman"/>
                <w:color w:val="auto"/>
                <w:sz w:val="21"/>
                <w:szCs w:val="21"/>
                <w:highlight w:val="none"/>
                <w:u w:val="none" w:color="auto"/>
              </w:rPr>
              <w:t>、野桐</w:t>
            </w:r>
            <w:r>
              <w:rPr>
                <w:rFonts w:hint="default" w:ascii="Times New Roman" w:hAnsi="Times New Roman" w:cs="Times New Roman"/>
                <w:i/>
                <w:iCs/>
                <w:color w:val="auto"/>
                <w:sz w:val="21"/>
                <w:szCs w:val="21"/>
                <w:highlight w:val="none"/>
                <w:u w:val="none" w:color="auto"/>
              </w:rPr>
              <w:t>(Mallotusjaponicus var.floccosus</w:t>
            </w:r>
            <w:r>
              <w:rPr>
                <w:rFonts w:hint="default" w:ascii="Times New Roman" w:hAnsi="Times New Roman" w:cs="Times New Roman"/>
                <w:color w:val="auto"/>
                <w:sz w:val="21"/>
                <w:szCs w:val="21"/>
                <w:highlight w:val="none"/>
                <w:u w:val="none" w:color="auto"/>
              </w:rPr>
              <w:t>)、马银花</w:t>
            </w:r>
            <w:r>
              <w:rPr>
                <w:rFonts w:hint="default" w:ascii="Times New Roman" w:hAnsi="Times New Roman" w:cs="Times New Roman"/>
                <w:i/>
                <w:iCs/>
                <w:color w:val="auto"/>
                <w:sz w:val="21"/>
                <w:szCs w:val="21"/>
                <w:highlight w:val="none"/>
                <w:u w:val="none" w:color="auto"/>
              </w:rPr>
              <w:t>(Rhododendron ovatum)</w:t>
            </w:r>
            <w:r>
              <w:rPr>
                <w:rFonts w:hint="default" w:ascii="Times New Roman" w:hAnsi="Times New Roman" w:cs="Times New Roman"/>
                <w:color w:val="auto"/>
                <w:sz w:val="21"/>
                <w:szCs w:val="21"/>
                <w:highlight w:val="none"/>
                <w:u w:val="none" w:color="auto"/>
              </w:rPr>
              <w:t>等。</w:t>
            </w:r>
          </w:p>
        </w:tc>
        <w:tc>
          <w:tcPr>
            <w:tcW w:w="3292" w:type="dxa"/>
            <w:gridSpan w:val="3"/>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82"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草本层</w:t>
            </w:r>
          </w:p>
        </w:tc>
        <w:tc>
          <w:tcPr>
            <w:tcW w:w="850"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层盖度20%</w:t>
            </w:r>
          </w:p>
        </w:tc>
        <w:tc>
          <w:tcPr>
            <w:tcW w:w="3541" w:type="dxa"/>
            <w:gridSpan w:val="3"/>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层均高1m，优势种为芒</w:t>
            </w:r>
            <w:r>
              <w:rPr>
                <w:rFonts w:hint="default" w:ascii="Times New Roman" w:hAnsi="Times New Roman" w:cs="Times New Roman"/>
                <w:i/>
                <w:iCs/>
                <w:color w:val="auto"/>
                <w:sz w:val="21"/>
                <w:szCs w:val="21"/>
                <w:highlight w:val="none"/>
                <w:u w:val="none" w:color="auto"/>
              </w:rPr>
              <w:t>(Miscanthus  sinensis)</w:t>
            </w:r>
            <w:r>
              <w:rPr>
                <w:rFonts w:hint="default" w:ascii="Times New Roman" w:hAnsi="Times New Roman" w:cs="Times New Roman"/>
                <w:color w:val="auto"/>
                <w:sz w:val="21"/>
                <w:szCs w:val="21"/>
                <w:highlight w:val="none"/>
                <w:u w:val="none" w:color="auto"/>
              </w:rPr>
              <w:t>，高约1-1.5m，盖度20%，主 要伴生种有三脉紫菀</w:t>
            </w:r>
            <w:r>
              <w:rPr>
                <w:rFonts w:hint="default" w:ascii="Times New Roman" w:hAnsi="Times New Roman" w:cs="Times New Roman"/>
                <w:i/>
                <w:iCs/>
                <w:color w:val="auto"/>
                <w:sz w:val="21"/>
                <w:szCs w:val="21"/>
                <w:highlight w:val="none"/>
                <w:u w:val="none" w:color="auto"/>
              </w:rPr>
              <w:t>(Asterageratoides)</w:t>
            </w:r>
            <w:r>
              <w:rPr>
                <w:rFonts w:hint="default" w:ascii="Times New Roman" w:hAnsi="Times New Roman" w:cs="Times New Roman"/>
                <w:color w:val="auto"/>
                <w:sz w:val="21"/>
                <w:szCs w:val="21"/>
                <w:highlight w:val="none"/>
                <w:u w:val="none" w:color="auto"/>
              </w:rPr>
              <w:t>、香薷</w:t>
            </w:r>
            <w:r>
              <w:rPr>
                <w:rFonts w:hint="default" w:ascii="Times New Roman" w:hAnsi="Times New Roman" w:cs="Times New Roman"/>
                <w:i/>
                <w:iCs/>
                <w:color w:val="auto"/>
                <w:sz w:val="21"/>
                <w:szCs w:val="21"/>
                <w:highlight w:val="none"/>
                <w:u w:val="none" w:color="auto"/>
              </w:rPr>
              <w:t>(Elsholtzia ciliata)</w:t>
            </w:r>
            <w:r>
              <w:rPr>
                <w:rFonts w:hint="default" w:ascii="Times New Roman" w:hAnsi="Times New Roman" w:cs="Times New Roman"/>
                <w:color w:val="auto"/>
                <w:sz w:val="21"/>
                <w:szCs w:val="21"/>
                <w:highlight w:val="none"/>
                <w:u w:val="none" w:color="auto"/>
              </w:rPr>
              <w:t>等。</w:t>
            </w:r>
          </w:p>
        </w:tc>
        <w:tc>
          <w:tcPr>
            <w:tcW w:w="3292" w:type="dxa"/>
            <w:gridSpan w:val="3"/>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p>
        </w:tc>
      </w:tr>
    </w:tbl>
    <w:p>
      <w:pPr>
        <w:pStyle w:val="2984"/>
        <w:rPr>
          <w:rFonts w:hint="eastAsia"/>
          <w:b/>
          <w:bCs/>
          <w:color w:val="auto"/>
          <w:highlight w:val="none"/>
          <w:u w:val="none" w:color="auto"/>
          <w:lang w:val="en-US" w:eastAsia="zh-CN"/>
        </w:rPr>
      </w:pPr>
      <w:r>
        <w:rPr>
          <w:rFonts w:hint="eastAsia"/>
          <w:b/>
          <w:bCs/>
          <w:color w:val="auto"/>
          <w:highlight w:val="none"/>
          <w:u w:val="none" w:color="auto"/>
          <w:lang w:val="en-US" w:eastAsia="zh-CN"/>
        </w:rPr>
        <w:t>阔叶林</w:t>
      </w:r>
    </w:p>
    <w:p>
      <w:pPr>
        <w:pStyle w:val="2984"/>
        <w:rPr>
          <w:rFonts w:hint="eastAsia"/>
          <w:color w:val="auto"/>
          <w:highlight w:val="none"/>
          <w:u w:val="none" w:color="auto"/>
          <w:lang w:val="en-US" w:eastAsia="zh-CN"/>
        </w:rPr>
      </w:pPr>
      <w:r>
        <w:rPr>
          <w:rFonts w:hint="eastAsia"/>
          <w:color w:val="auto"/>
          <w:highlight w:val="none"/>
          <w:u w:val="none" w:color="auto"/>
          <w:lang w:val="en-US" w:eastAsia="zh-CN"/>
        </w:rPr>
        <w:t>评价区自然环境优越，气候适宜，较有利于阔叶林发育。通过现场调查，评价区阔叶林以落叶阔叶林为主，其为评价区内重要组成部分。</w:t>
      </w:r>
    </w:p>
    <w:p>
      <w:pPr>
        <w:pStyle w:val="2984"/>
        <w:rPr>
          <w:rFonts w:hint="eastAsia"/>
          <w:b/>
          <w:bCs/>
          <w:color w:val="auto"/>
          <w:highlight w:val="none"/>
          <w:u w:val="none" w:color="auto"/>
          <w:lang w:val="en-US" w:eastAsia="zh-CN"/>
        </w:rPr>
      </w:pPr>
      <w:r>
        <w:rPr>
          <w:rFonts w:hint="eastAsia"/>
          <w:b/>
          <w:bCs/>
          <w:color w:val="auto"/>
          <w:highlight w:val="none"/>
          <w:u w:val="none" w:color="auto"/>
          <w:lang w:val="en-US" w:eastAsia="zh-CN"/>
        </w:rPr>
        <w:t>(二)落叶阔叶林</w:t>
      </w:r>
    </w:p>
    <w:p>
      <w:pPr>
        <w:pStyle w:val="2984"/>
        <w:rPr>
          <w:rFonts w:hint="default" w:ascii="Times New Roman" w:hAnsi="Times New Roman"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2)锥栗林</w:t>
      </w:r>
      <w:r>
        <w:rPr>
          <w:rFonts w:hint="default" w:ascii="Times New Roman" w:hAnsi="Times New Roman" w:cs="Times New Roman"/>
          <w:b/>
          <w:bCs/>
          <w:i/>
          <w:iCs/>
          <w:color w:val="auto"/>
          <w:highlight w:val="none"/>
          <w:u w:val="none" w:color="auto"/>
          <w:lang w:val="en-US" w:eastAsia="zh-CN"/>
        </w:rPr>
        <w:t>(Form.Castanea henryi)</w:t>
      </w:r>
    </w:p>
    <w:p>
      <w:pPr>
        <w:pStyle w:val="2984"/>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锥栗是中国重要的木本粮食食物之一，生于海拔100-1800米的丘陵与山地，常见于落叶或常绿的混交林中。锥栗林多分布于山坡中上部。</w:t>
      </w:r>
    </w:p>
    <w:p>
      <w:pPr>
        <w:pStyle w:val="2984"/>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锥栗林乔木层郁闭度0.4，层均高2m，优势种为锥栗</w:t>
      </w:r>
      <w:r>
        <w:rPr>
          <w:rFonts w:hint="default" w:ascii="Times New Roman" w:hAnsi="Times New Roman" w:cs="Times New Roman"/>
          <w:i/>
          <w:iCs/>
          <w:color w:val="auto"/>
          <w:highlight w:val="none"/>
          <w:u w:val="none" w:color="auto"/>
          <w:lang w:val="en-US" w:eastAsia="zh-CN"/>
        </w:rPr>
        <w:t>(Castanea henryi)</w:t>
      </w:r>
      <w:r>
        <w:rPr>
          <w:rFonts w:hint="default" w:ascii="Times New Roman" w:hAnsi="Times New Roman" w:cs="Times New Roman"/>
          <w:color w:val="auto"/>
          <w:highlight w:val="none"/>
          <w:u w:val="none" w:color="auto"/>
          <w:lang w:val="en-US" w:eastAsia="zh-CN"/>
        </w:rPr>
        <w:t>，高约2-2.5m，胸径3-6cm，盖度40%，主要伴生种有山乌桕</w:t>
      </w:r>
      <w:r>
        <w:rPr>
          <w:rFonts w:hint="default" w:ascii="Times New Roman" w:hAnsi="Times New Roman" w:cs="Times New Roman"/>
          <w:i/>
          <w:iCs/>
          <w:color w:val="auto"/>
          <w:highlight w:val="none"/>
          <w:u w:val="none" w:color="auto"/>
          <w:lang w:val="en-US" w:eastAsia="zh-CN"/>
        </w:rPr>
        <w:t>(Sapium discolor)</w:t>
      </w:r>
      <w:r>
        <w:rPr>
          <w:rFonts w:hint="default" w:ascii="Times New Roman" w:hAnsi="Times New Roman" w:cs="Times New Roman"/>
          <w:color w:val="auto"/>
          <w:highlight w:val="none"/>
          <w:u w:val="none" w:color="auto"/>
          <w:lang w:val="en-US" w:eastAsia="zh-CN"/>
        </w:rPr>
        <w:t>、檫木</w:t>
      </w:r>
      <w:r>
        <w:rPr>
          <w:rFonts w:hint="default" w:ascii="Times New Roman" w:hAnsi="Times New Roman" w:cs="Times New Roman"/>
          <w:i/>
          <w:iCs/>
          <w:color w:val="auto"/>
          <w:highlight w:val="none"/>
          <w:u w:val="none" w:color="auto"/>
          <w:lang w:val="en-US" w:eastAsia="zh-CN"/>
        </w:rPr>
        <w:t>(Sassafras tzumu )</w:t>
      </w:r>
      <w:r>
        <w:rPr>
          <w:rFonts w:hint="default" w:ascii="Times New Roman" w:hAnsi="Times New Roman" w:cs="Times New Roman"/>
          <w:color w:val="auto"/>
          <w:highlight w:val="none"/>
          <w:u w:val="none" w:color="auto"/>
          <w:lang w:val="en-US" w:eastAsia="zh-CN"/>
        </w:rPr>
        <w:t>等。</w:t>
      </w:r>
    </w:p>
    <w:p>
      <w:pPr>
        <w:pStyle w:val="2984"/>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灌木层盖度20%，层均高0.8m，优势种为火棘</w:t>
      </w:r>
      <w:r>
        <w:rPr>
          <w:rFonts w:hint="default" w:ascii="Times New Roman" w:hAnsi="Times New Roman" w:cs="Times New Roman"/>
          <w:i/>
          <w:iCs/>
          <w:color w:val="auto"/>
          <w:highlight w:val="none"/>
          <w:u w:val="none" w:color="auto"/>
          <w:lang w:val="en-US" w:eastAsia="zh-CN"/>
        </w:rPr>
        <w:t>(Pyracantha fortuneana)</w:t>
      </w:r>
      <w:r>
        <w:rPr>
          <w:rFonts w:hint="default" w:ascii="Times New Roman" w:hAnsi="Times New Roman" w:cs="Times New Roman"/>
          <w:color w:val="auto"/>
          <w:highlight w:val="none"/>
          <w:u w:val="none" w:color="auto"/>
          <w:lang w:val="en-US" w:eastAsia="zh-CN"/>
        </w:rPr>
        <w:t>，高约0.8-1m，盖度10%，主要伴生种有高粱泡</w:t>
      </w:r>
      <w:r>
        <w:rPr>
          <w:rFonts w:hint="default" w:ascii="Times New Roman" w:hAnsi="Times New Roman" w:cs="Times New Roman"/>
          <w:i/>
          <w:iCs/>
          <w:color w:val="auto"/>
          <w:highlight w:val="none"/>
          <w:u w:val="none" w:color="auto"/>
          <w:lang w:val="en-US" w:eastAsia="zh-CN"/>
        </w:rPr>
        <w:t>(Rubus lambertianus)</w:t>
      </w:r>
      <w:r>
        <w:rPr>
          <w:rFonts w:hint="default" w:ascii="Times New Roman" w:hAnsi="Times New Roman" w:cs="Times New Roman"/>
          <w:color w:val="auto"/>
          <w:highlight w:val="none"/>
          <w:u w:val="none" w:color="auto"/>
          <w:lang w:val="en-US" w:eastAsia="zh-CN"/>
        </w:rPr>
        <w:t>、细齿叶柃</w:t>
      </w:r>
      <w:r>
        <w:rPr>
          <w:rFonts w:hint="default" w:ascii="Times New Roman" w:hAnsi="Times New Roman" w:cs="Times New Roman"/>
          <w:i/>
          <w:iCs/>
          <w:color w:val="auto"/>
          <w:highlight w:val="none"/>
          <w:u w:val="none" w:color="auto"/>
          <w:lang w:val="en-US" w:eastAsia="zh-CN"/>
        </w:rPr>
        <w:t>(Eurya nitida )</w:t>
      </w:r>
      <w:r>
        <w:rPr>
          <w:rFonts w:hint="default" w:ascii="Times New Roman" w:hAnsi="Times New Roman" w:cs="Times New Roman"/>
          <w:color w:val="auto"/>
          <w:highlight w:val="none"/>
          <w:u w:val="none" w:color="auto"/>
          <w:lang w:val="en-US" w:eastAsia="zh-CN"/>
        </w:rPr>
        <w:t>、复盆子</w:t>
      </w:r>
      <w:r>
        <w:rPr>
          <w:rFonts w:hint="default" w:ascii="Times New Roman" w:hAnsi="Times New Roman" w:cs="Times New Roman"/>
          <w:i/>
          <w:iCs/>
          <w:color w:val="auto"/>
          <w:highlight w:val="none"/>
          <w:u w:val="none" w:color="auto"/>
          <w:lang w:val="en-US" w:eastAsia="zh-CN"/>
        </w:rPr>
        <w:t>(Rubus idaeus )</w:t>
      </w:r>
      <w:r>
        <w:rPr>
          <w:rFonts w:hint="default" w:ascii="Times New Roman" w:hAnsi="Times New Roman" w:cs="Times New Roman"/>
          <w:color w:val="auto"/>
          <w:highlight w:val="none"/>
          <w:u w:val="none" w:color="auto"/>
          <w:lang w:val="en-US" w:eastAsia="zh-CN"/>
        </w:rPr>
        <w:t>、盐肤木</w:t>
      </w:r>
      <w:r>
        <w:rPr>
          <w:rFonts w:hint="default" w:ascii="Times New Roman" w:hAnsi="Times New Roman" w:cs="Times New Roman"/>
          <w:i/>
          <w:iCs/>
          <w:color w:val="auto"/>
          <w:highlight w:val="none"/>
          <w:u w:val="none" w:color="auto"/>
          <w:lang w:val="en-US" w:eastAsia="zh-CN"/>
        </w:rPr>
        <w:t>(Rhus chinensis )</w:t>
      </w:r>
      <w:r>
        <w:rPr>
          <w:rFonts w:hint="default" w:ascii="Times New Roman" w:hAnsi="Times New Roman" w:cs="Times New Roman"/>
          <w:color w:val="auto"/>
          <w:highlight w:val="none"/>
          <w:u w:val="none" w:color="auto"/>
          <w:lang w:val="en-US" w:eastAsia="zh-CN"/>
        </w:rPr>
        <w:t>等。</w:t>
      </w:r>
    </w:p>
    <w:p>
      <w:pPr>
        <w:pStyle w:val="2984"/>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草本层盖度15%，层均高0.8m，优势种为芒</w:t>
      </w:r>
      <w:r>
        <w:rPr>
          <w:rFonts w:hint="default" w:ascii="Times New Roman" w:hAnsi="Times New Roman" w:cs="Times New Roman"/>
          <w:i/>
          <w:iCs/>
          <w:color w:val="auto"/>
          <w:highlight w:val="none"/>
          <w:u w:val="none" w:color="auto"/>
          <w:lang w:val="en-US" w:eastAsia="zh-CN"/>
        </w:rPr>
        <w:t>(Miscanthus sinensis)</w:t>
      </w:r>
      <w:r>
        <w:rPr>
          <w:rFonts w:hint="default" w:ascii="Times New Roman" w:hAnsi="Times New Roman" w:cs="Times New Roman"/>
          <w:color w:val="auto"/>
          <w:highlight w:val="none"/>
          <w:u w:val="none" w:color="auto"/>
          <w:lang w:val="en-US" w:eastAsia="zh-CN"/>
        </w:rPr>
        <w:t>，高约0.5m，盖度10%，主要伴生种有地榆</w:t>
      </w:r>
      <w:r>
        <w:rPr>
          <w:rFonts w:hint="default" w:ascii="Times New Roman" w:hAnsi="Times New Roman" w:cs="Times New Roman"/>
          <w:i/>
          <w:iCs/>
          <w:color w:val="auto"/>
          <w:highlight w:val="none"/>
          <w:u w:val="none" w:color="auto"/>
          <w:lang w:val="en-US" w:eastAsia="zh-CN"/>
        </w:rPr>
        <w:t>(Sanguisorba oficinalis)</w:t>
      </w:r>
      <w:r>
        <w:rPr>
          <w:rFonts w:hint="default" w:ascii="Times New Roman" w:hAnsi="Times New Roman" w:cs="Times New Roman"/>
          <w:color w:val="auto"/>
          <w:highlight w:val="none"/>
          <w:u w:val="none" w:color="auto"/>
          <w:lang w:val="en-US" w:eastAsia="zh-CN"/>
        </w:rPr>
        <w:t>、三脉紫菀</w:t>
      </w:r>
      <w:r>
        <w:rPr>
          <w:rFonts w:hint="default" w:ascii="Times New Roman" w:hAnsi="Times New Roman" w:cs="Times New Roman"/>
          <w:i/>
          <w:iCs/>
          <w:color w:val="auto"/>
          <w:highlight w:val="none"/>
          <w:u w:val="none" w:color="auto"/>
          <w:lang w:val="en-US" w:eastAsia="zh-CN"/>
        </w:rPr>
        <w:t>(Aster ageratoides)</w:t>
      </w:r>
      <w:r>
        <w:rPr>
          <w:rFonts w:hint="default" w:ascii="Times New Roman" w:hAnsi="Times New Roman" w:cs="Times New Roman"/>
          <w:color w:val="auto"/>
          <w:highlight w:val="none"/>
          <w:u w:val="none" w:color="auto"/>
          <w:lang w:val="en-US" w:eastAsia="zh-CN"/>
        </w:rPr>
        <w:t>、千里光</w:t>
      </w:r>
      <w:r>
        <w:rPr>
          <w:rFonts w:hint="default" w:ascii="Times New Roman" w:hAnsi="Times New Roman" w:cs="Times New Roman"/>
          <w:i/>
          <w:iCs/>
          <w:color w:val="auto"/>
          <w:highlight w:val="none"/>
          <w:u w:val="none" w:color="auto"/>
          <w:lang w:val="en-US" w:eastAsia="zh-CN"/>
        </w:rPr>
        <w:t>(Senecio scandens)</w:t>
      </w:r>
      <w:r>
        <w:rPr>
          <w:rFonts w:hint="default" w:ascii="Times New Roman" w:hAnsi="Times New Roman" w:cs="Times New Roman"/>
          <w:color w:val="auto"/>
          <w:highlight w:val="none"/>
          <w:u w:val="none" w:color="auto"/>
          <w:lang w:val="en-US" w:eastAsia="zh-CN"/>
        </w:rPr>
        <w:t>等。</w:t>
      </w:r>
    </w:p>
    <w:p>
      <w:pPr>
        <w:pStyle w:val="2984"/>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样方位置：红旗水库副坝(N26.828378552°，E112.149063166°)；H：</w:t>
      </w:r>
      <w:r>
        <w:rPr>
          <w:rFonts w:hint="eastAsia" w:ascii="Times New Roman" w:hAnsi="Times New Roman" w:cs="Times New Roman"/>
          <w:color w:val="auto"/>
          <w:highlight w:val="none"/>
          <w:u w:val="none" w:color="auto"/>
          <w:lang w:val="en-US" w:eastAsia="zh-CN"/>
        </w:rPr>
        <w:t>180</w:t>
      </w:r>
      <w:r>
        <w:rPr>
          <w:rFonts w:hint="default" w:ascii="Times New Roman" w:hAnsi="Times New Roman" w:cs="Times New Roman"/>
          <w:color w:val="auto"/>
          <w:highlight w:val="none"/>
          <w:u w:val="none" w:color="auto"/>
          <w:lang w:val="en-US" w:eastAsia="zh-CN"/>
        </w:rPr>
        <w:t>m。</w:t>
      </w:r>
    </w:p>
    <w:tbl>
      <w:tblPr>
        <w:tblStyle w:val="122"/>
        <w:tblW w:w="5017" w:type="pct"/>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1"/>
        <w:gridCol w:w="857"/>
        <w:gridCol w:w="2541"/>
        <w:gridCol w:w="876"/>
        <w:gridCol w:w="157"/>
        <w:gridCol w:w="992"/>
        <w:gridCol w:w="1152"/>
        <w:gridCol w:w="11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9" w:type="dxa"/>
            <w:vMerge w:val="restart"/>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植被类型</w:t>
            </w:r>
          </w:p>
        </w:tc>
        <w:tc>
          <w:tcPr>
            <w:tcW w:w="3201" w:type="dxa"/>
            <w:gridSpan w:val="2"/>
            <w:vMerge w:val="restart"/>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锥栗林</w:t>
            </w:r>
            <w:r>
              <w:rPr>
                <w:rFonts w:hint="default" w:cs="Times New Roman"/>
                <w:i/>
                <w:iCs/>
                <w:color w:val="auto"/>
                <w:sz w:val="21"/>
                <w:szCs w:val="21"/>
                <w:highlight w:val="none"/>
                <w:u w:val="none" w:color="auto"/>
              </w:rPr>
              <w:t>(Form.Castanea henryi)</w:t>
            </w:r>
          </w:p>
        </w:tc>
        <w:tc>
          <w:tcPr>
            <w:tcW w:w="4105" w:type="dxa"/>
            <w:gridSpan w:val="5"/>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环境特征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9" w:type="dxa"/>
            <w:vMerge w:val="continue"/>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p>
        </w:tc>
        <w:tc>
          <w:tcPr>
            <w:tcW w:w="3201" w:type="dxa"/>
            <w:gridSpan w:val="2"/>
            <w:vMerge w:val="continue"/>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p>
        </w:tc>
        <w:tc>
          <w:tcPr>
            <w:tcW w:w="825"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地形</w:t>
            </w:r>
          </w:p>
        </w:tc>
        <w:tc>
          <w:tcPr>
            <w:tcW w:w="1082" w:type="dxa"/>
            <w:gridSpan w:val="2"/>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海拔(m)</w:t>
            </w:r>
          </w:p>
        </w:tc>
        <w:tc>
          <w:tcPr>
            <w:tcW w:w="1085"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坡向</w:t>
            </w:r>
          </w:p>
        </w:tc>
        <w:tc>
          <w:tcPr>
            <w:tcW w:w="1113"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坡度(°)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9"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地点</w:t>
            </w:r>
          </w:p>
        </w:tc>
        <w:tc>
          <w:tcPr>
            <w:tcW w:w="3201" w:type="dxa"/>
            <w:gridSpan w:val="2"/>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红旗水库副坝</w:t>
            </w:r>
          </w:p>
        </w:tc>
        <w:tc>
          <w:tcPr>
            <w:tcW w:w="825"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山地</w:t>
            </w:r>
          </w:p>
        </w:tc>
        <w:tc>
          <w:tcPr>
            <w:tcW w:w="1082" w:type="dxa"/>
            <w:gridSpan w:val="2"/>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180</w:t>
            </w:r>
          </w:p>
        </w:tc>
        <w:tc>
          <w:tcPr>
            <w:tcW w:w="1085"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lang w:eastAsia="zh-CN"/>
              </w:rPr>
            </w:pPr>
            <w:r>
              <w:rPr>
                <w:rFonts w:hint="eastAsia" w:cs="Times New Roman"/>
                <w:color w:val="auto"/>
                <w:sz w:val="21"/>
                <w:szCs w:val="21"/>
                <w:highlight w:val="none"/>
                <w:u w:val="none" w:color="auto"/>
                <w:lang w:val="en-US" w:eastAsia="zh-CN"/>
              </w:rPr>
              <w:t>E</w:t>
            </w:r>
          </w:p>
        </w:tc>
        <w:tc>
          <w:tcPr>
            <w:tcW w:w="1113"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lang w:val="en-US" w:eastAsia="zh-CN"/>
              </w:rPr>
            </w:pPr>
            <w:r>
              <w:rPr>
                <w:rFonts w:hint="default" w:cs="Times New Roman"/>
                <w:color w:val="auto"/>
                <w:sz w:val="21"/>
                <w:szCs w:val="21"/>
                <w:highlight w:val="none"/>
                <w:u w:val="none" w:color="auto"/>
                <w:lang w:val="en-US" w:eastAsia="zh-CN"/>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9"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经纬度</w:t>
            </w:r>
          </w:p>
        </w:tc>
        <w:tc>
          <w:tcPr>
            <w:tcW w:w="7306" w:type="dxa"/>
            <w:gridSpan w:val="7"/>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N26.828378552°，E112.149063166°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9"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层次</w:t>
            </w:r>
          </w:p>
        </w:tc>
        <w:tc>
          <w:tcPr>
            <w:tcW w:w="7306" w:type="dxa"/>
            <w:gridSpan w:val="7"/>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三层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9"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分层</w:t>
            </w:r>
          </w:p>
        </w:tc>
        <w:tc>
          <w:tcPr>
            <w:tcW w:w="807"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层盖度</w:t>
            </w:r>
          </w:p>
        </w:tc>
        <w:tc>
          <w:tcPr>
            <w:tcW w:w="3366" w:type="dxa"/>
            <w:gridSpan w:val="3"/>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种类组成与生长状况</w:t>
            </w:r>
          </w:p>
        </w:tc>
        <w:tc>
          <w:tcPr>
            <w:tcW w:w="3133" w:type="dxa"/>
            <w:gridSpan w:val="3"/>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考察照片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9"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乔木层</w:t>
            </w:r>
          </w:p>
        </w:tc>
        <w:tc>
          <w:tcPr>
            <w:tcW w:w="807"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郁闭度0.4</w:t>
            </w:r>
          </w:p>
        </w:tc>
        <w:tc>
          <w:tcPr>
            <w:tcW w:w="3366" w:type="dxa"/>
            <w:gridSpan w:val="3"/>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层均高2m，优势种为锥栗</w:t>
            </w:r>
            <w:r>
              <w:rPr>
                <w:rFonts w:hint="default" w:cs="Times New Roman"/>
                <w:i/>
                <w:iCs/>
                <w:color w:val="auto"/>
                <w:sz w:val="21"/>
                <w:szCs w:val="21"/>
                <w:highlight w:val="none"/>
                <w:u w:val="none" w:color="auto"/>
              </w:rPr>
              <w:t>(Castanea henryi)</w:t>
            </w:r>
            <w:r>
              <w:rPr>
                <w:rFonts w:hint="default" w:cs="Times New Roman"/>
                <w:color w:val="auto"/>
                <w:sz w:val="21"/>
                <w:szCs w:val="21"/>
                <w:highlight w:val="none"/>
                <w:u w:val="none" w:color="auto"/>
              </w:rPr>
              <w:t>，高约2-2.5m，胸径3-6cm，盖度40%，主要伴生种有山乌桕</w:t>
            </w:r>
            <w:r>
              <w:rPr>
                <w:rFonts w:hint="default" w:cs="Times New Roman"/>
                <w:i/>
                <w:iCs/>
                <w:color w:val="auto"/>
                <w:sz w:val="21"/>
                <w:szCs w:val="21"/>
                <w:highlight w:val="none"/>
                <w:u w:val="none" w:color="auto"/>
              </w:rPr>
              <w:t>(Sapium discolor)</w:t>
            </w:r>
            <w:r>
              <w:rPr>
                <w:rFonts w:hint="default" w:cs="Times New Roman"/>
                <w:color w:val="auto"/>
                <w:sz w:val="21"/>
                <w:szCs w:val="21"/>
                <w:highlight w:val="none"/>
                <w:u w:val="none" w:color="auto"/>
              </w:rPr>
              <w:t>、檫木</w:t>
            </w:r>
            <w:r>
              <w:rPr>
                <w:rFonts w:hint="default" w:cs="Times New Roman"/>
                <w:i/>
                <w:iCs/>
                <w:color w:val="auto"/>
                <w:sz w:val="21"/>
                <w:szCs w:val="21"/>
                <w:highlight w:val="none"/>
                <w:u w:val="none" w:color="auto"/>
              </w:rPr>
              <w:t>(Sassafras tzumu)</w:t>
            </w:r>
            <w:r>
              <w:rPr>
                <w:rFonts w:hint="default" w:cs="Times New Roman"/>
                <w:color w:val="auto"/>
                <w:sz w:val="21"/>
                <w:szCs w:val="21"/>
                <w:highlight w:val="none"/>
                <w:u w:val="none" w:color="auto"/>
              </w:rPr>
              <w:t>等。</w:t>
            </w:r>
          </w:p>
        </w:tc>
        <w:tc>
          <w:tcPr>
            <w:tcW w:w="3133" w:type="dxa"/>
            <w:gridSpan w:val="3"/>
            <w:vMerge w:val="restart"/>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u w:val="none" w:color="auto"/>
                <w:lang w:eastAsia="zh-CN"/>
              </w:rPr>
            </w:pPr>
            <w:r>
              <w:rPr>
                <w:u w:val="none" w:color="auto"/>
              </w:rPr>
              <w:drawing>
                <wp:inline distT="0" distB="0" distL="114300" distR="114300">
                  <wp:extent cx="2052320" cy="1357630"/>
                  <wp:effectExtent l="0" t="0" r="5080" b="1397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32"/>
                          <a:stretch>
                            <a:fillRect/>
                          </a:stretch>
                        </pic:blipFill>
                        <pic:spPr>
                          <a:xfrm>
                            <a:off x="0" y="0"/>
                            <a:ext cx="2052320" cy="135763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9"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灌木层</w:t>
            </w:r>
          </w:p>
        </w:tc>
        <w:tc>
          <w:tcPr>
            <w:tcW w:w="807"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层盖度20%</w:t>
            </w:r>
          </w:p>
        </w:tc>
        <w:tc>
          <w:tcPr>
            <w:tcW w:w="3366" w:type="dxa"/>
            <w:gridSpan w:val="3"/>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层均高0.8m，优势种为火棘</w:t>
            </w:r>
            <w:r>
              <w:rPr>
                <w:rFonts w:hint="default" w:cs="Times New Roman"/>
                <w:i/>
                <w:iCs/>
                <w:color w:val="auto"/>
                <w:sz w:val="21"/>
                <w:szCs w:val="21"/>
                <w:highlight w:val="none"/>
                <w:u w:val="none" w:color="auto"/>
              </w:rPr>
              <w:t>(Pyracantha fortuneana)</w:t>
            </w:r>
            <w:r>
              <w:rPr>
                <w:rFonts w:hint="default" w:cs="Times New Roman"/>
                <w:color w:val="auto"/>
                <w:sz w:val="21"/>
                <w:szCs w:val="21"/>
                <w:highlight w:val="none"/>
                <w:u w:val="none" w:color="auto"/>
              </w:rPr>
              <w:t>，高约0.8-1m，盖度10%，主要伴生种有高粱泡</w:t>
            </w:r>
            <w:r>
              <w:rPr>
                <w:rFonts w:hint="default" w:cs="Times New Roman"/>
                <w:i/>
                <w:iCs/>
                <w:color w:val="auto"/>
                <w:sz w:val="21"/>
                <w:szCs w:val="21"/>
                <w:highlight w:val="none"/>
                <w:u w:val="none" w:color="auto"/>
              </w:rPr>
              <w:t>(Rubus lambertianus)</w:t>
            </w:r>
            <w:r>
              <w:rPr>
                <w:rFonts w:hint="default" w:cs="Times New Roman"/>
                <w:color w:val="auto"/>
                <w:sz w:val="21"/>
                <w:szCs w:val="21"/>
                <w:highlight w:val="none"/>
                <w:u w:val="none" w:color="auto"/>
              </w:rPr>
              <w:t>、细齿叶柃</w:t>
            </w:r>
            <w:r>
              <w:rPr>
                <w:rFonts w:hint="default" w:cs="Times New Roman"/>
                <w:i/>
                <w:iCs/>
                <w:color w:val="auto"/>
                <w:sz w:val="21"/>
                <w:szCs w:val="21"/>
                <w:highlight w:val="none"/>
                <w:u w:val="none" w:color="auto"/>
              </w:rPr>
              <w:t>(Eurya nitida)</w:t>
            </w:r>
            <w:r>
              <w:rPr>
                <w:rFonts w:hint="default" w:cs="Times New Roman"/>
                <w:color w:val="auto"/>
                <w:sz w:val="21"/>
                <w:szCs w:val="21"/>
                <w:highlight w:val="none"/>
                <w:u w:val="none" w:color="auto"/>
              </w:rPr>
              <w:t>、复盆子</w:t>
            </w:r>
            <w:r>
              <w:rPr>
                <w:rFonts w:hint="default" w:cs="Times New Roman"/>
                <w:i/>
                <w:iCs/>
                <w:color w:val="auto"/>
                <w:sz w:val="21"/>
                <w:szCs w:val="21"/>
                <w:highlight w:val="none"/>
                <w:u w:val="none" w:color="auto"/>
              </w:rPr>
              <w:t>(Rubus idaeus)</w:t>
            </w:r>
            <w:r>
              <w:rPr>
                <w:rFonts w:hint="default" w:cs="Times New Roman"/>
                <w:color w:val="auto"/>
                <w:sz w:val="21"/>
                <w:szCs w:val="21"/>
                <w:highlight w:val="none"/>
                <w:u w:val="none" w:color="auto"/>
              </w:rPr>
              <w:t>、盐肤木</w:t>
            </w:r>
            <w:r>
              <w:rPr>
                <w:rFonts w:hint="default" w:cs="Times New Roman"/>
                <w:i/>
                <w:iCs/>
                <w:color w:val="auto"/>
                <w:sz w:val="21"/>
                <w:szCs w:val="21"/>
                <w:highlight w:val="none"/>
                <w:u w:val="none" w:color="auto"/>
              </w:rPr>
              <w:t>(Rhus chinensis)</w:t>
            </w:r>
            <w:r>
              <w:rPr>
                <w:rFonts w:hint="default" w:cs="Times New Roman"/>
                <w:color w:val="auto"/>
                <w:sz w:val="21"/>
                <w:szCs w:val="21"/>
                <w:highlight w:val="none"/>
                <w:u w:val="none" w:color="auto"/>
              </w:rPr>
              <w:t>等。</w:t>
            </w:r>
          </w:p>
        </w:tc>
        <w:tc>
          <w:tcPr>
            <w:tcW w:w="3133" w:type="dxa"/>
            <w:gridSpan w:val="3"/>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rPr>
                <w:rFonts w:hint="default" w:ascii="Times New Roman" w:hAnsi="Times New Roman" w:eastAsia="宋体" w:cs="Times New Roman"/>
                <w:color w:val="auto"/>
                <w:sz w:val="21"/>
                <w:szCs w:val="21"/>
                <w:highlight w:val="none"/>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29"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草本层</w:t>
            </w:r>
          </w:p>
        </w:tc>
        <w:tc>
          <w:tcPr>
            <w:tcW w:w="807" w:type="dxa"/>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层盖度15%</w:t>
            </w:r>
          </w:p>
        </w:tc>
        <w:tc>
          <w:tcPr>
            <w:tcW w:w="3366" w:type="dxa"/>
            <w:gridSpan w:val="3"/>
            <w:tcBorders>
              <w:tl2br w:val="nil"/>
              <w:tr2bl w:val="nil"/>
            </w:tcBorders>
            <w:noWrap w:val="0"/>
            <w:vAlign w:val="center"/>
          </w:tcPr>
          <w:p>
            <w:pPr>
              <w:pStyle w:val="159"/>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s="Times New Roman"/>
                <w:color w:val="auto"/>
                <w:sz w:val="21"/>
                <w:szCs w:val="21"/>
                <w:highlight w:val="none"/>
                <w:u w:val="none" w:color="auto"/>
              </w:rPr>
            </w:pPr>
            <w:r>
              <w:rPr>
                <w:rFonts w:hint="default" w:cs="Times New Roman"/>
                <w:color w:val="auto"/>
                <w:sz w:val="21"/>
                <w:szCs w:val="21"/>
                <w:highlight w:val="none"/>
                <w:u w:val="none" w:color="auto"/>
              </w:rPr>
              <w:t>层均高0.8m，优势种为芒</w:t>
            </w:r>
            <w:r>
              <w:rPr>
                <w:rFonts w:hint="default" w:cs="Times New Roman"/>
                <w:i/>
                <w:iCs/>
                <w:color w:val="auto"/>
                <w:sz w:val="21"/>
                <w:szCs w:val="21"/>
                <w:highlight w:val="none"/>
                <w:u w:val="none" w:color="auto"/>
              </w:rPr>
              <w:t>(Miscanthus sinensis)</w:t>
            </w:r>
            <w:r>
              <w:rPr>
                <w:rFonts w:hint="default" w:cs="Times New Roman"/>
                <w:color w:val="auto"/>
                <w:sz w:val="21"/>
                <w:szCs w:val="21"/>
                <w:highlight w:val="none"/>
                <w:u w:val="none" w:color="auto"/>
              </w:rPr>
              <w:t>，高约0.5m，盖度10%，主要伴生种有地榆</w:t>
            </w:r>
            <w:r>
              <w:rPr>
                <w:rFonts w:hint="default" w:cs="Times New Roman"/>
                <w:i/>
                <w:iCs/>
                <w:color w:val="auto"/>
                <w:sz w:val="21"/>
                <w:szCs w:val="21"/>
                <w:highlight w:val="none"/>
                <w:u w:val="none" w:color="auto"/>
              </w:rPr>
              <w:t>(Sanguisorbaofficinalis)</w:t>
            </w:r>
            <w:r>
              <w:rPr>
                <w:rFonts w:hint="default" w:cs="Times New Roman"/>
                <w:color w:val="auto"/>
                <w:sz w:val="21"/>
                <w:szCs w:val="21"/>
                <w:highlight w:val="none"/>
                <w:u w:val="none" w:color="auto"/>
              </w:rPr>
              <w:t>、三脉紫菀</w:t>
            </w:r>
            <w:r>
              <w:rPr>
                <w:rFonts w:hint="default" w:cs="Times New Roman"/>
                <w:i/>
                <w:iCs/>
                <w:color w:val="auto"/>
                <w:sz w:val="21"/>
                <w:szCs w:val="21"/>
                <w:highlight w:val="none"/>
                <w:u w:val="none" w:color="auto"/>
              </w:rPr>
              <w:t>(Aster ageratoides)</w:t>
            </w:r>
            <w:r>
              <w:rPr>
                <w:rFonts w:hint="default" w:cs="Times New Roman"/>
                <w:color w:val="auto"/>
                <w:sz w:val="21"/>
                <w:szCs w:val="21"/>
                <w:highlight w:val="none"/>
                <w:u w:val="none" w:color="auto"/>
              </w:rPr>
              <w:t>、千里光</w:t>
            </w:r>
            <w:r>
              <w:rPr>
                <w:rFonts w:hint="default" w:cs="Times New Roman"/>
                <w:i/>
                <w:iCs/>
                <w:color w:val="auto"/>
                <w:sz w:val="21"/>
                <w:szCs w:val="21"/>
                <w:highlight w:val="none"/>
                <w:u w:val="none" w:color="auto"/>
              </w:rPr>
              <w:t>(Senecio scandens)</w:t>
            </w:r>
            <w:r>
              <w:rPr>
                <w:rFonts w:hint="default" w:cs="Times New Roman"/>
                <w:color w:val="auto"/>
                <w:sz w:val="21"/>
                <w:szCs w:val="21"/>
                <w:highlight w:val="none"/>
                <w:u w:val="none" w:color="auto"/>
              </w:rPr>
              <w:t>等。</w:t>
            </w:r>
          </w:p>
        </w:tc>
        <w:tc>
          <w:tcPr>
            <w:tcW w:w="3133" w:type="dxa"/>
            <w:gridSpan w:val="3"/>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rPr>
                <w:rFonts w:hint="default" w:ascii="Times New Roman" w:hAnsi="Times New Roman" w:eastAsia="宋体" w:cs="Times New Roman"/>
                <w:color w:val="auto"/>
                <w:sz w:val="21"/>
                <w:szCs w:val="21"/>
                <w:highlight w:val="none"/>
                <w:u w:val="none" w:color="auto"/>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val="0"/>
          <w:sz w:val="24"/>
          <w:szCs w:val="24"/>
          <w:u w:val="none" w:color="auto"/>
          <w:lang w:val="en-US" w:eastAsia="zh-CN"/>
        </w:rPr>
      </w:pPr>
      <w:r>
        <w:rPr>
          <w:rFonts w:hint="eastAsia" w:ascii="Times New Roman" w:hAnsi="Times New Roman" w:eastAsia="宋体" w:cs="Times New Roman"/>
          <w:b/>
          <w:bCs w:val="0"/>
          <w:sz w:val="24"/>
          <w:szCs w:val="24"/>
          <w:u w:val="none" w:color="auto"/>
          <w:lang w:val="en-US" w:eastAsia="zh-CN"/>
        </w:rPr>
        <w:t>3)檫木林(Form.sassafrases)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檫木常生于疏林或密林中，檫树喜温暖湿润、雨量充沛，年平均温度为12-20℃，造林地一般在海拔800米以下，向阳山坡。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檫木林乔木层郁闭度0.4，层均高2.5m，优势种为檫木(sassafrases)，高约1.5-2m，胸径4cm，盖度30%，主要伴生种有女贞(Ligustrum lucidum)、楤木(Aralia chinensis)、锥栗(Castanea henryi)等。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灌木层盖度25%，层均高1.5m，优势种为小果蔷薇(Rosa cymosa)，高约1m，盖度15%，主要伴生种有马银花(Rhododendron ovatum )、山胡椒(Lindera glauca)、油茶(Camellia oleifera)、格药柃(Eurya muricata)等。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草本层盖度15%，层均高0.5m，优势种为狗脊(Woodwardiajaponica)，高约0.2-0.3m，盖度10%，主要伴生种有糯米团(Abelia chinensis)、香薷(Elsholtziaciliata)、黄花蒿(Artemisia annua )、芒(Miscanthus sinensis)等。</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val="0"/>
          <w:sz w:val="24"/>
          <w:szCs w:val="24"/>
          <w:u w:val="none" w:color="auto"/>
          <w:lang w:val="en-US" w:eastAsia="zh-CN"/>
        </w:rPr>
      </w:pPr>
      <w:r>
        <w:rPr>
          <w:rFonts w:hint="eastAsia" w:ascii="Times New Roman" w:hAnsi="Times New Roman" w:eastAsia="宋体" w:cs="Times New Roman"/>
          <w:b/>
          <w:bCs w:val="0"/>
          <w:sz w:val="24"/>
          <w:szCs w:val="24"/>
          <w:u w:val="none" w:color="auto"/>
          <w:lang w:val="en-US" w:eastAsia="zh-CN"/>
        </w:rPr>
        <w:t>(三)竹林</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val="0"/>
          <w:sz w:val="24"/>
          <w:szCs w:val="24"/>
          <w:u w:val="none" w:color="auto"/>
          <w:lang w:val="en-US" w:eastAsia="zh-CN"/>
        </w:rPr>
      </w:pPr>
      <w:r>
        <w:rPr>
          <w:rFonts w:hint="eastAsia" w:ascii="Times New Roman" w:hAnsi="Times New Roman" w:eastAsia="宋体" w:cs="Times New Roman"/>
          <w:b/>
          <w:bCs w:val="0"/>
          <w:sz w:val="24"/>
          <w:szCs w:val="24"/>
          <w:u w:val="none" w:color="auto"/>
          <w:lang w:val="en-US" w:eastAsia="zh-CN"/>
        </w:rPr>
        <w:t>4)毛竹林(Form.Phyllostachys heterocycla cv. Pubescens)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毛竹为单轴散生的竹类植物，是中国栽培悠久、面积最广、经济价值也是最重要的竹种。毛竹林在评价区分布广泛。</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毛竹林乔木层郁闭度0.6，层均高8m，优势种为毛竹(Phyllostachysheterocyclacv.Pubescens)，高约7-10m，秆径3-6cm，盖度50%，主要伴生种有化香树(Platycarya strobilacea)、马尾松(Pinus massoniana)等。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灌木层盖度25%，层均高0.8m，优势种为牡荆(Vitexnegundovar.cannabifolia)，高约0.7-1m，盖度15%，主要伴生种有复盆子(Rubus idaeus)、檵木(Loropetalum chinense)、山鸡椒(Litsea cubeba)、苎麻(Boehmeria nivea)等。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草本层盖度20%，层均高0.5m，优势种为蕨(Pteridiumaquilinumvar.latiusculum )，高约0.3-0.5m，盖度15%，主要伴生种有千里光(Senecio scandens)、香薷(Elsholtziaciliata)、糯米团(Abeliachinensis)等。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灌丛和灌草丛</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灌丛和灌草丛是评价区内最为常见的植被类型之一。在低山区，其形成多为当地森林植被破坏后产生的；在山脊区，其形成多为环境条件恶劣而产生的。</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val="0"/>
          <w:sz w:val="24"/>
          <w:szCs w:val="24"/>
          <w:u w:val="none" w:color="auto"/>
          <w:lang w:val="en-US" w:eastAsia="zh-CN"/>
        </w:rPr>
      </w:pPr>
      <w:r>
        <w:rPr>
          <w:rFonts w:hint="eastAsia" w:ascii="Times New Roman" w:hAnsi="Times New Roman" w:eastAsia="宋体" w:cs="Times New Roman"/>
          <w:b/>
          <w:bCs w:val="0"/>
          <w:sz w:val="24"/>
          <w:szCs w:val="24"/>
          <w:u w:val="none" w:color="auto"/>
          <w:lang w:val="en-US" w:eastAsia="zh-CN"/>
        </w:rPr>
        <w:t>(四)灌丛</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val="0"/>
          <w:sz w:val="24"/>
          <w:szCs w:val="24"/>
          <w:u w:val="none" w:color="auto"/>
          <w:lang w:val="en-US" w:eastAsia="zh-CN"/>
        </w:rPr>
      </w:pPr>
      <w:r>
        <w:rPr>
          <w:rFonts w:hint="eastAsia" w:ascii="Times New Roman" w:hAnsi="Times New Roman" w:eastAsia="宋体" w:cs="Times New Roman"/>
          <w:b/>
          <w:bCs w:val="0"/>
          <w:sz w:val="24"/>
          <w:szCs w:val="24"/>
          <w:u w:val="none" w:color="auto"/>
          <w:lang w:val="en-US" w:eastAsia="zh-CN"/>
        </w:rPr>
        <w:t>5)檵木灌丛(Form.Loropetalum chinense)</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檵木多生于山野及丘陵灌丛中，喜阳，有较强的耐阴性。檵木灌丛在评价区分布广泛，常见于林下及林缘处。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灌木层盖度35%，层均高2m，优势种为檵木(Loropetalum chinense)，高约2-2.5m，盖度35%，主要伴生种有马银花(Rhododendron ovatum)、短柄枹栎(Quercusserratavar.brevipetiolata)、胡颓子(Elaeagnus pungens)、杜鹃(Rhododendron simsii)等。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草本层盖度30%，层均高0.8m，优势种为三脉紫菀(Aster ageratoides)，高约0.5m，盖度20%，主要伴生种有兰香草(Caryopteris incana)、乌毛蕨(Blechnumorientale)、芒萁(Dicranopteris dichotoma)等。</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val="0"/>
          <w:sz w:val="24"/>
          <w:szCs w:val="24"/>
          <w:u w:val="none" w:color="auto"/>
          <w:lang w:val="en-US" w:eastAsia="zh-CN"/>
        </w:rPr>
      </w:pPr>
      <w:r>
        <w:rPr>
          <w:rFonts w:hint="eastAsia" w:ascii="Times New Roman" w:hAnsi="Times New Roman" w:eastAsia="宋体" w:cs="Times New Roman"/>
          <w:b/>
          <w:bCs w:val="0"/>
          <w:sz w:val="24"/>
          <w:szCs w:val="24"/>
          <w:u w:val="none" w:color="auto"/>
          <w:lang w:val="en-US" w:eastAsia="zh-CN"/>
        </w:rPr>
        <w:t>6)金樱子灌丛(Form.Rosalaevigata)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金樱子喜生于向阳的山野、田边、溪畔灌木丛中，海拔200-1600m。金樱子灌丛多见于小路两边。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灌木层盖度25%，层均高1.5m，优势种为金樱子(Rosa laevigata)，高约1-2m，盖度20%，主要伴生种有檵木(Loropetalum chinense)、油茶(Camellia oleifera)、山油麻(Trema cannabina var. dielsiana)、算盘子(Glochidion puberum )等。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草本层盖度30%，层均高0.5m，优势种为香薷(Elsholtzia ciliata )，高约0.3-0.5m，盖度30%，主要伴生种有狗牙根(Cynodon dactylon)、芒萁(Dicranopteris dichotoma)、地榆(Sanguisorba oficinalis)等。</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val="0"/>
          <w:sz w:val="24"/>
          <w:szCs w:val="24"/>
          <w:u w:val="none" w:color="auto"/>
          <w:lang w:val="en-US" w:eastAsia="zh-CN"/>
        </w:rPr>
      </w:pPr>
      <w:r>
        <w:rPr>
          <w:rFonts w:hint="eastAsia" w:ascii="Times New Roman" w:hAnsi="Times New Roman" w:eastAsia="宋体" w:cs="Times New Roman"/>
          <w:b/>
          <w:bCs w:val="0"/>
          <w:sz w:val="24"/>
          <w:szCs w:val="24"/>
          <w:u w:val="none" w:color="auto"/>
          <w:lang w:val="en-US" w:eastAsia="zh-CN"/>
        </w:rPr>
        <w:t>(五)灌草丛</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val="0"/>
          <w:sz w:val="24"/>
          <w:szCs w:val="24"/>
          <w:u w:val="none" w:color="auto"/>
          <w:lang w:val="en-US" w:eastAsia="zh-CN"/>
        </w:rPr>
      </w:pPr>
      <w:r>
        <w:rPr>
          <w:rFonts w:hint="eastAsia" w:ascii="Times New Roman" w:hAnsi="Times New Roman" w:eastAsia="宋体" w:cs="Times New Roman"/>
          <w:b/>
          <w:bCs w:val="0"/>
          <w:sz w:val="24"/>
          <w:szCs w:val="24"/>
          <w:u w:val="none" w:color="auto"/>
          <w:lang w:val="en-US" w:eastAsia="zh-CN"/>
        </w:rPr>
        <w:t>7)芒萁灌草丛(Form.Dicranopteris dichotoma)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芒萁适应能力强，生强酸性土的荒坡或林缘，在森林砍伐后或放荒后的坡地上常成优势的中草群落。芒萁灌草丛在评价区分布广泛，常见于林下及边坡处。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草本层盖度25%，层均高0.4m，优势种为芒萁(Dicranopteris dichotoma)，高约0.2-0.4m，盖度25%，主要伴生种有乌蕨(Stenoloma chusanum)、地榆(Sanguisorba oficinalis)、海金沙(Lygodium japonicum)、酢浆草(Oxalis corniculata)等。</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val="0"/>
          <w:sz w:val="24"/>
          <w:szCs w:val="24"/>
          <w:u w:val="none" w:color="auto"/>
          <w:lang w:val="en-US" w:eastAsia="zh-CN"/>
        </w:rPr>
      </w:pPr>
      <w:r>
        <w:rPr>
          <w:rFonts w:hint="eastAsia" w:ascii="Times New Roman" w:hAnsi="Times New Roman" w:eastAsia="宋体" w:cs="Times New Roman"/>
          <w:b/>
          <w:bCs w:val="0"/>
          <w:sz w:val="24"/>
          <w:szCs w:val="24"/>
          <w:u w:val="none" w:color="auto"/>
          <w:lang w:val="en-US" w:eastAsia="zh-CN"/>
        </w:rPr>
        <w:t>8) 芒灌草丛(Form.Miscanthus sinensis)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芒适应能力强，繁殖能力强，是评价区面积最广的灌草丛。芒灌草丛在评价区分布广泛，在升压站处分布较多。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草本层盖度30%，层均高0.5m，优势种为芒(Miscanthus sinensis)，高约0.5-0.7m，盖度25%，主要伴生种有兰香草(Caryopteris incana)、蕨(Pteridium aquilinumvar.latiusculum)、糯米团(Abeliachinensis)等。</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val="0"/>
          <w:sz w:val="24"/>
          <w:szCs w:val="24"/>
          <w:u w:val="none" w:color="auto"/>
          <w:lang w:val="en-US" w:eastAsia="zh-CN"/>
        </w:rPr>
      </w:pPr>
      <w:r>
        <w:rPr>
          <w:rFonts w:hint="eastAsia" w:ascii="宋体" w:hAnsi="宋体" w:eastAsia="宋体" w:cs="宋体"/>
          <w:b/>
          <w:bCs w:val="0"/>
          <w:sz w:val="24"/>
          <w:szCs w:val="24"/>
          <w:u w:val="none" w:color="auto"/>
          <w:lang w:val="en-US" w:eastAsia="zh-CN"/>
        </w:rPr>
        <w:t>②植被分布特征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本工程衡阳市祁东县内，衡阳市地区属中亚热带季风湿润气候区，光照充足，水雨丰沛，温暖湿润，冬暖夏凉。年内风速以春冬季相对较大，夏秋季相对较小。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评价区属低山丘陵地貌，评价区海拔高度150-200m，高差较小，人为活动较频繁。在海拔150m左右区域，水分充足，人为活动频繁，该区域植被多以竹林、灌丛和落叶阔叶林为主，常见的群系有毛竹林、水竹林、檵木灌丛、山茶灌丛、金樱子灌丛、枫香树林等；在海拔200m以上区域，水分相对缺乏，风速度大，植被多以灌草丛及落叶阔叶林为主，常见的群系有芒灌草丛、锥栗林、檫木林等。</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sz w:val="24"/>
          <w:szCs w:val="24"/>
          <w:u w:val="none" w:color="auto"/>
          <w:lang w:val="en-US" w:eastAsia="zh-CN"/>
        </w:rPr>
      </w:pPr>
      <w:r>
        <w:rPr>
          <w:rFonts w:hint="eastAsia" w:ascii="宋体" w:hAnsi="宋体" w:eastAsia="宋体" w:cs="宋体"/>
          <w:b/>
          <w:bCs w:val="0"/>
          <w:sz w:val="24"/>
          <w:szCs w:val="24"/>
          <w:u w:val="none" w:color="auto"/>
          <w:lang w:val="en-US" w:eastAsia="zh-CN"/>
        </w:rPr>
        <w:t>③</w:t>
      </w:r>
      <w:r>
        <w:rPr>
          <w:rFonts w:hint="eastAsia" w:ascii="Times New Roman" w:hAnsi="Times New Roman" w:eastAsia="宋体" w:cs="Times New Roman"/>
          <w:b/>
          <w:bCs w:val="0"/>
          <w:sz w:val="24"/>
          <w:szCs w:val="24"/>
          <w:u w:val="none" w:color="auto"/>
          <w:lang w:val="en-US" w:eastAsia="zh-CN"/>
        </w:rPr>
        <w:t>外来物种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根据《中国外来入侵物种名单》(第一批，2003年)、《中国外来入侵物种名单》(第二批，2010年)、《中国外来入侵物种名单》(第三批，2014年)、《中国自然生态系统外来入侵物种名单》(第四批，2016年)，参考本工程所在行政区内关于外来入侵植物的相关资料，通过现场实地调查，在评价区发现有小蓬草、一年蓬等外来入侵种分布，其多零星分布，危害程度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sz w:val="24"/>
          <w:szCs w:val="24"/>
          <w:u w:val="none" w:color="auto"/>
          <w:lang w:val="en-US" w:eastAsia="zh-CN"/>
        </w:rPr>
      </w:pPr>
      <w:r>
        <w:rPr>
          <w:rFonts w:hint="eastAsia" w:ascii="Times New Roman" w:hAnsi="Times New Roman" w:eastAsia="宋体" w:cs="Times New Roman"/>
          <w:b/>
          <w:bCs w:val="0"/>
          <w:sz w:val="24"/>
          <w:szCs w:val="24"/>
          <w:u w:val="none" w:color="auto"/>
          <w:lang w:val="en-US" w:eastAsia="zh-CN"/>
        </w:rPr>
        <w:t>4、陆生动物资源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根据《中国动物地理》(张荣祖，科学出版社，2011)，我国动物地理区划分属于世界动物地理分区的古北界与东洋界。两界在我国境内的分界线西起横断山脉北部，经过川北的岷山与陕南的秦岭，向东至淮河南岸，直抵长江口以北。我国动物区系根据陆栖脊椎动物，特别是哺乳类和鸟类的分布情况，分为东北区、 华北区、蒙新区、青藏区、西南区、华中区及华南区7个区。其中前4个区属于古北界；后3个区属于东洋界。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本工程评价区位于湖南省衡阳市祁东县，动物地理区划属于东洋界—华中区—东部丘陵平原亚区—江南丘陵省—亚热带林灌农田动物群(VIA3)。</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val="0"/>
          <w:sz w:val="24"/>
          <w:szCs w:val="24"/>
          <w:u w:val="none" w:color="auto"/>
          <w:lang w:val="en-US" w:eastAsia="zh-CN"/>
        </w:rPr>
      </w:pPr>
      <w:r>
        <w:rPr>
          <w:rFonts w:hint="eastAsia" w:ascii="宋体" w:hAnsi="宋体" w:eastAsia="宋体" w:cs="宋体"/>
          <w:b/>
          <w:bCs w:val="0"/>
          <w:sz w:val="24"/>
          <w:szCs w:val="24"/>
          <w:u w:val="none" w:color="auto"/>
          <w:lang w:val="en-US" w:eastAsia="zh-CN"/>
        </w:rPr>
        <w:t>①物种组成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根据此次实地调查和查阅相关资料，该区有陆生脊椎动物187种，计25目，75科。其中国家Ⅱ级保护动物9种，无Ⅰ级物种分布；155种被列入“国家保护的有益的或者有重要经济、科学研究价值的陆生野生动物”(“三有”动物)；16个物种属国际贸易公约附录物种。186物种中属东洋界、古北界、广布种物种的分别为97种、21种、59种。</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表</w:t>
      </w:r>
      <w:r>
        <w:rPr>
          <w:rFonts w:hint="default" w:ascii="Times New Roman" w:hAnsi="Times New Roman" w:cs="Times New Roman"/>
          <w:b/>
          <w:bCs/>
          <w:color w:val="auto"/>
          <w:kern w:val="2"/>
          <w:sz w:val="21"/>
          <w:szCs w:val="21"/>
          <w:highlight w:val="none"/>
          <w:u w:val="none" w:color="auto"/>
          <w:lang w:val="en-US" w:eastAsia="zh-CN" w:bidi="ar-SA"/>
        </w:rPr>
        <w:t>5.2-17</w:t>
      </w:r>
      <w:r>
        <w:rPr>
          <w:rFonts w:hint="default" w:ascii="Times New Roman" w:hAnsi="Times New Roman" w:eastAsia="宋体" w:cs="Times New Roman"/>
          <w:b/>
          <w:bCs/>
          <w:color w:val="auto"/>
          <w:kern w:val="2"/>
          <w:sz w:val="21"/>
          <w:szCs w:val="21"/>
          <w:highlight w:val="none"/>
          <w:u w:val="none" w:color="auto"/>
          <w:lang w:val="en-US" w:eastAsia="zh-CN" w:bidi="ar-SA"/>
        </w:rPr>
        <w:t xml:space="preserve"> 评价区陆生脊椎动物种类组成、区系和保护等级</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461"/>
        <w:gridCol w:w="556"/>
        <w:gridCol w:w="588"/>
        <w:gridCol w:w="919"/>
        <w:gridCol w:w="978"/>
        <w:gridCol w:w="928"/>
        <w:gridCol w:w="526"/>
        <w:gridCol w:w="563"/>
        <w:gridCol w:w="1377"/>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36" w:type="dxa"/>
            <w:gridSpan w:val="4"/>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color w:val="000000"/>
                <w:sz w:val="21"/>
                <w:szCs w:val="21"/>
                <w:highlight w:val="none"/>
                <w:u w:val="none" w:color="auto"/>
              </w:rPr>
              <w:t>分类地位</w:t>
            </w:r>
          </w:p>
        </w:tc>
        <w:tc>
          <w:tcPr>
            <w:tcW w:w="2668" w:type="dxa"/>
            <w:gridSpan w:val="3"/>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color w:val="000000"/>
                <w:sz w:val="21"/>
                <w:szCs w:val="21"/>
                <w:highlight w:val="none"/>
                <w:u w:val="none" w:color="auto"/>
              </w:rPr>
              <w:t>动物区系</w:t>
            </w:r>
          </w:p>
        </w:tc>
        <w:tc>
          <w:tcPr>
            <w:tcW w:w="3418" w:type="dxa"/>
            <w:gridSpan w:val="4"/>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color w:val="000000"/>
                <w:sz w:val="21"/>
                <w:szCs w:val="21"/>
                <w:highlight w:val="none"/>
                <w:u w:val="none" w:color="auto"/>
              </w:rPr>
              <w:t>保护动物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1"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color w:val="000000"/>
                <w:sz w:val="21"/>
                <w:szCs w:val="21"/>
                <w:highlight w:val="none"/>
                <w:u w:val="none" w:color="auto"/>
              </w:rPr>
              <w:t>纲</w:t>
            </w:r>
          </w:p>
        </w:tc>
        <w:tc>
          <w:tcPr>
            <w:tcW w:w="435"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color w:val="000000"/>
                <w:sz w:val="21"/>
                <w:szCs w:val="21"/>
                <w:highlight w:val="none"/>
                <w:u w:val="none" w:color="auto"/>
              </w:rPr>
              <w:t>目</w:t>
            </w:r>
          </w:p>
        </w:tc>
        <w:tc>
          <w:tcPr>
            <w:tcW w:w="525"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color w:val="000000"/>
                <w:sz w:val="21"/>
                <w:szCs w:val="21"/>
                <w:highlight w:val="none"/>
                <w:u w:val="none" w:color="auto"/>
              </w:rPr>
              <w:t>科</w:t>
            </w:r>
          </w:p>
        </w:tc>
        <w:tc>
          <w:tcPr>
            <w:tcW w:w="555"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color w:val="000000"/>
                <w:sz w:val="21"/>
                <w:szCs w:val="21"/>
                <w:highlight w:val="none"/>
                <w:u w:val="none" w:color="auto"/>
              </w:rPr>
              <w:t>种</w:t>
            </w:r>
          </w:p>
        </w:tc>
        <w:tc>
          <w:tcPr>
            <w:tcW w:w="868"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color w:val="000000"/>
                <w:sz w:val="21"/>
                <w:szCs w:val="21"/>
                <w:highlight w:val="none"/>
                <w:u w:val="none" w:color="auto"/>
              </w:rPr>
              <w:t>东洋界</w:t>
            </w:r>
          </w:p>
        </w:tc>
        <w:tc>
          <w:tcPr>
            <w:tcW w:w="923"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color w:val="000000"/>
                <w:sz w:val="21"/>
                <w:szCs w:val="21"/>
                <w:highlight w:val="none"/>
                <w:u w:val="none" w:color="auto"/>
              </w:rPr>
              <w:t>古北界</w:t>
            </w:r>
          </w:p>
        </w:tc>
        <w:tc>
          <w:tcPr>
            <w:tcW w:w="877"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color w:val="000000"/>
                <w:sz w:val="21"/>
                <w:szCs w:val="21"/>
                <w:highlight w:val="none"/>
                <w:u w:val="none" w:color="auto"/>
              </w:rPr>
              <w:t>广布种</w:t>
            </w:r>
          </w:p>
        </w:tc>
        <w:tc>
          <w:tcPr>
            <w:tcW w:w="496"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color w:val="000000"/>
                <w:sz w:val="21"/>
                <w:szCs w:val="21"/>
                <w:highlight w:val="none"/>
                <w:u w:val="none" w:color="auto"/>
              </w:rPr>
              <w:t>I</w:t>
            </w:r>
          </w:p>
        </w:tc>
        <w:tc>
          <w:tcPr>
            <w:tcW w:w="531"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color w:val="000000"/>
                <w:sz w:val="21"/>
                <w:szCs w:val="21"/>
                <w:highlight w:val="none"/>
                <w:u w:val="none" w:color="auto"/>
              </w:rPr>
              <w:t>II</w:t>
            </w:r>
          </w:p>
        </w:tc>
        <w:tc>
          <w:tcPr>
            <w:tcW w:w="1300"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color w:val="000000"/>
                <w:sz w:val="21"/>
                <w:szCs w:val="21"/>
                <w:highlight w:val="none"/>
                <w:u w:val="none" w:color="auto"/>
              </w:rPr>
              <w:t>“三有动物”</w:t>
            </w:r>
          </w:p>
        </w:tc>
        <w:tc>
          <w:tcPr>
            <w:tcW w:w="1091"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color w:val="000000"/>
                <w:sz w:val="21"/>
                <w:szCs w:val="21"/>
                <w:highlight w:val="none"/>
                <w:u w:val="none" w:color="auto"/>
              </w:rPr>
              <w:t>贸易公约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1"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color w:val="000000"/>
                <w:sz w:val="21"/>
                <w:szCs w:val="21"/>
                <w:highlight w:val="none"/>
                <w:u w:val="none" w:color="auto"/>
              </w:rPr>
              <w:t>两栖纲</w:t>
            </w:r>
          </w:p>
        </w:tc>
        <w:tc>
          <w:tcPr>
            <w:tcW w:w="435"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2</w:t>
            </w:r>
          </w:p>
        </w:tc>
        <w:tc>
          <w:tcPr>
            <w:tcW w:w="525"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7</w:t>
            </w:r>
          </w:p>
        </w:tc>
        <w:tc>
          <w:tcPr>
            <w:tcW w:w="555"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21</w:t>
            </w:r>
          </w:p>
        </w:tc>
        <w:tc>
          <w:tcPr>
            <w:tcW w:w="868"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18</w:t>
            </w:r>
          </w:p>
        </w:tc>
        <w:tc>
          <w:tcPr>
            <w:tcW w:w="923"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w:t>
            </w:r>
          </w:p>
        </w:tc>
        <w:tc>
          <w:tcPr>
            <w:tcW w:w="877"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3</w:t>
            </w:r>
          </w:p>
        </w:tc>
        <w:tc>
          <w:tcPr>
            <w:tcW w:w="496"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w:t>
            </w:r>
          </w:p>
        </w:tc>
        <w:tc>
          <w:tcPr>
            <w:tcW w:w="531"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1</w:t>
            </w:r>
          </w:p>
        </w:tc>
        <w:tc>
          <w:tcPr>
            <w:tcW w:w="1300"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20</w:t>
            </w:r>
          </w:p>
        </w:tc>
        <w:tc>
          <w:tcPr>
            <w:tcW w:w="1091"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1"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color w:val="000000"/>
                <w:sz w:val="21"/>
                <w:szCs w:val="21"/>
                <w:highlight w:val="none"/>
                <w:u w:val="none" w:color="auto"/>
              </w:rPr>
              <w:t>爬行纲</w:t>
            </w:r>
          </w:p>
        </w:tc>
        <w:tc>
          <w:tcPr>
            <w:tcW w:w="435"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3</w:t>
            </w:r>
          </w:p>
        </w:tc>
        <w:tc>
          <w:tcPr>
            <w:tcW w:w="525"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10</w:t>
            </w:r>
          </w:p>
        </w:tc>
        <w:tc>
          <w:tcPr>
            <w:tcW w:w="555"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23</w:t>
            </w:r>
          </w:p>
        </w:tc>
        <w:tc>
          <w:tcPr>
            <w:tcW w:w="868"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15</w:t>
            </w:r>
          </w:p>
        </w:tc>
        <w:tc>
          <w:tcPr>
            <w:tcW w:w="923"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6</w:t>
            </w:r>
          </w:p>
        </w:tc>
        <w:tc>
          <w:tcPr>
            <w:tcW w:w="877"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2</w:t>
            </w:r>
          </w:p>
        </w:tc>
        <w:tc>
          <w:tcPr>
            <w:tcW w:w="496"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w:t>
            </w:r>
          </w:p>
        </w:tc>
        <w:tc>
          <w:tcPr>
            <w:tcW w:w="531"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w:t>
            </w:r>
          </w:p>
        </w:tc>
        <w:tc>
          <w:tcPr>
            <w:tcW w:w="1300"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23</w:t>
            </w:r>
          </w:p>
        </w:tc>
        <w:tc>
          <w:tcPr>
            <w:tcW w:w="1091"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1"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color w:val="000000"/>
                <w:sz w:val="21"/>
                <w:szCs w:val="21"/>
                <w:highlight w:val="none"/>
                <w:u w:val="none" w:color="auto"/>
              </w:rPr>
              <w:t>鸟纲</w:t>
            </w:r>
          </w:p>
        </w:tc>
        <w:tc>
          <w:tcPr>
            <w:tcW w:w="435"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14</w:t>
            </w:r>
          </w:p>
        </w:tc>
        <w:tc>
          <w:tcPr>
            <w:tcW w:w="525"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43</w:t>
            </w:r>
          </w:p>
        </w:tc>
        <w:tc>
          <w:tcPr>
            <w:tcW w:w="555"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108</w:t>
            </w:r>
          </w:p>
        </w:tc>
        <w:tc>
          <w:tcPr>
            <w:tcW w:w="868"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48</w:t>
            </w:r>
          </w:p>
        </w:tc>
        <w:tc>
          <w:tcPr>
            <w:tcW w:w="923"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13</w:t>
            </w:r>
          </w:p>
        </w:tc>
        <w:tc>
          <w:tcPr>
            <w:tcW w:w="877"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47</w:t>
            </w:r>
          </w:p>
        </w:tc>
        <w:tc>
          <w:tcPr>
            <w:tcW w:w="496"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w:t>
            </w:r>
          </w:p>
        </w:tc>
        <w:tc>
          <w:tcPr>
            <w:tcW w:w="531"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highlight w:val="none"/>
                <w:u w:val="none" w:color="auto"/>
                <w:lang w:eastAsia="zh-CN"/>
              </w:rPr>
            </w:pPr>
            <w:r>
              <w:rPr>
                <w:rFonts w:hint="default" w:ascii="Times New Roman" w:hAnsi="Times New Roman" w:cs="Times New Roman"/>
                <w:bCs/>
                <w:color w:val="000000"/>
                <w:sz w:val="21"/>
                <w:szCs w:val="21"/>
                <w:highlight w:val="none"/>
                <w:u w:val="none" w:color="auto"/>
                <w:lang w:val="en-US" w:eastAsia="zh-CN"/>
              </w:rPr>
              <w:t>8</w:t>
            </w:r>
          </w:p>
        </w:tc>
        <w:tc>
          <w:tcPr>
            <w:tcW w:w="1300"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97</w:t>
            </w:r>
          </w:p>
        </w:tc>
        <w:tc>
          <w:tcPr>
            <w:tcW w:w="1091"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1"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color w:val="000000"/>
                <w:sz w:val="21"/>
                <w:szCs w:val="21"/>
                <w:highlight w:val="none"/>
                <w:u w:val="none" w:color="auto"/>
              </w:rPr>
              <w:t>哺乳纲</w:t>
            </w:r>
          </w:p>
        </w:tc>
        <w:tc>
          <w:tcPr>
            <w:tcW w:w="435"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6</w:t>
            </w:r>
          </w:p>
        </w:tc>
        <w:tc>
          <w:tcPr>
            <w:tcW w:w="525"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15</w:t>
            </w:r>
          </w:p>
        </w:tc>
        <w:tc>
          <w:tcPr>
            <w:tcW w:w="555"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25</w:t>
            </w:r>
          </w:p>
        </w:tc>
        <w:tc>
          <w:tcPr>
            <w:tcW w:w="868"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16</w:t>
            </w:r>
          </w:p>
        </w:tc>
        <w:tc>
          <w:tcPr>
            <w:tcW w:w="923"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2</w:t>
            </w:r>
          </w:p>
        </w:tc>
        <w:tc>
          <w:tcPr>
            <w:tcW w:w="877"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7</w:t>
            </w:r>
          </w:p>
        </w:tc>
        <w:tc>
          <w:tcPr>
            <w:tcW w:w="496"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w:t>
            </w:r>
          </w:p>
        </w:tc>
        <w:tc>
          <w:tcPr>
            <w:tcW w:w="531"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highlight w:val="none"/>
                <w:u w:val="none" w:color="auto"/>
                <w:lang w:eastAsia="zh-CN"/>
              </w:rPr>
            </w:pPr>
            <w:r>
              <w:rPr>
                <w:rFonts w:hint="default" w:ascii="Times New Roman" w:hAnsi="Times New Roman" w:cs="Times New Roman"/>
                <w:bCs/>
                <w:color w:val="000000"/>
                <w:sz w:val="21"/>
                <w:szCs w:val="21"/>
                <w:highlight w:val="none"/>
                <w:u w:val="none" w:color="auto"/>
                <w:lang w:val="en-US" w:eastAsia="zh-CN"/>
              </w:rPr>
              <w:t>0</w:t>
            </w:r>
          </w:p>
        </w:tc>
        <w:tc>
          <w:tcPr>
            <w:tcW w:w="1300"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15</w:t>
            </w:r>
          </w:p>
        </w:tc>
        <w:tc>
          <w:tcPr>
            <w:tcW w:w="1091"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1"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color w:val="000000"/>
                <w:sz w:val="21"/>
                <w:szCs w:val="21"/>
                <w:highlight w:val="none"/>
                <w:u w:val="none" w:color="auto"/>
              </w:rPr>
              <w:t>合计</w:t>
            </w:r>
          </w:p>
        </w:tc>
        <w:tc>
          <w:tcPr>
            <w:tcW w:w="435"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25</w:t>
            </w:r>
          </w:p>
        </w:tc>
        <w:tc>
          <w:tcPr>
            <w:tcW w:w="525"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75</w:t>
            </w:r>
          </w:p>
        </w:tc>
        <w:tc>
          <w:tcPr>
            <w:tcW w:w="555"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187</w:t>
            </w:r>
          </w:p>
        </w:tc>
        <w:tc>
          <w:tcPr>
            <w:tcW w:w="868"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97</w:t>
            </w:r>
          </w:p>
        </w:tc>
        <w:tc>
          <w:tcPr>
            <w:tcW w:w="923"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21</w:t>
            </w:r>
          </w:p>
        </w:tc>
        <w:tc>
          <w:tcPr>
            <w:tcW w:w="877"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59</w:t>
            </w:r>
          </w:p>
        </w:tc>
        <w:tc>
          <w:tcPr>
            <w:tcW w:w="496"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w:t>
            </w:r>
          </w:p>
        </w:tc>
        <w:tc>
          <w:tcPr>
            <w:tcW w:w="531"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highlight w:val="none"/>
                <w:u w:val="none" w:color="auto"/>
                <w:lang w:eastAsia="zh-CN"/>
              </w:rPr>
            </w:pPr>
            <w:r>
              <w:rPr>
                <w:rFonts w:hint="default" w:ascii="Times New Roman" w:hAnsi="Times New Roman" w:cs="Times New Roman"/>
                <w:bCs/>
                <w:color w:val="000000"/>
                <w:sz w:val="21"/>
                <w:szCs w:val="21"/>
                <w:highlight w:val="none"/>
                <w:u w:val="none" w:color="auto"/>
                <w:lang w:val="en-US" w:eastAsia="zh-CN"/>
              </w:rPr>
              <w:t>9</w:t>
            </w:r>
          </w:p>
        </w:tc>
        <w:tc>
          <w:tcPr>
            <w:tcW w:w="1300"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156</w:t>
            </w:r>
          </w:p>
        </w:tc>
        <w:tc>
          <w:tcPr>
            <w:tcW w:w="1091"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z w:val="21"/>
                <w:szCs w:val="21"/>
                <w:highlight w:val="none"/>
                <w:u w:val="none" w:color="auto"/>
              </w:rPr>
            </w:pPr>
            <w:r>
              <w:rPr>
                <w:rFonts w:hint="default" w:ascii="Times New Roman" w:hAnsi="Times New Roman" w:cs="Times New Roman"/>
                <w:bCs/>
                <w:color w:val="000000"/>
                <w:sz w:val="21"/>
                <w:szCs w:val="21"/>
                <w:highlight w:val="none"/>
                <w:u w:val="none" w:color="auto"/>
              </w:rPr>
              <w:t>16</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sz w:val="24"/>
          <w:szCs w:val="24"/>
          <w:u w:val="none" w:color="auto"/>
          <w:lang w:val="en-US" w:eastAsia="zh-CN"/>
        </w:rPr>
      </w:pPr>
      <w:r>
        <w:rPr>
          <w:rFonts w:hint="eastAsia" w:ascii="宋体" w:hAnsi="宋体" w:eastAsia="宋体" w:cs="宋体"/>
          <w:b/>
          <w:bCs w:val="0"/>
          <w:sz w:val="24"/>
          <w:szCs w:val="24"/>
          <w:u w:val="none" w:color="auto"/>
          <w:lang w:val="en-US" w:eastAsia="zh-CN"/>
        </w:rPr>
        <w:t>②</w:t>
      </w:r>
      <w:r>
        <w:rPr>
          <w:rFonts w:hint="eastAsia" w:ascii="Times New Roman" w:hAnsi="Times New Roman" w:eastAsia="宋体" w:cs="Times New Roman"/>
          <w:b/>
          <w:bCs w:val="0"/>
          <w:sz w:val="24"/>
          <w:szCs w:val="24"/>
          <w:u w:val="none" w:color="auto"/>
          <w:lang w:val="en-US" w:eastAsia="zh-CN"/>
        </w:rPr>
        <w:t>两栖类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主要通过访问调查法和查阅已发表的评价区及其附近的相关文献资料，得出评价区内两栖动物21种，隶属2目6科，占整个湖南省已发现的53种两栖动物的39.62%，其物种多样性比较丰富。国家Ⅱ级保护动物有虎纹蛙(Hoplobatrachus rugulosus)，其余20个物种均为“国家保护的有益的或者有重要经济、科学研究价值的陆生野生动物”。</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sz w:val="24"/>
          <w:szCs w:val="24"/>
          <w:u w:val="none" w:color="auto"/>
          <w:lang w:val="en-US" w:eastAsia="zh-CN"/>
        </w:rPr>
      </w:pPr>
      <w:r>
        <w:rPr>
          <w:rFonts w:hint="eastAsia" w:ascii="宋体" w:hAnsi="宋体" w:eastAsia="宋体" w:cs="宋体"/>
          <w:b/>
          <w:bCs w:val="0"/>
          <w:sz w:val="24"/>
          <w:szCs w:val="24"/>
          <w:u w:val="none" w:color="auto"/>
          <w:lang w:val="en-US" w:eastAsia="zh-CN"/>
        </w:rPr>
        <w:t>③</w:t>
      </w:r>
      <w:r>
        <w:rPr>
          <w:rFonts w:hint="eastAsia" w:ascii="Times New Roman" w:hAnsi="Times New Roman" w:eastAsia="宋体" w:cs="Times New Roman"/>
          <w:b/>
          <w:bCs w:val="0"/>
          <w:sz w:val="24"/>
          <w:szCs w:val="24"/>
          <w:u w:val="none" w:color="auto"/>
          <w:lang w:val="en-US" w:eastAsia="zh-CN"/>
        </w:rPr>
        <w:t>爬行类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主要通过访问调查法和查阅已发表的评价区及其附近相关的文献资料，得出评价区爬行动物23种，占湖南省86种的26.74%。隶属3目8科。其中龟鳖目2科2种；蜥蜴目3科5种；蛇目5科14种，游蛇科9种、眼镜蛇科2种、蝮科3种，其中以游蛇科9种和蝮科4种居多，表明其蛇类资源丰富，所有种均属国家公布的“三有”动物名录。列入红皮书的有滑鼠蛇(Ptyasmucosus)、王锦蛇(Elaphe bimaculata)、尖吻蝮(Deinagkistriodon acutus)等11种；列入贸易公约的有附录Ⅱ的有滑鼠蛇、舟山眼镜蛇(Najaatra atra)2种，附录Ⅲ的有乌龟(Chinemysyeevesii)1种。剧毒蛇有舟山眼镜蛇、银环蛇(Bungarus multicinctus)、尖吻蝮等，而虎斑游蛇(Natrix tigrina)等后沟牙蛇类也能造成蛇伤，但不会危及人的生命。</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sz w:val="24"/>
          <w:szCs w:val="24"/>
          <w:u w:val="none" w:color="auto"/>
          <w:lang w:val="en-US" w:eastAsia="zh-CN"/>
        </w:rPr>
      </w:pPr>
      <w:r>
        <w:rPr>
          <w:rFonts w:hint="eastAsia" w:ascii="宋体" w:hAnsi="宋体" w:eastAsia="宋体" w:cs="宋体"/>
          <w:b/>
          <w:bCs w:val="0"/>
          <w:sz w:val="24"/>
          <w:szCs w:val="24"/>
          <w:u w:val="none" w:color="auto"/>
          <w:lang w:val="en-US" w:eastAsia="zh-CN"/>
        </w:rPr>
        <w:t>④</w:t>
      </w:r>
      <w:r>
        <w:rPr>
          <w:rFonts w:hint="eastAsia" w:ascii="Times New Roman" w:hAnsi="Times New Roman" w:eastAsia="宋体" w:cs="Times New Roman"/>
          <w:b/>
          <w:bCs w:val="0"/>
          <w:sz w:val="24"/>
          <w:szCs w:val="24"/>
          <w:u w:val="none" w:color="auto"/>
          <w:lang w:val="en-US" w:eastAsia="zh-CN"/>
        </w:rPr>
        <w:t>鸟类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1）物种组成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根据查阅有关文献，共记录到鸟类108种，占湖南省鸟类448种的24.11%隶属14目43科。其中鸊鷉目1科1种、鹳形目1科8种、隼形目2科5种、鸡形目1科3种、鹤形目2科4种、鸻形目3科4种、鸽形目1科2种、鹃形目1科4种、鸮形目2科5种、夜鹰目1科1种、雨燕目1科1种、佛法僧目4科7种、鴷形目2科5种、雀形目22科48种。国家Ⅱ级保护动物有黑鸢(Milvus migrans lineatus)、褐翅鸦鹃(Centropus sinensis)、草鸮(Tytcapensis)、燕隼(Falcosubbouteo streichi)、普通鵟(Buteo buteo)、白尾鹞(Circus cyaneus)、画眉(Garru-lax canirus)、凤头麦鸡(Vanellus vanellus)8种。国家“三有”动物97种。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2）区系特点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本区动物区系组成不仅具有华中动物区系的固有种类，而且还明显的反映出南北种类混杂的特征。多以留鸟和夏候鸟的性质向本区渗透。就鸟类区系来看，东洋界48种占，44.44%；广布种47种，占43.52%；古北界有普通鵟(Buteo buteo)、雉鸡(Phasianus colhicus)等13种。表明评价区地处东洋界腹地，东洋界种类占较大优势，同时因环境变化，鸟类扩散能力极强，渗透趋势显明。从二级区划来看，具有一定数量的华中区系固有种，如灰胸竹鸡(Bambusicola thoracica)、白头鹎(Pycnonotus sinensis)、棕颈钩嘴鹛(Pomatorhinus ruficollis)、画眉(Garru-lax canirus)等。由此可见官家嘴风电场鸟类区系组成成分比较复杂，过渡性不典型，但东洋界特征明显。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3）居留型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本次调查中记录鸟类以留鸟居多，计60种，55.56%；夏候鸟27种，23.32%；这两种成分(87种)为繁殖鸟，构成了调查区的主体。冬候鸟18种，占15.31%；旅鸟有黄胸鹀(Emberizaaureola)、戴胜(Upupa epops)、黄脚三趾鹑(Turnix tanki)3种。评价区属丘陵地区，海拔落差不大，但植被垂直分布特征不典型，不完整；乔木、草灌丛交错分布，乔木植被又以人工林占主导成分且人为干扰频繁。尽管生境类型丰富，但大面积水域不多且水位波动较大，山体和低地的溪流流量小，人为扰动因素多，不适宜中大型水鸟越冬，故本区的鸟类群落结构组成以林栖型鸟类和旷野、村落的鸟类为主体。因而适应灌丛的种类较丰富，不仅中小型的画眉科、鹎科、鸫科、雀科等种类多、数量大，而且中大型的鸦科、雉科也常见，有时甚至集群活动。</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sz w:val="24"/>
          <w:szCs w:val="24"/>
          <w:u w:val="none" w:color="auto"/>
          <w:lang w:val="en-US" w:eastAsia="zh-CN"/>
        </w:rPr>
      </w:pPr>
      <w:r>
        <w:rPr>
          <w:rFonts w:hint="eastAsia" w:ascii="宋体" w:hAnsi="宋体" w:eastAsia="宋体" w:cs="宋体"/>
          <w:b/>
          <w:bCs w:val="0"/>
          <w:sz w:val="24"/>
          <w:szCs w:val="24"/>
          <w:u w:val="none" w:color="auto"/>
          <w:lang w:val="en-US" w:eastAsia="zh-CN"/>
        </w:rPr>
        <w:t>⑤</w:t>
      </w:r>
      <w:r>
        <w:rPr>
          <w:rFonts w:hint="eastAsia" w:ascii="Times New Roman" w:hAnsi="Times New Roman" w:eastAsia="宋体" w:cs="Times New Roman"/>
          <w:b/>
          <w:bCs w:val="0"/>
          <w:sz w:val="24"/>
          <w:szCs w:val="24"/>
          <w:u w:val="none" w:color="auto"/>
          <w:lang w:val="en-US" w:eastAsia="zh-CN"/>
        </w:rPr>
        <w:t>哺乳类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主要通过访问调查法和参考评价区附近的相关文献，对评价区内哺乳类种类、数量及分布现状进行了调查，得出如下结论：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评价区内哺乳动物25种，隶属6目15科；占湖南省104种哺乳动物的24.04%。其中食虫目3科3种；翼手目2科2种；兔形目1科1种；啮齿目5科10种；食肉目2科7种；偶蹄目2科2种。列入《中国濒危动物红皮书》的有水鼩鼱(Neomys fodiens)1种。国家“三有”动物有刺猬(Erinaceus europoeus)、华南兔(Lepus sinensis)等15种。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sz w:val="24"/>
          <w:szCs w:val="24"/>
          <w:u w:val="none" w:color="auto"/>
          <w:lang w:val="en-US" w:eastAsia="zh-CN"/>
        </w:rPr>
      </w:pPr>
      <w:r>
        <w:rPr>
          <w:rFonts w:hint="eastAsia" w:ascii="宋体" w:hAnsi="宋体" w:eastAsia="宋体" w:cs="宋体"/>
          <w:b/>
          <w:bCs w:val="0"/>
          <w:sz w:val="24"/>
          <w:szCs w:val="24"/>
          <w:u w:val="none" w:color="auto"/>
          <w:lang w:val="en-US" w:eastAsia="zh-CN"/>
        </w:rPr>
        <w:t>⑥</w:t>
      </w:r>
      <w:r>
        <w:rPr>
          <w:rFonts w:hint="eastAsia" w:ascii="Times New Roman" w:hAnsi="Times New Roman" w:eastAsia="宋体" w:cs="Times New Roman"/>
          <w:b/>
          <w:bCs w:val="0"/>
          <w:sz w:val="24"/>
          <w:szCs w:val="24"/>
          <w:u w:val="none" w:color="auto"/>
          <w:lang w:val="en-US" w:eastAsia="zh-CN"/>
        </w:rPr>
        <w:t>重点保护野生动物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评价区范围内陆生脊椎动物中，未记录到国家Ⅰ级重点保护野生动物分布，共记录国家Ⅱ级重点保护野生动物9种：虎纹娃、黑鸢、褐翅鸦鹃、草鸮、燕隼、普通鵟、白尾鹞、画眉、凤头麦鸡。</w:t>
      </w:r>
    </w:p>
    <w:p>
      <w:pPr>
        <w:pStyle w:val="979"/>
        <w:bidi w:val="0"/>
        <w:jc w:val="center"/>
        <w:rPr>
          <w:rFonts w:hint="default" w:ascii="Times New Roman" w:hAnsi="Times New Roman" w:cs="Times New Roman"/>
          <w:highlight w:val="none"/>
          <w:u w:val="none" w:color="auto"/>
          <w:lang w:val="en-US" w:eastAsia="zh-CN"/>
        </w:rPr>
      </w:pPr>
      <w:r>
        <w:rPr>
          <w:rFonts w:hint="default" w:ascii="Times New Roman" w:hAnsi="Times New Roman" w:cs="Times New Roman"/>
          <w:highlight w:val="none"/>
          <w:u w:val="none" w:color="auto"/>
        </w:rPr>
        <w:t>表</w:t>
      </w:r>
      <w:r>
        <w:rPr>
          <w:rFonts w:hint="eastAsia" w:cs="Times New Roman"/>
          <w:highlight w:val="none"/>
          <w:u w:val="none" w:color="auto"/>
          <w:lang w:val="en-US" w:eastAsia="zh-CN"/>
        </w:rPr>
        <w:t>4.5</w:t>
      </w:r>
      <w:r>
        <w:rPr>
          <w:rFonts w:hint="eastAsia" w:ascii="Times New Roman" w:hAnsi="Times New Roman" w:cs="Times New Roman"/>
          <w:highlight w:val="none"/>
          <w:u w:val="none" w:color="auto"/>
          <w:lang w:val="en-US" w:eastAsia="zh-CN"/>
        </w:rPr>
        <w:t>-18</w:t>
      </w:r>
      <w:r>
        <w:rPr>
          <w:rFonts w:hint="default" w:ascii="Times New Roman" w:hAnsi="Times New Roman" w:cs="Times New Roman"/>
          <w:highlight w:val="none"/>
          <w:u w:val="none" w:color="auto"/>
          <w:lang w:val="en-US" w:eastAsia="zh-CN"/>
        </w:rPr>
        <w:t xml:space="preserve"> </w:t>
      </w:r>
      <w:r>
        <w:rPr>
          <w:rFonts w:hint="default" w:ascii="Times New Roman" w:hAnsi="Times New Roman" w:cs="Times New Roman"/>
          <w:highlight w:val="none"/>
          <w:u w:val="none" w:color="auto"/>
        </w:rPr>
        <w:t xml:space="preserve"> 评价区国家重点保护动物名录</w:t>
      </w:r>
    </w:p>
    <w:tbl>
      <w:tblPr>
        <w:tblStyle w:val="122"/>
        <w:tblW w:w="507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3"/>
        <w:gridCol w:w="3576"/>
        <w:gridCol w:w="973"/>
        <w:gridCol w:w="975"/>
        <w:gridCol w:w="7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9"/>
                <w:sz w:val="21"/>
                <w:szCs w:val="21"/>
                <w:highlight w:val="none"/>
                <w:u w:val="none" w:color="auto"/>
              </w:rPr>
              <w:t>中</w:t>
            </w:r>
            <w:r>
              <w:rPr>
                <w:rFonts w:hint="default" w:ascii="Times New Roman" w:hAnsi="Times New Roman" w:eastAsia="宋体" w:cs="Times New Roman"/>
                <w:color w:val="auto"/>
                <w:spacing w:val="6"/>
                <w:sz w:val="21"/>
                <w:szCs w:val="21"/>
                <w:highlight w:val="none"/>
                <w:u w:val="none" w:color="auto"/>
              </w:rPr>
              <w:t>文名、拉丁名</w:t>
            </w:r>
          </w:p>
        </w:tc>
        <w:tc>
          <w:tcPr>
            <w:tcW w:w="33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5"/>
                <w:sz w:val="21"/>
                <w:szCs w:val="21"/>
                <w:highlight w:val="none"/>
                <w:u w:val="none" w:color="auto"/>
              </w:rPr>
              <w:t>分</w:t>
            </w:r>
            <w:r>
              <w:rPr>
                <w:rFonts w:hint="default" w:ascii="Times New Roman" w:hAnsi="Times New Roman" w:eastAsia="宋体" w:cs="Times New Roman"/>
                <w:color w:val="auto"/>
                <w:spacing w:val="4"/>
                <w:sz w:val="21"/>
                <w:szCs w:val="21"/>
                <w:highlight w:val="none"/>
                <w:u w:val="none" w:color="auto"/>
              </w:rPr>
              <w:t>布</w:t>
            </w:r>
          </w:p>
        </w:tc>
        <w:tc>
          <w:tcPr>
            <w:tcW w:w="9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7"/>
                <w:sz w:val="21"/>
                <w:szCs w:val="21"/>
                <w:highlight w:val="none"/>
                <w:u w:val="none" w:color="auto"/>
              </w:rPr>
              <w:t>居留型</w:t>
            </w:r>
            <w:r>
              <w:rPr>
                <w:rFonts w:hint="default" w:ascii="Times New Roman" w:hAnsi="Times New Roman" w:eastAsia="宋体" w:cs="Times New Roman"/>
                <w:b/>
                <w:bCs/>
                <w:color w:val="auto"/>
                <w:spacing w:val="5"/>
                <w:sz w:val="21"/>
                <w:szCs w:val="21"/>
                <w:highlight w:val="none"/>
                <w:u w:val="none" w:color="auto"/>
              </w:rPr>
              <w:t>(</w:t>
            </w:r>
            <w:r>
              <w:rPr>
                <w:rFonts w:hint="default" w:ascii="Times New Roman" w:hAnsi="Times New Roman" w:eastAsia="宋体" w:cs="Times New Roman"/>
                <w:color w:val="auto"/>
                <w:spacing w:val="5"/>
                <w:sz w:val="21"/>
                <w:szCs w:val="21"/>
                <w:highlight w:val="none"/>
                <w:u w:val="none" w:color="auto"/>
              </w:rPr>
              <w:t>鸟类</w:t>
            </w:r>
            <w:r>
              <w:rPr>
                <w:rFonts w:hint="default" w:ascii="Times New Roman" w:hAnsi="Times New Roman" w:eastAsia="宋体" w:cs="Times New Roman"/>
                <w:b/>
                <w:bCs/>
                <w:color w:val="auto"/>
                <w:spacing w:val="5"/>
                <w:sz w:val="21"/>
                <w:szCs w:val="21"/>
                <w:highlight w:val="none"/>
                <w:u w:val="none" w:color="auto"/>
              </w:rPr>
              <w:t>)</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2"/>
                <w:sz w:val="21"/>
                <w:szCs w:val="21"/>
                <w:highlight w:val="none"/>
                <w:u w:val="none" w:color="auto"/>
              </w:rPr>
              <w:t>区系</w:t>
            </w:r>
          </w:p>
        </w:tc>
        <w:tc>
          <w:tcPr>
            <w:tcW w:w="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6"/>
                <w:sz w:val="21"/>
                <w:szCs w:val="21"/>
                <w:highlight w:val="none"/>
                <w:u w:val="none" w:color="auto"/>
              </w:rPr>
              <w:t>保</w:t>
            </w:r>
            <w:r>
              <w:rPr>
                <w:rFonts w:hint="default" w:ascii="Times New Roman" w:hAnsi="Times New Roman" w:eastAsia="宋体" w:cs="Times New Roman"/>
                <w:color w:val="auto"/>
                <w:spacing w:val="5"/>
                <w:sz w:val="21"/>
                <w:szCs w:val="21"/>
                <w:highlight w:val="none"/>
                <w:u w:val="none" w:color="auto"/>
              </w:rPr>
              <w:t>护等级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6"/>
                <w:sz w:val="21"/>
                <w:szCs w:val="21"/>
                <w:highlight w:val="none"/>
                <w:u w:val="none" w:color="auto"/>
              </w:rPr>
              <w:t>1</w:t>
            </w:r>
            <w:r>
              <w:rPr>
                <w:rFonts w:hint="default" w:ascii="Times New Roman" w:hAnsi="Times New Roman" w:eastAsia="宋体" w:cs="Times New Roman"/>
                <w:color w:val="auto"/>
                <w:spacing w:val="-5"/>
                <w:sz w:val="21"/>
                <w:szCs w:val="21"/>
                <w:highlight w:val="none"/>
                <w:u w:val="none" w:color="auto"/>
              </w:rPr>
              <w:t>.</w:t>
            </w:r>
            <w:r>
              <w:rPr>
                <w:rFonts w:hint="default" w:ascii="Times New Roman" w:hAnsi="Times New Roman" w:eastAsia="宋体" w:cs="Times New Roman"/>
                <w:color w:val="auto"/>
                <w:spacing w:val="-3"/>
                <w:sz w:val="21"/>
                <w:szCs w:val="21"/>
                <w:highlight w:val="none"/>
                <w:u w:val="none" w:color="auto"/>
              </w:rPr>
              <w:t>虎纹蛙</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iCs/>
                <w:color w:val="auto"/>
                <w:position w:val="4"/>
                <w:sz w:val="21"/>
                <w:szCs w:val="21"/>
                <w:highlight w:val="none"/>
                <w:u w:val="none" w:color="auto"/>
              </w:rPr>
              <w:t>Hoplobatrachus</w:t>
            </w:r>
            <w:r>
              <w:rPr>
                <w:rFonts w:hint="default" w:ascii="Times New Roman" w:hAnsi="Times New Roman" w:eastAsia="宋体" w:cs="Times New Roman"/>
                <w:color w:val="auto"/>
                <w:spacing w:val="108"/>
                <w:position w:val="4"/>
                <w:sz w:val="21"/>
                <w:szCs w:val="21"/>
                <w:highlight w:val="none"/>
                <w:u w:val="none" w:color="auto"/>
              </w:rPr>
              <w:t xml:space="preserve"> </w:t>
            </w:r>
            <w:r>
              <w:rPr>
                <w:rFonts w:hint="default" w:ascii="Times New Roman" w:hAnsi="Times New Roman" w:eastAsia="宋体" w:cs="Times New Roman"/>
                <w:i/>
                <w:iCs/>
                <w:color w:val="auto"/>
                <w:position w:val="4"/>
                <w:sz w:val="21"/>
                <w:szCs w:val="21"/>
                <w:highlight w:val="none"/>
                <w:u w:val="none" w:color="auto"/>
              </w:rPr>
              <w:t>chinensis</w:t>
            </w:r>
          </w:p>
        </w:tc>
        <w:tc>
          <w:tcPr>
            <w:tcW w:w="33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9"/>
                <w:sz w:val="21"/>
                <w:szCs w:val="21"/>
                <w:highlight w:val="none"/>
                <w:u w:val="none" w:color="auto"/>
              </w:rPr>
              <w:t>主</w:t>
            </w:r>
            <w:r>
              <w:rPr>
                <w:rFonts w:hint="default" w:ascii="Times New Roman" w:hAnsi="Times New Roman" w:eastAsia="宋体" w:cs="Times New Roman"/>
                <w:color w:val="auto"/>
                <w:spacing w:val="5"/>
                <w:sz w:val="21"/>
                <w:szCs w:val="21"/>
                <w:highlight w:val="none"/>
                <w:u w:val="none" w:color="auto"/>
              </w:rPr>
              <w:t>要分布在山脚空旷地，水田，水坑等处。</w:t>
            </w:r>
          </w:p>
        </w:tc>
        <w:tc>
          <w:tcPr>
            <w:tcW w:w="9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12"/>
                <w:position w:val="-1"/>
                <w:sz w:val="21"/>
                <w:szCs w:val="21"/>
                <w:highlight w:val="none"/>
                <w:u w:val="none" w:color="auto"/>
              </w:rPr>
              <w:t>—</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5"/>
                <w:sz w:val="21"/>
                <w:szCs w:val="21"/>
                <w:highlight w:val="none"/>
                <w:u w:val="none" w:color="auto"/>
              </w:rPr>
              <w:t>东</w:t>
            </w:r>
            <w:r>
              <w:rPr>
                <w:rFonts w:hint="default" w:ascii="Times New Roman" w:hAnsi="Times New Roman" w:eastAsia="宋体" w:cs="Times New Roman"/>
                <w:color w:val="auto"/>
                <w:spacing w:val="4"/>
                <w:sz w:val="21"/>
                <w:szCs w:val="21"/>
                <w:highlight w:val="none"/>
                <w:u w:val="none" w:color="auto"/>
              </w:rPr>
              <w:t>洋种</w:t>
            </w:r>
          </w:p>
        </w:tc>
        <w:tc>
          <w:tcPr>
            <w:tcW w:w="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6"/>
                <w:sz w:val="21"/>
                <w:szCs w:val="21"/>
                <w:highlight w:val="none"/>
                <w:u w:val="none" w:color="auto"/>
              </w:rPr>
              <w:t>国</w:t>
            </w:r>
            <w:r>
              <w:rPr>
                <w:rFonts w:hint="default" w:ascii="Times New Roman" w:hAnsi="Times New Roman" w:eastAsia="宋体" w:cs="Times New Roman"/>
                <w:color w:val="auto"/>
                <w:spacing w:val="-5"/>
                <w:sz w:val="21"/>
                <w:szCs w:val="21"/>
                <w:highlight w:val="none"/>
                <w:u w:val="none" w:color="auto"/>
              </w:rPr>
              <w:t>家</w:t>
            </w:r>
            <w:r>
              <w:rPr>
                <w:rFonts w:hint="default" w:ascii="Times New Roman" w:hAnsi="Times New Roman" w:eastAsia="宋体" w:cs="Times New Roman"/>
                <w:color w:val="auto"/>
                <w:spacing w:val="-14"/>
                <w:sz w:val="21"/>
                <w:szCs w:val="21"/>
                <w:highlight w:val="none"/>
                <w:u w:val="none" w:color="auto"/>
              </w:rPr>
              <w:t>Ⅱ</w:t>
            </w:r>
            <w:r>
              <w:rPr>
                <w:rFonts w:hint="default" w:ascii="Times New Roman" w:hAnsi="Times New Roman" w:eastAsia="宋体" w:cs="Times New Roman"/>
                <w:color w:val="auto"/>
                <w:spacing w:val="-13"/>
                <w:sz w:val="21"/>
                <w:szCs w:val="21"/>
                <w:highlight w:val="none"/>
                <w:u w:val="none" w:color="auto"/>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8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center"/>
              <w:textAlignment w:val="auto"/>
              <w:rPr>
                <w:rFonts w:hint="default" w:ascii="Times New Roman" w:hAnsi="Times New Roman" w:eastAsia="宋体" w:cs="Times New Roman"/>
                <w:color w:val="auto"/>
                <w:spacing w:val="-6"/>
                <w:sz w:val="21"/>
                <w:szCs w:val="21"/>
                <w:highlight w:val="none"/>
                <w:u w:val="none" w:color="auto"/>
                <w:lang w:val="en-US" w:eastAsia="zh-CN"/>
              </w:rPr>
            </w:pPr>
            <w:r>
              <w:rPr>
                <w:rFonts w:hint="default" w:ascii="Times New Roman" w:hAnsi="Times New Roman" w:cs="Times New Roman"/>
                <w:color w:val="auto"/>
                <w:spacing w:val="-6"/>
                <w:sz w:val="21"/>
                <w:szCs w:val="21"/>
                <w:highlight w:val="none"/>
                <w:u w:val="none" w:color="auto"/>
                <w:lang w:val="en-US" w:eastAsia="zh-CN"/>
              </w:rPr>
              <w:t>2.</w:t>
            </w:r>
            <w:r>
              <w:rPr>
                <w:rFonts w:hint="default" w:ascii="Times New Roman" w:hAnsi="Times New Roman" w:eastAsia="宋体" w:cs="Times New Roman"/>
                <w:color w:val="auto"/>
                <w:spacing w:val="-6"/>
                <w:sz w:val="21"/>
                <w:szCs w:val="21"/>
                <w:highlight w:val="none"/>
                <w:u w:val="none" w:color="auto"/>
                <w:lang w:val="en-US" w:eastAsia="zh-CN"/>
              </w:rPr>
              <w:t>黑鸢</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center"/>
              <w:textAlignment w:val="auto"/>
              <w:rPr>
                <w:rFonts w:hint="default" w:ascii="Times New Roman" w:hAnsi="Times New Roman" w:eastAsia="宋体" w:cs="Times New Roman"/>
                <w:i/>
                <w:iCs/>
                <w:color w:val="auto"/>
                <w:position w:val="4"/>
                <w:sz w:val="21"/>
                <w:szCs w:val="21"/>
                <w:highlight w:val="none"/>
                <w:u w:val="none" w:color="auto"/>
                <w:lang w:val="en-US" w:eastAsia="zh-CN"/>
              </w:rPr>
            </w:pPr>
            <w:r>
              <w:rPr>
                <w:rFonts w:hint="default" w:ascii="Times New Roman" w:hAnsi="Times New Roman" w:eastAsia="宋体" w:cs="Times New Roman"/>
                <w:i/>
                <w:iCs/>
                <w:color w:val="auto"/>
                <w:spacing w:val="-6"/>
                <w:sz w:val="21"/>
                <w:szCs w:val="21"/>
                <w:highlight w:val="none"/>
                <w:u w:val="none" w:color="auto"/>
                <w:lang w:val="en-US" w:eastAsia="zh-CN"/>
              </w:rPr>
              <w:t>Milvus migrans lineatus</w:t>
            </w:r>
          </w:p>
        </w:tc>
        <w:tc>
          <w:tcPr>
            <w:tcW w:w="33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9"/>
                <w:sz w:val="21"/>
                <w:szCs w:val="21"/>
                <w:highlight w:val="none"/>
                <w:u w:val="none" w:color="auto"/>
              </w:rPr>
            </w:pPr>
            <w:r>
              <w:rPr>
                <w:rFonts w:hint="default" w:ascii="Times New Roman" w:hAnsi="Times New Roman" w:eastAsia="宋体" w:cs="Times New Roman"/>
                <w:color w:val="auto"/>
                <w:spacing w:val="9"/>
                <w:sz w:val="21"/>
                <w:szCs w:val="21"/>
                <w:highlight w:val="none"/>
                <w:u w:val="none" w:color="auto"/>
              </w:rPr>
              <w:t>栖息于开阔草地和低山丘陵地带，也常在村屯、田野、上空活动。</w:t>
            </w:r>
          </w:p>
        </w:tc>
        <w:tc>
          <w:tcPr>
            <w:tcW w:w="9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2"/>
                <w:position w:val="-1"/>
                <w:sz w:val="21"/>
                <w:szCs w:val="21"/>
                <w:highlight w:val="none"/>
                <w:u w:val="none" w:color="auto"/>
                <w:lang w:eastAsia="zh-CN"/>
              </w:rPr>
            </w:pPr>
            <w:r>
              <w:rPr>
                <w:rFonts w:hint="default" w:ascii="Times New Roman" w:hAnsi="Times New Roman" w:cs="Times New Roman"/>
                <w:color w:val="auto"/>
                <w:spacing w:val="12"/>
                <w:position w:val="-1"/>
                <w:sz w:val="21"/>
                <w:szCs w:val="21"/>
                <w:highlight w:val="none"/>
                <w:u w:val="none" w:color="auto"/>
                <w:lang w:eastAsia="zh-CN"/>
              </w:rPr>
              <w:t>留鸟</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7"/>
                <w:sz w:val="21"/>
                <w:szCs w:val="21"/>
                <w:highlight w:val="none"/>
                <w:u w:val="none" w:color="auto"/>
              </w:rPr>
              <w:t>广布</w:t>
            </w:r>
            <w:r>
              <w:rPr>
                <w:rFonts w:hint="default" w:ascii="Times New Roman" w:hAnsi="Times New Roman" w:eastAsia="宋体" w:cs="Times New Roman"/>
                <w:color w:val="auto"/>
                <w:spacing w:val="6"/>
                <w:sz w:val="21"/>
                <w:szCs w:val="21"/>
                <w:highlight w:val="none"/>
                <w:u w:val="none" w:color="auto"/>
              </w:rPr>
              <w:t>种</w:t>
            </w:r>
          </w:p>
        </w:tc>
        <w:tc>
          <w:tcPr>
            <w:tcW w:w="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6"/>
                <w:sz w:val="21"/>
                <w:szCs w:val="21"/>
                <w:highlight w:val="none"/>
                <w:u w:val="none" w:color="auto"/>
              </w:rPr>
              <w:t>国</w:t>
            </w:r>
            <w:r>
              <w:rPr>
                <w:rFonts w:hint="default" w:ascii="Times New Roman" w:hAnsi="Times New Roman" w:eastAsia="宋体" w:cs="Times New Roman"/>
                <w:color w:val="auto"/>
                <w:spacing w:val="-5"/>
                <w:sz w:val="21"/>
                <w:szCs w:val="21"/>
                <w:highlight w:val="none"/>
                <w:u w:val="none" w:color="auto"/>
              </w:rPr>
              <w:t>家</w:t>
            </w:r>
            <w:r>
              <w:rPr>
                <w:rFonts w:hint="default" w:ascii="Times New Roman" w:hAnsi="Times New Roman" w:eastAsia="宋体" w:cs="Times New Roman"/>
                <w:color w:val="auto"/>
                <w:spacing w:val="-14"/>
                <w:sz w:val="21"/>
                <w:szCs w:val="21"/>
                <w:highlight w:val="none"/>
                <w:u w:val="none" w:color="auto"/>
              </w:rPr>
              <w:t>Ⅱ</w:t>
            </w:r>
            <w:r>
              <w:rPr>
                <w:rFonts w:hint="default" w:ascii="Times New Roman" w:hAnsi="Times New Roman" w:eastAsia="宋体" w:cs="Times New Roman"/>
                <w:color w:val="auto"/>
                <w:spacing w:val="-13"/>
                <w:sz w:val="21"/>
                <w:szCs w:val="21"/>
                <w:highlight w:val="none"/>
                <w:u w:val="none" w:color="auto"/>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80" w:type="dxa"/>
            <w:tcBorders>
              <w:tl2br w:val="nil"/>
              <w:tr2bl w:val="nil"/>
            </w:tcBorders>
            <w:noWrap w:val="0"/>
            <w:vAlign w:val="center"/>
          </w:tcPr>
          <w:p>
            <w:pPr>
              <w:pStyle w:val="159"/>
              <w:bidi w:val="0"/>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3.褐翅鸦鹃</w:t>
            </w:r>
          </w:p>
          <w:p>
            <w:pPr>
              <w:pStyle w:val="159"/>
              <w:bidi w:val="0"/>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i/>
                <w:iCs/>
                <w:color w:val="auto"/>
                <w:sz w:val="21"/>
                <w:szCs w:val="21"/>
                <w:highlight w:val="none"/>
                <w:u w:val="none" w:color="auto"/>
                <w:lang w:val="en-US" w:eastAsia="zh-CN"/>
              </w:rPr>
              <w:t>Centropus sinensis</w:t>
            </w:r>
          </w:p>
        </w:tc>
        <w:tc>
          <w:tcPr>
            <w:tcW w:w="3368" w:type="dxa"/>
            <w:tcBorders>
              <w:tl2br w:val="nil"/>
              <w:tr2bl w:val="nil"/>
            </w:tcBorders>
            <w:noWrap w:val="0"/>
            <w:vAlign w:val="center"/>
          </w:tcPr>
          <w:p>
            <w:pPr>
              <w:pStyle w:val="159"/>
              <w:bidi w:val="0"/>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栖息于1000m以下的低山丘陵和平原地区的林缘灌丛、稀树草坡、河谷灌丛、草丛和芦苇丛中，也出现于靠近水源的村边灌丛和竹丛等地方。</w:t>
            </w:r>
          </w:p>
        </w:tc>
        <w:tc>
          <w:tcPr>
            <w:tcW w:w="9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sz w:val="21"/>
                <w:szCs w:val="21"/>
                <w:highlight w:val="none"/>
                <w:u w:val="none" w:color="auto"/>
              </w:rPr>
            </w:pPr>
            <w:r>
              <w:rPr>
                <w:rFonts w:hint="default" w:ascii="Times New Roman" w:hAnsi="Times New Roman" w:cs="Times New Roman"/>
                <w:color w:val="auto"/>
                <w:spacing w:val="12"/>
                <w:position w:val="-1"/>
                <w:sz w:val="21"/>
                <w:szCs w:val="21"/>
                <w:highlight w:val="none"/>
                <w:u w:val="none" w:color="auto"/>
                <w:lang w:eastAsia="zh-CN"/>
              </w:rPr>
              <w:t>留鸟</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u w:val="none" w:color="auto"/>
              </w:rPr>
            </w:pPr>
            <w:r>
              <w:rPr>
                <w:rFonts w:hint="default" w:ascii="Times New Roman" w:hAnsi="Times New Roman" w:eastAsia="宋体" w:cs="Times New Roman"/>
                <w:color w:val="auto"/>
                <w:spacing w:val="7"/>
                <w:sz w:val="21"/>
                <w:szCs w:val="21"/>
                <w:highlight w:val="none"/>
                <w:u w:val="none" w:color="auto"/>
              </w:rPr>
              <w:t>广布</w:t>
            </w:r>
            <w:r>
              <w:rPr>
                <w:rFonts w:hint="default" w:ascii="Times New Roman" w:hAnsi="Times New Roman" w:eastAsia="宋体" w:cs="Times New Roman"/>
                <w:color w:val="auto"/>
                <w:spacing w:val="6"/>
                <w:sz w:val="21"/>
                <w:szCs w:val="21"/>
                <w:highlight w:val="none"/>
                <w:u w:val="none" w:color="auto"/>
              </w:rPr>
              <w:t>种</w:t>
            </w:r>
          </w:p>
        </w:tc>
        <w:tc>
          <w:tcPr>
            <w:tcW w:w="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sz w:val="21"/>
                <w:szCs w:val="21"/>
                <w:highlight w:val="none"/>
                <w:u w:val="none" w:color="auto"/>
              </w:rPr>
            </w:pPr>
            <w:r>
              <w:rPr>
                <w:rFonts w:hint="default" w:ascii="Times New Roman" w:hAnsi="Times New Roman" w:eastAsia="宋体" w:cs="Times New Roman"/>
                <w:color w:val="auto"/>
                <w:spacing w:val="-6"/>
                <w:sz w:val="21"/>
                <w:szCs w:val="21"/>
                <w:highlight w:val="none"/>
                <w:u w:val="none" w:color="auto"/>
              </w:rPr>
              <w:t>国</w:t>
            </w:r>
            <w:r>
              <w:rPr>
                <w:rFonts w:hint="default" w:ascii="Times New Roman" w:hAnsi="Times New Roman" w:eastAsia="宋体" w:cs="Times New Roman"/>
                <w:color w:val="auto"/>
                <w:spacing w:val="-5"/>
                <w:sz w:val="21"/>
                <w:szCs w:val="21"/>
                <w:highlight w:val="none"/>
                <w:u w:val="none" w:color="auto"/>
              </w:rPr>
              <w:t>家</w:t>
            </w:r>
            <w:r>
              <w:rPr>
                <w:rFonts w:hint="default" w:ascii="Times New Roman" w:hAnsi="Times New Roman" w:eastAsia="宋体" w:cs="Times New Roman"/>
                <w:color w:val="auto"/>
                <w:spacing w:val="-14"/>
                <w:sz w:val="21"/>
                <w:szCs w:val="21"/>
                <w:highlight w:val="none"/>
                <w:u w:val="none" w:color="auto"/>
              </w:rPr>
              <w:t>Ⅱ</w:t>
            </w:r>
            <w:r>
              <w:rPr>
                <w:rFonts w:hint="default" w:ascii="Times New Roman" w:hAnsi="Times New Roman" w:eastAsia="宋体" w:cs="Times New Roman"/>
                <w:color w:val="auto"/>
                <w:spacing w:val="-13"/>
                <w:sz w:val="21"/>
                <w:szCs w:val="21"/>
                <w:highlight w:val="none"/>
                <w:u w:val="none" w:color="auto"/>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80" w:type="dxa"/>
            <w:tcBorders>
              <w:tl2br w:val="nil"/>
              <w:tr2bl w:val="nil"/>
            </w:tcBorders>
            <w:noWrap w:val="0"/>
            <w:vAlign w:val="center"/>
          </w:tcPr>
          <w:p>
            <w:pPr>
              <w:pStyle w:val="159"/>
              <w:bidi w:val="0"/>
              <w:rPr>
                <w:rFonts w:hint="default" w:ascii="Times New Roman" w:hAnsi="Times New Roman" w:cs="Times New Roman"/>
                <w:i/>
                <w:iCs/>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4.草鸮</w:t>
            </w:r>
            <w:r>
              <w:rPr>
                <w:rFonts w:hint="default" w:ascii="Times New Roman" w:hAnsi="Times New Roman" w:cs="Times New Roman"/>
                <w:i/>
                <w:iCs/>
                <w:color w:val="auto"/>
                <w:sz w:val="21"/>
                <w:szCs w:val="21"/>
                <w:highlight w:val="none"/>
                <w:u w:val="none" w:color="auto"/>
                <w:lang w:val="en-US" w:eastAsia="zh-CN"/>
              </w:rPr>
              <w:t>Tytcapensis</w:t>
            </w:r>
          </w:p>
        </w:tc>
        <w:tc>
          <w:tcPr>
            <w:tcW w:w="3368" w:type="dxa"/>
            <w:tcBorders>
              <w:tl2br w:val="nil"/>
              <w:tr2bl w:val="nil"/>
            </w:tcBorders>
            <w:noWrap w:val="0"/>
            <w:vAlign w:val="center"/>
          </w:tcPr>
          <w:p>
            <w:pPr>
              <w:pStyle w:val="159"/>
              <w:bidi w:val="0"/>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栖息于山麓草灌丛中，也常见于农田与灌丛。</w:t>
            </w:r>
          </w:p>
        </w:tc>
        <w:tc>
          <w:tcPr>
            <w:tcW w:w="9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u w:val="none" w:color="auto"/>
                <w:lang w:val="en-US" w:eastAsia="zh-CN" w:bidi="ar-SA"/>
              </w:rPr>
            </w:pPr>
            <w:r>
              <w:rPr>
                <w:rFonts w:hint="default" w:ascii="Times New Roman" w:hAnsi="Times New Roman" w:cs="Times New Roman"/>
                <w:color w:val="auto"/>
                <w:spacing w:val="12"/>
                <w:position w:val="-1"/>
                <w:sz w:val="21"/>
                <w:szCs w:val="21"/>
                <w:highlight w:val="none"/>
                <w:u w:val="none" w:color="auto"/>
                <w:lang w:eastAsia="zh-CN"/>
              </w:rPr>
              <w:t>留鸟</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kern w:val="2"/>
                <w:sz w:val="21"/>
                <w:szCs w:val="21"/>
                <w:highlight w:val="none"/>
                <w:u w:val="none" w:color="auto"/>
                <w:lang w:val="en-US" w:eastAsia="zh-CN" w:bidi="ar-SA"/>
              </w:rPr>
            </w:pPr>
            <w:r>
              <w:rPr>
                <w:rFonts w:hint="default" w:ascii="Times New Roman" w:hAnsi="Times New Roman" w:eastAsia="宋体" w:cs="Times New Roman"/>
                <w:color w:val="auto"/>
                <w:spacing w:val="7"/>
                <w:sz w:val="21"/>
                <w:szCs w:val="21"/>
                <w:highlight w:val="none"/>
                <w:u w:val="none" w:color="auto"/>
              </w:rPr>
              <w:t>广布</w:t>
            </w:r>
            <w:r>
              <w:rPr>
                <w:rFonts w:hint="default" w:ascii="Times New Roman" w:hAnsi="Times New Roman" w:eastAsia="宋体" w:cs="Times New Roman"/>
                <w:color w:val="auto"/>
                <w:spacing w:val="6"/>
                <w:sz w:val="21"/>
                <w:szCs w:val="21"/>
                <w:highlight w:val="none"/>
                <w:u w:val="none" w:color="auto"/>
              </w:rPr>
              <w:t>种</w:t>
            </w:r>
          </w:p>
        </w:tc>
        <w:tc>
          <w:tcPr>
            <w:tcW w:w="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u w:val="none" w:color="auto"/>
                <w:lang w:val="en-US" w:eastAsia="zh-CN" w:bidi="ar-SA"/>
              </w:rPr>
            </w:pPr>
            <w:r>
              <w:rPr>
                <w:rFonts w:hint="default" w:ascii="Times New Roman" w:hAnsi="Times New Roman" w:eastAsia="宋体" w:cs="Times New Roman"/>
                <w:color w:val="auto"/>
                <w:spacing w:val="-6"/>
                <w:sz w:val="21"/>
                <w:szCs w:val="21"/>
                <w:highlight w:val="none"/>
                <w:u w:val="none" w:color="auto"/>
              </w:rPr>
              <w:t>国</w:t>
            </w:r>
            <w:r>
              <w:rPr>
                <w:rFonts w:hint="default" w:ascii="Times New Roman" w:hAnsi="Times New Roman" w:eastAsia="宋体" w:cs="Times New Roman"/>
                <w:color w:val="auto"/>
                <w:spacing w:val="-5"/>
                <w:sz w:val="21"/>
                <w:szCs w:val="21"/>
                <w:highlight w:val="none"/>
                <w:u w:val="none" w:color="auto"/>
              </w:rPr>
              <w:t>家</w:t>
            </w:r>
            <w:r>
              <w:rPr>
                <w:rFonts w:hint="default" w:ascii="Times New Roman" w:hAnsi="Times New Roman" w:eastAsia="宋体" w:cs="Times New Roman"/>
                <w:color w:val="auto"/>
                <w:spacing w:val="-14"/>
                <w:sz w:val="21"/>
                <w:szCs w:val="21"/>
                <w:highlight w:val="none"/>
                <w:u w:val="none" w:color="auto"/>
              </w:rPr>
              <w:t>Ⅱ</w:t>
            </w:r>
            <w:r>
              <w:rPr>
                <w:rFonts w:hint="default" w:ascii="Times New Roman" w:hAnsi="Times New Roman" w:eastAsia="宋体" w:cs="Times New Roman"/>
                <w:color w:val="auto"/>
                <w:spacing w:val="-13"/>
                <w:sz w:val="21"/>
                <w:szCs w:val="21"/>
                <w:highlight w:val="none"/>
                <w:u w:val="none" w:color="auto"/>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80" w:type="dxa"/>
            <w:tcBorders>
              <w:tl2br w:val="nil"/>
              <w:tr2bl w:val="nil"/>
            </w:tcBorders>
            <w:noWrap w:val="0"/>
            <w:vAlign w:val="center"/>
          </w:tcPr>
          <w:p>
            <w:pPr>
              <w:pStyle w:val="159"/>
              <w:numPr>
                <w:ilvl w:val="0"/>
                <w:numId w:val="0"/>
              </w:numPr>
              <w:bidi w:val="0"/>
              <w:ind w:right="0" w:rightChars="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5.燕隼</w:t>
            </w:r>
          </w:p>
          <w:p>
            <w:pPr>
              <w:pStyle w:val="159"/>
              <w:bidi w:val="0"/>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i/>
                <w:iCs/>
                <w:color w:val="auto"/>
                <w:sz w:val="21"/>
                <w:szCs w:val="21"/>
                <w:highlight w:val="none"/>
                <w:u w:val="none" w:color="auto"/>
                <w:lang w:val="en-US" w:eastAsia="zh-CN"/>
              </w:rPr>
              <w:t>Falcosubbouteo streichi</w:t>
            </w:r>
          </w:p>
        </w:tc>
        <w:tc>
          <w:tcPr>
            <w:tcW w:w="3368" w:type="dxa"/>
            <w:tcBorders>
              <w:tl2br w:val="nil"/>
              <w:tr2bl w:val="nil"/>
            </w:tcBorders>
            <w:noWrap w:val="0"/>
            <w:vAlign w:val="center"/>
          </w:tcPr>
          <w:p>
            <w:pPr>
              <w:pStyle w:val="159"/>
              <w:bidi w:val="0"/>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栖息于有稀疏树木生长的开阔平原、</w:t>
            </w:r>
            <w:r>
              <w:rPr>
                <w:rFonts w:hint="default" w:ascii="Times New Roman" w:hAnsi="Times New Roman" w:cs="Times New Roman"/>
                <w:color w:val="auto"/>
                <w:sz w:val="21"/>
                <w:szCs w:val="21"/>
                <w:highlight w:val="none"/>
                <w:u w:val="none" w:color="auto"/>
              </w:rPr>
              <w:fldChar w:fldCharType="begin"/>
            </w:r>
            <w:r>
              <w:rPr>
                <w:rFonts w:hint="default" w:ascii="Times New Roman" w:hAnsi="Times New Roman" w:cs="Times New Roman"/>
                <w:color w:val="auto"/>
                <w:sz w:val="21"/>
                <w:szCs w:val="21"/>
                <w:highlight w:val="none"/>
                <w:u w:val="none" w:color="auto"/>
              </w:rPr>
              <w:instrText xml:space="preserve"> HYPERLINK "https://baike.so.com/doc/6453329-6667014.html" \t "https://baike.so.com/doc/_blank" </w:instrText>
            </w:r>
            <w:r>
              <w:rPr>
                <w:rFonts w:hint="default" w:ascii="Times New Roman" w:hAnsi="Times New Roman" w:cs="Times New Roman"/>
                <w:color w:val="auto"/>
                <w:sz w:val="21"/>
                <w:szCs w:val="21"/>
                <w:highlight w:val="none"/>
                <w:u w:val="none" w:color="auto"/>
              </w:rPr>
              <w:fldChar w:fldCharType="separate"/>
            </w:r>
            <w:r>
              <w:rPr>
                <w:rFonts w:hint="default" w:ascii="Times New Roman" w:hAnsi="Times New Roman" w:cs="Times New Roman"/>
                <w:color w:val="auto"/>
                <w:sz w:val="21"/>
                <w:szCs w:val="21"/>
                <w:highlight w:val="none"/>
                <w:u w:val="none" w:color="auto"/>
              </w:rPr>
              <w:t>旷野</w:t>
            </w:r>
            <w:r>
              <w:rPr>
                <w:rFonts w:hint="default" w:ascii="Times New Roman" w:hAnsi="Times New Roman" w:cs="Times New Roman"/>
                <w:color w:val="auto"/>
                <w:sz w:val="21"/>
                <w:szCs w:val="21"/>
                <w:highlight w:val="none"/>
                <w:u w:val="none" w:color="auto"/>
              </w:rPr>
              <w:fldChar w:fldCharType="end"/>
            </w:r>
            <w:r>
              <w:rPr>
                <w:rFonts w:hint="default" w:ascii="Times New Roman" w:hAnsi="Times New Roman" w:cs="Times New Roman"/>
                <w:color w:val="auto"/>
                <w:sz w:val="21"/>
                <w:szCs w:val="21"/>
                <w:highlight w:val="none"/>
                <w:u w:val="none" w:color="auto"/>
              </w:rPr>
              <w:t>、耕地、</w:t>
            </w:r>
            <w:r>
              <w:rPr>
                <w:rFonts w:hint="default" w:ascii="Times New Roman" w:hAnsi="Times New Roman" w:cs="Times New Roman"/>
                <w:color w:val="auto"/>
                <w:sz w:val="21"/>
                <w:szCs w:val="21"/>
                <w:highlight w:val="none"/>
                <w:u w:val="none" w:color="auto"/>
              </w:rPr>
              <w:fldChar w:fldCharType="begin"/>
            </w:r>
            <w:r>
              <w:rPr>
                <w:rFonts w:hint="default" w:ascii="Times New Roman" w:hAnsi="Times New Roman" w:cs="Times New Roman"/>
                <w:color w:val="auto"/>
                <w:sz w:val="21"/>
                <w:szCs w:val="21"/>
                <w:highlight w:val="none"/>
                <w:u w:val="none" w:color="auto"/>
              </w:rPr>
              <w:instrText xml:space="preserve"> HYPERLINK "https://baike.so.com/doc/8847046-9172038.html" \t "https://baike.so.com/doc/_blank" </w:instrText>
            </w:r>
            <w:r>
              <w:rPr>
                <w:rFonts w:hint="default" w:ascii="Times New Roman" w:hAnsi="Times New Roman" w:cs="Times New Roman"/>
                <w:color w:val="auto"/>
                <w:sz w:val="21"/>
                <w:szCs w:val="21"/>
                <w:highlight w:val="none"/>
                <w:u w:val="none" w:color="auto"/>
              </w:rPr>
              <w:fldChar w:fldCharType="separate"/>
            </w:r>
            <w:r>
              <w:rPr>
                <w:rFonts w:hint="default" w:ascii="Times New Roman" w:hAnsi="Times New Roman" w:cs="Times New Roman"/>
                <w:color w:val="auto"/>
                <w:sz w:val="21"/>
                <w:szCs w:val="21"/>
                <w:highlight w:val="none"/>
                <w:u w:val="none" w:color="auto"/>
              </w:rPr>
              <w:t>疏林</w:t>
            </w:r>
            <w:r>
              <w:rPr>
                <w:rFonts w:hint="default" w:ascii="Times New Roman" w:hAnsi="Times New Roman" w:cs="Times New Roman"/>
                <w:color w:val="auto"/>
                <w:sz w:val="21"/>
                <w:szCs w:val="21"/>
                <w:highlight w:val="none"/>
                <w:u w:val="none" w:color="auto"/>
              </w:rPr>
              <w:fldChar w:fldCharType="end"/>
            </w:r>
            <w:r>
              <w:rPr>
                <w:rFonts w:hint="default" w:ascii="Times New Roman" w:hAnsi="Times New Roman" w:cs="Times New Roman"/>
                <w:color w:val="auto"/>
                <w:sz w:val="21"/>
                <w:szCs w:val="21"/>
                <w:highlight w:val="none"/>
                <w:u w:val="none" w:color="auto"/>
              </w:rPr>
              <w:t>和林缘地带，有时也到村庄附近</w:t>
            </w:r>
          </w:p>
        </w:tc>
        <w:tc>
          <w:tcPr>
            <w:tcW w:w="9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12"/>
                <w:position w:val="-1"/>
                <w:sz w:val="21"/>
                <w:szCs w:val="21"/>
                <w:highlight w:val="none"/>
                <w:u w:val="none" w:color="auto"/>
                <w:lang w:eastAsia="zh-CN"/>
              </w:rPr>
            </w:pPr>
            <w:r>
              <w:rPr>
                <w:rFonts w:hint="default" w:ascii="Times New Roman" w:hAnsi="Times New Roman" w:cs="Times New Roman"/>
                <w:color w:val="auto"/>
                <w:spacing w:val="5"/>
                <w:sz w:val="21"/>
                <w:szCs w:val="21"/>
                <w:highlight w:val="none"/>
                <w:u w:val="none" w:color="auto"/>
                <w:lang w:eastAsia="zh-CN"/>
              </w:rPr>
              <w:t>冬</w:t>
            </w:r>
            <w:r>
              <w:rPr>
                <w:rFonts w:hint="default" w:ascii="Times New Roman" w:hAnsi="Times New Roman" w:eastAsia="宋体" w:cs="Times New Roman"/>
                <w:color w:val="auto"/>
                <w:spacing w:val="5"/>
                <w:sz w:val="21"/>
                <w:szCs w:val="21"/>
                <w:highlight w:val="none"/>
                <w:u w:val="none" w:color="auto"/>
              </w:rPr>
              <w:t>候鸟</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u w:val="none" w:color="auto"/>
              </w:rPr>
            </w:pPr>
            <w:r>
              <w:rPr>
                <w:rFonts w:hint="default" w:ascii="Times New Roman" w:hAnsi="Times New Roman" w:eastAsia="宋体" w:cs="Times New Roman"/>
                <w:color w:val="auto"/>
                <w:spacing w:val="5"/>
                <w:sz w:val="21"/>
                <w:szCs w:val="21"/>
                <w:highlight w:val="none"/>
                <w:u w:val="none" w:color="auto"/>
              </w:rPr>
              <w:t>古北种</w:t>
            </w:r>
          </w:p>
        </w:tc>
        <w:tc>
          <w:tcPr>
            <w:tcW w:w="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sz w:val="21"/>
                <w:szCs w:val="21"/>
                <w:highlight w:val="none"/>
                <w:u w:val="none" w:color="auto"/>
              </w:rPr>
            </w:pPr>
            <w:r>
              <w:rPr>
                <w:rFonts w:hint="default" w:ascii="Times New Roman" w:hAnsi="Times New Roman" w:eastAsia="宋体" w:cs="Times New Roman"/>
                <w:color w:val="auto"/>
                <w:spacing w:val="-6"/>
                <w:sz w:val="21"/>
                <w:szCs w:val="21"/>
                <w:highlight w:val="none"/>
                <w:u w:val="none" w:color="auto"/>
              </w:rPr>
              <w:t>国</w:t>
            </w:r>
            <w:r>
              <w:rPr>
                <w:rFonts w:hint="default" w:ascii="Times New Roman" w:hAnsi="Times New Roman" w:eastAsia="宋体" w:cs="Times New Roman"/>
                <w:color w:val="auto"/>
                <w:spacing w:val="-5"/>
                <w:sz w:val="21"/>
                <w:szCs w:val="21"/>
                <w:highlight w:val="none"/>
                <w:u w:val="none" w:color="auto"/>
              </w:rPr>
              <w:t>家</w:t>
            </w:r>
            <w:r>
              <w:rPr>
                <w:rFonts w:hint="default" w:ascii="Times New Roman" w:hAnsi="Times New Roman" w:eastAsia="宋体" w:cs="Times New Roman"/>
                <w:color w:val="auto"/>
                <w:spacing w:val="-14"/>
                <w:sz w:val="21"/>
                <w:szCs w:val="21"/>
                <w:highlight w:val="none"/>
                <w:u w:val="none" w:color="auto"/>
              </w:rPr>
              <w:t>Ⅱ</w:t>
            </w:r>
            <w:r>
              <w:rPr>
                <w:rFonts w:hint="default" w:ascii="Times New Roman" w:hAnsi="Times New Roman" w:eastAsia="宋体" w:cs="Times New Roman"/>
                <w:color w:val="auto"/>
                <w:spacing w:val="-13"/>
                <w:sz w:val="21"/>
                <w:szCs w:val="21"/>
                <w:highlight w:val="none"/>
                <w:u w:val="none" w:color="auto"/>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pacing w:val="-1"/>
                <w:sz w:val="21"/>
                <w:szCs w:val="21"/>
                <w:highlight w:val="none"/>
                <w:u w:val="none" w:color="auto"/>
                <w:lang w:val="en-US" w:eastAsia="zh-CN"/>
              </w:rPr>
              <w:t>6</w:t>
            </w:r>
            <w:r>
              <w:rPr>
                <w:rFonts w:hint="default" w:ascii="Times New Roman" w:hAnsi="Times New Roman" w:eastAsia="宋体" w:cs="Times New Roman"/>
                <w:color w:val="auto"/>
                <w:spacing w:val="-1"/>
                <w:sz w:val="21"/>
                <w:szCs w:val="21"/>
                <w:highlight w:val="none"/>
                <w:u w:val="none" w:color="auto"/>
              </w:rPr>
              <w:t>.普通鵟</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iCs/>
                <w:color w:val="auto"/>
                <w:position w:val="2"/>
                <w:sz w:val="21"/>
                <w:szCs w:val="21"/>
                <w:highlight w:val="none"/>
                <w:u w:val="none" w:color="auto"/>
              </w:rPr>
              <w:t>Buteo</w:t>
            </w:r>
            <w:r>
              <w:rPr>
                <w:rFonts w:hint="default" w:ascii="Times New Roman" w:hAnsi="Times New Roman" w:eastAsia="宋体" w:cs="Times New Roman"/>
                <w:color w:val="auto"/>
                <w:spacing w:val="50"/>
                <w:position w:val="2"/>
                <w:sz w:val="21"/>
                <w:szCs w:val="21"/>
                <w:highlight w:val="none"/>
                <w:u w:val="none" w:color="auto"/>
              </w:rPr>
              <w:t xml:space="preserve"> </w:t>
            </w:r>
            <w:r>
              <w:rPr>
                <w:rFonts w:hint="default" w:ascii="Times New Roman" w:hAnsi="Times New Roman" w:eastAsia="宋体" w:cs="Times New Roman"/>
                <w:i/>
                <w:iCs/>
                <w:color w:val="auto"/>
                <w:position w:val="2"/>
                <w:sz w:val="21"/>
                <w:szCs w:val="21"/>
                <w:highlight w:val="none"/>
                <w:u w:val="none" w:color="auto"/>
              </w:rPr>
              <w:t>buteo</w:t>
            </w:r>
          </w:p>
        </w:tc>
        <w:tc>
          <w:tcPr>
            <w:tcW w:w="33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5"/>
                <w:sz w:val="21"/>
                <w:szCs w:val="21"/>
                <w:highlight w:val="none"/>
                <w:u w:val="none" w:color="auto"/>
              </w:rPr>
              <w:t>常见于评价区内耕作区、林缘草</w:t>
            </w:r>
            <w:r>
              <w:rPr>
                <w:rFonts w:hint="default" w:ascii="Times New Roman" w:hAnsi="Times New Roman" w:eastAsia="宋体" w:cs="Times New Roman"/>
                <w:color w:val="auto"/>
                <w:spacing w:val="3"/>
                <w:sz w:val="21"/>
                <w:szCs w:val="21"/>
                <w:highlight w:val="none"/>
                <w:u w:val="none" w:color="auto"/>
              </w:rPr>
              <w:t>地</w:t>
            </w:r>
            <w:r>
              <w:rPr>
                <w:rFonts w:hint="default" w:ascii="Times New Roman" w:hAnsi="Times New Roman" w:eastAsia="宋体" w:cs="Times New Roman"/>
                <w:color w:val="auto"/>
                <w:spacing w:val="8"/>
                <w:sz w:val="21"/>
                <w:szCs w:val="21"/>
                <w:highlight w:val="none"/>
                <w:u w:val="none" w:color="auto"/>
              </w:rPr>
              <w:t>和村庄上空盘旋翱翔</w:t>
            </w:r>
            <w:r>
              <w:rPr>
                <w:rFonts w:hint="default" w:ascii="Times New Roman" w:hAnsi="Times New Roman" w:eastAsia="宋体" w:cs="Times New Roman"/>
                <w:color w:val="auto"/>
                <w:spacing w:val="7"/>
                <w:sz w:val="21"/>
                <w:szCs w:val="21"/>
                <w:highlight w:val="none"/>
                <w:u w:val="none" w:color="auto"/>
              </w:rPr>
              <w:t>。</w:t>
            </w:r>
          </w:p>
        </w:tc>
        <w:tc>
          <w:tcPr>
            <w:tcW w:w="9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5"/>
                <w:sz w:val="21"/>
                <w:szCs w:val="21"/>
                <w:highlight w:val="none"/>
                <w:u w:val="none" w:color="auto"/>
              </w:rPr>
              <w:t>冬候鸟</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5"/>
                <w:sz w:val="21"/>
                <w:szCs w:val="21"/>
                <w:highlight w:val="none"/>
                <w:u w:val="none" w:color="auto"/>
              </w:rPr>
              <w:t>古北种</w:t>
            </w:r>
          </w:p>
        </w:tc>
        <w:tc>
          <w:tcPr>
            <w:tcW w:w="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6"/>
                <w:sz w:val="21"/>
                <w:szCs w:val="21"/>
                <w:highlight w:val="none"/>
                <w:u w:val="none" w:color="auto"/>
              </w:rPr>
              <w:t>国</w:t>
            </w:r>
            <w:r>
              <w:rPr>
                <w:rFonts w:hint="default" w:ascii="Times New Roman" w:hAnsi="Times New Roman" w:eastAsia="宋体" w:cs="Times New Roman"/>
                <w:color w:val="auto"/>
                <w:spacing w:val="-5"/>
                <w:sz w:val="21"/>
                <w:szCs w:val="21"/>
                <w:highlight w:val="none"/>
                <w:u w:val="none" w:color="auto"/>
              </w:rPr>
              <w:t>家</w:t>
            </w:r>
            <w:r>
              <w:rPr>
                <w:rFonts w:hint="default" w:ascii="Times New Roman" w:hAnsi="Times New Roman" w:eastAsia="宋体" w:cs="Times New Roman"/>
                <w:color w:val="auto"/>
                <w:spacing w:val="-14"/>
                <w:sz w:val="21"/>
                <w:szCs w:val="21"/>
                <w:highlight w:val="none"/>
                <w:u w:val="none" w:color="auto"/>
              </w:rPr>
              <w:t>Ⅱ</w:t>
            </w:r>
            <w:r>
              <w:rPr>
                <w:rFonts w:hint="default" w:ascii="Times New Roman" w:hAnsi="Times New Roman" w:eastAsia="宋体" w:cs="Times New Roman"/>
                <w:color w:val="auto"/>
                <w:spacing w:val="-13"/>
                <w:sz w:val="21"/>
                <w:szCs w:val="21"/>
                <w:highlight w:val="none"/>
                <w:u w:val="none" w:color="auto"/>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8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spacing w:val="-4"/>
                <w:sz w:val="21"/>
                <w:szCs w:val="21"/>
                <w:highlight w:val="none"/>
                <w:u w:val="none" w:color="auto"/>
                <w:lang w:val="en-US" w:eastAsia="zh-CN"/>
              </w:rPr>
              <w:t>7.白尾鹞</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iCs/>
                <w:color w:val="auto"/>
                <w:spacing w:val="-4"/>
                <w:sz w:val="21"/>
                <w:szCs w:val="21"/>
                <w:highlight w:val="none"/>
                <w:u w:val="none" w:color="auto"/>
              </w:rPr>
              <w:t>Spilornis cheela</w:t>
            </w:r>
          </w:p>
        </w:tc>
        <w:tc>
          <w:tcPr>
            <w:tcW w:w="33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栖息于荒野以及低山、林间沼泽和草地、农田耕地、芦苇塘等开阔地区。</w:t>
            </w:r>
          </w:p>
        </w:tc>
        <w:tc>
          <w:tcPr>
            <w:tcW w:w="9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5"/>
                <w:sz w:val="21"/>
                <w:szCs w:val="21"/>
                <w:highlight w:val="none"/>
                <w:u w:val="none" w:color="auto"/>
              </w:rPr>
              <w:t>冬候鸟</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5"/>
                <w:sz w:val="21"/>
                <w:szCs w:val="21"/>
                <w:highlight w:val="none"/>
                <w:u w:val="none" w:color="auto"/>
              </w:rPr>
              <w:t>古北种</w:t>
            </w:r>
          </w:p>
        </w:tc>
        <w:tc>
          <w:tcPr>
            <w:tcW w:w="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6"/>
                <w:sz w:val="21"/>
                <w:szCs w:val="21"/>
                <w:highlight w:val="none"/>
                <w:u w:val="none" w:color="auto"/>
              </w:rPr>
              <w:t>国</w:t>
            </w:r>
            <w:r>
              <w:rPr>
                <w:rFonts w:hint="default" w:ascii="Times New Roman" w:hAnsi="Times New Roman" w:eastAsia="宋体" w:cs="Times New Roman"/>
                <w:color w:val="auto"/>
                <w:spacing w:val="-5"/>
                <w:sz w:val="21"/>
                <w:szCs w:val="21"/>
                <w:highlight w:val="none"/>
                <w:u w:val="none" w:color="auto"/>
              </w:rPr>
              <w:t>家</w:t>
            </w:r>
            <w:r>
              <w:rPr>
                <w:rFonts w:hint="default" w:ascii="Times New Roman" w:hAnsi="Times New Roman" w:eastAsia="宋体" w:cs="Times New Roman"/>
                <w:color w:val="auto"/>
                <w:spacing w:val="-14"/>
                <w:sz w:val="21"/>
                <w:szCs w:val="21"/>
                <w:highlight w:val="none"/>
                <w:u w:val="none" w:color="auto"/>
              </w:rPr>
              <w:t>Ⅱ</w:t>
            </w:r>
            <w:r>
              <w:rPr>
                <w:rFonts w:hint="default" w:ascii="Times New Roman" w:hAnsi="Times New Roman" w:eastAsia="宋体" w:cs="Times New Roman"/>
                <w:color w:val="auto"/>
                <w:spacing w:val="-13"/>
                <w:sz w:val="21"/>
                <w:szCs w:val="21"/>
                <w:highlight w:val="none"/>
                <w:u w:val="none" w:color="auto"/>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8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center"/>
              <w:textAlignment w:val="auto"/>
              <w:rPr>
                <w:rFonts w:hint="default" w:ascii="Times New Roman" w:hAnsi="Times New Roman" w:eastAsia="宋体" w:cs="Times New Roman"/>
                <w:color w:val="auto"/>
                <w:spacing w:val="-6"/>
                <w:sz w:val="21"/>
                <w:szCs w:val="21"/>
                <w:highlight w:val="none"/>
                <w:u w:val="none" w:color="auto"/>
                <w:lang w:val="en-US" w:eastAsia="zh-CN"/>
              </w:rPr>
            </w:pPr>
            <w:r>
              <w:rPr>
                <w:rFonts w:hint="default" w:ascii="Times New Roman" w:hAnsi="Times New Roman" w:cs="Times New Roman"/>
                <w:color w:val="auto"/>
                <w:spacing w:val="-6"/>
                <w:sz w:val="21"/>
                <w:szCs w:val="21"/>
                <w:highlight w:val="none"/>
                <w:u w:val="none" w:color="auto"/>
                <w:lang w:val="en-US" w:eastAsia="zh-CN"/>
              </w:rPr>
              <w:t>8.</w:t>
            </w:r>
            <w:r>
              <w:rPr>
                <w:rFonts w:hint="default" w:ascii="Times New Roman" w:hAnsi="Times New Roman" w:eastAsia="宋体" w:cs="Times New Roman"/>
                <w:color w:val="auto"/>
                <w:spacing w:val="-6"/>
                <w:sz w:val="21"/>
                <w:szCs w:val="21"/>
                <w:highlight w:val="none"/>
                <w:u w:val="none" w:color="auto"/>
                <w:lang w:val="en-US" w:eastAsia="zh-CN"/>
              </w:rPr>
              <w:t>画眉</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iCs/>
                <w:color w:val="auto"/>
                <w:spacing w:val="-6"/>
                <w:sz w:val="21"/>
                <w:szCs w:val="21"/>
                <w:highlight w:val="none"/>
                <w:u w:val="none" w:color="auto"/>
                <w:lang w:val="en-US" w:eastAsia="zh-CN"/>
              </w:rPr>
              <w:t>Garrulax caniyus</w:t>
            </w:r>
          </w:p>
        </w:tc>
        <w:tc>
          <w:tcPr>
            <w:tcW w:w="33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栖息于</w:t>
            </w:r>
            <w:r>
              <w:rPr>
                <w:rFonts w:hint="default" w:ascii="Times New Roman" w:hAnsi="Times New Roman" w:eastAsia="宋体" w:cs="Times New Roman"/>
                <w:color w:val="auto"/>
                <w:sz w:val="21"/>
                <w:szCs w:val="21"/>
                <w:highlight w:val="none"/>
                <w:u w:val="none" w:color="auto"/>
              </w:rPr>
              <w:t>丘陵和山脚平原地带的矮树丛和灌木丛中，也栖于林缘、农田、旷野、村落和城镇附近小树丛、竹林及庭园内</w:t>
            </w:r>
          </w:p>
        </w:tc>
        <w:tc>
          <w:tcPr>
            <w:tcW w:w="9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留鸟</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东洋种</w:t>
            </w:r>
          </w:p>
        </w:tc>
        <w:tc>
          <w:tcPr>
            <w:tcW w:w="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6"/>
                <w:sz w:val="21"/>
                <w:szCs w:val="21"/>
                <w:highlight w:val="none"/>
                <w:u w:val="none" w:color="auto"/>
              </w:rPr>
              <w:t>国</w:t>
            </w:r>
            <w:r>
              <w:rPr>
                <w:rFonts w:hint="default" w:ascii="Times New Roman" w:hAnsi="Times New Roman" w:eastAsia="宋体" w:cs="Times New Roman"/>
                <w:color w:val="auto"/>
                <w:spacing w:val="-5"/>
                <w:sz w:val="21"/>
                <w:szCs w:val="21"/>
                <w:highlight w:val="none"/>
                <w:u w:val="none" w:color="auto"/>
              </w:rPr>
              <w:t>家</w:t>
            </w:r>
            <w:r>
              <w:rPr>
                <w:rFonts w:hint="default" w:ascii="Times New Roman" w:hAnsi="Times New Roman" w:eastAsia="宋体" w:cs="Times New Roman"/>
                <w:color w:val="auto"/>
                <w:spacing w:val="-14"/>
                <w:sz w:val="21"/>
                <w:szCs w:val="21"/>
                <w:highlight w:val="none"/>
                <w:u w:val="none" w:color="auto"/>
              </w:rPr>
              <w:t>Ⅱ</w:t>
            </w:r>
            <w:r>
              <w:rPr>
                <w:rFonts w:hint="default" w:ascii="Times New Roman" w:hAnsi="Times New Roman" w:eastAsia="宋体" w:cs="Times New Roman"/>
                <w:color w:val="auto"/>
                <w:spacing w:val="-13"/>
                <w:sz w:val="21"/>
                <w:szCs w:val="21"/>
                <w:highlight w:val="none"/>
                <w:u w:val="none" w:color="auto"/>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8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center"/>
              <w:textAlignment w:val="auto"/>
              <w:rPr>
                <w:rFonts w:hint="default" w:ascii="Times New Roman" w:hAnsi="Times New Roman" w:eastAsia="宋体" w:cs="Times New Roman"/>
                <w:i w:val="0"/>
                <w:iCs w:val="0"/>
                <w:color w:val="auto"/>
                <w:spacing w:val="-6"/>
                <w:sz w:val="21"/>
                <w:szCs w:val="21"/>
                <w:highlight w:val="none"/>
                <w:u w:val="none" w:color="auto"/>
                <w:lang w:val="en-US" w:eastAsia="zh-CN"/>
              </w:rPr>
            </w:pPr>
            <w:r>
              <w:rPr>
                <w:rFonts w:hint="default" w:ascii="Times New Roman" w:hAnsi="Times New Roman" w:cs="Times New Roman"/>
                <w:i w:val="0"/>
                <w:iCs w:val="0"/>
                <w:color w:val="auto"/>
                <w:spacing w:val="-6"/>
                <w:sz w:val="21"/>
                <w:szCs w:val="21"/>
                <w:highlight w:val="none"/>
                <w:u w:val="none" w:color="auto"/>
                <w:lang w:val="en-US" w:eastAsia="zh-CN"/>
              </w:rPr>
              <w:t>9.</w:t>
            </w:r>
            <w:r>
              <w:rPr>
                <w:rFonts w:hint="default" w:ascii="Times New Roman" w:hAnsi="Times New Roman" w:eastAsia="宋体" w:cs="Times New Roman"/>
                <w:i w:val="0"/>
                <w:iCs w:val="0"/>
                <w:color w:val="auto"/>
                <w:spacing w:val="-6"/>
                <w:sz w:val="21"/>
                <w:szCs w:val="21"/>
                <w:highlight w:val="none"/>
                <w:u w:val="none" w:color="auto"/>
                <w:lang w:val="en-US" w:eastAsia="zh-CN"/>
              </w:rPr>
              <w:t>凤头麦鸡</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iCs/>
                <w:color w:val="auto"/>
                <w:sz w:val="21"/>
                <w:szCs w:val="21"/>
                <w:highlight w:val="none"/>
                <w:u w:val="none" w:color="auto"/>
                <w:lang w:val="en-US" w:eastAsia="zh-CN"/>
              </w:rPr>
              <w:t>Vanellus vanellus</w:t>
            </w:r>
          </w:p>
        </w:tc>
        <w:tc>
          <w:tcPr>
            <w:tcW w:w="33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栖息于低山丘陵、山脚平原和草原地带的湖泊、水塘、溪流和农田地带。</w:t>
            </w:r>
          </w:p>
        </w:tc>
        <w:tc>
          <w:tcPr>
            <w:tcW w:w="9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pacing w:val="5"/>
                <w:sz w:val="21"/>
                <w:szCs w:val="21"/>
                <w:highlight w:val="none"/>
                <w:u w:val="none" w:color="auto"/>
              </w:rPr>
              <w:t>冬候鸟</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pacing w:val="5"/>
                <w:sz w:val="21"/>
                <w:szCs w:val="21"/>
                <w:highlight w:val="none"/>
                <w:u w:val="none" w:color="auto"/>
              </w:rPr>
              <w:t>古北种</w:t>
            </w:r>
          </w:p>
        </w:tc>
        <w:tc>
          <w:tcPr>
            <w:tcW w:w="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6"/>
                <w:sz w:val="21"/>
                <w:szCs w:val="21"/>
                <w:highlight w:val="none"/>
                <w:u w:val="none" w:color="auto"/>
              </w:rPr>
              <w:t>国</w:t>
            </w:r>
            <w:r>
              <w:rPr>
                <w:rFonts w:hint="default" w:ascii="Times New Roman" w:hAnsi="Times New Roman" w:eastAsia="宋体" w:cs="Times New Roman"/>
                <w:color w:val="auto"/>
                <w:spacing w:val="-5"/>
                <w:sz w:val="21"/>
                <w:szCs w:val="21"/>
                <w:highlight w:val="none"/>
                <w:u w:val="none" w:color="auto"/>
              </w:rPr>
              <w:t>家</w:t>
            </w:r>
            <w:r>
              <w:rPr>
                <w:rFonts w:hint="default" w:ascii="Times New Roman" w:hAnsi="Times New Roman" w:eastAsia="宋体" w:cs="Times New Roman"/>
                <w:color w:val="auto"/>
                <w:spacing w:val="-14"/>
                <w:sz w:val="21"/>
                <w:szCs w:val="21"/>
                <w:highlight w:val="none"/>
                <w:u w:val="none" w:color="auto"/>
              </w:rPr>
              <w:t>Ⅱ</w:t>
            </w:r>
            <w:r>
              <w:rPr>
                <w:rFonts w:hint="default" w:ascii="Times New Roman" w:hAnsi="Times New Roman" w:eastAsia="宋体" w:cs="Times New Roman"/>
                <w:color w:val="auto"/>
                <w:spacing w:val="-13"/>
                <w:sz w:val="21"/>
                <w:szCs w:val="21"/>
                <w:highlight w:val="none"/>
                <w:u w:val="none" w:color="auto"/>
              </w:rPr>
              <w:t>级</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bCs w:val="0"/>
          <w:sz w:val="24"/>
          <w:szCs w:val="24"/>
          <w:u w:val="none" w:color="auto"/>
          <w:lang w:val="en-US" w:eastAsia="zh-CN"/>
        </w:rPr>
        <w:t>国家重点保护野生动物种类介绍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1)虎纹蛙Hoplobatrachus chinensis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虎纹蛙体长可超过12cm ，体重250~500g 。皮肤较为粗糙，头部及体侧有深色不规则的斑纹。背部呈黄绿色略带棕色，有十几行纵向排列的肤棱，肤棱间散 布小疣粒。腹面白色，也有不规则的斑纹，咽部和胸部还有灰棕色斑。前后肢有 横斑。分布于沟渠、水库、池塘、沼泽地等处，以及附近的草丛中。白天多藏匿 于深浅、大小不一的各种石洞和泥洞中。经访问调查，虎纹蛙在评价区内主要分布于距离场址较远的稻田、池塘、沟渠等静水水域中。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2)黑鸢Milvus migrans lineatus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一种中型猛禽，共有7个亚种。体长54-69厘米。上体暗褐色，下体棕褐色，均具黑褐色羽干纹，尾较长，呈叉状，具宽度相等的黑色和褐色相间排列的横斑；飞翔时翼下左右各有一块大的白斑。雌鸟显著大于雄鸟。栖息于开阔草地和低山丘陵地带，也常在村屯、田野、上空活动。白天活动，常单独在高空飞翔，秋季有时亦呈2-3只的小群。主要以小鸟、鼠类、蛇、蛙、鱼、野兔、蜥蜴和昆虫等动物性食物为食。一般通过在空中盘旋来观察和觅找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3)褐翅鸦鹃Centropus sinensis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是鸦鹃科、鸦鹃属的中型鸟类，体长40-52cm，嘴粗厚、黑色，尾长而宽，凸尾，通体除两翅、肩和肩内侧为栗色外全为黑色。栖息于1000m以下的低山丘陵和平原地区的林缘灌丛、稀树草坡、河谷灌丛、草丛和芦苇丛中，也出现于靠近水源的村边灌丛和竹丛等地方。主要以毛虫、蝗虫、蚱蜢、象甲、蜚蠊、蚁和蜂等昆虫为食，也吃蜈蚣、蟹、螺、蚯蚓、甲壳类、软体动物等其它无脊椎动物，以及蛇、蜥蜴、鼠类、鸟卵和雏鸟等脊椎动物，有时还吃一些杂草种子和果实等植物性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4）草鸮Tytcapensis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中等体型的鸮类，体长35厘米，夜行猛禽。面庞心形。似仓鸮，但脸及胸部的皮黄色色彩甚深，上体深褐。喙坚强而钩曲。嘴基蜡膜为硬须掩盖。翅的外形不一，第五枚次级飞羽缺。尾短圆，尾羽12枚，有时仅10枚。脚强健有力，常全部被羽，第四趾能向后反转，以利攀缘。爪大而锐。尾脂腺裸出。无副羽，间或留存。耳孔周缘具耳羽，有助于夜间分辨声响与夜间定位。营巢于树洞或岩隙中。雏鸟晚成性。栖息于山麓草灌丛中，也常见于农田与灌丛。以鼠类、蛙、蛇、鸟卵等为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5）燕隼Falcosubbouteo streichi</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体形比猎隼、游隼等都小，为小型猛禽，上体深蓝褐色，下体白色，具暗色条纹。腿羽淡红色。栖息于有稀疏树木生长的开阔平原、旷野、耕地、疏林和林缘地带，有时也到村庄附近。主要以麻雀、山雀等雀形目小鸟为食，偶尔捕捉蝙蝠，更大量地捕食蜻蜓、蟋蟀、蝗虫，天牛、金龟子等昆虫，其中大多为害虫。主要在空中捕食，甚至能捕捉飞行速度极快的家燕和雨燕等。虽然它也同其他隼类一样在白天活动，但却是在黄昏时捕食活动最为频繁。常在田边、林缘和沼泽地上空飞翔捕食，有时也到地上捕食。迁徙时大多组成小群，通常春季在4月中下旬迁到东北繁殖地，9月末至10月初离开繁殖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6)普通鵟 Buteo buteo</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普通鵟为中型猛禽，体长50-59cm 。体色变化较大，上体主要为暗褐色，下体主要为暗褐色或淡褐色，翱翔时两翅微向上举成浅“V”字形。常见在开阔平原、 荒漠、旷野、开垦的耕作区、林缘草地和村庄上空盘旋翱翔。以森林鼠类为食， 食量甚大，除啮齿类外，也吃蛙、蜥蜴、蛇、野兔、小鸟和大型昆虫等动物性食物，有时亦到村庄捕食鸡等家禽。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7)白尾鹞Circus cyaneus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属中型猛禽，体长41-53厘米。雄鸟上体蓝灰色、头和胸较暗，翅尖黑色，尾上覆羽白色，腹、两胁和翅下覆羽白色，飞翔时，从上面看，蓝灰色的上体、白色的腰和黑色翅尖形成明显对比；从下面看，白色的下体，较暗的胸和黑色的翅尖亦形成鲜明对比。雌鸟上体暗褐色，尾上覆羽白色，下体皮黄白色或棕黄褐色，杂以粗的红褐色或暗棕褐色纵纹；常贴地面低空飞行，滑翔时两翅上举成‘V’，字形，并不时地抖动。栖息于荒野以及低山、林间沼泽和草地、农田耕地、芦苇塘等开阔地区。春季迁到东北繁殖地的时间在3月末至4月初，离开繁殖地的时间在10-11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8）画眉Garrulax caniyus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体型略小（22厘米）的棕褐色鹛。特征为白色的眼圈在眼后延伸成狭窄的眉纹（画眉的名称由此而来）。顶冠及颈背有偏黑色纵纹。虹膜－黄色；嘴－偏黄；脚－偏黄。主要栖息于海拔1500米以下的低山、丘陵和山脚平原地带的矮树丛和灌木丛中，也栖于林缘、农田、旷野、村落和城镇附近小树丛、竹林及庭园内。杂食性，但在繁殖季节嗜食昆虫，其中有很多是农林害虫，如蝗虫、蝽象、松毛虫以及多种蛾类幼虫等；在非繁殖季节以野果和草籽等为食，偶尔也啄食豌豆及玉米等幼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9）凤头麦鸡Vanellus vanellus</w:t>
      </w:r>
    </w:p>
    <w:p>
      <w:pPr>
        <w:spacing w:line="360" w:lineRule="auto"/>
        <w:ind w:firstLine="480" w:firstLineChars="200"/>
        <w:rPr>
          <w:rFonts w:ascii="Times New Roman" w:hAnsi="Times New Roman" w:cs="Times New Roman"/>
          <w:color w:val="FF0000"/>
          <w:sz w:val="24"/>
          <w:u w:val="single"/>
        </w:rPr>
      </w:pPr>
      <w:r>
        <w:rPr>
          <w:rFonts w:hint="eastAsia" w:ascii="Times New Roman" w:hAnsi="Times New Roman" w:eastAsia="宋体" w:cs="Times New Roman"/>
          <w:b w:val="0"/>
          <w:bCs/>
          <w:sz w:val="24"/>
          <w:szCs w:val="24"/>
          <w:u w:val="none" w:color="auto"/>
          <w:lang w:val="en-US" w:eastAsia="zh-CN"/>
        </w:rPr>
        <w:t>中型涉禽，体长29-34厘米。头顶具细长而稍向前弯的黑色冠羽，像突出于头顶的角，甚为醒目。鼻孔线形，位于鼻沟里。鼻沟的长度超过嘴长的一半。翅形圆。跗蹠修长，胫下部亦裸出。中趾最长，趾间具蹼或不具蹼，后趾形小或退化。翅形尖长，第1枚初级飞羽退化，形狭窄，甚短小；第2枚初级飞羽较第3枚长或者等长。三级飞羽特长。尾形短圆，尾羽12枚。栖息于低山丘陵、山脚平原和草原地带的湖泊、水塘、溪流和农田地带。春季最早于3月初至3月中旬即迁到东北繁殖地，秋季于9月中下旬迁离繁殖地。常成群活动，特别是冬季，常集成数十至数百只的大群。善飞行，常在空中上下翻飞，飞行速度较慢，两翅迟缓地扇动，飞行高度亦不高。有时亦栖息于水边或草地上，当人接近时，伸颈注视，发现有危险则立即起飞。主要吃甲虫、鞘翅目、鳞翅目昆虫、金花虫、天牛幼虫、蚂蚁、石蛾、蝼蛄等昆虫和幼虫，也吃虾、蜗牛、螺、蚯蚓等小型无脊椎动物和大量杂草种子及植物嫩叶。</w:t>
      </w:r>
    </w:p>
    <w:p>
      <w:pPr>
        <w:autoSpaceDE/>
        <w:autoSpaceDN/>
        <w:adjustRightInd w:val="0"/>
        <w:snapToGrid w:val="0"/>
        <w:spacing w:line="360" w:lineRule="auto"/>
        <w:jc w:val="both"/>
        <w:outlineLvl w:val="2"/>
        <w:rPr>
          <w:rFonts w:ascii="Times New Roman" w:hAnsi="Times New Roman" w:cs="Times New Roman"/>
          <w:b/>
          <w:color w:val="auto"/>
          <w:sz w:val="28"/>
          <w:szCs w:val="24"/>
          <w:u w:val="none"/>
        </w:rPr>
      </w:pPr>
      <w:bookmarkStart w:id="265" w:name="_Toc69284614"/>
      <w:bookmarkStart w:id="266" w:name="_Toc16972"/>
      <w:bookmarkStart w:id="267" w:name="_Toc82593161"/>
      <w:bookmarkStart w:id="268" w:name="_Toc66206088"/>
      <w:r>
        <w:rPr>
          <w:rFonts w:ascii="Times New Roman" w:hAnsi="Times New Roman" w:cs="Times New Roman"/>
          <w:b/>
          <w:color w:val="auto"/>
          <w:sz w:val="28"/>
          <w:szCs w:val="24"/>
          <w:u w:val="none"/>
        </w:rPr>
        <w:t>4.</w:t>
      </w:r>
      <w:r>
        <w:rPr>
          <w:rFonts w:hint="eastAsia" w:ascii="Times New Roman" w:hAnsi="Times New Roman" w:cs="Times New Roman"/>
          <w:b/>
          <w:color w:val="auto"/>
          <w:sz w:val="28"/>
          <w:szCs w:val="24"/>
          <w:u w:val="none"/>
          <w:lang w:val="en-US" w:eastAsia="zh-CN"/>
        </w:rPr>
        <w:t>5</w:t>
      </w:r>
      <w:r>
        <w:rPr>
          <w:rFonts w:ascii="Times New Roman" w:hAnsi="Times New Roman" w:cs="Times New Roman"/>
          <w:b/>
          <w:color w:val="auto"/>
          <w:sz w:val="28"/>
          <w:szCs w:val="24"/>
          <w:u w:val="none"/>
        </w:rPr>
        <w:t>.3水生资源调查</w:t>
      </w:r>
      <w:bookmarkEnd w:id="265"/>
      <w:bookmarkEnd w:id="266"/>
      <w:bookmarkEnd w:id="267"/>
      <w:bookmarkEnd w:id="268"/>
    </w:p>
    <w:p>
      <w:pPr>
        <w:spacing w:line="360" w:lineRule="auto"/>
        <w:ind w:firstLine="480" w:firstLineChars="200"/>
        <w:jc w:val="both"/>
        <w:rPr>
          <w:rFonts w:hint="eastAsia" w:ascii="Times New Roman" w:hAnsi="Times New Roman" w:cs="Times New Roman"/>
          <w:color w:val="auto"/>
          <w:sz w:val="24"/>
          <w:u w:val="none"/>
          <w:lang w:val="en-US" w:eastAsia="zh-CN"/>
        </w:rPr>
      </w:pPr>
      <w:r>
        <w:rPr>
          <w:rFonts w:hint="eastAsia" w:ascii="Times New Roman" w:hAnsi="Times New Roman" w:cs="Times New Roman"/>
          <w:color w:val="auto"/>
          <w:sz w:val="24"/>
          <w:u w:val="none"/>
          <w:lang w:val="en-US" w:eastAsia="zh-CN"/>
        </w:rPr>
        <w:t>1、调查内容</w:t>
      </w:r>
    </w:p>
    <w:p>
      <w:pPr>
        <w:spacing w:line="360" w:lineRule="auto"/>
        <w:ind w:firstLine="480" w:firstLineChars="200"/>
        <w:rPr>
          <w:rFonts w:hint="eastAsia"/>
          <w:color w:val="auto"/>
          <w:sz w:val="24"/>
          <w:u w:val="none"/>
        </w:rPr>
      </w:pPr>
      <w:r>
        <w:rPr>
          <w:rFonts w:hint="eastAsia"/>
          <w:color w:val="auto"/>
          <w:sz w:val="24"/>
          <w:u w:val="none"/>
          <w:lang w:val="en-US" w:eastAsia="zh-CN"/>
        </w:rPr>
        <w:t>①</w:t>
      </w:r>
      <w:r>
        <w:rPr>
          <w:rFonts w:hint="eastAsia"/>
          <w:color w:val="auto"/>
          <w:sz w:val="24"/>
          <w:u w:val="none"/>
        </w:rPr>
        <w:t>浮游生物</w:t>
      </w:r>
    </w:p>
    <w:p>
      <w:pPr>
        <w:spacing w:line="360" w:lineRule="auto"/>
        <w:ind w:firstLine="480" w:firstLineChars="200"/>
        <w:rPr>
          <w:rFonts w:hint="eastAsia"/>
          <w:color w:val="auto"/>
          <w:sz w:val="24"/>
          <w:u w:val="none"/>
        </w:rPr>
      </w:pPr>
      <w:r>
        <w:rPr>
          <w:rFonts w:hint="eastAsia" w:ascii="Calibri" w:hAnsi="Calibri" w:cs="Calibri"/>
          <w:color w:val="auto"/>
          <w:sz w:val="24"/>
          <w:u w:val="none"/>
          <w:lang w:val="en-US" w:eastAsia="zh-CN"/>
        </w:rPr>
        <w:t>A、</w:t>
      </w:r>
      <w:r>
        <w:rPr>
          <w:rFonts w:hint="eastAsia"/>
          <w:color w:val="auto"/>
          <w:sz w:val="24"/>
          <w:u w:val="none"/>
        </w:rPr>
        <w:t>浮游植物</w:t>
      </w:r>
    </w:p>
    <w:p>
      <w:pPr>
        <w:spacing w:line="360" w:lineRule="auto"/>
        <w:ind w:firstLine="480" w:firstLineChars="200"/>
        <w:rPr>
          <w:color w:val="000000"/>
          <w:sz w:val="24"/>
        </w:rPr>
      </w:pPr>
      <w:r>
        <w:rPr>
          <w:rFonts w:hint="eastAsia"/>
          <w:color w:val="000000"/>
          <w:sz w:val="24"/>
        </w:rPr>
        <w:t>a种类组成</w:t>
      </w:r>
    </w:p>
    <w:p>
      <w:pPr>
        <w:widowControl/>
        <w:spacing w:line="360" w:lineRule="auto"/>
        <w:ind w:firstLine="480" w:firstLineChars="200"/>
        <w:jc w:val="left"/>
        <w:rPr>
          <w:rFonts w:hint="eastAsia" w:hAnsi="宋体"/>
          <w:bCs/>
          <w:sz w:val="24"/>
        </w:rPr>
      </w:pPr>
      <w:r>
        <w:rPr>
          <w:rFonts w:hint="eastAsia"/>
          <w:color w:val="000000"/>
          <w:sz w:val="24"/>
        </w:rPr>
        <w:t>根据调查资料和相关的资料，</w:t>
      </w:r>
      <w:r>
        <w:rPr>
          <w:rFonts w:hint="eastAsia" w:hAnsi="宋体"/>
          <w:bCs/>
          <w:sz w:val="24"/>
        </w:rPr>
        <w:t>浮游藻类植物7门46种（属）。其中硅藻门种类最多，为26种（属），占藻类总数的27.7</w:t>
      </w:r>
      <w:r>
        <w:rPr>
          <w:rFonts w:hAnsi="宋体"/>
          <w:bCs/>
          <w:sz w:val="24"/>
        </w:rPr>
        <w:t>%</w:t>
      </w:r>
      <w:r>
        <w:rPr>
          <w:rFonts w:hint="eastAsia" w:hAnsi="宋体"/>
          <w:bCs/>
          <w:sz w:val="24"/>
        </w:rPr>
        <w:t>；绿藻门</w:t>
      </w:r>
      <w:r>
        <w:rPr>
          <w:rFonts w:hAnsi="宋体"/>
          <w:bCs/>
          <w:sz w:val="24"/>
        </w:rPr>
        <w:t>13</w:t>
      </w:r>
      <w:r>
        <w:rPr>
          <w:rFonts w:hint="eastAsia" w:hAnsi="宋体"/>
          <w:bCs/>
          <w:sz w:val="24"/>
        </w:rPr>
        <w:t>种（属），占37.5</w:t>
      </w:r>
      <w:r>
        <w:rPr>
          <w:rFonts w:hAnsi="宋体"/>
          <w:bCs/>
          <w:sz w:val="24"/>
        </w:rPr>
        <w:t>%</w:t>
      </w:r>
      <w:r>
        <w:rPr>
          <w:rFonts w:hint="eastAsia" w:hAnsi="宋体"/>
          <w:bCs/>
          <w:sz w:val="24"/>
        </w:rPr>
        <w:t>；蓝藻门15种（属），占21.7</w:t>
      </w:r>
      <w:r>
        <w:rPr>
          <w:rFonts w:hAnsi="宋体"/>
          <w:bCs/>
          <w:sz w:val="24"/>
        </w:rPr>
        <w:t>%</w:t>
      </w:r>
      <w:r>
        <w:rPr>
          <w:rFonts w:hint="eastAsia" w:hAnsi="宋体"/>
          <w:bCs/>
          <w:sz w:val="24"/>
        </w:rPr>
        <w:t>；</w:t>
      </w:r>
      <w:r>
        <w:rPr>
          <w:rFonts w:hint="eastAsia" w:ascii="宋体" w:hAnsi="宋体" w:cs="宋体"/>
          <w:color w:val="000000"/>
          <w:kern w:val="0"/>
          <w:sz w:val="24"/>
          <w:lang w:bidi="ar"/>
        </w:rPr>
        <w:t>甲藻门、隐藻门各</w:t>
      </w:r>
      <w:r>
        <w:rPr>
          <w:color w:val="000000"/>
          <w:kern w:val="0"/>
          <w:sz w:val="24"/>
          <w:lang w:bidi="ar"/>
        </w:rPr>
        <w:t>2</w:t>
      </w:r>
      <w:r>
        <w:rPr>
          <w:rFonts w:hint="eastAsia" w:ascii="宋体" w:hAnsi="宋体" w:cs="宋体"/>
          <w:color w:val="000000"/>
          <w:kern w:val="0"/>
          <w:sz w:val="24"/>
          <w:lang w:bidi="ar"/>
        </w:rPr>
        <w:t>属</w:t>
      </w:r>
      <w:r>
        <w:rPr>
          <w:color w:val="000000"/>
          <w:kern w:val="0"/>
          <w:sz w:val="24"/>
          <w:lang w:bidi="ar"/>
        </w:rPr>
        <w:t>3</w:t>
      </w:r>
      <w:r>
        <w:rPr>
          <w:rFonts w:hint="eastAsia" w:ascii="宋体" w:hAnsi="宋体" w:cs="宋体"/>
          <w:color w:val="000000"/>
          <w:kern w:val="0"/>
          <w:sz w:val="24"/>
          <w:lang w:bidi="ar"/>
        </w:rPr>
        <w:t>种</w:t>
      </w:r>
      <w:r>
        <w:rPr>
          <w:rFonts w:hint="eastAsia" w:hAnsi="宋体"/>
          <w:bCs/>
          <w:sz w:val="24"/>
        </w:rPr>
        <w:t>，占4.3</w:t>
      </w:r>
      <w:r>
        <w:rPr>
          <w:rFonts w:hAnsi="宋体"/>
          <w:bCs/>
          <w:sz w:val="24"/>
        </w:rPr>
        <w:t>%</w:t>
      </w:r>
      <w:r>
        <w:rPr>
          <w:rFonts w:hint="eastAsia" w:hAnsi="宋体"/>
          <w:bCs/>
          <w:sz w:val="24"/>
        </w:rPr>
        <w:t>，</w:t>
      </w:r>
      <w:r>
        <w:rPr>
          <w:rFonts w:hint="eastAsia" w:ascii="宋体" w:hAnsi="宋体" w:cs="宋体"/>
          <w:color w:val="000000"/>
          <w:kern w:val="0"/>
          <w:sz w:val="24"/>
          <w:lang w:bidi="ar"/>
        </w:rPr>
        <w:t>裸藻门</w:t>
      </w:r>
      <w:r>
        <w:rPr>
          <w:color w:val="000000"/>
          <w:kern w:val="0"/>
          <w:sz w:val="24"/>
          <w:lang w:bidi="ar"/>
        </w:rPr>
        <w:t>2</w:t>
      </w:r>
      <w:r>
        <w:rPr>
          <w:rFonts w:hint="eastAsia" w:ascii="宋体" w:hAnsi="宋体" w:cs="宋体"/>
          <w:color w:val="000000"/>
          <w:kern w:val="0"/>
          <w:sz w:val="24"/>
          <w:lang w:bidi="ar"/>
        </w:rPr>
        <w:t>属</w:t>
      </w:r>
      <w:r>
        <w:rPr>
          <w:color w:val="000000"/>
          <w:kern w:val="0"/>
          <w:sz w:val="24"/>
          <w:lang w:bidi="ar"/>
        </w:rPr>
        <w:t>2</w:t>
      </w:r>
      <w:r>
        <w:rPr>
          <w:rFonts w:hint="eastAsia" w:ascii="宋体" w:hAnsi="宋体" w:cs="宋体"/>
          <w:color w:val="000000"/>
          <w:kern w:val="0"/>
          <w:sz w:val="24"/>
          <w:lang w:bidi="ar"/>
        </w:rPr>
        <w:t>种，占总数的</w:t>
      </w:r>
      <w:r>
        <w:rPr>
          <w:color w:val="000000"/>
          <w:kern w:val="0"/>
          <w:sz w:val="24"/>
          <w:lang w:bidi="ar"/>
        </w:rPr>
        <w:t>2.9%</w:t>
      </w:r>
      <w:r>
        <w:rPr>
          <w:rFonts w:hint="eastAsia" w:ascii="宋体" w:hAnsi="宋体" w:cs="宋体"/>
          <w:color w:val="000000"/>
          <w:kern w:val="0"/>
          <w:sz w:val="24"/>
          <w:lang w:bidi="ar"/>
        </w:rPr>
        <w:t>； 黄藻门最少，</w:t>
      </w:r>
      <w:r>
        <w:rPr>
          <w:color w:val="000000"/>
          <w:kern w:val="0"/>
          <w:sz w:val="24"/>
          <w:lang w:bidi="ar"/>
        </w:rPr>
        <w:t>1</w:t>
      </w:r>
      <w:r>
        <w:rPr>
          <w:rFonts w:hint="eastAsia" w:ascii="宋体" w:hAnsi="宋体" w:cs="宋体"/>
          <w:color w:val="000000"/>
          <w:kern w:val="0"/>
          <w:sz w:val="24"/>
          <w:lang w:bidi="ar"/>
        </w:rPr>
        <w:t>属</w:t>
      </w:r>
      <w:r>
        <w:rPr>
          <w:color w:val="000000"/>
          <w:kern w:val="0"/>
          <w:sz w:val="24"/>
          <w:lang w:bidi="ar"/>
        </w:rPr>
        <w:t>1</w:t>
      </w:r>
      <w:r>
        <w:rPr>
          <w:rFonts w:hint="eastAsia" w:ascii="宋体" w:hAnsi="宋体" w:cs="宋体"/>
          <w:color w:val="000000"/>
          <w:kern w:val="0"/>
          <w:sz w:val="24"/>
          <w:lang w:bidi="ar"/>
        </w:rPr>
        <w:t>种，占总数的</w:t>
      </w:r>
      <w:r>
        <w:rPr>
          <w:color w:val="000000"/>
          <w:kern w:val="0"/>
          <w:sz w:val="24"/>
          <w:lang w:bidi="ar"/>
        </w:rPr>
        <w:t>1.4%</w:t>
      </w:r>
      <w:r>
        <w:rPr>
          <w:rFonts w:hint="eastAsia" w:hAnsi="宋体"/>
          <w:bCs/>
          <w:sz w:val="24"/>
        </w:rPr>
        <w:t>。评价区常见常见的优势种有硅藻门的中型脆杆藻（Fragilaria capucina）、肘状针杆藻（Synedra ulna）、变异直链藻（Melosira varians），隐藻门的 啮噬隐藻（Cryptomons erosa）、蓝藻门颤藻（Oscillatoria oscillatoria）、甲藻门的埃尔 多甲藻（Peridinium elpatiewskyi）、绿藻门的单角盘星藻（Pediastrum simplex）。</w:t>
      </w:r>
    </w:p>
    <w:p>
      <w:pPr>
        <w:adjustRightInd w:val="0"/>
        <w:snapToGrid w:val="0"/>
        <w:jc w:val="center"/>
        <w:rPr>
          <w:rFonts w:hint="eastAsia" w:hAnsi="宋体"/>
          <w:b/>
          <w:bCs/>
          <w:szCs w:val="21"/>
        </w:rPr>
      </w:pPr>
      <w:r>
        <w:rPr>
          <w:rFonts w:hAnsi="宋体"/>
          <w:b/>
          <w:bCs/>
          <w:szCs w:val="21"/>
        </w:rPr>
        <w:t>表</w:t>
      </w:r>
      <w:r>
        <w:rPr>
          <w:rFonts w:hint="eastAsia" w:hAnsi="宋体"/>
          <w:b/>
          <w:bCs/>
          <w:szCs w:val="21"/>
        </w:rPr>
        <w:t xml:space="preserve">3-7 </w:t>
      </w:r>
      <w:r>
        <w:rPr>
          <w:rFonts w:hAnsi="宋体"/>
          <w:b/>
          <w:bCs/>
          <w:szCs w:val="21"/>
        </w:rPr>
        <w:t xml:space="preserve"> 各门藻类种类数及所占比例</w:t>
      </w:r>
    </w:p>
    <w:tbl>
      <w:tblPr>
        <w:tblStyle w:val="8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1073"/>
        <w:gridCol w:w="895"/>
        <w:gridCol w:w="895"/>
        <w:gridCol w:w="881"/>
        <w:gridCol w:w="881"/>
        <w:gridCol w:w="965"/>
        <w:gridCol w:w="870"/>
        <w:gridCol w:w="8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tcBorders>
              <w:tl2br w:val="nil"/>
              <w:tr2bl w:val="nil"/>
            </w:tcBorders>
            <w:noWrap w:val="0"/>
            <w:vAlign w:val="center"/>
          </w:tcPr>
          <w:p>
            <w:pPr>
              <w:adjustRightInd w:val="0"/>
              <w:snapToGrid w:val="0"/>
              <w:jc w:val="center"/>
              <w:rPr>
                <w:b/>
                <w:bCs/>
                <w:szCs w:val="21"/>
              </w:rPr>
            </w:pPr>
            <w:r>
              <w:rPr>
                <w:rFonts w:hAnsi="宋体"/>
                <w:b/>
                <w:bCs/>
                <w:szCs w:val="21"/>
              </w:rPr>
              <w:t>类别</w:t>
            </w:r>
          </w:p>
        </w:tc>
        <w:tc>
          <w:tcPr>
            <w:tcW w:w="1073" w:type="dxa"/>
            <w:tcBorders>
              <w:tl2br w:val="nil"/>
              <w:tr2bl w:val="nil"/>
            </w:tcBorders>
            <w:noWrap w:val="0"/>
            <w:vAlign w:val="center"/>
          </w:tcPr>
          <w:p>
            <w:pPr>
              <w:adjustRightInd w:val="0"/>
              <w:snapToGrid w:val="0"/>
              <w:jc w:val="center"/>
              <w:rPr>
                <w:b/>
                <w:bCs/>
                <w:szCs w:val="21"/>
              </w:rPr>
            </w:pPr>
            <w:r>
              <w:rPr>
                <w:rFonts w:hAnsi="宋体"/>
                <w:b/>
                <w:bCs/>
                <w:szCs w:val="21"/>
              </w:rPr>
              <w:t>绿藻门</w:t>
            </w:r>
          </w:p>
        </w:tc>
        <w:tc>
          <w:tcPr>
            <w:tcW w:w="895" w:type="dxa"/>
            <w:tcBorders>
              <w:tl2br w:val="nil"/>
              <w:tr2bl w:val="nil"/>
            </w:tcBorders>
            <w:noWrap w:val="0"/>
            <w:vAlign w:val="center"/>
          </w:tcPr>
          <w:p>
            <w:pPr>
              <w:adjustRightInd w:val="0"/>
              <w:snapToGrid w:val="0"/>
              <w:jc w:val="center"/>
              <w:rPr>
                <w:b/>
                <w:bCs/>
                <w:szCs w:val="21"/>
              </w:rPr>
            </w:pPr>
            <w:r>
              <w:rPr>
                <w:rFonts w:hAnsi="宋体"/>
                <w:b/>
                <w:bCs/>
                <w:szCs w:val="21"/>
              </w:rPr>
              <w:t>硅藻门</w:t>
            </w:r>
          </w:p>
        </w:tc>
        <w:tc>
          <w:tcPr>
            <w:tcW w:w="895" w:type="dxa"/>
            <w:tcBorders>
              <w:tl2br w:val="nil"/>
              <w:tr2bl w:val="nil"/>
            </w:tcBorders>
            <w:noWrap w:val="0"/>
            <w:vAlign w:val="center"/>
          </w:tcPr>
          <w:p>
            <w:pPr>
              <w:adjustRightInd w:val="0"/>
              <w:snapToGrid w:val="0"/>
              <w:jc w:val="center"/>
              <w:rPr>
                <w:b/>
                <w:bCs/>
                <w:szCs w:val="21"/>
              </w:rPr>
            </w:pPr>
            <w:r>
              <w:rPr>
                <w:rFonts w:hAnsi="宋体"/>
                <w:b/>
                <w:bCs/>
                <w:szCs w:val="21"/>
              </w:rPr>
              <w:t>蓝藻门</w:t>
            </w:r>
          </w:p>
        </w:tc>
        <w:tc>
          <w:tcPr>
            <w:tcW w:w="881" w:type="dxa"/>
            <w:tcBorders>
              <w:tl2br w:val="nil"/>
              <w:tr2bl w:val="nil"/>
            </w:tcBorders>
            <w:noWrap w:val="0"/>
            <w:vAlign w:val="center"/>
          </w:tcPr>
          <w:p>
            <w:pPr>
              <w:adjustRightInd w:val="0"/>
              <w:snapToGrid w:val="0"/>
              <w:jc w:val="center"/>
              <w:rPr>
                <w:rFonts w:hAnsi="宋体"/>
                <w:b/>
                <w:bCs/>
                <w:szCs w:val="21"/>
              </w:rPr>
            </w:pPr>
            <w:r>
              <w:rPr>
                <w:rFonts w:hint="eastAsia" w:hAnsi="宋体"/>
                <w:b/>
                <w:bCs/>
                <w:szCs w:val="21"/>
              </w:rPr>
              <w:t>甲</w:t>
            </w:r>
            <w:r>
              <w:rPr>
                <w:rFonts w:hAnsi="宋体"/>
                <w:b/>
                <w:bCs/>
                <w:szCs w:val="21"/>
              </w:rPr>
              <w:t>藻门</w:t>
            </w:r>
          </w:p>
        </w:tc>
        <w:tc>
          <w:tcPr>
            <w:tcW w:w="881" w:type="dxa"/>
            <w:tcBorders>
              <w:tl2br w:val="nil"/>
              <w:tr2bl w:val="nil"/>
            </w:tcBorders>
            <w:noWrap w:val="0"/>
            <w:vAlign w:val="center"/>
          </w:tcPr>
          <w:p>
            <w:pPr>
              <w:adjustRightInd w:val="0"/>
              <w:snapToGrid w:val="0"/>
              <w:jc w:val="center"/>
              <w:rPr>
                <w:rFonts w:hint="eastAsia" w:hAnsi="宋体"/>
                <w:b/>
                <w:bCs/>
                <w:szCs w:val="21"/>
              </w:rPr>
            </w:pPr>
            <w:r>
              <w:rPr>
                <w:rFonts w:hint="eastAsia" w:hAnsi="宋体"/>
                <w:b/>
                <w:bCs/>
                <w:szCs w:val="21"/>
              </w:rPr>
              <w:t>黄藻门</w:t>
            </w:r>
          </w:p>
        </w:tc>
        <w:tc>
          <w:tcPr>
            <w:tcW w:w="965" w:type="dxa"/>
            <w:tcBorders>
              <w:tl2br w:val="nil"/>
              <w:tr2bl w:val="nil"/>
            </w:tcBorders>
            <w:noWrap w:val="0"/>
            <w:vAlign w:val="center"/>
          </w:tcPr>
          <w:p>
            <w:pPr>
              <w:adjustRightInd w:val="0"/>
              <w:snapToGrid w:val="0"/>
              <w:jc w:val="center"/>
              <w:rPr>
                <w:b/>
                <w:bCs/>
                <w:szCs w:val="21"/>
              </w:rPr>
            </w:pPr>
            <w:r>
              <w:rPr>
                <w:rFonts w:hAnsi="宋体"/>
                <w:b/>
                <w:bCs/>
                <w:szCs w:val="21"/>
              </w:rPr>
              <w:t>裸藻门</w:t>
            </w:r>
          </w:p>
        </w:tc>
        <w:tc>
          <w:tcPr>
            <w:tcW w:w="870" w:type="dxa"/>
            <w:tcBorders>
              <w:tl2br w:val="nil"/>
              <w:tr2bl w:val="nil"/>
            </w:tcBorders>
            <w:noWrap w:val="0"/>
            <w:vAlign w:val="center"/>
          </w:tcPr>
          <w:p>
            <w:pPr>
              <w:adjustRightInd w:val="0"/>
              <w:snapToGrid w:val="0"/>
              <w:jc w:val="center"/>
              <w:rPr>
                <w:rFonts w:hint="eastAsia" w:hAnsi="宋体"/>
                <w:b/>
                <w:bCs/>
                <w:szCs w:val="21"/>
              </w:rPr>
            </w:pPr>
            <w:r>
              <w:rPr>
                <w:rFonts w:hint="eastAsia" w:hAnsi="宋体"/>
                <w:b/>
                <w:bCs/>
                <w:szCs w:val="21"/>
              </w:rPr>
              <w:t>隐藻门</w:t>
            </w:r>
          </w:p>
        </w:tc>
        <w:tc>
          <w:tcPr>
            <w:tcW w:w="800" w:type="dxa"/>
            <w:tcBorders>
              <w:tl2br w:val="nil"/>
              <w:tr2bl w:val="nil"/>
            </w:tcBorders>
            <w:noWrap w:val="0"/>
            <w:vAlign w:val="center"/>
          </w:tcPr>
          <w:p>
            <w:pPr>
              <w:adjustRightInd w:val="0"/>
              <w:snapToGrid w:val="0"/>
              <w:jc w:val="center"/>
              <w:rPr>
                <w:b/>
                <w:bCs/>
                <w:szCs w:val="21"/>
              </w:rPr>
            </w:pPr>
            <w:r>
              <w:rPr>
                <w:rFonts w:hAnsi="宋体"/>
                <w:b/>
                <w:bCs/>
                <w:szCs w:val="21"/>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tcBorders>
              <w:tl2br w:val="nil"/>
              <w:tr2bl w:val="nil"/>
            </w:tcBorders>
            <w:noWrap w:val="0"/>
            <w:vAlign w:val="center"/>
          </w:tcPr>
          <w:p>
            <w:pPr>
              <w:adjustRightInd w:val="0"/>
              <w:snapToGrid w:val="0"/>
              <w:jc w:val="center"/>
              <w:rPr>
                <w:bCs/>
                <w:szCs w:val="21"/>
              </w:rPr>
            </w:pPr>
            <w:r>
              <w:rPr>
                <w:rFonts w:hAnsi="宋体"/>
                <w:bCs/>
                <w:szCs w:val="21"/>
              </w:rPr>
              <w:t>种类数</w:t>
            </w:r>
          </w:p>
        </w:tc>
        <w:tc>
          <w:tcPr>
            <w:tcW w:w="1073" w:type="dxa"/>
            <w:tcBorders>
              <w:tl2br w:val="nil"/>
              <w:tr2bl w:val="nil"/>
            </w:tcBorders>
            <w:noWrap w:val="0"/>
            <w:vAlign w:val="center"/>
          </w:tcPr>
          <w:p>
            <w:pPr>
              <w:adjustRightInd w:val="0"/>
              <w:snapToGrid w:val="0"/>
              <w:jc w:val="center"/>
              <w:rPr>
                <w:bCs/>
                <w:szCs w:val="21"/>
              </w:rPr>
            </w:pPr>
            <w:r>
              <w:rPr>
                <w:rFonts w:hint="eastAsia"/>
                <w:bCs/>
                <w:szCs w:val="21"/>
              </w:rPr>
              <w:t>19</w:t>
            </w:r>
          </w:p>
        </w:tc>
        <w:tc>
          <w:tcPr>
            <w:tcW w:w="895" w:type="dxa"/>
            <w:tcBorders>
              <w:tl2br w:val="nil"/>
              <w:tr2bl w:val="nil"/>
            </w:tcBorders>
            <w:noWrap w:val="0"/>
            <w:vAlign w:val="center"/>
          </w:tcPr>
          <w:p>
            <w:pPr>
              <w:adjustRightInd w:val="0"/>
              <w:snapToGrid w:val="0"/>
              <w:jc w:val="center"/>
              <w:rPr>
                <w:bCs/>
                <w:szCs w:val="21"/>
              </w:rPr>
            </w:pPr>
            <w:r>
              <w:rPr>
                <w:rFonts w:hint="eastAsia"/>
                <w:bCs/>
                <w:szCs w:val="21"/>
              </w:rPr>
              <w:t>26</w:t>
            </w:r>
          </w:p>
        </w:tc>
        <w:tc>
          <w:tcPr>
            <w:tcW w:w="895" w:type="dxa"/>
            <w:tcBorders>
              <w:tl2br w:val="nil"/>
              <w:tr2bl w:val="nil"/>
            </w:tcBorders>
            <w:noWrap w:val="0"/>
            <w:vAlign w:val="center"/>
          </w:tcPr>
          <w:p>
            <w:pPr>
              <w:adjustRightInd w:val="0"/>
              <w:snapToGrid w:val="0"/>
              <w:jc w:val="center"/>
              <w:rPr>
                <w:bCs/>
                <w:szCs w:val="21"/>
              </w:rPr>
            </w:pPr>
            <w:r>
              <w:rPr>
                <w:rFonts w:hint="eastAsia"/>
                <w:bCs/>
                <w:szCs w:val="21"/>
              </w:rPr>
              <w:t>15</w:t>
            </w:r>
          </w:p>
        </w:tc>
        <w:tc>
          <w:tcPr>
            <w:tcW w:w="881" w:type="dxa"/>
            <w:tcBorders>
              <w:tl2br w:val="nil"/>
              <w:tr2bl w:val="nil"/>
            </w:tcBorders>
            <w:noWrap w:val="0"/>
            <w:vAlign w:val="center"/>
          </w:tcPr>
          <w:p>
            <w:pPr>
              <w:adjustRightInd w:val="0"/>
              <w:snapToGrid w:val="0"/>
              <w:jc w:val="center"/>
              <w:rPr>
                <w:bCs/>
                <w:szCs w:val="21"/>
              </w:rPr>
            </w:pPr>
            <w:r>
              <w:rPr>
                <w:rFonts w:hint="eastAsia"/>
                <w:bCs/>
                <w:szCs w:val="21"/>
              </w:rPr>
              <w:t>3</w:t>
            </w:r>
          </w:p>
        </w:tc>
        <w:tc>
          <w:tcPr>
            <w:tcW w:w="881" w:type="dxa"/>
            <w:tcBorders>
              <w:tl2br w:val="nil"/>
              <w:tr2bl w:val="nil"/>
            </w:tcBorders>
            <w:noWrap w:val="0"/>
            <w:vAlign w:val="center"/>
          </w:tcPr>
          <w:p>
            <w:pPr>
              <w:adjustRightInd w:val="0"/>
              <w:snapToGrid w:val="0"/>
              <w:jc w:val="center"/>
              <w:rPr>
                <w:bCs/>
                <w:szCs w:val="21"/>
              </w:rPr>
            </w:pPr>
            <w:r>
              <w:rPr>
                <w:rFonts w:hint="eastAsia"/>
                <w:bCs/>
                <w:szCs w:val="21"/>
              </w:rPr>
              <w:t>1</w:t>
            </w:r>
          </w:p>
        </w:tc>
        <w:tc>
          <w:tcPr>
            <w:tcW w:w="965" w:type="dxa"/>
            <w:tcBorders>
              <w:tl2br w:val="nil"/>
              <w:tr2bl w:val="nil"/>
            </w:tcBorders>
            <w:noWrap w:val="0"/>
            <w:vAlign w:val="center"/>
          </w:tcPr>
          <w:p>
            <w:pPr>
              <w:adjustRightInd w:val="0"/>
              <w:snapToGrid w:val="0"/>
              <w:jc w:val="center"/>
              <w:rPr>
                <w:rFonts w:hint="eastAsia"/>
                <w:bCs/>
                <w:szCs w:val="21"/>
              </w:rPr>
            </w:pPr>
            <w:r>
              <w:rPr>
                <w:rFonts w:hint="eastAsia"/>
                <w:bCs/>
                <w:szCs w:val="21"/>
              </w:rPr>
              <w:t>2</w:t>
            </w:r>
          </w:p>
        </w:tc>
        <w:tc>
          <w:tcPr>
            <w:tcW w:w="870" w:type="dxa"/>
            <w:tcBorders>
              <w:tl2br w:val="nil"/>
              <w:tr2bl w:val="nil"/>
            </w:tcBorders>
            <w:noWrap w:val="0"/>
            <w:vAlign w:val="center"/>
          </w:tcPr>
          <w:p>
            <w:pPr>
              <w:adjustRightInd w:val="0"/>
              <w:snapToGrid w:val="0"/>
              <w:jc w:val="center"/>
              <w:rPr>
                <w:bCs/>
                <w:szCs w:val="21"/>
              </w:rPr>
            </w:pPr>
            <w:r>
              <w:rPr>
                <w:rFonts w:hint="eastAsia"/>
                <w:bCs/>
                <w:szCs w:val="21"/>
              </w:rPr>
              <w:t>3</w:t>
            </w:r>
          </w:p>
        </w:tc>
        <w:tc>
          <w:tcPr>
            <w:tcW w:w="800" w:type="dxa"/>
            <w:tcBorders>
              <w:tl2br w:val="nil"/>
              <w:tr2bl w:val="nil"/>
            </w:tcBorders>
            <w:noWrap w:val="0"/>
            <w:vAlign w:val="center"/>
          </w:tcPr>
          <w:p>
            <w:pPr>
              <w:adjustRightInd w:val="0"/>
              <w:snapToGrid w:val="0"/>
              <w:jc w:val="center"/>
              <w:rPr>
                <w:bCs/>
                <w:szCs w:val="21"/>
              </w:rPr>
            </w:pPr>
            <w:r>
              <w:rPr>
                <w:rFonts w:hint="eastAsia"/>
                <w:bCs/>
                <w:szCs w:val="21"/>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tcBorders>
              <w:tl2br w:val="nil"/>
              <w:tr2bl w:val="nil"/>
            </w:tcBorders>
            <w:noWrap w:val="0"/>
            <w:vAlign w:val="center"/>
          </w:tcPr>
          <w:p>
            <w:pPr>
              <w:adjustRightInd w:val="0"/>
              <w:snapToGrid w:val="0"/>
              <w:jc w:val="center"/>
              <w:rPr>
                <w:bCs/>
                <w:szCs w:val="21"/>
              </w:rPr>
            </w:pPr>
            <w:r>
              <w:rPr>
                <w:rFonts w:hAnsi="宋体"/>
                <w:bCs/>
                <w:szCs w:val="21"/>
              </w:rPr>
              <w:t>比例（</w:t>
            </w:r>
            <w:r>
              <w:rPr>
                <w:bCs/>
                <w:szCs w:val="21"/>
              </w:rPr>
              <w:t>%</w:t>
            </w:r>
            <w:r>
              <w:rPr>
                <w:rFonts w:hAnsi="宋体"/>
                <w:bCs/>
                <w:szCs w:val="21"/>
              </w:rPr>
              <w:t>）</w:t>
            </w:r>
          </w:p>
        </w:tc>
        <w:tc>
          <w:tcPr>
            <w:tcW w:w="1073" w:type="dxa"/>
            <w:tcBorders>
              <w:tl2br w:val="nil"/>
              <w:tr2bl w:val="nil"/>
            </w:tcBorders>
            <w:noWrap w:val="0"/>
            <w:vAlign w:val="center"/>
          </w:tcPr>
          <w:p>
            <w:pPr>
              <w:adjustRightInd w:val="0"/>
              <w:snapToGrid w:val="0"/>
              <w:jc w:val="center"/>
              <w:rPr>
                <w:bCs/>
                <w:szCs w:val="21"/>
              </w:rPr>
            </w:pPr>
            <w:r>
              <w:rPr>
                <w:rFonts w:hint="eastAsia"/>
                <w:bCs/>
                <w:szCs w:val="21"/>
              </w:rPr>
              <w:t>27.5</w:t>
            </w:r>
          </w:p>
        </w:tc>
        <w:tc>
          <w:tcPr>
            <w:tcW w:w="895" w:type="dxa"/>
            <w:tcBorders>
              <w:tl2br w:val="nil"/>
              <w:tr2bl w:val="nil"/>
            </w:tcBorders>
            <w:noWrap w:val="0"/>
            <w:vAlign w:val="center"/>
          </w:tcPr>
          <w:p>
            <w:pPr>
              <w:adjustRightInd w:val="0"/>
              <w:snapToGrid w:val="0"/>
              <w:jc w:val="center"/>
              <w:rPr>
                <w:bCs/>
                <w:szCs w:val="21"/>
              </w:rPr>
            </w:pPr>
            <w:r>
              <w:rPr>
                <w:rFonts w:hint="eastAsia"/>
                <w:bCs/>
                <w:szCs w:val="21"/>
              </w:rPr>
              <w:t>37.7</w:t>
            </w:r>
          </w:p>
        </w:tc>
        <w:tc>
          <w:tcPr>
            <w:tcW w:w="895" w:type="dxa"/>
            <w:tcBorders>
              <w:tl2br w:val="nil"/>
              <w:tr2bl w:val="nil"/>
            </w:tcBorders>
            <w:noWrap w:val="0"/>
            <w:vAlign w:val="center"/>
          </w:tcPr>
          <w:p>
            <w:pPr>
              <w:adjustRightInd w:val="0"/>
              <w:snapToGrid w:val="0"/>
              <w:jc w:val="center"/>
              <w:rPr>
                <w:bCs/>
                <w:szCs w:val="21"/>
              </w:rPr>
            </w:pPr>
            <w:r>
              <w:rPr>
                <w:rFonts w:hint="eastAsia"/>
                <w:bCs/>
                <w:szCs w:val="21"/>
              </w:rPr>
              <w:t>21.7</w:t>
            </w:r>
          </w:p>
        </w:tc>
        <w:tc>
          <w:tcPr>
            <w:tcW w:w="881" w:type="dxa"/>
            <w:tcBorders>
              <w:tl2br w:val="nil"/>
              <w:tr2bl w:val="nil"/>
            </w:tcBorders>
            <w:noWrap w:val="0"/>
            <w:vAlign w:val="center"/>
          </w:tcPr>
          <w:p>
            <w:pPr>
              <w:adjustRightInd w:val="0"/>
              <w:snapToGrid w:val="0"/>
              <w:jc w:val="center"/>
              <w:rPr>
                <w:bCs/>
                <w:szCs w:val="21"/>
              </w:rPr>
            </w:pPr>
            <w:r>
              <w:rPr>
                <w:rFonts w:hint="eastAsia"/>
                <w:bCs/>
                <w:szCs w:val="21"/>
              </w:rPr>
              <w:t>4.3</w:t>
            </w:r>
          </w:p>
        </w:tc>
        <w:tc>
          <w:tcPr>
            <w:tcW w:w="881" w:type="dxa"/>
            <w:tcBorders>
              <w:tl2br w:val="nil"/>
              <w:tr2bl w:val="nil"/>
            </w:tcBorders>
            <w:noWrap w:val="0"/>
            <w:vAlign w:val="center"/>
          </w:tcPr>
          <w:p>
            <w:pPr>
              <w:adjustRightInd w:val="0"/>
              <w:snapToGrid w:val="0"/>
              <w:jc w:val="center"/>
              <w:rPr>
                <w:bCs/>
                <w:szCs w:val="21"/>
              </w:rPr>
            </w:pPr>
            <w:r>
              <w:rPr>
                <w:rFonts w:hint="eastAsia"/>
                <w:bCs/>
                <w:szCs w:val="21"/>
              </w:rPr>
              <w:t>1.4</w:t>
            </w:r>
          </w:p>
        </w:tc>
        <w:tc>
          <w:tcPr>
            <w:tcW w:w="965" w:type="dxa"/>
            <w:tcBorders>
              <w:tl2br w:val="nil"/>
              <w:tr2bl w:val="nil"/>
            </w:tcBorders>
            <w:noWrap w:val="0"/>
            <w:vAlign w:val="center"/>
          </w:tcPr>
          <w:p>
            <w:pPr>
              <w:adjustRightInd w:val="0"/>
              <w:snapToGrid w:val="0"/>
              <w:jc w:val="center"/>
              <w:rPr>
                <w:bCs/>
                <w:szCs w:val="21"/>
              </w:rPr>
            </w:pPr>
            <w:r>
              <w:rPr>
                <w:rFonts w:hint="eastAsia"/>
                <w:bCs/>
                <w:szCs w:val="21"/>
              </w:rPr>
              <w:t>2.9</w:t>
            </w:r>
          </w:p>
        </w:tc>
        <w:tc>
          <w:tcPr>
            <w:tcW w:w="870" w:type="dxa"/>
            <w:tcBorders>
              <w:tl2br w:val="nil"/>
              <w:tr2bl w:val="nil"/>
            </w:tcBorders>
            <w:noWrap w:val="0"/>
            <w:vAlign w:val="center"/>
          </w:tcPr>
          <w:p>
            <w:pPr>
              <w:adjustRightInd w:val="0"/>
              <w:snapToGrid w:val="0"/>
              <w:jc w:val="center"/>
              <w:rPr>
                <w:bCs/>
                <w:szCs w:val="21"/>
              </w:rPr>
            </w:pPr>
            <w:r>
              <w:rPr>
                <w:rFonts w:hint="eastAsia"/>
                <w:bCs/>
                <w:szCs w:val="21"/>
              </w:rPr>
              <w:t>4.3</w:t>
            </w:r>
          </w:p>
        </w:tc>
        <w:tc>
          <w:tcPr>
            <w:tcW w:w="800" w:type="dxa"/>
            <w:tcBorders>
              <w:tl2br w:val="nil"/>
              <w:tr2bl w:val="nil"/>
            </w:tcBorders>
            <w:noWrap w:val="0"/>
            <w:vAlign w:val="center"/>
          </w:tcPr>
          <w:p>
            <w:pPr>
              <w:adjustRightInd w:val="0"/>
              <w:snapToGrid w:val="0"/>
              <w:jc w:val="center"/>
              <w:rPr>
                <w:bCs/>
                <w:szCs w:val="21"/>
              </w:rPr>
            </w:pPr>
            <w:r>
              <w:rPr>
                <w:bCs/>
                <w:szCs w:val="21"/>
              </w:rPr>
              <w:t>100</w:t>
            </w:r>
          </w:p>
        </w:tc>
      </w:tr>
    </w:tbl>
    <w:p>
      <w:pPr>
        <w:widowControl/>
        <w:spacing w:line="360" w:lineRule="auto"/>
        <w:ind w:firstLine="480" w:firstLineChars="200"/>
        <w:rPr>
          <w:color w:val="000000"/>
          <w:sz w:val="24"/>
        </w:rPr>
      </w:pPr>
      <w:r>
        <w:rPr>
          <w:rFonts w:hint="eastAsia"/>
          <w:color w:val="000000"/>
          <w:sz w:val="24"/>
        </w:rPr>
        <w:t>b密度和生物量</w:t>
      </w:r>
    </w:p>
    <w:p>
      <w:pPr>
        <w:adjustRightInd w:val="0"/>
        <w:snapToGrid w:val="0"/>
        <w:spacing w:line="360" w:lineRule="auto"/>
        <w:ind w:firstLine="480" w:firstLineChars="200"/>
        <w:rPr>
          <w:rFonts w:hint="eastAsia" w:hAnsi="宋体"/>
          <w:bCs/>
          <w:sz w:val="24"/>
        </w:rPr>
      </w:pPr>
      <w:r>
        <w:rPr>
          <w:rFonts w:hint="eastAsia" w:hAnsi="宋体"/>
          <w:bCs/>
          <w:sz w:val="24"/>
        </w:rPr>
        <w:t>评价区水体中浮游植物的平均密度为12.6</w:t>
      </w:r>
      <w:r>
        <w:rPr>
          <w:rFonts w:hint="default" w:ascii="Times New Roman" w:hAnsi="Times New Roman" w:cs="Times New Roman"/>
          <w:bCs/>
          <w:sz w:val="24"/>
        </w:rPr>
        <w:t>×</w:t>
      </w:r>
      <w:r>
        <w:rPr>
          <w:rFonts w:hAnsi="宋体"/>
          <w:bCs/>
          <w:sz w:val="24"/>
        </w:rPr>
        <w:t>10</w:t>
      </w:r>
      <w:r>
        <w:rPr>
          <w:rFonts w:hAnsi="宋体"/>
          <w:bCs/>
          <w:sz w:val="24"/>
          <w:vertAlign w:val="superscript"/>
        </w:rPr>
        <w:t>4</w:t>
      </w:r>
      <w:r>
        <w:rPr>
          <w:rFonts w:hAnsi="宋体"/>
          <w:bCs/>
          <w:sz w:val="24"/>
        </w:rPr>
        <w:t>ind./L</w:t>
      </w:r>
      <w:r>
        <w:rPr>
          <w:rFonts w:hint="eastAsia" w:hAnsi="宋体"/>
          <w:bCs/>
          <w:sz w:val="24"/>
        </w:rPr>
        <w:t>，其中松柏浮游 植物的平均密度最高为16.4</w:t>
      </w:r>
      <w:r>
        <w:rPr>
          <w:rFonts w:hint="default" w:ascii="Times New Roman" w:hAnsi="Times New Roman" w:cs="Times New Roman"/>
          <w:bCs/>
          <w:sz w:val="24"/>
        </w:rPr>
        <w:t>×</w:t>
      </w:r>
      <w:r>
        <w:rPr>
          <w:rFonts w:hAnsi="宋体"/>
          <w:bCs/>
          <w:sz w:val="24"/>
        </w:rPr>
        <w:t>10</w:t>
      </w:r>
      <w:r>
        <w:rPr>
          <w:rFonts w:hAnsi="宋体"/>
          <w:bCs/>
          <w:sz w:val="24"/>
          <w:vertAlign w:val="superscript"/>
        </w:rPr>
        <w:t>4</w:t>
      </w:r>
      <w:r>
        <w:rPr>
          <w:rFonts w:hint="eastAsia" w:hAnsi="宋体"/>
          <w:bCs/>
          <w:sz w:val="24"/>
        </w:rPr>
        <w:t>cells</w:t>
      </w:r>
      <w:r>
        <w:rPr>
          <w:rFonts w:hAnsi="宋体"/>
          <w:bCs/>
          <w:sz w:val="24"/>
        </w:rPr>
        <w:t>./L</w:t>
      </w:r>
      <w:r>
        <w:rPr>
          <w:rFonts w:hint="eastAsia" w:hAnsi="宋体"/>
          <w:bCs/>
          <w:sz w:val="24"/>
        </w:rPr>
        <w:t>；云集、蒸水河口上游2km、蒸水桥址次之，分别为 14.8×10</w:t>
      </w:r>
      <w:r>
        <w:rPr>
          <w:rFonts w:hint="eastAsia" w:hAnsi="宋体"/>
          <w:bCs/>
          <w:sz w:val="24"/>
          <w:vertAlign w:val="superscript"/>
        </w:rPr>
        <w:t>4</w:t>
      </w:r>
      <w:r>
        <w:rPr>
          <w:rFonts w:hint="eastAsia" w:hAnsi="宋体"/>
          <w:bCs/>
          <w:sz w:val="24"/>
        </w:rPr>
        <w:t>cells/L、11.5</w:t>
      </w:r>
      <w:r>
        <w:rPr>
          <w:rFonts w:hint="default" w:ascii="Times New Roman" w:hAnsi="Times New Roman" w:cs="Times New Roman"/>
          <w:bCs/>
          <w:sz w:val="24"/>
        </w:rPr>
        <w:t>×</w:t>
      </w:r>
      <w:r>
        <w:rPr>
          <w:rFonts w:hint="eastAsia" w:hAnsi="宋体"/>
          <w:bCs/>
          <w:sz w:val="24"/>
        </w:rPr>
        <w:t>10</w:t>
      </w:r>
      <w:r>
        <w:rPr>
          <w:rFonts w:hint="eastAsia" w:hAnsi="宋体"/>
          <w:bCs/>
          <w:sz w:val="24"/>
          <w:vertAlign w:val="superscript"/>
        </w:rPr>
        <w:t>4</w:t>
      </w:r>
      <w:r>
        <w:rPr>
          <w:rFonts w:hint="eastAsia" w:hAnsi="宋体"/>
          <w:bCs/>
          <w:sz w:val="24"/>
        </w:rPr>
        <w:t>cells/L、11.0</w:t>
      </w:r>
      <w:r>
        <w:rPr>
          <w:rFonts w:hint="default" w:ascii="Times New Roman" w:hAnsi="Times New Roman" w:cs="Times New Roman"/>
          <w:bCs/>
          <w:sz w:val="24"/>
        </w:rPr>
        <w:t>×</w:t>
      </w:r>
      <w:r>
        <w:rPr>
          <w:rFonts w:hint="eastAsia" w:hAnsi="宋体"/>
          <w:bCs/>
          <w:sz w:val="24"/>
        </w:rPr>
        <w:t>10</w:t>
      </w:r>
      <w:r>
        <w:rPr>
          <w:rFonts w:hint="eastAsia" w:hAnsi="宋体"/>
          <w:bCs/>
          <w:sz w:val="24"/>
          <w:vertAlign w:val="superscript"/>
        </w:rPr>
        <w:t>4</w:t>
      </w:r>
      <w:r>
        <w:rPr>
          <w:rFonts w:hint="eastAsia" w:hAnsi="宋体"/>
          <w:bCs/>
          <w:sz w:val="24"/>
        </w:rPr>
        <w:t>cells/L；近尾洲坝下游密度最低，为 9.4×10</w:t>
      </w:r>
      <w:r>
        <w:rPr>
          <w:rFonts w:hint="eastAsia" w:hAnsi="宋体"/>
          <w:bCs/>
          <w:sz w:val="24"/>
          <w:vertAlign w:val="superscript"/>
        </w:rPr>
        <w:t>4</w:t>
      </w:r>
      <w:r>
        <w:rPr>
          <w:rFonts w:hint="eastAsia" w:hAnsi="宋体"/>
          <w:bCs/>
          <w:sz w:val="24"/>
        </w:rPr>
        <w:t>cells/L；11月份，各监测水域中浮游植物密度均低于4-5月份，均值为5.9×10</w:t>
      </w:r>
      <w:r>
        <w:rPr>
          <w:rFonts w:hint="eastAsia" w:hAnsi="宋体"/>
          <w:bCs/>
          <w:sz w:val="24"/>
          <w:vertAlign w:val="superscript"/>
        </w:rPr>
        <w:t>4</w:t>
      </w:r>
      <w:r>
        <w:rPr>
          <w:rFonts w:hint="eastAsia" w:hAnsi="宋体"/>
          <w:bCs/>
          <w:sz w:val="24"/>
        </w:rPr>
        <w:t>cells/L，其中云集浮游植物密度亦最高，为8.1</w:t>
      </w:r>
      <w:r>
        <w:rPr>
          <w:rFonts w:hint="default" w:ascii="Times New Roman" w:hAnsi="Times New Roman" w:cs="Times New Roman"/>
          <w:bCs/>
          <w:sz w:val="24"/>
        </w:rPr>
        <w:t>×</w:t>
      </w:r>
      <w:r>
        <w:rPr>
          <w:rFonts w:hint="eastAsia" w:hAnsi="宋体"/>
          <w:bCs/>
          <w:sz w:val="24"/>
        </w:rPr>
        <w:t>10</w:t>
      </w:r>
      <w:r>
        <w:rPr>
          <w:rFonts w:hint="eastAsia" w:hAnsi="宋体"/>
          <w:bCs/>
          <w:sz w:val="24"/>
          <w:vertAlign w:val="superscript"/>
        </w:rPr>
        <w:t>4</w:t>
      </w:r>
      <w:r>
        <w:rPr>
          <w:rFonts w:hint="eastAsia" w:hAnsi="宋体"/>
          <w:bCs/>
          <w:sz w:val="24"/>
        </w:rPr>
        <w:t>cells/L，其他地区相差不大，均在5.1～6.9</w:t>
      </w:r>
      <w:r>
        <w:rPr>
          <w:rFonts w:hint="default" w:ascii="Times New Roman" w:hAnsi="Times New Roman" w:cs="Times New Roman"/>
          <w:bCs/>
          <w:sz w:val="24"/>
        </w:rPr>
        <w:t>×</w:t>
      </w:r>
      <w:r>
        <w:rPr>
          <w:rFonts w:hint="eastAsia" w:hAnsi="宋体"/>
          <w:bCs/>
          <w:sz w:val="24"/>
        </w:rPr>
        <w:t>10</w:t>
      </w:r>
      <w:r>
        <w:rPr>
          <w:rFonts w:hint="eastAsia" w:hAnsi="宋体"/>
          <w:bCs/>
          <w:sz w:val="24"/>
          <w:vertAlign w:val="superscript"/>
        </w:rPr>
        <w:t>4</w:t>
      </w:r>
      <w:r>
        <w:rPr>
          <w:rFonts w:hint="eastAsia" w:hAnsi="宋体"/>
          <w:bCs/>
          <w:sz w:val="24"/>
        </w:rPr>
        <w:t>cells/L之间。</w:t>
      </w:r>
    </w:p>
    <w:p>
      <w:pPr>
        <w:adjustRightInd w:val="0"/>
        <w:snapToGrid w:val="0"/>
        <w:spacing w:line="360" w:lineRule="auto"/>
        <w:ind w:firstLine="480" w:firstLineChars="200"/>
        <w:rPr>
          <w:rFonts w:hint="eastAsia" w:hAnsi="宋体"/>
          <w:bCs/>
          <w:sz w:val="24"/>
        </w:rPr>
      </w:pPr>
      <w:r>
        <w:rPr>
          <w:rFonts w:hint="eastAsia" w:hAnsi="宋体"/>
          <w:bCs/>
          <w:sz w:val="24"/>
        </w:rPr>
        <w:t>各水域浮游植物生物量分布差异与密度分布差异一致，4-5月份平均生物量最高，为0.24mg/L；11月次之，均值为0.15mg/L。从各采样点来看，云集和松柏平均生物量较高，分别为0.196mg/L和0.185mg/L；蒸水河口上游2km和蒸水大桥次之，分别为0.168mg/L 和0.163mg/L；近尾洲坝下相对最低，为0.141mg/L。各采样点浮游植物的密度和生物量见表3</w:t>
      </w:r>
      <w:r>
        <w:rPr>
          <w:rFonts w:hAnsi="宋体"/>
          <w:bCs/>
          <w:sz w:val="24"/>
        </w:rPr>
        <w:t>-</w:t>
      </w:r>
      <w:r>
        <w:rPr>
          <w:rFonts w:hint="eastAsia" w:hAnsi="宋体"/>
          <w:bCs/>
          <w:sz w:val="24"/>
          <w:lang w:val="en-US" w:eastAsia="zh-CN"/>
        </w:rPr>
        <w:t>8</w:t>
      </w:r>
      <w:r>
        <w:rPr>
          <w:rFonts w:hint="eastAsia" w:hAnsi="宋体"/>
          <w:bCs/>
          <w:sz w:val="24"/>
        </w:rPr>
        <w:t>。</w:t>
      </w:r>
    </w:p>
    <w:p>
      <w:pPr>
        <w:adjustRightInd w:val="0"/>
        <w:snapToGrid w:val="0"/>
        <w:spacing w:line="360" w:lineRule="auto"/>
        <w:ind w:firstLine="480" w:firstLineChars="200"/>
        <w:rPr>
          <w:rFonts w:hint="eastAsia" w:hAnsi="宋体"/>
          <w:bCs/>
          <w:sz w:val="24"/>
        </w:rPr>
      </w:pPr>
    </w:p>
    <w:p>
      <w:pPr>
        <w:adjustRightInd w:val="0"/>
        <w:snapToGrid w:val="0"/>
        <w:jc w:val="left"/>
        <w:rPr>
          <w:rFonts w:hAnsi="宋体"/>
          <w:b/>
          <w:bCs/>
          <w:szCs w:val="21"/>
        </w:rPr>
      </w:pPr>
      <w:r>
        <w:drawing>
          <wp:inline distT="0" distB="0" distL="114300" distR="114300">
            <wp:extent cx="5366385" cy="2155825"/>
            <wp:effectExtent l="0" t="0" r="5715" b="1587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33"/>
                    <a:srcRect t="6987"/>
                    <a:stretch>
                      <a:fillRect/>
                    </a:stretch>
                  </pic:blipFill>
                  <pic:spPr>
                    <a:xfrm>
                      <a:off x="0" y="0"/>
                      <a:ext cx="5366385" cy="2155825"/>
                    </a:xfrm>
                    <a:prstGeom prst="rect">
                      <a:avLst/>
                    </a:prstGeom>
                    <a:noFill/>
                    <a:ln>
                      <a:noFill/>
                    </a:ln>
                  </pic:spPr>
                </pic:pic>
              </a:graphicData>
            </a:graphic>
          </wp:inline>
        </w:drawing>
      </w:r>
    </w:p>
    <w:p>
      <w:pPr>
        <w:adjustRightInd w:val="0"/>
        <w:snapToGrid w:val="0"/>
        <w:ind w:firstLine="442" w:firstLineChars="200"/>
        <w:jc w:val="center"/>
        <w:rPr>
          <w:rFonts w:hint="eastAsia" w:hAnsi="宋体"/>
          <w:b/>
          <w:bCs/>
          <w:sz w:val="24"/>
        </w:rPr>
      </w:pPr>
      <w:r>
        <w:rPr>
          <w:rFonts w:hint="eastAsia" w:hAnsi="宋体"/>
          <w:b/>
          <w:bCs/>
          <w:szCs w:val="21"/>
        </w:rPr>
        <w:t>图3-</w:t>
      </w:r>
      <w:r>
        <w:rPr>
          <w:rFonts w:hint="eastAsia" w:hAnsi="宋体"/>
          <w:b/>
          <w:bCs/>
          <w:szCs w:val="21"/>
          <w:lang w:val="en-US" w:eastAsia="zh-CN"/>
        </w:rPr>
        <w:t>8</w:t>
      </w:r>
      <w:r>
        <w:rPr>
          <w:rFonts w:hAnsi="宋体"/>
          <w:b/>
          <w:bCs/>
          <w:szCs w:val="21"/>
        </w:rPr>
        <w:t xml:space="preserve"> 浮游植物密度（</w:t>
      </w:r>
      <w:r>
        <w:rPr>
          <w:rFonts w:hint="default" w:ascii="Times New Roman" w:hAnsi="Times New Roman" w:cs="Times New Roman"/>
          <w:b/>
          <w:bCs/>
          <w:szCs w:val="21"/>
        </w:rPr>
        <w:t>×</w:t>
      </w:r>
      <w:r>
        <w:rPr>
          <w:rFonts w:hAnsi="宋体"/>
          <w:b/>
          <w:bCs/>
          <w:szCs w:val="21"/>
        </w:rPr>
        <w:t>10</w:t>
      </w:r>
      <w:r>
        <w:rPr>
          <w:rFonts w:hAnsi="宋体"/>
          <w:b/>
          <w:bCs/>
          <w:szCs w:val="21"/>
          <w:vertAlign w:val="superscript"/>
        </w:rPr>
        <w:t>4</w:t>
      </w:r>
      <w:r>
        <w:rPr>
          <w:rFonts w:hAnsi="宋体"/>
          <w:b/>
          <w:bCs/>
          <w:szCs w:val="21"/>
        </w:rPr>
        <w:t>ind./L）和生物量（mg/L）</w:t>
      </w:r>
    </w:p>
    <w:p>
      <w:pPr>
        <w:spacing w:line="360" w:lineRule="auto"/>
        <w:ind w:firstLine="480" w:firstLineChars="200"/>
        <w:rPr>
          <w:rFonts w:hint="eastAsia"/>
          <w:color w:val="000000"/>
          <w:sz w:val="24"/>
        </w:rPr>
      </w:pPr>
      <w:r>
        <w:rPr>
          <w:rFonts w:hint="eastAsia" w:ascii="Calibri" w:hAnsi="Calibri" w:cs="Calibri"/>
          <w:color w:val="000000"/>
          <w:sz w:val="24"/>
          <w:lang w:val="en-US" w:eastAsia="zh-CN"/>
        </w:rPr>
        <w:t>B、</w:t>
      </w:r>
      <w:r>
        <w:rPr>
          <w:rFonts w:hint="eastAsia"/>
          <w:color w:val="000000"/>
          <w:sz w:val="24"/>
        </w:rPr>
        <w:t>浮游动物</w:t>
      </w:r>
    </w:p>
    <w:p>
      <w:pPr>
        <w:adjustRightInd w:val="0"/>
        <w:snapToGrid w:val="0"/>
        <w:spacing w:line="360" w:lineRule="auto"/>
        <w:ind w:firstLine="480" w:firstLineChars="200"/>
        <w:rPr>
          <w:rFonts w:hint="eastAsia" w:hAnsi="宋体"/>
          <w:bCs/>
          <w:sz w:val="24"/>
        </w:rPr>
      </w:pPr>
      <w:r>
        <w:rPr>
          <w:rFonts w:hint="eastAsia" w:hAnsi="宋体"/>
          <w:bCs/>
          <w:sz w:val="24"/>
        </w:rPr>
        <w:t>调查中共检测到浮游动物34种，其中原生动物8种，占总种数的23.5%；轮虫12种，占总种数的35.3%；枝角类8种，占总种数的23.5%；桡足类6种，占总种数的17.6%。不同调查水域间浮游动物种类差异不明显，不同采样季节间种类差异较大，4-5月份浮游 动物种类较多，为15～21种；11月较少，为9～14种。</w:t>
      </w:r>
    </w:p>
    <w:p>
      <w:pPr>
        <w:adjustRightInd w:val="0"/>
        <w:snapToGrid w:val="0"/>
        <w:spacing w:line="360" w:lineRule="auto"/>
        <w:ind w:firstLine="480" w:firstLineChars="200"/>
        <w:rPr>
          <w:rFonts w:hint="eastAsia" w:hAnsi="宋体"/>
          <w:iCs/>
          <w:sz w:val="24"/>
        </w:rPr>
      </w:pPr>
      <w:r>
        <w:rPr>
          <w:rFonts w:hint="eastAsia" w:hAnsi="宋体"/>
          <w:iCs/>
          <w:sz w:val="24"/>
        </w:rPr>
        <w:t>分布较广泛的优势物种有：原生动物中冠砂壳虫(Difflugia corona)、轮虫中曲腿龟 甲轮虫(Brachionus calyciflorus)、长三肢轮虫 (Filinia longiseta)、针簇多肢轮虫(Polyarthra trigla)、枝角类中长额象鼻溞(Bosmina longirostris)和桡足类广布中剑水蚤 (Mesocyclops leuckarti)和无节幼体（Nauplius）。</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hAnsi="宋体"/>
          <w:b/>
          <w:bCs/>
          <w:sz w:val="24"/>
        </w:rPr>
      </w:pPr>
      <w:r>
        <w:rPr>
          <w:rFonts w:hAnsi="宋体"/>
          <w:b/>
          <w:bCs/>
          <w:sz w:val="21"/>
          <w:szCs w:val="21"/>
        </w:rPr>
        <w:t>表</w:t>
      </w:r>
      <w:r>
        <w:rPr>
          <w:rFonts w:hint="eastAsia" w:hAnsi="宋体"/>
          <w:b/>
          <w:bCs/>
          <w:sz w:val="21"/>
          <w:szCs w:val="21"/>
        </w:rPr>
        <w:t>3</w:t>
      </w:r>
      <w:r>
        <w:rPr>
          <w:rFonts w:hAnsi="宋体"/>
          <w:b/>
          <w:bCs/>
          <w:sz w:val="21"/>
          <w:szCs w:val="21"/>
        </w:rPr>
        <w:t>-</w:t>
      </w:r>
      <w:r>
        <w:rPr>
          <w:rFonts w:hint="eastAsia" w:hAnsi="宋体"/>
          <w:b/>
          <w:bCs/>
          <w:sz w:val="21"/>
          <w:szCs w:val="21"/>
        </w:rPr>
        <w:t xml:space="preserve">8 </w:t>
      </w:r>
      <w:r>
        <w:rPr>
          <w:rFonts w:hAnsi="宋体"/>
          <w:b/>
          <w:bCs/>
          <w:sz w:val="21"/>
          <w:szCs w:val="21"/>
        </w:rPr>
        <w:t xml:space="preserve"> 各类浮游动物种类数及所占比例</w:t>
      </w:r>
    </w:p>
    <w:tbl>
      <w:tblPr>
        <w:tblStyle w:val="8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509"/>
        <w:gridCol w:w="1230"/>
        <w:gridCol w:w="1229"/>
        <w:gridCol w:w="1229"/>
        <w:gridCol w:w="12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24" w:type="dxa"/>
            <w:tcBorders>
              <w:tl2br w:val="nil"/>
              <w:tr2bl w:val="nil"/>
            </w:tcBorders>
            <w:noWrap w:val="0"/>
            <w:vAlign w:val="center"/>
          </w:tcPr>
          <w:p>
            <w:pPr>
              <w:adjustRightInd w:val="0"/>
              <w:snapToGrid w:val="0"/>
              <w:spacing w:line="276" w:lineRule="auto"/>
              <w:jc w:val="center"/>
              <w:rPr>
                <w:b/>
                <w:bCs/>
                <w:szCs w:val="21"/>
              </w:rPr>
            </w:pPr>
            <w:r>
              <w:rPr>
                <w:rFonts w:hAnsi="宋体"/>
                <w:b/>
                <w:bCs/>
                <w:szCs w:val="21"/>
              </w:rPr>
              <w:t>类别</w:t>
            </w:r>
          </w:p>
        </w:tc>
        <w:tc>
          <w:tcPr>
            <w:tcW w:w="1509" w:type="dxa"/>
            <w:tcBorders>
              <w:tl2br w:val="nil"/>
              <w:tr2bl w:val="nil"/>
            </w:tcBorders>
            <w:noWrap w:val="0"/>
            <w:vAlign w:val="center"/>
          </w:tcPr>
          <w:p>
            <w:pPr>
              <w:adjustRightInd w:val="0"/>
              <w:snapToGrid w:val="0"/>
              <w:spacing w:line="276" w:lineRule="auto"/>
              <w:jc w:val="center"/>
              <w:rPr>
                <w:b/>
                <w:bCs/>
                <w:szCs w:val="21"/>
              </w:rPr>
            </w:pPr>
            <w:r>
              <w:rPr>
                <w:rFonts w:hAnsi="宋体"/>
                <w:b/>
                <w:bCs/>
                <w:szCs w:val="21"/>
              </w:rPr>
              <w:t>原生动物</w:t>
            </w:r>
          </w:p>
        </w:tc>
        <w:tc>
          <w:tcPr>
            <w:tcW w:w="1230" w:type="dxa"/>
            <w:tcBorders>
              <w:tl2br w:val="nil"/>
              <w:tr2bl w:val="nil"/>
            </w:tcBorders>
            <w:noWrap w:val="0"/>
            <w:vAlign w:val="center"/>
          </w:tcPr>
          <w:p>
            <w:pPr>
              <w:adjustRightInd w:val="0"/>
              <w:snapToGrid w:val="0"/>
              <w:spacing w:line="276" w:lineRule="auto"/>
              <w:jc w:val="center"/>
              <w:rPr>
                <w:b/>
                <w:bCs/>
                <w:szCs w:val="21"/>
              </w:rPr>
            </w:pPr>
            <w:r>
              <w:rPr>
                <w:rFonts w:hAnsi="宋体"/>
                <w:b/>
                <w:bCs/>
                <w:szCs w:val="21"/>
              </w:rPr>
              <w:t>轮虫类</w:t>
            </w:r>
          </w:p>
        </w:tc>
        <w:tc>
          <w:tcPr>
            <w:tcW w:w="1229" w:type="dxa"/>
            <w:tcBorders>
              <w:tl2br w:val="nil"/>
              <w:tr2bl w:val="nil"/>
            </w:tcBorders>
            <w:noWrap w:val="0"/>
            <w:vAlign w:val="center"/>
          </w:tcPr>
          <w:p>
            <w:pPr>
              <w:adjustRightInd w:val="0"/>
              <w:snapToGrid w:val="0"/>
              <w:spacing w:line="276" w:lineRule="auto"/>
              <w:jc w:val="center"/>
              <w:rPr>
                <w:b/>
                <w:bCs/>
                <w:szCs w:val="21"/>
              </w:rPr>
            </w:pPr>
            <w:r>
              <w:rPr>
                <w:rFonts w:hAnsi="宋体"/>
                <w:b/>
                <w:bCs/>
                <w:szCs w:val="21"/>
              </w:rPr>
              <w:t>枝角类</w:t>
            </w:r>
          </w:p>
        </w:tc>
        <w:tc>
          <w:tcPr>
            <w:tcW w:w="1229" w:type="dxa"/>
            <w:tcBorders>
              <w:tl2br w:val="nil"/>
              <w:tr2bl w:val="nil"/>
            </w:tcBorders>
            <w:noWrap w:val="0"/>
            <w:vAlign w:val="center"/>
          </w:tcPr>
          <w:p>
            <w:pPr>
              <w:adjustRightInd w:val="0"/>
              <w:snapToGrid w:val="0"/>
              <w:spacing w:line="276" w:lineRule="auto"/>
              <w:jc w:val="center"/>
              <w:rPr>
                <w:b/>
                <w:bCs/>
                <w:szCs w:val="21"/>
              </w:rPr>
            </w:pPr>
            <w:r>
              <w:rPr>
                <w:rFonts w:hAnsi="宋体"/>
                <w:b/>
                <w:bCs/>
                <w:szCs w:val="21"/>
              </w:rPr>
              <w:t>桡足类</w:t>
            </w:r>
          </w:p>
        </w:tc>
        <w:tc>
          <w:tcPr>
            <w:tcW w:w="1216" w:type="dxa"/>
            <w:tcBorders>
              <w:tl2br w:val="nil"/>
              <w:tr2bl w:val="nil"/>
            </w:tcBorders>
            <w:noWrap w:val="0"/>
            <w:vAlign w:val="center"/>
          </w:tcPr>
          <w:p>
            <w:pPr>
              <w:adjustRightInd w:val="0"/>
              <w:snapToGrid w:val="0"/>
              <w:spacing w:line="276" w:lineRule="auto"/>
              <w:jc w:val="center"/>
              <w:rPr>
                <w:b/>
                <w:bCs/>
                <w:szCs w:val="21"/>
              </w:rPr>
            </w:pPr>
            <w:r>
              <w:rPr>
                <w:rFonts w:hAnsi="宋体"/>
                <w:b/>
                <w:bCs/>
                <w:szCs w:val="21"/>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5" w:hRule="atLeast"/>
          <w:jc w:val="center"/>
        </w:trPr>
        <w:tc>
          <w:tcPr>
            <w:tcW w:w="1724" w:type="dxa"/>
            <w:tcBorders>
              <w:tl2br w:val="nil"/>
              <w:tr2bl w:val="nil"/>
            </w:tcBorders>
            <w:noWrap w:val="0"/>
            <w:vAlign w:val="center"/>
          </w:tcPr>
          <w:p>
            <w:pPr>
              <w:adjustRightInd w:val="0"/>
              <w:snapToGrid w:val="0"/>
              <w:spacing w:line="276" w:lineRule="auto"/>
              <w:jc w:val="center"/>
              <w:rPr>
                <w:b/>
                <w:bCs/>
                <w:szCs w:val="21"/>
              </w:rPr>
            </w:pPr>
            <w:r>
              <w:rPr>
                <w:rFonts w:hAnsi="宋体"/>
                <w:b/>
                <w:bCs/>
                <w:szCs w:val="21"/>
              </w:rPr>
              <w:t>种类数</w:t>
            </w:r>
          </w:p>
        </w:tc>
        <w:tc>
          <w:tcPr>
            <w:tcW w:w="1509" w:type="dxa"/>
            <w:tcBorders>
              <w:tl2br w:val="nil"/>
              <w:tr2bl w:val="nil"/>
            </w:tcBorders>
            <w:noWrap w:val="0"/>
            <w:vAlign w:val="center"/>
          </w:tcPr>
          <w:p>
            <w:pPr>
              <w:adjustRightInd w:val="0"/>
              <w:snapToGrid w:val="0"/>
              <w:spacing w:line="276" w:lineRule="auto"/>
              <w:jc w:val="center"/>
              <w:rPr>
                <w:rFonts w:hint="eastAsia"/>
                <w:bCs/>
                <w:szCs w:val="21"/>
              </w:rPr>
            </w:pPr>
            <w:r>
              <w:rPr>
                <w:rFonts w:hint="eastAsia"/>
                <w:bCs/>
                <w:szCs w:val="21"/>
              </w:rPr>
              <w:t>8</w:t>
            </w:r>
          </w:p>
        </w:tc>
        <w:tc>
          <w:tcPr>
            <w:tcW w:w="1230" w:type="dxa"/>
            <w:tcBorders>
              <w:tl2br w:val="nil"/>
              <w:tr2bl w:val="nil"/>
            </w:tcBorders>
            <w:noWrap w:val="0"/>
            <w:vAlign w:val="center"/>
          </w:tcPr>
          <w:p>
            <w:pPr>
              <w:adjustRightInd w:val="0"/>
              <w:snapToGrid w:val="0"/>
              <w:spacing w:line="276" w:lineRule="auto"/>
              <w:jc w:val="center"/>
              <w:rPr>
                <w:bCs/>
                <w:szCs w:val="21"/>
              </w:rPr>
            </w:pPr>
            <w:r>
              <w:rPr>
                <w:rFonts w:hint="eastAsia"/>
                <w:bCs/>
                <w:szCs w:val="21"/>
              </w:rPr>
              <w:t>12</w:t>
            </w:r>
          </w:p>
        </w:tc>
        <w:tc>
          <w:tcPr>
            <w:tcW w:w="1229" w:type="dxa"/>
            <w:tcBorders>
              <w:tl2br w:val="nil"/>
              <w:tr2bl w:val="nil"/>
            </w:tcBorders>
            <w:noWrap w:val="0"/>
            <w:vAlign w:val="center"/>
          </w:tcPr>
          <w:p>
            <w:pPr>
              <w:adjustRightInd w:val="0"/>
              <w:snapToGrid w:val="0"/>
              <w:spacing w:line="276" w:lineRule="auto"/>
              <w:jc w:val="center"/>
              <w:rPr>
                <w:rFonts w:hint="eastAsia"/>
                <w:bCs/>
                <w:szCs w:val="21"/>
              </w:rPr>
            </w:pPr>
            <w:r>
              <w:rPr>
                <w:rFonts w:hint="eastAsia"/>
                <w:bCs/>
                <w:szCs w:val="21"/>
              </w:rPr>
              <w:t>8</w:t>
            </w:r>
          </w:p>
        </w:tc>
        <w:tc>
          <w:tcPr>
            <w:tcW w:w="1229" w:type="dxa"/>
            <w:tcBorders>
              <w:tl2br w:val="nil"/>
              <w:tr2bl w:val="nil"/>
            </w:tcBorders>
            <w:noWrap w:val="0"/>
            <w:vAlign w:val="center"/>
          </w:tcPr>
          <w:p>
            <w:pPr>
              <w:adjustRightInd w:val="0"/>
              <w:snapToGrid w:val="0"/>
              <w:spacing w:line="276" w:lineRule="auto"/>
              <w:jc w:val="center"/>
              <w:rPr>
                <w:rFonts w:hint="eastAsia"/>
                <w:bCs/>
                <w:szCs w:val="21"/>
              </w:rPr>
            </w:pPr>
            <w:r>
              <w:rPr>
                <w:rFonts w:hint="eastAsia"/>
                <w:bCs/>
                <w:szCs w:val="21"/>
              </w:rPr>
              <w:t>6</w:t>
            </w:r>
          </w:p>
        </w:tc>
        <w:tc>
          <w:tcPr>
            <w:tcW w:w="1216" w:type="dxa"/>
            <w:tcBorders>
              <w:tl2br w:val="nil"/>
              <w:tr2bl w:val="nil"/>
            </w:tcBorders>
            <w:noWrap w:val="0"/>
            <w:vAlign w:val="center"/>
          </w:tcPr>
          <w:p>
            <w:pPr>
              <w:adjustRightInd w:val="0"/>
              <w:snapToGrid w:val="0"/>
              <w:spacing w:line="276" w:lineRule="auto"/>
              <w:jc w:val="center"/>
              <w:rPr>
                <w:bCs/>
                <w:szCs w:val="21"/>
              </w:rPr>
            </w:pPr>
            <w:r>
              <w:rPr>
                <w:rFonts w:hint="eastAsia"/>
                <w:bCs/>
                <w:szCs w:val="21"/>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724" w:type="dxa"/>
            <w:tcBorders>
              <w:tl2br w:val="nil"/>
              <w:tr2bl w:val="nil"/>
            </w:tcBorders>
            <w:noWrap w:val="0"/>
            <w:vAlign w:val="center"/>
          </w:tcPr>
          <w:p>
            <w:pPr>
              <w:adjustRightInd w:val="0"/>
              <w:snapToGrid w:val="0"/>
              <w:spacing w:line="276" w:lineRule="auto"/>
              <w:jc w:val="center"/>
              <w:rPr>
                <w:b/>
                <w:bCs/>
                <w:szCs w:val="21"/>
              </w:rPr>
            </w:pPr>
            <w:r>
              <w:rPr>
                <w:rFonts w:hAnsi="宋体"/>
                <w:b/>
                <w:bCs/>
                <w:szCs w:val="21"/>
              </w:rPr>
              <w:t>比例（</w:t>
            </w:r>
            <w:r>
              <w:rPr>
                <w:b/>
                <w:bCs/>
                <w:szCs w:val="21"/>
              </w:rPr>
              <w:t>%</w:t>
            </w:r>
            <w:r>
              <w:rPr>
                <w:rFonts w:hAnsi="宋体"/>
                <w:b/>
                <w:bCs/>
                <w:szCs w:val="21"/>
              </w:rPr>
              <w:t>）</w:t>
            </w:r>
          </w:p>
        </w:tc>
        <w:tc>
          <w:tcPr>
            <w:tcW w:w="1509" w:type="dxa"/>
            <w:tcBorders>
              <w:tl2br w:val="nil"/>
              <w:tr2bl w:val="nil"/>
            </w:tcBorders>
            <w:noWrap w:val="0"/>
            <w:vAlign w:val="center"/>
          </w:tcPr>
          <w:p>
            <w:pPr>
              <w:adjustRightInd w:val="0"/>
              <w:snapToGrid w:val="0"/>
              <w:spacing w:line="276" w:lineRule="auto"/>
              <w:jc w:val="center"/>
              <w:rPr>
                <w:bCs/>
                <w:szCs w:val="21"/>
              </w:rPr>
            </w:pPr>
            <w:r>
              <w:rPr>
                <w:rFonts w:hint="eastAsia"/>
                <w:bCs/>
                <w:szCs w:val="21"/>
              </w:rPr>
              <w:t>23.5</w:t>
            </w:r>
          </w:p>
        </w:tc>
        <w:tc>
          <w:tcPr>
            <w:tcW w:w="1230" w:type="dxa"/>
            <w:tcBorders>
              <w:tl2br w:val="nil"/>
              <w:tr2bl w:val="nil"/>
            </w:tcBorders>
            <w:noWrap w:val="0"/>
            <w:vAlign w:val="center"/>
          </w:tcPr>
          <w:p>
            <w:pPr>
              <w:adjustRightInd w:val="0"/>
              <w:snapToGrid w:val="0"/>
              <w:spacing w:line="276" w:lineRule="auto"/>
              <w:jc w:val="center"/>
              <w:rPr>
                <w:bCs/>
                <w:szCs w:val="21"/>
              </w:rPr>
            </w:pPr>
            <w:r>
              <w:rPr>
                <w:rFonts w:hint="eastAsia"/>
                <w:bCs/>
                <w:szCs w:val="21"/>
              </w:rPr>
              <w:t>35.3</w:t>
            </w:r>
          </w:p>
        </w:tc>
        <w:tc>
          <w:tcPr>
            <w:tcW w:w="1229" w:type="dxa"/>
            <w:tcBorders>
              <w:tl2br w:val="nil"/>
              <w:tr2bl w:val="nil"/>
            </w:tcBorders>
            <w:noWrap w:val="0"/>
            <w:vAlign w:val="center"/>
          </w:tcPr>
          <w:p>
            <w:pPr>
              <w:adjustRightInd w:val="0"/>
              <w:snapToGrid w:val="0"/>
              <w:spacing w:line="276" w:lineRule="auto"/>
              <w:jc w:val="center"/>
              <w:rPr>
                <w:bCs/>
                <w:szCs w:val="21"/>
              </w:rPr>
            </w:pPr>
            <w:r>
              <w:rPr>
                <w:rFonts w:hint="eastAsia"/>
                <w:bCs/>
                <w:szCs w:val="21"/>
              </w:rPr>
              <w:t>23.5</w:t>
            </w:r>
          </w:p>
        </w:tc>
        <w:tc>
          <w:tcPr>
            <w:tcW w:w="1229" w:type="dxa"/>
            <w:tcBorders>
              <w:tl2br w:val="nil"/>
              <w:tr2bl w:val="nil"/>
            </w:tcBorders>
            <w:noWrap w:val="0"/>
            <w:vAlign w:val="center"/>
          </w:tcPr>
          <w:p>
            <w:pPr>
              <w:adjustRightInd w:val="0"/>
              <w:snapToGrid w:val="0"/>
              <w:spacing w:line="276" w:lineRule="auto"/>
              <w:jc w:val="center"/>
              <w:rPr>
                <w:bCs/>
                <w:szCs w:val="21"/>
              </w:rPr>
            </w:pPr>
            <w:r>
              <w:rPr>
                <w:rFonts w:hint="eastAsia"/>
                <w:bCs/>
                <w:szCs w:val="21"/>
              </w:rPr>
              <w:t>17.6</w:t>
            </w:r>
          </w:p>
        </w:tc>
        <w:tc>
          <w:tcPr>
            <w:tcW w:w="1216" w:type="dxa"/>
            <w:tcBorders>
              <w:tl2br w:val="nil"/>
              <w:tr2bl w:val="nil"/>
            </w:tcBorders>
            <w:noWrap w:val="0"/>
            <w:vAlign w:val="center"/>
          </w:tcPr>
          <w:p>
            <w:pPr>
              <w:adjustRightInd w:val="0"/>
              <w:snapToGrid w:val="0"/>
              <w:spacing w:line="276" w:lineRule="auto"/>
              <w:jc w:val="center"/>
              <w:rPr>
                <w:bCs/>
                <w:szCs w:val="21"/>
              </w:rPr>
            </w:pPr>
            <w:r>
              <w:rPr>
                <w:bCs/>
                <w:szCs w:val="21"/>
              </w:rPr>
              <w:t>100</w:t>
            </w:r>
          </w:p>
        </w:tc>
      </w:tr>
    </w:tbl>
    <w:p>
      <w:pPr>
        <w:adjustRightInd w:val="0"/>
        <w:snapToGrid w:val="0"/>
        <w:spacing w:line="360" w:lineRule="auto"/>
        <w:ind w:firstLine="482" w:firstLineChars="200"/>
        <w:rPr>
          <w:rFonts w:hint="eastAsia" w:hAnsi="宋体"/>
          <w:b/>
          <w:bCs/>
          <w:iCs/>
          <w:sz w:val="24"/>
        </w:rPr>
      </w:pPr>
      <w:r>
        <w:rPr>
          <w:rFonts w:hint="eastAsia" w:hAnsi="宋体"/>
          <w:b/>
          <w:bCs/>
          <w:iCs/>
          <w:sz w:val="24"/>
        </w:rPr>
        <w:t>2、密度和生物量</w:t>
      </w:r>
    </w:p>
    <w:p>
      <w:pPr>
        <w:adjustRightInd w:val="0"/>
        <w:snapToGrid w:val="0"/>
        <w:spacing w:line="360" w:lineRule="auto"/>
        <w:ind w:firstLine="480" w:firstLineChars="200"/>
        <w:jc w:val="left"/>
        <w:rPr>
          <w:rFonts w:hAnsi="宋体"/>
          <w:sz w:val="24"/>
        </w:rPr>
      </w:pPr>
      <w:r>
        <w:rPr>
          <w:rFonts w:hAnsi="宋体"/>
          <w:sz w:val="24"/>
        </w:rPr>
        <w:t>4-5</w:t>
      </w:r>
      <w:r>
        <w:rPr>
          <w:rFonts w:hint="eastAsia" w:hAnsi="宋体"/>
          <w:sz w:val="24"/>
        </w:rPr>
        <w:t>月各水域中松柏浮游动物密度相对最高，为</w:t>
      </w:r>
      <w:r>
        <w:rPr>
          <w:rFonts w:hAnsi="宋体"/>
          <w:sz w:val="24"/>
        </w:rPr>
        <w:t>76.2 ind./L</w:t>
      </w:r>
      <w:r>
        <w:rPr>
          <w:rFonts w:hint="eastAsia" w:hAnsi="宋体"/>
          <w:sz w:val="24"/>
        </w:rPr>
        <w:t>，蒸水河口上游</w:t>
      </w:r>
      <w:r>
        <w:rPr>
          <w:rFonts w:hAnsi="宋体"/>
          <w:sz w:val="24"/>
        </w:rPr>
        <w:t>2km</w:t>
      </w:r>
      <w:r>
        <w:rPr>
          <w:rFonts w:hint="eastAsia" w:hAnsi="宋体"/>
          <w:sz w:val="24"/>
        </w:rPr>
        <w:t>和近 尾洲坝下相对较低，分别为为</w:t>
      </w:r>
      <w:r>
        <w:rPr>
          <w:rFonts w:hAnsi="宋体"/>
          <w:sz w:val="24"/>
        </w:rPr>
        <w:t>39.6 ind./L</w:t>
      </w:r>
      <w:r>
        <w:rPr>
          <w:rFonts w:hint="eastAsia" w:hAnsi="宋体"/>
          <w:sz w:val="24"/>
        </w:rPr>
        <w:t>和</w:t>
      </w:r>
      <w:r>
        <w:rPr>
          <w:rFonts w:hAnsi="宋体"/>
          <w:sz w:val="24"/>
        </w:rPr>
        <w:t>31.7 ind./L</w:t>
      </w:r>
      <w:r>
        <w:rPr>
          <w:rFonts w:hint="eastAsia" w:hAnsi="宋体"/>
          <w:sz w:val="24"/>
        </w:rPr>
        <w:t>；</w:t>
      </w:r>
      <w:r>
        <w:rPr>
          <w:rFonts w:hAnsi="宋体"/>
          <w:sz w:val="24"/>
        </w:rPr>
        <w:t>11</w:t>
      </w:r>
      <w:r>
        <w:rPr>
          <w:rFonts w:hint="eastAsia" w:hAnsi="宋体"/>
          <w:sz w:val="24"/>
        </w:rPr>
        <w:t>月份各水域种浮游动物密度相 对较小，平均密度为</w:t>
      </w:r>
      <w:r>
        <w:rPr>
          <w:rFonts w:hAnsi="宋体"/>
          <w:sz w:val="24"/>
        </w:rPr>
        <w:t>13.7 ind./L</w:t>
      </w:r>
      <w:r>
        <w:rPr>
          <w:rFonts w:hint="eastAsia" w:hAnsi="宋体"/>
          <w:sz w:val="24"/>
        </w:rPr>
        <w:t>。</w:t>
      </w:r>
      <w:r>
        <w:rPr>
          <w:rFonts w:hAnsi="宋体"/>
          <w:sz w:val="24"/>
        </w:rPr>
        <w:t>4-5</w:t>
      </w:r>
      <w:r>
        <w:rPr>
          <w:rFonts w:hint="eastAsia" w:hAnsi="宋体"/>
          <w:sz w:val="24"/>
        </w:rPr>
        <w:t>月份和</w:t>
      </w:r>
      <w:r>
        <w:rPr>
          <w:rFonts w:hAnsi="宋体"/>
          <w:sz w:val="24"/>
        </w:rPr>
        <w:t>11</w:t>
      </w:r>
      <w:r>
        <w:rPr>
          <w:rFonts w:hint="eastAsia" w:hAnsi="宋体"/>
          <w:sz w:val="24"/>
        </w:rPr>
        <w:t>月调查水域中浮游动物平均生物量分别为</w:t>
      </w:r>
      <w:r>
        <w:rPr>
          <w:rFonts w:hAnsi="宋体"/>
          <w:sz w:val="24"/>
        </w:rPr>
        <w:t>0.134</w:t>
      </w:r>
      <w:r>
        <w:rPr>
          <w:rFonts w:hint="eastAsia" w:hAnsi="宋体"/>
          <w:sz w:val="24"/>
        </w:rPr>
        <w:t>、</w:t>
      </w:r>
      <w:r>
        <w:rPr>
          <w:rFonts w:hAnsi="宋体"/>
          <w:sz w:val="24"/>
        </w:rPr>
        <w:t>0.097 mg/L</w:t>
      </w:r>
      <w:r>
        <w:rPr>
          <w:rFonts w:hint="eastAsia" w:hAnsi="宋体"/>
          <w:sz w:val="24"/>
        </w:rPr>
        <w:t xml:space="preserve">，最主要的浮游生物为轮虫、枝角类。 </w:t>
      </w:r>
    </w:p>
    <w:p>
      <w:pPr>
        <w:adjustRightInd w:val="0"/>
        <w:snapToGrid w:val="0"/>
        <w:jc w:val="center"/>
        <w:rPr>
          <w:rFonts w:hint="eastAsia" w:hAnsi="宋体"/>
          <w:b/>
          <w:bCs/>
          <w:sz w:val="24"/>
          <w:highlight w:val="yellow"/>
        </w:rPr>
      </w:pPr>
      <w:r>
        <w:drawing>
          <wp:inline distT="0" distB="0" distL="114300" distR="114300">
            <wp:extent cx="5083810" cy="2112010"/>
            <wp:effectExtent l="0" t="0" r="2540" b="254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34"/>
                    <a:stretch>
                      <a:fillRect/>
                    </a:stretch>
                  </pic:blipFill>
                  <pic:spPr>
                    <a:xfrm>
                      <a:off x="0" y="0"/>
                      <a:ext cx="5083810" cy="2112010"/>
                    </a:xfrm>
                    <a:prstGeom prst="rect">
                      <a:avLst/>
                    </a:prstGeom>
                    <a:noFill/>
                    <a:ln>
                      <a:noFill/>
                    </a:ln>
                  </pic:spPr>
                </pic:pic>
              </a:graphicData>
            </a:graphic>
          </wp:inline>
        </w:drawing>
      </w:r>
    </w:p>
    <w:p>
      <w:pPr>
        <w:adjustRightInd w:val="0"/>
        <w:snapToGrid w:val="0"/>
        <w:jc w:val="center"/>
        <w:rPr>
          <w:rFonts w:hint="eastAsia" w:hAnsi="宋体"/>
          <w:b/>
          <w:bCs/>
          <w:sz w:val="24"/>
        </w:rPr>
      </w:pPr>
      <w:r>
        <w:rPr>
          <w:rFonts w:hint="eastAsia" w:hAnsi="宋体"/>
          <w:b/>
          <w:bCs/>
          <w:sz w:val="24"/>
        </w:rPr>
        <w:t xml:space="preserve">图3-2  </w:t>
      </w:r>
      <w:r>
        <w:rPr>
          <w:rFonts w:hAnsi="宋体"/>
          <w:b/>
          <w:bCs/>
          <w:sz w:val="24"/>
        </w:rPr>
        <w:t>浮游动物密度（ind./L）和生物量（mg/L）</w:t>
      </w:r>
    </w:p>
    <w:p>
      <w:pPr>
        <w:spacing w:line="360" w:lineRule="auto"/>
        <w:rPr>
          <w:rFonts w:hint="eastAsia"/>
          <w:color w:val="000000"/>
          <w:sz w:val="24"/>
        </w:rPr>
      </w:pPr>
      <w:r>
        <w:rPr>
          <w:rFonts w:hint="eastAsia"/>
          <w:color w:val="000000"/>
          <w:sz w:val="24"/>
        </w:rPr>
        <w:t>2）底栖动物</w:t>
      </w:r>
    </w:p>
    <w:p>
      <w:pPr>
        <w:adjustRightInd w:val="0"/>
        <w:snapToGrid w:val="0"/>
        <w:spacing w:line="360" w:lineRule="auto"/>
        <w:ind w:firstLine="482" w:firstLineChars="200"/>
        <w:rPr>
          <w:rFonts w:hint="eastAsia" w:hAnsi="宋体"/>
          <w:b/>
          <w:bCs/>
          <w:iCs/>
          <w:sz w:val="24"/>
        </w:rPr>
      </w:pPr>
      <w:r>
        <w:rPr>
          <w:rFonts w:hint="eastAsia" w:hAnsi="宋体"/>
          <w:b/>
          <w:bCs/>
          <w:iCs/>
          <w:sz w:val="24"/>
        </w:rPr>
        <w:t>1、种类组成</w:t>
      </w:r>
    </w:p>
    <w:p>
      <w:pPr>
        <w:adjustRightInd w:val="0"/>
        <w:snapToGrid w:val="0"/>
        <w:spacing w:line="360" w:lineRule="auto"/>
        <w:ind w:firstLine="480" w:firstLineChars="200"/>
        <w:rPr>
          <w:rFonts w:hint="eastAsia" w:hAnsi="宋体"/>
          <w:b/>
          <w:bCs/>
          <w:iCs/>
          <w:sz w:val="24"/>
        </w:rPr>
      </w:pPr>
      <w:r>
        <w:rPr>
          <w:rFonts w:hint="eastAsia" w:hAnsi="宋体"/>
          <w:bCs/>
          <w:sz w:val="24"/>
        </w:rPr>
        <w:t>2018年11月和2019年4-5月分别在5个采样点进行了底栖动物调查采样，共鉴定出底 栖动物42种，包括水生寡毛类7种、软体动物23种、水生昆虫6种和甲壳动物6种等类群， 以软体动物为绝对优势类群，其次为水生寡毛类。</w:t>
      </w:r>
    </w:p>
    <w:p>
      <w:pPr>
        <w:adjustRightInd w:val="0"/>
        <w:snapToGrid w:val="0"/>
        <w:spacing w:line="360" w:lineRule="auto"/>
        <w:ind w:firstLine="482" w:firstLineChars="200"/>
        <w:rPr>
          <w:rFonts w:hint="eastAsia" w:hAnsi="宋体"/>
          <w:b/>
          <w:bCs/>
          <w:iCs/>
          <w:sz w:val="24"/>
        </w:rPr>
      </w:pPr>
      <w:r>
        <w:rPr>
          <w:rFonts w:hint="eastAsia" w:hAnsi="宋体"/>
          <w:b/>
          <w:bCs/>
          <w:iCs/>
          <w:sz w:val="24"/>
        </w:rPr>
        <w:t>2、密度和生物量</w:t>
      </w:r>
    </w:p>
    <w:p>
      <w:pPr>
        <w:adjustRightInd w:val="0"/>
        <w:snapToGrid w:val="0"/>
        <w:spacing w:line="360" w:lineRule="auto"/>
        <w:ind w:firstLine="480" w:firstLineChars="200"/>
        <w:rPr>
          <w:rFonts w:hint="eastAsia" w:hAnsi="宋体"/>
          <w:bCs/>
          <w:sz w:val="24"/>
        </w:rPr>
      </w:pPr>
      <w:r>
        <w:rPr>
          <w:rFonts w:hint="eastAsia" w:hAnsi="宋体"/>
          <w:bCs/>
          <w:sz w:val="24"/>
        </w:rPr>
        <w:t>为65.1ind./m</w:t>
      </w:r>
      <w:r>
        <w:rPr>
          <w:rFonts w:hint="eastAsia" w:hAnsi="宋体"/>
          <w:bCs/>
          <w:sz w:val="24"/>
          <w:vertAlign w:val="superscript"/>
        </w:rPr>
        <w:t>2</w:t>
      </w:r>
      <w:r>
        <w:rPr>
          <w:rFonts w:hint="eastAsia" w:hAnsi="宋体"/>
          <w:bCs/>
          <w:sz w:val="24"/>
        </w:rPr>
        <w:t>，其次为云集和松柏，分别为41.6 ind./m2和38.4ind./m2；蒸水桥址和 蒸水入河口上游2km处底栖动物密度相对较小，均值分别为29.6 ind./m</w:t>
      </w:r>
      <w:r>
        <w:rPr>
          <w:rFonts w:hint="eastAsia" w:hAnsi="宋体"/>
          <w:bCs/>
          <w:sz w:val="24"/>
          <w:vertAlign w:val="superscript"/>
        </w:rPr>
        <w:t>2</w:t>
      </w:r>
      <w:r>
        <w:rPr>
          <w:rFonts w:hint="eastAsia" w:hAnsi="宋体"/>
          <w:bCs/>
          <w:sz w:val="24"/>
        </w:rPr>
        <w:t>和24.1 ind./m</w:t>
      </w:r>
      <w:r>
        <w:rPr>
          <w:rFonts w:hint="eastAsia" w:hAnsi="宋体"/>
          <w:bCs/>
          <w:sz w:val="24"/>
          <w:vertAlign w:val="superscript"/>
        </w:rPr>
        <w:t>2</w:t>
      </w:r>
      <w:r>
        <w:rPr>
          <w:rFonts w:hint="eastAsia" w:hAnsi="宋体"/>
          <w:bCs/>
          <w:sz w:val="24"/>
        </w:rPr>
        <w:t>。 生物量方面基本与密度分布保持一致，以近尾洲坝下底栖动物平均生物量最高，为38.3g/m</w:t>
      </w:r>
      <w:r>
        <w:rPr>
          <w:rFonts w:hint="eastAsia" w:hAnsi="宋体"/>
          <w:bCs/>
          <w:sz w:val="24"/>
          <w:vertAlign w:val="superscript"/>
        </w:rPr>
        <w:t>2</w:t>
      </w:r>
      <w:r>
        <w:rPr>
          <w:rFonts w:hint="eastAsia" w:hAnsi="宋体"/>
          <w:bCs/>
          <w:sz w:val="24"/>
        </w:rPr>
        <w:t>；其次为云集和松柏基本相同，分别为29.0 g /m</w:t>
      </w:r>
      <w:r>
        <w:rPr>
          <w:rFonts w:hint="eastAsia" w:hAnsi="宋体"/>
          <w:bCs/>
          <w:sz w:val="24"/>
          <w:vertAlign w:val="superscript"/>
        </w:rPr>
        <w:t>2</w:t>
      </w:r>
      <w:r>
        <w:rPr>
          <w:rFonts w:hint="eastAsia" w:hAnsi="宋体"/>
          <w:bCs/>
          <w:sz w:val="24"/>
        </w:rPr>
        <w:t>、28.1 g/m</w:t>
      </w:r>
      <w:r>
        <w:rPr>
          <w:rFonts w:hint="eastAsia" w:hAnsi="宋体"/>
          <w:bCs/>
          <w:sz w:val="24"/>
          <w:vertAlign w:val="superscript"/>
        </w:rPr>
        <w:t>2</w:t>
      </w:r>
      <w:r>
        <w:rPr>
          <w:rFonts w:hint="eastAsia" w:hAnsi="宋体"/>
          <w:bCs/>
          <w:sz w:val="24"/>
        </w:rPr>
        <w:t>；蒸水桥址和蒸水 入河口底栖动物生物量相对最小，分别为18.4g/m</w:t>
      </w:r>
      <w:r>
        <w:rPr>
          <w:rFonts w:hint="eastAsia" w:hAnsi="宋体"/>
          <w:bCs/>
          <w:sz w:val="24"/>
          <w:vertAlign w:val="superscript"/>
        </w:rPr>
        <w:t>2</w:t>
      </w:r>
      <w:r>
        <w:rPr>
          <w:rFonts w:hint="eastAsia" w:hAnsi="宋体"/>
          <w:bCs/>
          <w:sz w:val="24"/>
        </w:rPr>
        <w:t>和15.7g/m</w:t>
      </w:r>
      <w:r>
        <w:rPr>
          <w:rFonts w:hint="eastAsia" w:hAnsi="宋体"/>
          <w:bCs/>
          <w:sz w:val="24"/>
          <w:vertAlign w:val="superscript"/>
        </w:rPr>
        <w:t>2</w:t>
      </w:r>
      <w:r>
        <w:rPr>
          <w:rFonts w:hint="eastAsia" w:hAnsi="宋体"/>
          <w:bCs/>
          <w:sz w:val="24"/>
        </w:rPr>
        <w:t>。</w:t>
      </w:r>
    </w:p>
    <w:p>
      <w:pPr>
        <w:pStyle w:val="118"/>
        <w:rPr>
          <w:rFonts w:hint="eastAsia"/>
        </w:rPr>
      </w:pPr>
      <w:r>
        <w:drawing>
          <wp:inline distT="0" distB="0" distL="114300" distR="114300">
            <wp:extent cx="5078730" cy="2068830"/>
            <wp:effectExtent l="0" t="0" r="7620" b="762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35"/>
                    <a:stretch>
                      <a:fillRect/>
                    </a:stretch>
                  </pic:blipFill>
                  <pic:spPr>
                    <a:xfrm>
                      <a:off x="0" y="0"/>
                      <a:ext cx="5078730" cy="2068830"/>
                    </a:xfrm>
                    <a:prstGeom prst="rect">
                      <a:avLst/>
                    </a:prstGeom>
                    <a:noFill/>
                    <a:ln>
                      <a:noFill/>
                    </a:ln>
                  </pic:spPr>
                </pic:pic>
              </a:graphicData>
            </a:graphic>
          </wp:inline>
        </w:drawing>
      </w:r>
    </w:p>
    <w:p>
      <w:pPr>
        <w:adjustRightInd w:val="0"/>
        <w:snapToGrid w:val="0"/>
        <w:jc w:val="center"/>
        <w:rPr>
          <w:rFonts w:hint="eastAsia" w:hAnsi="宋体"/>
          <w:b/>
          <w:bCs/>
          <w:szCs w:val="21"/>
        </w:rPr>
      </w:pPr>
      <w:r>
        <w:rPr>
          <w:rFonts w:hint="eastAsia" w:hAnsi="宋体"/>
          <w:b/>
          <w:bCs/>
          <w:szCs w:val="21"/>
        </w:rPr>
        <w:t>图3-3</w:t>
      </w:r>
      <w:r>
        <w:rPr>
          <w:rFonts w:hAnsi="宋体"/>
          <w:b/>
          <w:bCs/>
          <w:szCs w:val="21"/>
        </w:rPr>
        <w:t xml:space="preserve"> </w:t>
      </w:r>
      <w:r>
        <w:rPr>
          <w:rFonts w:hint="eastAsia" w:hAnsi="宋体"/>
          <w:b/>
          <w:bCs/>
          <w:szCs w:val="21"/>
        </w:rPr>
        <w:t>底栖动物密度（</w:t>
      </w:r>
      <w:r>
        <w:rPr>
          <w:rFonts w:hAnsi="宋体"/>
          <w:b/>
          <w:bCs/>
          <w:szCs w:val="21"/>
        </w:rPr>
        <w:t>ind./m</w:t>
      </w:r>
      <w:r>
        <w:rPr>
          <w:rFonts w:hAnsi="宋体"/>
          <w:b/>
          <w:bCs/>
          <w:szCs w:val="21"/>
          <w:vertAlign w:val="superscript"/>
        </w:rPr>
        <w:t>2</w:t>
      </w:r>
      <w:r>
        <w:rPr>
          <w:rFonts w:hint="eastAsia" w:hAnsi="宋体"/>
          <w:b/>
          <w:bCs/>
          <w:szCs w:val="21"/>
        </w:rPr>
        <w:t>）和生物量（</w:t>
      </w:r>
      <w:r>
        <w:rPr>
          <w:rFonts w:hAnsi="宋体"/>
          <w:b/>
          <w:bCs/>
          <w:szCs w:val="21"/>
        </w:rPr>
        <w:t>g/ m</w:t>
      </w:r>
      <w:r>
        <w:rPr>
          <w:rFonts w:hAnsi="宋体"/>
          <w:b/>
          <w:bCs/>
          <w:szCs w:val="21"/>
          <w:vertAlign w:val="superscript"/>
        </w:rPr>
        <w:t>2</w:t>
      </w:r>
      <w:r>
        <w:rPr>
          <w:rFonts w:hint="eastAsia" w:hAnsi="宋体"/>
          <w:b/>
          <w:bCs/>
          <w:szCs w:val="21"/>
        </w:rPr>
        <w:t>）</w:t>
      </w:r>
    </w:p>
    <w:p>
      <w:pPr>
        <w:spacing w:line="360" w:lineRule="auto"/>
        <w:ind w:firstLine="480" w:firstLineChars="200"/>
        <w:rPr>
          <w:rFonts w:hint="eastAsia"/>
          <w:color w:val="000000"/>
          <w:sz w:val="24"/>
        </w:rPr>
      </w:pPr>
      <w:r>
        <w:rPr>
          <w:rFonts w:hint="eastAsia"/>
          <w:color w:val="000000"/>
          <w:sz w:val="24"/>
        </w:rPr>
        <w:t>3）鱼类</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Ansi="宋体"/>
          <w:b/>
          <w:bCs/>
          <w:iCs/>
          <w:sz w:val="24"/>
        </w:rPr>
      </w:pPr>
      <w:r>
        <w:rPr>
          <w:rFonts w:hint="eastAsia" w:hAnsi="宋体"/>
          <w:b/>
          <w:bCs/>
          <w:iCs/>
          <w:sz w:val="24"/>
        </w:rPr>
        <w:t>1、种类组成</w:t>
      </w:r>
    </w:p>
    <w:p>
      <w:pPr>
        <w:pStyle w:val="2"/>
        <w:widowControl w:val="0"/>
        <w:snapToGrid/>
        <w:spacing w:after="0" w:line="360" w:lineRule="auto"/>
        <w:ind w:firstLine="480" w:firstLineChars="200"/>
        <w:rPr>
          <w:b/>
          <w:bCs/>
          <w:color w:val="000000"/>
          <w:sz w:val="24"/>
        </w:rPr>
      </w:pPr>
      <w:r>
        <w:rPr>
          <w:rFonts w:hint="eastAsia"/>
          <w:color w:val="000000"/>
          <w:sz w:val="24"/>
        </w:rPr>
        <w:t>根据实地勘察，三渡河为湘江的支流，流量较小，由于上游垃圾填埋场的渗滤液排入河内，对三渡河水质产生一定的影响，因此河流内鱼类种群较小，也以常见鱼类为主，鱼类品种常见的只有20多种，以鲤鱼、草鱼、鲢鱼、鳙鱼等鱼类为主，不存在濒危珍稀的鱼类物种。</w:t>
      </w:r>
    </w:p>
    <w:p>
      <w:pPr>
        <w:pStyle w:val="2"/>
        <w:widowControl w:val="0"/>
        <w:snapToGrid/>
        <w:spacing w:after="0" w:line="360" w:lineRule="auto"/>
        <w:ind w:firstLine="482" w:firstLineChars="200"/>
        <w:rPr>
          <w:rFonts w:hint="eastAsia"/>
          <w:b/>
          <w:bCs/>
          <w:color w:val="000000"/>
        </w:rPr>
      </w:pPr>
      <w:r>
        <w:rPr>
          <w:rFonts w:hint="eastAsia"/>
          <w:b/>
          <w:bCs/>
          <w:color w:val="000000"/>
          <w:sz w:val="24"/>
        </w:rPr>
        <w:t>a 鱼类洄游</w:t>
      </w:r>
    </w:p>
    <w:p>
      <w:pPr>
        <w:spacing w:line="360" w:lineRule="auto"/>
        <w:ind w:firstLine="480" w:firstLineChars="200"/>
        <w:rPr>
          <w:rFonts w:hint="eastAsia"/>
          <w:color w:val="000000"/>
          <w:sz w:val="24"/>
        </w:rPr>
      </w:pPr>
      <w:r>
        <w:rPr>
          <w:rFonts w:hint="eastAsia"/>
          <w:color w:val="000000"/>
          <w:sz w:val="24"/>
        </w:rPr>
        <w:t>洄游是鱼类生命中的-一个重要现象,是它们寻找适宜的生活环境而进行的有效运动。实地调查和查阅有关资料，三渡河内除黄鳝等少数种类为定居性鱼类外，多数鱼类无长途洄游现象，呈半洄游性鱼类，如鲤、鲫等鱼类，大多在幼鱼时期主动洄游到江河上游或支流中饵料较丰富的湾、沱等处觅食，三渡河水质一般，因此其回游鱼类数量较小。</w:t>
      </w:r>
    </w:p>
    <w:p>
      <w:pPr>
        <w:spacing w:line="360" w:lineRule="auto"/>
        <w:ind w:firstLine="482" w:firstLineChars="200"/>
        <w:rPr>
          <w:rFonts w:ascii="Calibri" w:hAnsi="Calibri" w:cs="Calibri"/>
          <w:b/>
          <w:bCs/>
          <w:color w:val="000000"/>
          <w:sz w:val="24"/>
        </w:rPr>
      </w:pPr>
      <w:r>
        <w:rPr>
          <w:rFonts w:hint="eastAsia" w:ascii="Calibri" w:hAnsi="Calibri" w:cs="Calibri"/>
          <w:b/>
          <w:bCs/>
          <w:color w:val="000000"/>
          <w:sz w:val="24"/>
        </w:rPr>
        <w:t>b 产卵场</w:t>
      </w:r>
    </w:p>
    <w:p>
      <w:pPr>
        <w:spacing w:line="360" w:lineRule="auto"/>
        <w:ind w:firstLine="480" w:firstLineChars="200"/>
        <w:rPr>
          <w:rFonts w:hint="eastAsia"/>
          <w:color w:val="000000"/>
          <w:sz w:val="24"/>
        </w:rPr>
      </w:pPr>
      <w:r>
        <w:rPr>
          <w:rFonts w:hint="eastAsia"/>
          <w:color w:val="000000"/>
          <w:sz w:val="24"/>
        </w:rPr>
        <w:t>在本次调查水域内未发现大型的鱼类产卵场，各种鱼类在河道内具备产卵条件的地方均有产卵。调查水域内鱼类产卵主要有以下几种类型:草上产卵型:如鲤、鲫。这类鱼的卵产出后，粘附在植物性附着物上，并在其上进行发育。石砾产卵型:如鲶鱼。这类鱼在岩石或砾性底质上产卵，所产的粘性卵附着在岩石或砾石.上孵化发育。水层产卵型:如草、鲢。这类鱼的卵常含有油球或具较大的卵周隙，在顺水漂流移动中孵化发育。砂底产卵型：产卵场为有流水的卵石和乱石处，以卵石间隙为巢或由雄鱼在卵石间有砾石、砂石的地方筑巢，雌鱼产卵于巢内或卵石间隙中，靠流水冲动孵化发育。本次调查水域内较少。</w:t>
      </w:r>
    </w:p>
    <w:p>
      <w:pPr>
        <w:spacing w:line="360" w:lineRule="auto"/>
        <w:ind w:firstLine="482" w:firstLineChars="200"/>
        <w:rPr>
          <w:b/>
          <w:bCs/>
          <w:color w:val="000000"/>
          <w:sz w:val="24"/>
        </w:rPr>
      </w:pPr>
      <w:r>
        <w:rPr>
          <w:rFonts w:hint="eastAsia"/>
          <w:b/>
          <w:bCs/>
          <w:color w:val="000000"/>
          <w:sz w:val="24"/>
        </w:rPr>
        <w:t>c越冬场</w:t>
      </w:r>
    </w:p>
    <w:p>
      <w:pPr>
        <w:spacing w:line="360" w:lineRule="auto"/>
        <w:ind w:firstLine="480" w:firstLineChars="200"/>
        <w:rPr>
          <w:rFonts w:hint="eastAsia"/>
          <w:color w:val="000000"/>
          <w:sz w:val="24"/>
        </w:rPr>
      </w:pPr>
      <w:r>
        <w:rPr>
          <w:rFonts w:hint="eastAsia"/>
          <w:color w:val="000000"/>
          <w:sz w:val="24"/>
        </w:rPr>
        <w:t>调查流域鱼类的越冬场主要分散在整个流域不同河段的深水区和缓水的深潭、卵石间隙或洞穴中，未发现规模较大的鱼类越冬场。</w:t>
      </w:r>
    </w:p>
    <w:p>
      <w:pPr>
        <w:spacing w:line="360" w:lineRule="auto"/>
        <w:ind w:firstLine="482" w:firstLineChars="200"/>
        <w:rPr>
          <w:b/>
          <w:bCs/>
          <w:color w:val="000000"/>
          <w:sz w:val="24"/>
        </w:rPr>
      </w:pPr>
      <w:r>
        <w:rPr>
          <w:rFonts w:hint="eastAsia"/>
          <w:b/>
          <w:bCs/>
          <w:color w:val="000000"/>
          <w:sz w:val="24"/>
        </w:rPr>
        <w:t>d 索饵场</w:t>
      </w:r>
    </w:p>
    <w:p>
      <w:pPr>
        <w:autoSpaceDE/>
        <w:autoSpaceDN/>
        <w:adjustRightInd w:val="0"/>
        <w:snapToGrid w:val="0"/>
        <w:spacing w:line="360" w:lineRule="auto"/>
        <w:ind w:firstLine="480" w:firstLineChars="200"/>
        <w:jc w:val="both"/>
        <w:rPr>
          <w:rFonts w:ascii="Times New Roman" w:hAnsi="Times New Roman" w:cs="Times New Roman"/>
          <w:snapToGrid w:val="0"/>
          <w:color w:val="FF0000"/>
          <w:sz w:val="24"/>
          <w:szCs w:val="24"/>
          <w:u w:val="single"/>
          <w:lang w:val="en-US" w:bidi="ar"/>
        </w:rPr>
      </w:pPr>
      <w:r>
        <w:rPr>
          <w:rFonts w:hint="eastAsia"/>
          <w:color w:val="000000"/>
          <w:sz w:val="24"/>
        </w:rPr>
        <w:t>索饵场是指饵料生物丰富，鱼类集群摄食的水域。根据鱼类食性的不同，索饵场分布有较大差异，草食性鱼类主要在水草较多的水域:杂食性鱼类主要在水流缓慢、河底有淤泥沉积的水域；滤食性鱼类主要在支流浮游生物较多的江段和干流的缓水区。评价区没有发现大型索饵场。</w:t>
      </w:r>
    </w:p>
    <w:p>
      <w:pPr>
        <w:autoSpaceDE/>
        <w:autoSpaceDN/>
        <w:adjustRightInd w:val="0"/>
        <w:snapToGrid w:val="0"/>
        <w:spacing w:line="360" w:lineRule="auto"/>
        <w:jc w:val="both"/>
        <w:outlineLvl w:val="2"/>
        <w:rPr>
          <w:rFonts w:ascii="Times New Roman" w:hAnsi="Times New Roman" w:cs="Times New Roman"/>
          <w:b/>
          <w:color w:val="auto"/>
          <w:sz w:val="28"/>
          <w:szCs w:val="24"/>
          <w:u w:val="none"/>
        </w:rPr>
      </w:pPr>
      <w:bookmarkStart w:id="269" w:name="_Toc82593164"/>
      <w:bookmarkStart w:id="270" w:name="_Toc28766"/>
      <w:r>
        <w:rPr>
          <w:rFonts w:ascii="Times New Roman" w:hAnsi="Times New Roman" w:cs="Times New Roman"/>
          <w:b/>
          <w:color w:val="auto"/>
          <w:sz w:val="28"/>
          <w:szCs w:val="24"/>
          <w:u w:val="none"/>
        </w:rPr>
        <w:t>4.</w:t>
      </w:r>
      <w:r>
        <w:rPr>
          <w:rFonts w:hint="eastAsia" w:ascii="Times New Roman" w:hAnsi="Times New Roman" w:cs="Times New Roman"/>
          <w:b/>
          <w:color w:val="auto"/>
          <w:sz w:val="28"/>
          <w:szCs w:val="24"/>
          <w:u w:val="none"/>
          <w:lang w:val="en-US" w:eastAsia="zh-CN"/>
        </w:rPr>
        <w:t>5</w:t>
      </w:r>
      <w:r>
        <w:rPr>
          <w:rFonts w:ascii="Times New Roman" w:hAnsi="Times New Roman" w:cs="Times New Roman"/>
          <w:b/>
          <w:color w:val="auto"/>
          <w:sz w:val="28"/>
          <w:szCs w:val="24"/>
          <w:u w:val="none"/>
        </w:rPr>
        <w:t>.</w:t>
      </w:r>
      <w:r>
        <w:rPr>
          <w:rFonts w:hint="eastAsia" w:ascii="Times New Roman" w:hAnsi="Times New Roman" w:cs="Times New Roman"/>
          <w:b/>
          <w:color w:val="auto"/>
          <w:sz w:val="28"/>
          <w:szCs w:val="24"/>
          <w:u w:val="none"/>
        </w:rPr>
        <w:t>4</w:t>
      </w:r>
      <w:r>
        <w:rPr>
          <w:rFonts w:ascii="Times New Roman" w:hAnsi="Times New Roman" w:cs="Times New Roman"/>
          <w:b/>
          <w:color w:val="auto"/>
          <w:sz w:val="28"/>
          <w:szCs w:val="24"/>
          <w:u w:val="none"/>
        </w:rPr>
        <w:t>生态环境现状评价结论</w:t>
      </w:r>
      <w:bookmarkEnd w:id="269"/>
      <w:bookmarkEnd w:id="270"/>
    </w:p>
    <w:p>
      <w:pPr>
        <w:autoSpaceDE/>
        <w:autoSpaceDN/>
        <w:adjustRightInd w:val="0"/>
        <w:snapToGrid w:val="0"/>
        <w:spacing w:line="360" w:lineRule="auto"/>
        <w:ind w:firstLine="480" w:firstLineChars="200"/>
        <w:jc w:val="both"/>
        <w:rPr>
          <w:rFonts w:ascii="Times New Roman" w:hAnsi="Times New Roman" w:cs="Times New Roman"/>
          <w:snapToGrid w:val="0"/>
          <w:color w:val="FF0000"/>
          <w:sz w:val="24"/>
          <w:szCs w:val="24"/>
          <w:u w:val="single"/>
          <w:lang w:val="en-US" w:bidi="ar"/>
        </w:rPr>
      </w:pPr>
      <w:r>
        <w:rPr>
          <w:rFonts w:ascii="Times New Roman" w:hAnsi="Times New Roman" w:cs="Times New Roman"/>
          <w:snapToGrid w:val="0"/>
          <w:color w:val="auto"/>
          <w:sz w:val="24"/>
          <w:szCs w:val="24"/>
          <w:u w:val="none"/>
          <w:lang w:val="en-US" w:bidi="ar"/>
        </w:rPr>
        <w:t>通过收集相关资料及现状调查可知，本项目影响区域为</w:t>
      </w:r>
      <w:r>
        <w:rPr>
          <w:rFonts w:hint="eastAsia" w:ascii="Times New Roman" w:hAnsi="Times New Roman" w:cs="Times New Roman"/>
          <w:snapToGrid w:val="0"/>
          <w:color w:val="auto"/>
          <w:sz w:val="24"/>
          <w:szCs w:val="24"/>
          <w:u w:val="none"/>
          <w:lang w:val="en-US" w:eastAsia="zh-CN" w:bidi="ar"/>
        </w:rPr>
        <w:t>祁水流域</w:t>
      </w:r>
      <w:r>
        <w:rPr>
          <w:rFonts w:ascii="Times New Roman" w:hAnsi="Times New Roman" w:cs="Times New Roman"/>
          <w:snapToGrid w:val="0"/>
          <w:color w:val="auto"/>
          <w:sz w:val="24"/>
          <w:szCs w:val="24"/>
          <w:u w:val="none"/>
          <w:lang w:val="en-US" w:bidi="ar"/>
        </w:rPr>
        <w:t>周边</w:t>
      </w:r>
      <w:r>
        <w:rPr>
          <w:rFonts w:hint="eastAsia" w:ascii="Times New Roman" w:hAnsi="Times New Roman" w:cs="Times New Roman"/>
          <w:snapToGrid w:val="0"/>
          <w:color w:val="auto"/>
          <w:sz w:val="24"/>
          <w:szCs w:val="24"/>
          <w:u w:val="none"/>
          <w:lang w:val="en-US" w:eastAsia="zh-CN" w:bidi="ar"/>
        </w:rPr>
        <w:t>乡镇及农村</w:t>
      </w:r>
      <w:r>
        <w:rPr>
          <w:rFonts w:ascii="Times New Roman" w:hAnsi="Times New Roman" w:cs="Times New Roman"/>
          <w:snapToGrid w:val="0"/>
          <w:color w:val="auto"/>
          <w:sz w:val="24"/>
          <w:szCs w:val="24"/>
          <w:u w:val="none"/>
          <w:lang w:val="en-US" w:bidi="ar"/>
        </w:rPr>
        <w:t>，人类活动频繁，周围植被主要是人工植被；野生动物分布较少；受环境干扰影响，各</w:t>
      </w:r>
      <w:r>
        <w:rPr>
          <w:rFonts w:hint="eastAsia" w:ascii="Times New Roman" w:hAnsi="Times New Roman" w:cs="Times New Roman"/>
          <w:snapToGrid w:val="0"/>
          <w:color w:val="auto"/>
          <w:sz w:val="24"/>
          <w:szCs w:val="24"/>
          <w:u w:val="none"/>
          <w:lang w:val="en-US" w:eastAsia="zh-CN" w:bidi="ar"/>
        </w:rPr>
        <w:t>河流</w:t>
      </w:r>
      <w:r>
        <w:rPr>
          <w:rFonts w:ascii="Times New Roman" w:hAnsi="Times New Roman" w:cs="Times New Roman"/>
          <w:snapToGrid w:val="0"/>
          <w:color w:val="auto"/>
          <w:sz w:val="24"/>
          <w:szCs w:val="24"/>
          <w:u w:val="none"/>
          <w:lang w:val="en-US" w:bidi="ar"/>
        </w:rPr>
        <w:t>浮游植物、浮游动物及底栖动物分布的数量及种类较少，主要为常见鱼类资源，且没有鱼类“三场”及洄游通道分布。</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sectPr>
          <w:pgSz w:w="11910" w:h="16840"/>
          <w:pgMar w:top="1378" w:right="1542" w:bottom="1378" w:left="1559" w:header="877" w:footer="1077" w:gutter="0"/>
          <w:pgBorders>
            <w:top w:val="none" w:sz="0" w:space="0"/>
            <w:left w:val="none" w:sz="0" w:space="0"/>
            <w:bottom w:val="none" w:sz="0" w:space="0"/>
            <w:right w:val="none" w:sz="0" w:space="0"/>
          </w:pgBorders>
          <w:pgNumType w:fmt="decimal"/>
          <w:cols w:space="720" w:num="1"/>
          <w:docGrid w:linePitch="299" w:charSpace="0"/>
        </w:sectPr>
      </w:pPr>
    </w:p>
    <w:p>
      <w:pPr>
        <w:pStyle w:val="4"/>
        <w:autoSpaceDE/>
        <w:autoSpaceDN/>
        <w:adjustRightInd w:val="0"/>
        <w:snapToGrid w:val="0"/>
        <w:spacing w:before="0" w:line="360" w:lineRule="auto"/>
        <w:ind w:right="0"/>
        <w:jc w:val="left"/>
        <w:rPr>
          <w:rFonts w:ascii="Times New Roman" w:hAnsi="Times New Roman" w:cs="Times New Roman" w:eastAsiaTheme="minorEastAsia"/>
          <w:sz w:val="32"/>
        </w:rPr>
      </w:pPr>
      <w:bookmarkStart w:id="271" w:name="_Toc9545"/>
      <w:r>
        <w:rPr>
          <w:rFonts w:ascii="Times New Roman" w:hAnsi="Times New Roman" w:cs="Times New Roman" w:eastAsiaTheme="minorEastAsia"/>
          <w:sz w:val="32"/>
        </w:rPr>
        <w:t>5.环境影响预测与评价</w:t>
      </w:r>
      <w:bookmarkEnd w:id="271"/>
    </w:p>
    <w:p>
      <w:pPr>
        <w:pStyle w:val="5"/>
        <w:tabs>
          <w:tab w:val="left" w:pos="766"/>
        </w:tabs>
        <w:autoSpaceDE/>
        <w:autoSpaceDN/>
        <w:adjustRightInd w:val="0"/>
        <w:snapToGrid w:val="0"/>
        <w:spacing w:before="0" w:line="360" w:lineRule="auto"/>
        <w:ind w:left="0" w:firstLine="0"/>
        <w:jc w:val="both"/>
        <w:rPr>
          <w:rFonts w:ascii="Times New Roman" w:hAnsi="Times New Roman" w:cs="Times New Roman"/>
          <w:snapToGrid w:val="0"/>
        </w:rPr>
      </w:pPr>
      <w:bookmarkStart w:id="272" w:name="_bookmark37"/>
      <w:bookmarkEnd w:id="272"/>
      <w:bookmarkStart w:id="273" w:name="_Toc16082"/>
      <w:r>
        <w:rPr>
          <w:rFonts w:ascii="Times New Roman" w:hAnsi="Times New Roman" w:cs="Times New Roman"/>
          <w:snapToGrid w:val="0"/>
        </w:rPr>
        <w:t>5.1施工期环境影响</w:t>
      </w:r>
      <w:bookmarkEnd w:id="273"/>
    </w:p>
    <w:p>
      <w:pPr>
        <w:autoSpaceDE/>
        <w:autoSpaceDN/>
        <w:adjustRightInd w:val="0"/>
        <w:snapToGrid w:val="0"/>
        <w:spacing w:line="360" w:lineRule="auto"/>
        <w:jc w:val="both"/>
        <w:outlineLvl w:val="2"/>
        <w:rPr>
          <w:rFonts w:ascii="Times New Roman" w:hAnsi="Times New Roman" w:cs="Times New Roman"/>
          <w:b/>
          <w:sz w:val="28"/>
          <w:szCs w:val="24"/>
        </w:rPr>
      </w:pPr>
      <w:bookmarkStart w:id="274" w:name="_Toc82593167"/>
      <w:bookmarkStart w:id="275" w:name="_Toc66206101"/>
      <w:bookmarkStart w:id="276" w:name="_Toc69284627"/>
      <w:bookmarkStart w:id="277" w:name="_Toc10310"/>
      <w:r>
        <w:rPr>
          <w:rFonts w:ascii="Times New Roman" w:hAnsi="Times New Roman" w:cs="Times New Roman"/>
          <w:b/>
          <w:sz w:val="28"/>
          <w:szCs w:val="24"/>
        </w:rPr>
        <w:t>5.1.1大气环境影响分析</w:t>
      </w:r>
      <w:bookmarkEnd w:id="274"/>
      <w:bookmarkEnd w:id="275"/>
      <w:bookmarkEnd w:id="276"/>
      <w:bookmarkEnd w:id="277"/>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工程施工期产生的废气污染物主要为施工扬尘、施工机械和运输车辆产生的尾气、清淤恶臭气体。</w:t>
      </w:r>
    </w:p>
    <w:p>
      <w:pPr>
        <w:autoSpaceDE/>
        <w:autoSpaceDN/>
        <w:adjustRightInd w:val="0"/>
        <w:snapToGrid w:val="0"/>
        <w:spacing w:line="360" w:lineRule="auto"/>
        <w:jc w:val="both"/>
        <w:outlineLvl w:val="3"/>
        <w:rPr>
          <w:rFonts w:ascii="Times New Roman" w:hAnsi="Times New Roman" w:cs="Times New Roman"/>
          <w:b/>
          <w:sz w:val="24"/>
          <w:szCs w:val="24"/>
        </w:rPr>
      </w:pPr>
      <w:r>
        <w:rPr>
          <w:rFonts w:ascii="Times New Roman" w:hAnsi="Times New Roman" w:cs="Times New Roman"/>
          <w:b/>
          <w:sz w:val="24"/>
          <w:szCs w:val="24"/>
        </w:rPr>
        <w:t>5.1.1.1施工扬尘</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工程施工粉尘和扬尘主要产生于施工现场和施工过程中土石方开挖、散装粉状物料的堆放、施工场地地面裸露产生的粉尘和扬尘；运输车辆和施工机械行驶过程中车轮与路面摩擦导致积尘飞扬产生的大量道路运输扬尘；车辆装载的土料、散装的建筑材料在运输和装卸过程中飘洒、散落、飞扬的扬尘。</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扬尘的情况随着施工阶段的不同而不同，其造成的污染影响是局部和短期的，施工结束后就会消失。总的来说，在采取良好的防尘抑尘措施情况下，项目施工扬尘对大气的影响范围主要在施工作业点200m以内。由于距离的不同，其污染影响程度亦不同。在扬尘点下风向0~50m为重污染带，50~100m为较重污染带，100~200m为轻污染带，200m以外对大气影响甚微。据类比调查，在一般气象条件下(平均风速为 2.5m/s)，施工扬尘的影响范围为其下风向150m内，被影响的地区TSP浓度平均值为0.49mg/m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 xml:space="preserve">左右，至150m处符合二级质量标准，具有明显的局地污染特征。 </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如果施工阶段对施工场地及路面勤洒水(每天3~5次)，可以使空气中粉尘量减少70%左右，可以收到很好的降尘效果。洒水的试验资料如下表。</w:t>
      </w:r>
    </w:p>
    <w:p>
      <w:pPr>
        <w:pStyle w:val="2"/>
        <w:autoSpaceDE/>
        <w:autoSpaceDN/>
        <w:adjustRightInd w:val="0"/>
        <w:snapToGrid w:val="0"/>
        <w:spacing w:before="0" w:line="360" w:lineRule="auto"/>
        <w:ind w:left="0"/>
        <w:jc w:val="center"/>
        <w:rPr>
          <w:rFonts w:ascii="Times New Roman" w:hAnsi="Times New Roman" w:cs="Times New Roman"/>
          <w:b/>
          <w:vertAlign w:val="superscript"/>
        </w:rPr>
      </w:pPr>
      <w:r>
        <w:rPr>
          <w:rFonts w:ascii="Times New Roman" w:hAnsi="Times New Roman" w:cs="Times New Roman"/>
          <w:b/>
        </w:rPr>
        <w:t xml:space="preserve">表5.1-1 </w:t>
      </w:r>
      <w:r>
        <w:rPr>
          <w:rFonts w:hint="eastAsia" w:ascii="Times New Roman" w:hAnsi="Times New Roman" w:cs="Times New Roman"/>
          <w:b/>
        </w:rPr>
        <w:t xml:space="preserve"> </w:t>
      </w:r>
      <w:r>
        <w:rPr>
          <w:rFonts w:ascii="Times New Roman" w:hAnsi="Times New Roman" w:cs="Times New Roman"/>
          <w:b/>
        </w:rPr>
        <w:t>施工阶段使用洒水车降尘试验结果</w:t>
      </w:r>
      <w:r>
        <w:rPr>
          <w:rFonts w:hint="eastAsia" w:ascii="Times New Roman" w:hAnsi="Times New Roman" w:cs="Times New Roman"/>
          <w:b/>
        </w:rPr>
        <w:t xml:space="preserve">  </w:t>
      </w:r>
      <w:r>
        <w:rPr>
          <w:rFonts w:ascii="Times New Roman" w:hAnsi="Times New Roman" w:cs="Times New Roman"/>
          <w:b/>
        </w:rPr>
        <w:t>单位：mg/m</w:t>
      </w:r>
      <w:r>
        <w:rPr>
          <w:rFonts w:ascii="Times New Roman" w:hAnsi="Times New Roman" w:cs="Times New Roman"/>
          <w:b/>
          <w:vertAlign w:val="superscript"/>
        </w:rPr>
        <w:t>3</w:t>
      </w:r>
    </w:p>
    <w:tbl>
      <w:tblPr>
        <w:tblStyle w:val="90"/>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466"/>
        <w:gridCol w:w="1466"/>
        <w:gridCol w:w="1467"/>
        <w:gridCol w:w="1467"/>
        <w:gridCol w:w="1467"/>
        <w:gridCol w:w="146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jc w:val="center"/>
        </w:trPr>
        <w:tc>
          <w:tcPr>
            <w:tcW w:w="2932" w:type="dxa"/>
            <w:gridSpan w:val="2"/>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距产尘点距离（m）</w:t>
            </w:r>
          </w:p>
        </w:tc>
        <w:tc>
          <w:tcPr>
            <w:tcW w:w="1467"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5</w:t>
            </w:r>
          </w:p>
        </w:tc>
        <w:tc>
          <w:tcPr>
            <w:tcW w:w="1467"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20</w:t>
            </w:r>
          </w:p>
        </w:tc>
        <w:tc>
          <w:tcPr>
            <w:tcW w:w="1467"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50</w:t>
            </w:r>
          </w:p>
        </w:tc>
        <w:tc>
          <w:tcPr>
            <w:tcW w:w="1467"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100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jc w:val="center"/>
        </w:trPr>
        <w:tc>
          <w:tcPr>
            <w:tcW w:w="1466" w:type="dxa"/>
            <w:vMerge w:val="restart"/>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TSP浓度（mg/m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1466"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不洒水</w:t>
            </w:r>
          </w:p>
        </w:tc>
        <w:tc>
          <w:tcPr>
            <w:tcW w:w="1467"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10.14</w:t>
            </w:r>
          </w:p>
        </w:tc>
        <w:tc>
          <w:tcPr>
            <w:tcW w:w="1467"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3.810</w:t>
            </w:r>
          </w:p>
        </w:tc>
        <w:tc>
          <w:tcPr>
            <w:tcW w:w="1467"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2.15</w:t>
            </w:r>
          </w:p>
        </w:tc>
        <w:tc>
          <w:tcPr>
            <w:tcW w:w="1467"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1.86</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jc w:val="center"/>
        </w:trPr>
        <w:tc>
          <w:tcPr>
            <w:tcW w:w="1466" w:type="dxa"/>
            <w:vMerge w:val="continue"/>
            <w:vAlign w:val="center"/>
          </w:tcPr>
          <w:p>
            <w:pPr>
              <w:pStyle w:val="2"/>
              <w:autoSpaceDE/>
              <w:autoSpaceDN/>
              <w:adjustRightInd w:val="0"/>
              <w:snapToGrid w:val="0"/>
              <w:spacing w:before="0"/>
              <w:ind w:left="0"/>
              <w:jc w:val="center"/>
              <w:rPr>
                <w:rFonts w:ascii="Times New Roman" w:hAnsi="Times New Roman" w:cs="Times New Roman"/>
                <w:sz w:val="21"/>
                <w:szCs w:val="21"/>
              </w:rPr>
            </w:pPr>
          </w:p>
        </w:tc>
        <w:tc>
          <w:tcPr>
            <w:tcW w:w="1466"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洒水</w:t>
            </w:r>
          </w:p>
        </w:tc>
        <w:tc>
          <w:tcPr>
            <w:tcW w:w="1467"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2.01</w:t>
            </w:r>
          </w:p>
        </w:tc>
        <w:tc>
          <w:tcPr>
            <w:tcW w:w="1467"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1.40</w:t>
            </w:r>
          </w:p>
        </w:tc>
        <w:tc>
          <w:tcPr>
            <w:tcW w:w="1467"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0.68</w:t>
            </w:r>
          </w:p>
        </w:tc>
        <w:tc>
          <w:tcPr>
            <w:tcW w:w="1467"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0.60</w:t>
            </w:r>
          </w:p>
        </w:tc>
      </w:tr>
    </w:tbl>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当施工场地洒水频率为3~5次/天时，扬尘造成的TSP污染距离可缩小到20~50m 范围内，故其影响范围主要在作业点周围50m以内。本工程施工工区50m范围内居民较多，在这些敏感点段施工时，应采取防护措施。同时在施工过程中，为减轻扬尘对施工人员的影响，还应采取必要的劳动保护措施。</w:t>
      </w:r>
    </w:p>
    <w:p>
      <w:pPr>
        <w:autoSpaceDE/>
        <w:autoSpaceDN/>
        <w:adjustRightInd w:val="0"/>
        <w:snapToGrid w:val="0"/>
        <w:spacing w:line="360" w:lineRule="auto"/>
        <w:jc w:val="both"/>
        <w:outlineLvl w:val="3"/>
        <w:rPr>
          <w:rFonts w:ascii="Times New Roman" w:hAnsi="Times New Roman" w:cs="Times New Roman"/>
          <w:b/>
          <w:sz w:val="24"/>
          <w:szCs w:val="24"/>
        </w:rPr>
      </w:pPr>
      <w:r>
        <w:rPr>
          <w:rFonts w:ascii="Times New Roman" w:hAnsi="Times New Roman" w:cs="Times New Roman"/>
          <w:b/>
          <w:sz w:val="24"/>
          <w:szCs w:val="24"/>
        </w:rPr>
        <w:t>5.1.1.2运输扬尘</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物料运输车辆在行驶时滚动的车轮产生扬尘，尤其是重型车辆，产生的扬尘更大，车辆行驶速度越快，产生的扬尘越大。同时，产生的扬尘量与道路的路面情况以及清洁程度有关。据有关资料介绍，在施工过程中，车辆行驶产生的扬尘占总扬尘的60%以上。工地道路扬尘强度与道路路面有关，颗粒物浓度最低的是水泥地面，其次是坚硬的土路，再次是一般土路，浓度最高的是浮土多的土路。车辆行驶产生的扬尘，在完全干燥情况下，可按下列经验公式计算：</w:t>
      </w:r>
    </w:p>
    <w:p>
      <w:pPr>
        <w:pStyle w:val="2"/>
        <w:autoSpaceDE/>
        <w:autoSpaceDN/>
        <w:adjustRightInd w:val="0"/>
        <w:snapToGrid w:val="0"/>
        <w:spacing w:before="0" w:line="360" w:lineRule="auto"/>
        <w:ind w:left="0"/>
        <w:jc w:val="both"/>
        <w:rPr>
          <w:rFonts w:ascii="Times New Roman" w:hAnsi="Times New Roman" w:cs="Times New Roman"/>
        </w:rPr>
      </w:pPr>
      <m:oMathPara>
        <m:oMath>
          <m:r>
            <m:rPr>
              <m:sty m:val="p"/>
            </m:rPr>
            <w:rPr>
              <w:rFonts w:ascii="Cambria Math" w:hAnsi="Cambria Math" w:cs="Times New Roman"/>
            </w:rPr>
            <m:t>Q=0.123</m:t>
          </m:r>
          <m:d>
            <m:dPr>
              <m:ctrlPr>
                <w:rPr>
                  <w:rFonts w:ascii="Cambria Math" w:hAnsi="Cambria Math" w:cs="Times New Roman"/>
                </w:rPr>
              </m:ctrlPr>
            </m:dPr>
            <m:e>
              <m:f>
                <m:fPr>
                  <m:ctrlPr>
                    <w:rPr>
                      <w:rFonts w:ascii="Cambria Math" w:hAnsi="Cambria Math" w:cs="Times New Roman"/>
                    </w:rPr>
                  </m:ctrlPr>
                </m:fPr>
                <m:num>
                  <m:r>
                    <m:rPr/>
                    <w:rPr>
                      <w:rFonts w:ascii="Cambria Math" w:hAnsi="Cambria Math" w:cs="Times New Roman"/>
                    </w:rPr>
                    <m:t>v</m:t>
                  </m:r>
                  <m:ctrlPr>
                    <w:rPr>
                      <w:rFonts w:ascii="Cambria Math" w:hAnsi="Cambria Math" w:cs="Times New Roman"/>
                    </w:rPr>
                  </m:ctrlPr>
                </m:num>
                <m:den>
                  <m:r>
                    <m:rPr/>
                    <w:rPr>
                      <w:rFonts w:ascii="Cambria Math" w:hAnsi="Cambria Math" w:cs="Times New Roman"/>
                    </w:rPr>
                    <m:t>5</m:t>
                  </m:r>
                  <m:ctrlPr>
                    <w:rPr>
                      <w:rFonts w:ascii="Cambria Math" w:hAnsi="Cambria Math" w:cs="Times New Roman"/>
                    </w:rPr>
                  </m:ctrlPr>
                </m:den>
              </m:f>
              <m:ctrlPr>
                <w:rPr>
                  <w:rFonts w:ascii="Cambria Math" w:hAnsi="Cambria Math" w:cs="Times New Roman"/>
                </w:rPr>
              </m:ctrlPr>
            </m:e>
          </m:d>
          <m:sSup>
            <m:sSupPr>
              <m:ctrlPr>
                <w:rPr>
                  <w:rFonts w:ascii="Cambria Math" w:hAnsi="Cambria Math" w:cs="Times New Roman"/>
                  <w:i/>
                </w:rPr>
              </m:ctrlPr>
            </m:sSupPr>
            <m:e>
              <m:r>
                <m:rPr>
                  <m:sty m:val="p"/>
                </m:rPr>
                <w:rPr>
                  <w:rFonts w:ascii="Cambria Math" w:hAnsi="Cambria Math" w:cs="Times New Roman"/>
                </w:rPr>
                <m:t>(</m:t>
              </m:r>
              <m:f>
                <m:fPr>
                  <m:ctrlPr>
                    <w:rPr>
                      <w:rFonts w:ascii="Cambria Math" w:hAnsi="Cambria Math" w:cs="Times New Roman"/>
                      <w:i/>
                    </w:rPr>
                  </m:ctrlPr>
                </m:fPr>
                <m:num>
                  <m:r>
                    <m:rPr/>
                    <w:rPr>
                      <w:rFonts w:ascii="Cambria Math" w:hAnsi="Cambria Math" w:cs="Times New Roman"/>
                    </w:rPr>
                    <m:t>w</m:t>
                  </m:r>
                  <m:ctrlPr>
                    <w:rPr>
                      <w:rFonts w:ascii="Cambria Math" w:hAnsi="Cambria Math" w:cs="Times New Roman"/>
                      <w:i/>
                    </w:rPr>
                  </m:ctrlPr>
                </m:num>
                <m:den>
                  <m:r>
                    <m:rPr/>
                    <w:rPr>
                      <w:rFonts w:ascii="Cambria Math" w:hAnsi="Cambria Math" w:cs="Times New Roman"/>
                    </w:rPr>
                    <m:t>6.8</m:t>
                  </m:r>
                  <m:ctrlPr>
                    <w:rPr>
                      <w:rFonts w:ascii="Cambria Math" w:hAnsi="Cambria Math" w:cs="Times New Roman"/>
                      <w:i/>
                    </w:rPr>
                  </m:ctrlPr>
                </m:den>
              </m:f>
              <m:r>
                <m:rPr/>
                <w:rPr>
                  <w:rFonts w:ascii="Cambria Math" w:hAnsi="Cambria Math" w:cs="Times New Roman"/>
                </w:rPr>
                <m:t>)</m:t>
              </m:r>
              <m:ctrlPr>
                <w:rPr>
                  <w:rFonts w:ascii="Cambria Math" w:hAnsi="Cambria Math" w:cs="Times New Roman"/>
                  <w:i/>
                </w:rPr>
              </m:ctrlPr>
            </m:e>
            <m:sup>
              <m:r>
                <m:rPr/>
                <w:rPr>
                  <w:rFonts w:ascii="Cambria Math" w:hAnsi="Cambria Math" w:cs="Times New Roman"/>
                </w:rPr>
                <m:t>0.85</m:t>
              </m:r>
              <m:ctrlPr>
                <w:rPr>
                  <w:rFonts w:ascii="Cambria Math" w:hAnsi="Cambria Math" w:cs="Times New Roman"/>
                  <w:i/>
                </w:rPr>
              </m:ctrlPr>
            </m:sup>
          </m:sSup>
          <m:sSup>
            <m:sSupPr>
              <m:ctrlPr>
                <w:rPr>
                  <w:rFonts w:ascii="Cambria Math" w:hAnsi="Cambria Math" w:cs="Times New Roman"/>
                  <w:i/>
                </w:rPr>
              </m:ctrlPr>
            </m:sSupPr>
            <m:e>
              <m:r>
                <m:rPr/>
                <w:rPr>
                  <w:rFonts w:ascii="Cambria Math" w:hAnsi="Cambria Math" w:cs="Times New Roman"/>
                </w:rPr>
                <m:t>(</m:t>
              </m:r>
              <m:f>
                <m:fPr>
                  <m:ctrlPr>
                    <w:rPr>
                      <w:rFonts w:ascii="Cambria Math" w:hAnsi="Cambria Math" w:cs="Times New Roman"/>
                      <w:i/>
                    </w:rPr>
                  </m:ctrlPr>
                </m:fPr>
                <m:num>
                  <m:r>
                    <m:rPr/>
                    <w:rPr>
                      <w:rFonts w:ascii="Cambria Math" w:hAnsi="Cambria Math" w:cs="Times New Roman"/>
                    </w:rPr>
                    <m:t>p</m:t>
                  </m:r>
                  <m:ctrlPr>
                    <w:rPr>
                      <w:rFonts w:ascii="Cambria Math" w:hAnsi="Cambria Math" w:cs="Times New Roman"/>
                      <w:i/>
                    </w:rPr>
                  </m:ctrlPr>
                </m:num>
                <m:den>
                  <m:r>
                    <m:rPr/>
                    <w:rPr>
                      <w:rFonts w:ascii="Cambria Math" w:hAnsi="Cambria Math" w:cs="Times New Roman"/>
                    </w:rPr>
                    <m:t>0.5</m:t>
                  </m:r>
                  <m:ctrlPr>
                    <w:rPr>
                      <w:rFonts w:ascii="Cambria Math" w:hAnsi="Cambria Math" w:cs="Times New Roman"/>
                      <w:i/>
                    </w:rPr>
                  </m:ctrlPr>
                </m:den>
              </m:f>
              <m:r>
                <m:rPr/>
                <w:rPr>
                  <w:rFonts w:ascii="Cambria Math" w:hAnsi="Cambria Math" w:cs="Times New Roman"/>
                </w:rPr>
                <m:t>)</m:t>
              </m:r>
              <m:ctrlPr>
                <w:rPr>
                  <w:rFonts w:ascii="Cambria Math" w:hAnsi="Cambria Math" w:cs="Times New Roman"/>
                  <w:i/>
                </w:rPr>
              </m:ctrlPr>
            </m:e>
            <m:sup>
              <m:r>
                <m:rPr/>
                <w:rPr>
                  <w:rFonts w:ascii="Cambria Math" w:hAnsi="Cambria Math" w:cs="Times New Roman"/>
                </w:rPr>
                <m:t>0.75</m:t>
              </m:r>
              <m:ctrlPr>
                <w:rPr>
                  <w:rFonts w:ascii="Cambria Math" w:hAnsi="Cambria Math" w:cs="Times New Roman"/>
                  <w:i/>
                </w:rPr>
              </m:ctrlPr>
            </m:sup>
          </m:sSup>
        </m:oMath>
      </m:oMathPara>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 xml:space="preserve">式中： </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Q——汽车行驶的扬尘量，kg/km·辆；</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V——汽车速度，km/h；</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W——汽车载重量，T；</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P——道路表面粉尘量，kg/m</w:t>
      </w:r>
      <w:r>
        <w:rPr>
          <w:rFonts w:ascii="Times New Roman" w:hAnsi="Times New Roman" w:cs="Times New Roman"/>
          <w:vertAlign w:val="superscript"/>
        </w:rPr>
        <w:t>2</w:t>
      </w:r>
      <w:r>
        <w:rPr>
          <w:rFonts w:ascii="Times New Roman" w:hAnsi="Times New Roman" w:cs="Times New Roman"/>
        </w:rPr>
        <w:t>。</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下表为一辆10t卡车通过一段长为1km的路面时，在不同路面清洁程度，不同行驶速度情况下的扬尘量。</w:t>
      </w:r>
    </w:p>
    <w:p>
      <w:pPr>
        <w:pStyle w:val="2"/>
        <w:autoSpaceDE/>
        <w:autoSpaceDN/>
        <w:adjustRightInd w:val="0"/>
        <w:snapToGrid w:val="0"/>
        <w:spacing w:before="0" w:line="360" w:lineRule="auto"/>
        <w:ind w:left="0"/>
        <w:jc w:val="center"/>
        <w:rPr>
          <w:rFonts w:ascii="Times New Roman" w:hAnsi="Times New Roman" w:cs="Times New Roman"/>
          <w:b/>
        </w:rPr>
      </w:pPr>
      <w:r>
        <w:rPr>
          <w:rFonts w:ascii="Times New Roman" w:hAnsi="Times New Roman" w:cs="Times New Roman"/>
          <w:b/>
        </w:rPr>
        <w:t>表5.1-2</w:t>
      </w:r>
      <w:r>
        <w:rPr>
          <w:rFonts w:hint="eastAsia" w:ascii="Times New Roman" w:hAnsi="Times New Roman" w:cs="Times New Roman"/>
          <w:b/>
        </w:rPr>
        <w:t xml:space="preserve"> </w:t>
      </w:r>
      <w:r>
        <w:rPr>
          <w:rFonts w:ascii="Times New Roman" w:hAnsi="Times New Roman" w:cs="Times New Roman"/>
          <w:b/>
        </w:rPr>
        <w:t xml:space="preserve"> 在不同车速和地面清洁程度的汽车扬尘量</w:t>
      </w:r>
      <w:r>
        <w:rPr>
          <w:rFonts w:hint="eastAsia" w:ascii="Times New Roman" w:hAnsi="Times New Roman" w:cs="Times New Roman"/>
          <w:b/>
        </w:rPr>
        <w:t xml:space="preserve">  </w:t>
      </w:r>
      <w:r>
        <w:rPr>
          <w:rFonts w:ascii="Times New Roman" w:hAnsi="Times New Roman" w:cs="Times New Roman"/>
          <w:b/>
        </w:rPr>
        <w:t>单位：kg/km·辆</w:t>
      </w:r>
    </w:p>
    <w:tbl>
      <w:tblPr>
        <w:tblStyle w:val="90"/>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2124"/>
        <w:gridCol w:w="1119"/>
        <w:gridCol w:w="1120"/>
        <w:gridCol w:w="1120"/>
        <w:gridCol w:w="1120"/>
        <w:gridCol w:w="1120"/>
        <w:gridCol w:w="107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jc w:val="center"/>
        </w:trPr>
        <w:tc>
          <w:tcPr>
            <w:tcW w:w="2124" w:type="dxa"/>
            <w:tcBorders>
              <w:tl2br w:val="single" w:color="000000" w:themeColor="text1" w:sz="4" w:space="0"/>
            </w:tcBorders>
            <w:vAlign w:val="center"/>
          </w:tcPr>
          <w:p>
            <w:pPr>
              <w:pStyle w:val="2"/>
              <w:autoSpaceDE/>
              <w:autoSpaceDN/>
              <w:adjustRightInd w:val="0"/>
              <w:snapToGrid w:val="0"/>
              <w:spacing w:before="0"/>
              <w:ind w:left="0"/>
              <w:jc w:val="right"/>
              <w:rPr>
                <w:rFonts w:ascii="Times New Roman" w:hAnsi="Times New Roman" w:cs="Times New Roman"/>
                <w:sz w:val="21"/>
                <w:szCs w:val="21"/>
              </w:rPr>
            </w:pPr>
            <w:r>
              <w:rPr>
                <w:rFonts w:ascii="Times New Roman" w:hAnsi="Times New Roman" w:cs="Times New Roman"/>
                <w:sz w:val="21"/>
                <w:szCs w:val="21"/>
              </w:rPr>
              <w:t>P（kg/m</w:t>
            </w:r>
            <w:r>
              <w:rPr>
                <w:rFonts w:ascii="Times New Roman" w:hAnsi="Times New Roman" w:cs="Times New Roman"/>
                <w:sz w:val="21"/>
                <w:szCs w:val="21"/>
                <w:vertAlign w:val="superscript"/>
              </w:rPr>
              <w:t>2</w:t>
            </w:r>
            <w:r>
              <w:rPr>
                <w:rFonts w:ascii="Times New Roman" w:hAnsi="Times New Roman" w:cs="Times New Roman"/>
                <w:sz w:val="21"/>
                <w:szCs w:val="21"/>
              </w:rPr>
              <w:t>）</w:t>
            </w:r>
          </w:p>
          <w:p>
            <w:pPr>
              <w:pStyle w:val="2"/>
              <w:autoSpaceDE/>
              <w:autoSpaceDN/>
              <w:adjustRightInd w:val="0"/>
              <w:snapToGrid w:val="0"/>
              <w:spacing w:before="0"/>
              <w:ind w:left="0"/>
              <w:rPr>
                <w:rFonts w:ascii="Times New Roman" w:hAnsi="Times New Roman" w:cs="Times New Roman"/>
                <w:sz w:val="21"/>
                <w:szCs w:val="21"/>
              </w:rPr>
            </w:pPr>
            <w:r>
              <w:rPr>
                <w:rFonts w:ascii="Times New Roman" w:hAnsi="Times New Roman" w:cs="Times New Roman"/>
                <w:sz w:val="21"/>
                <w:szCs w:val="21"/>
              </w:rPr>
              <w:t>车速（km/h）</w:t>
            </w:r>
          </w:p>
        </w:tc>
        <w:tc>
          <w:tcPr>
            <w:tcW w:w="1119"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0.1</w:t>
            </w:r>
          </w:p>
        </w:tc>
        <w:tc>
          <w:tcPr>
            <w:tcW w:w="112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0.2</w:t>
            </w:r>
          </w:p>
        </w:tc>
        <w:tc>
          <w:tcPr>
            <w:tcW w:w="112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0.3</w:t>
            </w:r>
          </w:p>
        </w:tc>
        <w:tc>
          <w:tcPr>
            <w:tcW w:w="112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0.4</w:t>
            </w:r>
          </w:p>
        </w:tc>
        <w:tc>
          <w:tcPr>
            <w:tcW w:w="112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0.5</w:t>
            </w:r>
          </w:p>
        </w:tc>
        <w:tc>
          <w:tcPr>
            <w:tcW w:w="1077"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1.0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jc w:val="center"/>
        </w:trPr>
        <w:tc>
          <w:tcPr>
            <w:tcW w:w="2124"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5</w:t>
            </w:r>
          </w:p>
        </w:tc>
        <w:tc>
          <w:tcPr>
            <w:tcW w:w="1119"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0.051</w:t>
            </w:r>
          </w:p>
        </w:tc>
        <w:tc>
          <w:tcPr>
            <w:tcW w:w="112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0.086</w:t>
            </w:r>
          </w:p>
        </w:tc>
        <w:tc>
          <w:tcPr>
            <w:tcW w:w="112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0.116</w:t>
            </w:r>
          </w:p>
        </w:tc>
        <w:tc>
          <w:tcPr>
            <w:tcW w:w="112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0.144</w:t>
            </w:r>
          </w:p>
        </w:tc>
        <w:tc>
          <w:tcPr>
            <w:tcW w:w="112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0.171</w:t>
            </w:r>
          </w:p>
        </w:tc>
        <w:tc>
          <w:tcPr>
            <w:tcW w:w="1077"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0.287</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jc w:val="center"/>
        </w:trPr>
        <w:tc>
          <w:tcPr>
            <w:tcW w:w="2124"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10</w:t>
            </w:r>
          </w:p>
        </w:tc>
        <w:tc>
          <w:tcPr>
            <w:tcW w:w="1119"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0.102</w:t>
            </w:r>
          </w:p>
        </w:tc>
        <w:tc>
          <w:tcPr>
            <w:tcW w:w="112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0.171</w:t>
            </w:r>
          </w:p>
        </w:tc>
        <w:tc>
          <w:tcPr>
            <w:tcW w:w="112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0.232</w:t>
            </w:r>
          </w:p>
        </w:tc>
        <w:tc>
          <w:tcPr>
            <w:tcW w:w="112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0.289</w:t>
            </w:r>
          </w:p>
        </w:tc>
        <w:tc>
          <w:tcPr>
            <w:tcW w:w="112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0.341</w:t>
            </w:r>
          </w:p>
        </w:tc>
        <w:tc>
          <w:tcPr>
            <w:tcW w:w="1077"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0.574</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jc w:val="center"/>
        </w:trPr>
        <w:tc>
          <w:tcPr>
            <w:tcW w:w="2124"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15</w:t>
            </w:r>
          </w:p>
        </w:tc>
        <w:tc>
          <w:tcPr>
            <w:tcW w:w="1119"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0.153</w:t>
            </w:r>
          </w:p>
        </w:tc>
        <w:tc>
          <w:tcPr>
            <w:tcW w:w="112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0.257</w:t>
            </w:r>
          </w:p>
        </w:tc>
        <w:tc>
          <w:tcPr>
            <w:tcW w:w="112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0.349</w:t>
            </w:r>
          </w:p>
        </w:tc>
        <w:tc>
          <w:tcPr>
            <w:tcW w:w="112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0.433</w:t>
            </w:r>
          </w:p>
        </w:tc>
        <w:tc>
          <w:tcPr>
            <w:tcW w:w="112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0.512</w:t>
            </w:r>
          </w:p>
        </w:tc>
        <w:tc>
          <w:tcPr>
            <w:tcW w:w="1077"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0.861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jc w:val="center"/>
        </w:trPr>
        <w:tc>
          <w:tcPr>
            <w:tcW w:w="2124"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20</w:t>
            </w:r>
          </w:p>
        </w:tc>
        <w:tc>
          <w:tcPr>
            <w:tcW w:w="1119"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0.255</w:t>
            </w:r>
          </w:p>
        </w:tc>
        <w:tc>
          <w:tcPr>
            <w:tcW w:w="112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0.429</w:t>
            </w:r>
          </w:p>
        </w:tc>
        <w:tc>
          <w:tcPr>
            <w:tcW w:w="112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0.582</w:t>
            </w:r>
          </w:p>
        </w:tc>
        <w:tc>
          <w:tcPr>
            <w:tcW w:w="112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0.722</w:t>
            </w:r>
          </w:p>
        </w:tc>
        <w:tc>
          <w:tcPr>
            <w:tcW w:w="1120"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0.853</w:t>
            </w:r>
          </w:p>
        </w:tc>
        <w:tc>
          <w:tcPr>
            <w:tcW w:w="1077" w:type="dxa"/>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1.435</w:t>
            </w:r>
          </w:p>
        </w:tc>
      </w:tr>
    </w:tbl>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由上表可见，在同样路面清洁程度条件下，车速越快，扬尘量越大；而在同样车速情况下，路面越脏，则扬尘量越大。因此限速行驶及保持路面的清洁是减少汽车扬尘的有效办法。如果施工阶段对汽车行驶路面勤洒水（每天4~5 次），可以使空气中粉尘量减少70%左右，有很好的降尘效果。当施工场地洒水频率为4~5 次/天时，扬尘造成的TSP污染距离可缩小到20~50m范围内。</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因此，应对驶出施工场地的容易造成扬尘影响的车辆及时清洗，严禁未清洗就上路，对汽车行驶路面勤洒水，并加强与沿线住户和单位的联系，及时通报施工进度，取得群众的谅解。</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工程施工过程中需严格执行《</w:t>
      </w:r>
      <w:r>
        <w:rPr>
          <w:rFonts w:hint="eastAsia" w:ascii="Times New Roman" w:hAnsi="Times New Roman" w:cs="Times New Roman"/>
          <w:lang w:eastAsia="zh-CN"/>
        </w:rPr>
        <w:t>衡阳市</w:t>
      </w:r>
      <w:r>
        <w:rPr>
          <w:rFonts w:ascii="Times New Roman" w:hAnsi="Times New Roman" w:cs="Times New Roman"/>
        </w:rPr>
        <w:t>扬尘污染防治条例》，严格遵循第十四条规定，工地车辆出口配备车辆冲洗装置和污水收集设施，并保持正常使用，对出场车辆冲洗干净，禁止带泥上路。</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综上所述，工程施工期环境空气污染具有随时间变化程度大，但考虑其影响只限于施工期，随建设期的结束而停止，不会产生累积的污染影响。工程在加强对扬尘排放源的管理，物料运输车辆采取洒水降尘、加盖密封等抑尘、降尘措施情况下，可以将工程施工期对周围环境空气的影响减至最小程度。</w:t>
      </w:r>
    </w:p>
    <w:p>
      <w:pPr>
        <w:autoSpaceDE/>
        <w:autoSpaceDN/>
        <w:adjustRightInd w:val="0"/>
        <w:snapToGrid w:val="0"/>
        <w:spacing w:line="360" w:lineRule="auto"/>
        <w:jc w:val="both"/>
        <w:outlineLvl w:val="3"/>
        <w:rPr>
          <w:rFonts w:ascii="Times New Roman" w:hAnsi="Times New Roman" w:cs="Times New Roman"/>
          <w:b/>
          <w:sz w:val="24"/>
          <w:szCs w:val="24"/>
        </w:rPr>
      </w:pPr>
      <w:r>
        <w:rPr>
          <w:rFonts w:ascii="Times New Roman" w:hAnsi="Times New Roman" w:cs="Times New Roman"/>
          <w:b/>
          <w:sz w:val="24"/>
          <w:szCs w:val="24"/>
        </w:rPr>
        <w:t>5.1.1.3施工机械和运输车辆产生的尾气</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施工现场的机械设备的运行产生燃油废气，运输车辆的运行产生汽车尾气。这类废气的产生量较少且设备主要是在通风状况良好的地方使用，因此这类废气对大气影响较小，不需采取特殊的治理措施。</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环评要求施工单位通过以下措施进行控制：a、选择环保型机械设备，运输车辆按规定方向进出，减少怠速行使，将尾气排放降到最低；b、在施工期内多加注意施工设备的维护，使其能够正常的运行，从而避免施工机械非正常运行而使产生的废气超标排放。</w:t>
      </w:r>
    </w:p>
    <w:p>
      <w:pPr>
        <w:autoSpaceDE/>
        <w:autoSpaceDN/>
        <w:adjustRightInd w:val="0"/>
        <w:snapToGrid w:val="0"/>
        <w:spacing w:line="360" w:lineRule="auto"/>
        <w:jc w:val="both"/>
        <w:outlineLvl w:val="3"/>
        <w:rPr>
          <w:rFonts w:ascii="Times New Roman" w:hAnsi="Times New Roman" w:cs="Times New Roman"/>
          <w:b/>
          <w:sz w:val="24"/>
          <w:szCs w:val="24"/>
        </w:rPr>
      </w:pPr>
      <w:r>
        <w:rPr>
          <w:rFonts w:ascii="Times New Roman" w:hAnsi="Times New Roman" w:cs="Times New Roman"/>
          <w:b/>
          <w:sz w:val="24"/>
          <w:szCs w:val="24"/>
        </w:rPr>
        <w:t>5.1.1.4清淤恶臭气体</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淤泥恶臭是工程施工的主要影响，主要产生于河道清淤及淤泥堆放过程中。河道中含有有机物腐殖的污染底泥，在受到扰动和淤泥堆置于淤泥堆场时，其中含有的恶臭物质呈无组织状态释放，从而对周围环境产生较为不利的影响，恶臭组成成分较为复杂，有NH</w:t>
      </w:r>
      <w:r>
        <w:rPr>
          <w:rFonts w:hint="eastAsia" w:ascii="Times New Roman" w:hAnsi="Times New Roman" w:cs="Times New Roman"/>
          <w:vertAlign w:val="subscript"/>
        </w:rPr>
        <w:t>3</w:t>
      </w:r>
      <w:r>
        <w:rPr>
          <w:rFonts w:hint="eastAsia" w:ascii="Times New Roman" w:hAnsi="Times New Roman" w:cs="Times New Roman"/>
        </w:rPr>
        <w:t>、H</w:t>
      </w:r>
      <w:r>
        <w:rPr>
          <w:rFonts w:hint="eastAsia" w:ascii="Times New Roman" w:hAnsi="Times New Roman" w:cs="Times New Roman"/>
          <w:vertAlign w:val="subscript"/>
        </w:rPr>
        <w:t>2</w:t>
      </w:r>
      <w:r>
        <w:rPr>
          <w:rFonts w:hint="eastAsia" w:ascii="Times New Roman" w:hAnsi="Times New Roman" w:cs="Times New Roman"/>
        </w:rPr>
        <w:t>S、甲硫醇、三甲胺等10余种无机物、有机物，河渠淤泥堆放时产生的恶臭物质一般以H</w:t>
      </w:r>
      <w:r>
        <w:rPr>
          <w:rFonts w:hint="eastAsia" w:ascii="Times New Roman" w:hAnsi="Times New Roman" w:cs="Times New Roman"/>
          <w:vertAlign w:val="subscript"/>
        </w:rPr>
        <w:t>2</w:t>
      </w:r>
      <w:r>
        <w:rPr>
          <w:rFonts w:hint="eastAsia" w:ascii="Times New Roman" w:hAnsi="Times New Roman" w:cs="Times New Roman"/>
        </w:rPr>
        <w:t>S为代表。</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恶臭强度是以臭味的嗅觉阈值为基准划分等级的，我国把恶臭强度划分为6级（见</w:t>
      </w:r>
      <w:r>
        <w:rPr>
          <w:rFonts w:hint="eastAsia" w:ascii="Times New Roman" w:hAnsi="Times New Roman" w:cs="Times New Roman"/>
          <w:lang w:eastAsia="zh-CN"/>
        </w:rPr>
        <w:t>下</w:t>
      </w:r>
      <w:r>
        <w:rPr>
          <w:rFonts w:hint="eastAsia" w:ascii="Times New Roman" w:hAnsi="Times New Roman" w:cs="Times New Roman"/>
        </w:rPr>
        <w:t>表）。限制标准一般相当于恶臭强度2.5~3.5级，即认为发生恶臭污染，需要采取措施。</w:t>
      </w:r>
    </w:p>
    <w:p>
      <w:pPr>
        <w:pStyle w:val="2"/>
        <w:autoSpaceDE/>
        <w:autoSpaceDN/>
        <w:adjustRightInd w:val="0"/>
        <w:snapToGrid w:val="0"/>
        <w:spacing w:before="0" w:line="360" w:lineRule="auto"/>
        <w:ind w:left="0" w:firstLine="398" w:firstLineChars="200"/>
        <w:jc w:val="center"/>
        <w:rPr>
          <w:rFonts w:hint="eastAsia"/>
          <w:b/>
          <w:spacing w:val="-8"/>
          <w:sz w:val="21"/>
          <w:szCs w:val="24"/>
        </w:rPr>
      </w:pPr>
      <w:r>
        <w:rPr>
          <w:rFonts w:hint="eastAsia"/>
          <w:b/>
          <w:spacing w:val="-6"/>
          <w:sz w:val="21"/>
          <w:szCs w:val="24"/>
        </w:rPr>
        <w:t>表</w:t>
      </w:r>
      <w:r>
        <w:rPr>
          <w:rFonts w:hint="eastAsia" w:ascii="Times New Roman" w:hAnsi="Times New Roman" w:eastAsia="宋体"/>
          <w:b/>
          <w:spacing w:val="-6"/>
          <w:sz w:val="21"/>
          <w:szCs w:val="24"/>
          <w:lang w:val="en-US" w:eastAsia="zh-CN"/>
        </w:rPr>
        <w:t>5.1</w:t>
      </w:r>
      <w:r>
        <w:rPr>
          <w:rFonts w:hint="default" w:ascii="Times New Roman" w:hAnsi="Times New Roman" w:eastAsia="Times New Roman"/>
          <w:b/>
          <w:spacing w:val="-6"/>
          <w:sz w:val="21"/>
          <w:szCs w:val="24"/>
        </w:rPr>
        <w:t>.</w:t>
      </w:r>
      <w:r>
        <w:rPr>
          <w:rFonts w:hint="eastAsia" w:ascii="Times New Roman" w:hAnsi="Times New Roman" w:eastAsia="宋体"/>
          <w:b/>
          <w:spacing w:val="-6"/>
          <w:sz w:val="21"/>
          <w:szCs w:val="24"/>
          <w:lang w:val="en-US" w:eastAsia="zh-CN"/>
        </w:rPr>
        <w:t>1</w:t>
      </w:r>
      <w:r>
        <w:rPr>
          <w:rFonts w:hint="default" w:ascii="Times New Roman" w:hAnsi="Times New Roman" w:eastAsia="Times New Roman"/>
          <w:b/>
          <w:spacing w:val="-6"/>
          <w:sz w:val="21"/>
          <w:szCs w:val="24"/>
        </w:rPr>
        <w:t>-1</w:t>
      </w:r>
      <w:r>
        <w:rPr>
          <w:rFonts w:hint="default" w:ascii="Times New Roman" w:hAnsi="Times New Roman" w:eastAsia="Times New Roman"/>
          <w:b/>
          <w:spacing w:val="13"/>
          <w:sz w:val="21"/>
          <w:szCs w:val="24"/>
        </w:rPr>
        <w:t xml:space="preserve"> </w:t>
      </w:r>
      <w:r>
        <w:rPr>
          <w:rFonts w:hint="eastAsia"/>
          <w:b/>
          <w:spacing w:val="-6"/>
          <w:sz w:val="21"/>
          <w:szCs w:val="24"/>
        </w:rPr>
        <w:t>恶臭强度分级</w:t>
      </w:r>
      <w:r>
        <w:rPr>
          <w:rFonts w:hint="eastAsia"/>
          <w:b/>
          <w:spacing w:val="-8"/>
          <w:sz w:val="21"/>
          <w:szCs w:val="24"/>
        </w:rPr>
        <w:t>一览表</w:t>
      </w:r>
    </w:p>
    <w:tbl>
      <w:tblPr>
        <w:tblStyle w:val="8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75"/>
        <w:gridCol w:w="51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3475" w:type="dxa"/>
            <w:tcBorders>
              <w:top w:val="single" w:color="000000" w:sz="12" w:space="0"/>
              <w:left w:val="single" w:color="000000" w:sz="12" w:space="0"/>
              <w:bottom w:val="single" w:color="000000" w:sz="4" w:space="0"/>
              <w:right w:val="single" w:color="000000" w:sz="4" w:space="0"/>
              <w:tl2br w:val="nil"/>
              <w:tr2bl w:val="nil"/>
            </w:tcBorders>
            <w:noWrap w:val="0"/>
            <w:vAlign w:val="top"/>
          </w:tcPr>
          <w:p>
            <w:pPr>
              <w:pStyle w:val="124"/>
              <w:keepNext w:val="0"/>
              <w:keepLines w:val="0"/>
              <w:pageBreakBefore w:val="0"/>
              <w:widowControl w:val="0"/>
              <w:kinsoku w:val="0"/>
              <w:wordWrap/>
              <w:overflowPunct w:val="0"/>
              <w:topLinePunct w:val="0"/>
              <w:autoSpaceDE w:val="0"/>
              <w:autoSpaceDN w:val="0"/>
              <w:bidi w:val="0"/>
              <w:adjustRightInd/>
              <w:snapToGrid/>
              <w:spacing w:line="240" w:lineRule="auto"/>
              <w:ind w:left="0" w:right="0"/>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恶臭强度分类</w:t>
            </w:r>
          </w:p>
        </w:tc>
        <w:tc>
          <w:tcPr>
            <w:tcW w:w="5172" w:type="dxa"/>
            <w:tcBorders>
              <w:top w:val="single" w:color="000000" w:sz="12" w:space="0"/>
              <w:left w:val="single" w:color="000000" w:sz="4" w:space="0"/>
              <w:bottom w:val="single" w:color="000000" w:sz="4" w:space="0"/>
              <w:right w:val="single" w:color="000000" w:sz="12" w:space="0"/>
              <w:tl2br w:val="nil"/>
              <w:tr2bl w:val="nil"/>
            </w:tcBorders>
            <w:noWrap w:val="0"/>
            <w:vAlign w:val="top"/>
          </w:tcPr>
          <w:p>
            <w:pPr>
              <w:pStyle w:val="124"/>
              <w:keepNext w:val="0"/>
              <w:keepLines w:val="0"/>
              <w:pageBreakBefore w:val="0"/>
              <w:widowControl w:val="0"/>
              <w:kinsoku w:val="0"/>
              <w:wordWrap/>
              <w:overflowPunct w:val="0"/>
              <w:topLinePunct w:val="0"/>
              <w:autoSpaceDE w:val="0"/>
              <w:autoSpaceDN w:val="0"/>
              <w:bidi w:val="0"/>
              <w:adjustRightInd/>
              <w:snapToGrid/>
              <w:spacing w:line="240" w:lineRule="auto"/>
              <w:ind w:left="0" w:right="0"/>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臭气感觉强度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3475" w:type="dxa"/>
            <w:tcBorders>
              <w:top w:val="single" w:color="000000" w:sz="4" w:space="0"/>
              <w:left w:val="single" w:color="000000" w:sz="12" w:space="0"/>
              <w:bottom w:val="single" w:color="000000" w:sz="4" w:space="0"/>
              <w:right w:val="single" w:color="000000" w:sz="4" w:space="0"/>
              <w:tl2br w:val="nil"/>
              <w:tr2bl w:val="nil"/>
            </w:tcBorders>
            <w:noWrap w:val="0"/>
            <w:vAlign w:val="top"/>
          </w:tcPr>
          <w:p>
            <w:pPr>
              <w:pStyle w:val="124"/>
              <w:keepNext w:val="0"/>
              <w:keepLines w:val="0"/>
              <w:pageBreakBefore w:val="0"/>
              <w:widowControl w:val="0"/>
              <w:kinsoku w:val="0"/>
              <w:wordWrap/>
              <w:overflowPunct w:val="0"/>
              <w:topLinePunct w:val="0"/>
              <w:autoSpaceDE w:val="0"/>
              <w:autoSpaceDN w:val="0"/>
              <w:bidi w:val="0"/>
              <w:adjustRightInd/>
              <w:snapToGrid/>
              <w:spacing w:line="240" w:lineRule="auto"/>
              <w:ind w:left="0" w:right="0"/>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0</w:t>
            </w:r>
          </w:p>
        </w:tc>
        <w:tc>
          <w:tcPr>
            <w:tcW w:w="5172" w:type="dxa"/>
            <w:tcBorders>
              <w:top w:val="single" w:color="000000" w:sz="4" w:space="0"/>
              <w:left w:val="single" w:color="000000" w:sz="4" w:space="0"/>
              <w:bottom w:val="single" w:color="000000" w:sz="4" w:space="0"/>
              <w:right w:val="single" w:color="000000" w:sz="12" w:space="0"/>
              <w:tl2br w:val="nil"/>
              <w:tr2bl w:val="nil"/>
            </w:tcBorders>
            <w:noWrap w:val="0"/>
            <w:vAlign w:val="top"/>
          </w:tcPr>
          <w:p>
            <w:pPr>
              <w:pStyle w:val="124"/>
              <w:keepNext w:val="0"/>
              <w:keepLines w:val="0"/>
              <w:pageBreakBefore w:val="0"/>
              <w:widowControl w:val="0"/>
              <w:kinsoku w:val="0"/>
              <w:wordWrap/>
              <w:overflowPunct w:val="0"/>
              <w:topLinePunct w:val="0"/>
              <w:autoSpaceDE w:val="0"/>
              <w:autoSpaceDN w:val="0"/>
              <w:bidi w:val="0"/>
              <w:adjustRightInd/>
              <w:snapToGrid/>
              <w:spacing w:line="240" w:lineRule="auto"/>
              <w:ind w:left="0" w:right="0"/>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无气味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475" w:type="dxa"/>
            <w:tcBorders>
              <w:top w:val="single" w:color="000000" w:sz="4" w:space="0"/>
              <w:left w:val="single" w:color="000000" w:sz="12" w:space="0"/>
              <w:bottom w:val="single" w:color="000000" w:sz="4" w:space="0"/>
              <w:right w:val="single" w:color="000000" w:sz="4" w:space="0"/>
              <w:tl2br w:val="nil"/>
              <w:tr2bl w:val="nil"/>
            </w:tcBorders>
            <w:noWrap w:val="0"/>
            <w:vAlign w:val="top"/>
          </w:tcPr>
          <w:p>
            <w:pPr>
              <w:pStyle w:val="124"/>
              <w:keepNext w:val="0"/>
              <w:keepLines w:val="0"/>
              <w:pageBreakBefore w:val="0"/>
              <w:widowControl w:val="0"/>
              <w:kinsoku w:val="0"/>
              <w:wordWrap/>
              <w:overflowPunct w:val="0"/>
              <w:topLinePunct w:val="0"/>
              <w:autoSpaceDE w:val="0"/>
              <w:autoSpaceDN w:val="0"/>
              <w:bidi w:val="0"/>
              <w:adjustRightInd/>
              <w:snapToGrid/>
              <w:spacing w:line="240" w:lineRule="auto"/>
              <w:ind w:left="0" w:right="0"/>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1</w:t>
            </w:r>
          </w:p>
        </w:tc>
        <w:tc>
          <w:tcPr>
            <w:tcW w:w="5172" w:type="dxa"/>
            <w:tcBorders>
              <w:top w:val="single" w:color="000000" w:sz="4" w:space="0"/>
              <w:left w:val="single" w:color="000000" w:sz="4" w:space="0"/>
              <w:bottom w:val="single" w:color="000000" w:sz="4" w:space="0"/>
              <w:right w:val="single" w:color="000000" w:sz="12" w:space="0"/>
              <w:tl2br w:val="nil"/>
              <w:tr2bl w:val="nil"/>
            </w:tcBorders>
            <w:noWrap w:val="0"/>
            <w:vAlign w:val="top"/>
          </w:tcPr>
          <w:p>
            <w:pPr>
              <w:pStyle w:val="124"/>
              <w:keepNext w:val="0"/>
              <w:keepLines w:val="0"/>
              <w:pageBreakBefore w:val="0"/>
              <w:widowControl w:val="0"/>
              <w:kinsoku w:val="0"/>
              <w:wordWrap/>
              <w:overflowPunct w:val="0"/>
              <w:topLinePunct w:val="0"/>
              <w:autoSpaceDE w:val="0"/>
              <w:autoSpaceDN w:val="0"/>
              <w:bidi w:val="0"/>
              <w:adjustRightInd/>
              <w:snapToGrid/>
              <w:spacing w:line="240" w:lineRule="auto"/>
              <w:ind w:left="0" w:right="0"/>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勉强感觉到气味（检测阈值浓）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3475" w:type="dxa"/>
            <w:tcBorders>
              <w:top w:val="single" w:color="000000" w:sz="4" w:space="0"/>
              <w:left w:val="single" w:color="000000" w:sz="12" w:space="0"/>
              <w:bottom w:val="single" w:color="000000" w:sz="4" w:space="0"/>
              <w:right w:val="single" w:color="000000" w:sz="4" w:space="0"/>
              <w:tl2br w:val="nil"/>
              <w:tr2bl w:val="nil"/>
            </w:tcBorders>
            <w:noWrap w:val="0"/>
            <w:vAlign w:val="top"/>
          </w:tcPr>
          <w:p>
            <w:pPr>
              <w:pStyle w:val="124"/>
              <w:keepNext w:val="0"/>
              <w:keepLines w:val="0"/>
              <w:pageBreakBefore w:val="0"/>
              <w:widowControl w:val="0"/>
              <w:kinsoku w:val="0"/>
              <w:wordWrap/>
              <w:overflowPunct w:val="0"/>
              <w:topLinePunct w:val="0"/>
              <w:autoSpaceDE w:val="0"/>
              <w:autoSpaceDN w:val="0"/>
              <w:bidi w:val="0"/>
              <w:adjustRightInd/>
              <w:snapToGrid/>
              <w:spacing w:line="240" w:lineRule="auto"/>
              <w:ind w:left="0" w:right="0"/>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2</w:t>
            </w:r>
          </w:p>
        </w:tc>
        <w:tc>
          <w:tcPr>
            <w:tcW w:w="5172" w:type="dxa"/>
            <w:tcBorders>
              <w:top w:val="single" w:color="000000" w:sz="4" w:space="0"/>
              <w:left w:val="single" w:color="000000" w:sz="4" w:space="0"/>
              <w:bottom w:val="single" w:color="000000" w:sz="4" w:space="0"/>
              <w:right w:val="single" w:color="000000" w:sz="12" w:space="0"/>
              <w:tl2br w:val="nil"/>
              <w:tr2bl w:val="nil"/>
            </w:tcBorders>
            <w:noWrap w:val="0"/>
            <w:vAlign w:val="top"/>
          </w:tcPr>
          <w:p>
            <w:pPr>
              <w:pStyle w:val="124"/>
              <w:keepNext w:val="0"/>
              <w:keepLines w:val="0"/>
              <w:pageBreakBefore w:val="0"/>
              <w:widowControl w:val="0"/>
              <w:kinsoku w:val="0"/>
              <w:wordWrap/>
              <w:overflowPunct w:val="0"/>
              <w:topLinePunct w:val="0"/>
              <w:autoSpaceDE w:val="0"/>
              <w:autoSpaceDN w:val="0"/>
              <w:bidi w:val="0"/>
              <w:adjustRightInd/>
              <w:snapToGrid/>
              <w:spacing w:line="240" w:lineRule="auto"/>
              <w:ind w:left="0" w:right="0"/>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能够确定气味性质的较弱气味（确认阈值浓度）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3475" w:type="dxa"/>
            <w:tcBorders>
              <w:top w:val="single" w:color="000000" w:sz="4" w:space="0"/>
              <w:left w:val="single" w:color="000000" w:sz="12" w:space="0"/>
              <w:bottom w:val="single" w:color="000000" w:sz="4" w:space="0"/>
              <w:right w:val="single" w:color="000000" w:sz="4" w:space="0"/>
              <w:tl2br w:val="nil"/>
              <w:tr2bl w:val="nil"/>
            </w:tcBorders>
            <w:noWrap w:val="0"/>
            <w:vAlign w:val="top"/>
          </w:tcPr>
          <w:p>
            <w:pPr>
              <w:pStyle w:val="124"/>
              <w:keepNext w:val="0"/>
              <w:keepLines w:val="0"/>
              <w:pageBreakBefore w:val="0"/>
              <w:widowControl w:val="0"/>
              <w:kinsoku w:val="0"/>
              <w:wordWrap/>
              <w:overflowPunct w:val="0"/>
              <w:topLinePunct w:val="0"/>
              <w:autoSpaceDE w:val="0"/>
              <w:autoSpaceDN w:val="0"/>
              <w:bidi w:val="0"/>
              <w:adjustRightInd/>
              <w:snapToGrid/>
              <w:spacing w:line="240" w:lineRule="auto"/>
              <w:ind w:left="0" w:right="0"/>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3</w:t>
            </w:r>
          </w:p>
        </w:tc>
        <w:tc>
          <w:tcPr>
            <w:tcW w:w="5172" w:type="dxa"/>
            <w:tcBorders>
              <w:top w:val="single" w:color="000000" w:sz="4" w:space="0"/>
              <w:left w:val="single" w:color="000000" w:sz="4" w:space="0"/>
              <w:bottom w:val="single" w:color="000000" w:sz="4" w:space="0"/>
              <w:right w:val="single" w:color="000000" w:sz="12" w:space="0"/>
              <w:tl2br w:val="nil"/>
              <w:tr2bl w:val="nil"/>
            </w:tcBorders>
            <w:noWrap w:val="0"/>
            <w:vAlign w:val="top"/>
          </w:tcPr>
          <w:p>
            <w:pPr>
              <w:pStyle w:val="124"/>
              <w:keepNext w:val="0"/>
              <w:keepLines w:val="0"/>
              <w:pageBreakBefore w:val="0"/>
              <w:widowControl w:val="0"/>
              <w:kinsoku w:val="0"/>
              <w:wordWrap/>
              <w:overflowPunct w:val="0"/>
              <w:topLinePunct w:val="0"/>
              <w:autoSpaceDE w:val="0"/>
              <w:autoSpaceDN w:val="0"/>
              <w:bidi w:val="0"/>
              <w:adjustRightInd/>
              <w:snapToGrid/>
              <w:spacing w:line="240" w:lineRule="auto"/>
              <w:ind w:left="0" w:right="0"/>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很容易闻到有明显气味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3475" w:type="dxa"/>
            <w:tcBorders>
              <w:top w:val="single" w:color="000000" w:sz="4" w:space="0"/>
              <w:left w:val="single" w:color="000000" w:sz="12" w:space="0"/>
              <w:bottom w:val="single" w:color="000000" w:sz="4" w:space="0"/>
              <w:right w:val="single" w:color="000000" w:sz="4" w:space="0"/>
              <w:tl2br w:val="nil"/>
              <w:tr2bl w:val="nil"/>
            </w:tcBorders>
            <w:noWrap w:val="0"/>
            <w:vAlign w:val="top"/>
          </w:tcPr>
          <w:p>
            <w:pPr>
              <w:pStyle w:val="124"/>
              <w:keepNext w:val="0"/>
              <w:keepLines w:val="0"/>
              <w:pageBreakBefore w:val="0"/>
              <w:widowControl w:val="0"/>
              <w:kinsoku w:val="0"/>
              <w:wordWrap/>
              <w:overflowPunct w:val="0"/>
              <w:topLinePunct w:val="0"/>
              <w:autoSpaceDE w:val="0"/>
              <w:autoSpaceDN w:val="0"/>
              <w:bidi w:val="0"/>
              <w:adjustRightInd/>
              <w:snapToGrid/>
              <w:spacing w:line="240" w:lineRule="auto"/>
              <w:ind w:left="0" w:right="0"/>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4</w:t>
            </w:r>
          </w:p>
        </w:tc>
        <w:tc>
          <w:tcPr>
            <w:tcW w:w="5172" w:type="dxa"/>
            <w:tcBorders>
              <w:top w:val="single" w:color="000000" w:sz="4" w:space="0"/>
              <w:left w:val="single" w:color="000000" w:sz="4" w:space="0"/>
              <w:bottom w:val="single" w:color="000000" w:sz="4" w:space="0"/>
              <w:right w:val="single" w:color="000000" w:sz="12" w:space="0"/>
              <w:tl2br w:val="nil"/>
              <w:tr2bl w:val="nil"/>
            </w:tcBorders>
            <w:noWrap w:val="0"/>
            <w:vAlign w:val="top"/>
          </w:tcPr>
          <w:p>
            <w:pPr>
              <w:pStyle w:val="124"/>
              <w:keepNext w:val="0"/>
              <w:keepLines w:val="0"/>
              <w:pageBreakBefore w:val="0"/>
              <w:widowControl w:val="0"/>
              <w:kinsoku w:val="0"/>
              <w:wordWrap/>
              <w:overflowPunct w:val="0"/>
              <w:topLinePunct w:val="0"/>
              <w:autoSpaceDE w:val="0"/>
              <w:autoSpaceDN w:val="0"/>
              <w:bidi w:val="0"/>
              <w:adjustRightInd/>
              <w:snapToGrid/>
              <w:spacing w:line="240" w:lineRule="auto"/>
              <w:ind w:left="0" w:right="0"/>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很强的气味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475" w:type="dxa"/>
            <w:tcBorders>
              <w:top w:val="single" w:color="000000" w:sz="4" w:space="0"/>
              <w:left w:val="single" w:color="000000" w:sz="12" w:space="0"/>
              <w:bottom w:val="single" w:color="000000" w:sz="12" w:space="0"/>
              <w:right w:val="single" w:color="000000" w:sz="4" w:space="0"/>
              <w:tl2br w:val="nil"/>
              <w:tr2bl w:val="nil"/>
            </w:tcBorders>
            <w:noWrap w:val="0"/>
            <w:vAlign w:val="top"/>
          </w:tcPr>
          <w:p>
            <w:pPr>
              <w:pStyle w:val="124"/>
              <w:keepNext w:val="0"/>
              <w:keepLines w:val="0"/>
              <w:pageBreakBefore w:val="0"/>
              <w:widowControl w:val="0"/>
              <w:kinsoku w:val="0"/>
              <w:wordWrap/>
              <w:overflowPunct w:val="0"/>
              <w:topLinePunct w:val="0"/>
              <w:autoSpaceDE w:val="0"/>
              <w:autoSpaceDN w:val="0"/>
              <w:bidi w:val="0"/>
              <w:adjustRightInd/>
              <w:snapToGrid/>
              <w:spacing w:line="240" w:lineRule="auto"/>
              <w:ind w:left="0" w:right="0"/>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5</w:t>
            </w:r>
          </w:p>
        </w:tc>
        <w:tc>
          <w:tcPr>
            <w:tcW w:w="5172" w:type="dxa"/>
            <w:tcBorders>
              <w:top w:val="single" w:color="000000" w:sz="4" w:space="0"/>
              <w:left w:val="single" w:color="000000" w:sz="4" w:space="0"/>
              <w:bottom w:val="single" w:color="000000" w:sz="12" w:space="0"/>
              <w:right w:val="single" w:color="000000" w:sz="12" w:space="0"/>
              <w:tl2br w:val="nil"/>
              <w:tr2bl w:val="nil"/>
            </w:tcBorders>
            <w:noWrap w:val="0"/>
            <w:vAlign w:val="top"/>
          </w:tcPr>
          <w:p>
            <w:pPr>
              <w:pStyle w:val="124"/>
              <w:keepNext w:val="0"/>
              <w:keepLines w:val="0"/>
              <w:pageBreakBefore w:val="0"/>
              <w:widowControl w:val="0"/>
              <w:kinsoku w:val="0"/>
              <w:wordWrap/>
              <w:overflowPunct w:val="0"/>
              <w:topLinePunct w:val="0"/>
              <w:autoSpaceDE w:val="0"/>
              <w:autoSpaceDN w:val="0"/>
              <w:bidi w:val="0"/>
              <w:adjustRightInd/>
              <w:snapToGrid/>
              <w:spacing w:line="240" w:lineRule="auto"/>
              <w:ind w:left="0" w:right="0"/>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极强的气味</w:t>
            </w:r>
          </w:p>
        </w:tc>
      </w:tr>
    </w:tbl>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根据类比分析，清淤及淤泥吹填处理过程中在施工周边将会有较明显的臭味，30m之外达到2级强度，有轻微臭味，低于恶臭强度的限制标准（2.5-3.5级）；80m之外基本无气味。</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据现场调查，清淤区域岸边</w:t>
      </w:r>
      <w:r>
        <w:rPr>
          <w:rFonts w:hint="eastAsia" w:ascii="Times New Roman" w:hAnsi="Times New Roman" w:cs="Times New Roman"/>
          <w:lang w:val="en-US" w:eastAsia="zh-CN"/>
        </w:rPr>
        <w:t>8</w:t>
      </w:r>
      <w:r>
        <w:rPr>
          <w:rFonts w:ascii="Times New Roman" w:hAnsi="Times New Roman" w:cs="Times New Roman"/>
        </w:rPr>
        <w:t>0m范围内分布有居民区，项目清淤作业会对该部分居民产生一定不利影响。由于工程分段施工，对岸边沿线居民来说，清淤施工时间很短，清淤逸散的恶臭对居民影响不大；环评建议，施工单位合理安排临近居民点段清淤施工时间，避开出行高峰期和就餐时间段，同时在面向居民侧设置临时围挡，以减少清淤恶臭对岸边沿线居民的影响。</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通过采取上述措施后，清淤污泥恶臭对周边居民影响不大，且由于施工周期较短，恶臭影响有限，随着施工期结束，治理工程的完成，施工期影响随之结束。</w:t>
      </w:r>
    </w:p>
    <w:p>
      <w:pPr>
        <w:autoSpaceDE/>
        <w:autoSpaceDN/>
        <w:adjustRightInd w:val="0"/>
        <w:snapToGrid w:val="0"/>
        <w:spacing w:line="360" w:lineRule="auto"/>
        <w:jc w:val="both"/>
        <w:outlineLvl w:val="2"/>
        <w:rPr>
          <w:rFonts w:ascii="Times New Roman" w:hAnsi="Times New Roman" w:cs="Times New Roman"/>
          <w:b/>
          <w:sz w:val="28"/>
          <w:szCs w:val="24"/>
        </w:rPr>
      </w:pPr>
      <w:bookmarkStart w:id="278" w:name="_Toc69284628"/>
      <w:bookmarkStart w:id="279" w:name="_Toc82593168"/>
      <w:bookmarkStart w:id="280" w:name="_Toc66206102"/>
      <w:bookmarkStart w:id="281" w:name="_Toc27887"/>
      <w:r>
        <w:rPr>
          <w:rFonts w:ascii="Times New Roman" w:hAnsi="Times New Roman" w:cs="Times New Roman"/>
          <w:b/>
          <w:sz w:val="28"/>
          <w:szCs w:val="24"/>
        </w:rPr>
        <w:t>5.1.2地表水环境影响分析</w:t>
      </w:r>
      <w:bookmarkEnd w:id="278"/>
      <w:bookmarkEnd w:id="279"/>
      <w:bookmarkEnd w:id="280"/>
      <w:bookmarkEnd w:id="281"/>
    </w:p>
    <w:p>
      <w:pPr>
        <w:pStyle w:val="2"/>
        <w:autoSpaceDE/>
        <w:autoSpaceDN/>
        <w:adjustRightInd w:val="0"/>
        <w:snapToGrid w:val="0"/>
        <w:spacing w:before="0" w:line="360" w:lineRule="auto"/>
        <w:ind w:left="0" w:firstLine="480" w:firstLineChars="200"/>
        <w:jc w:val="both"/>
        <w:rPr>
          <w:rFonts w:ascii="Times New Roman" w:hAnsi="Times New Roman" w:cs="Times New Roman"/>
        </w:rPr>
      </w:pPr>
      <w:bookmarkStart w:id="282" w:name="_Hlk66204901"/>
      <w:r>
        <w:rPr>
          <w:rFonts w:ascii="Times New Roman" w:hAnsi="Times New Roman" w:cs="Times New Roman"/>
        </w:rPr>
        <w:t>项目施工期废水包括施工废水、施工人员生活废水</w:t>
      </w:r>
      <w:r>
        <w:rPr>
          <w:rFonts w:hint="eastAsia" w:ascii="Times New Roman" w:hAnsi="Times New Roman" w:cs="Times New Roman"/>
          <w:lang w:eastAsia="zh-CN"/>
        </w:rPr>
        <w:t>及扰动底泥产生悬浮物</w:t>
      </w:r>
      <w:r>
        <w:rPr>
          <w:rFonts w:ascii="Times New Roman" w:hAnsi="Times New Roman" w:cs="Times New Roman"/>
        </w:rPr>
        <w:t>等。</w:t>
      </w:r>
      <w:bookmarkEnd w:id="282"/>
    </w:p>
    <w:p>
      <w:pPr>
        <w:autoSpaceDE/>
        <w:autoSpaceDN/>
        <w:adjustRightInd w:val="0"/>
        <w:snapToGrid w:val="0"/>
        <w:spacing w:line="360" w:lineRule="auto"/>
        <w:jc w:val="both"/>
        <w:outlineLvl w:val="3"/>
        <w:rPr>
          <w:rFonts w:ascii="Times New Roman" w:hAnsi="Times New Roman" w:cs="Times New Roman"/>
          <w:b/>
          <w:sz w:val="24"/>
          <w:szCs w:val="24"/>
        </w:rPr>
      </w:pPr>
      <w:r>
        <w:rPr>
          <w:rFonts w:ascii="Times New Roman" w:hAnsi="Times New Roman" w:cs="Times New Roman"/>
          <w:b/>
          <w:sz w:val="24"/>
          <w:szCs w:val="24"/>
        </w:rPr>
        <w:t>5.1.2.1</w:t>
      </w:r>
      <w:bookmarkStart w:id="283" w:name="_Hlk65851184"/>
      <w:r>
        <w:rPr>
          <w:rFonts w:ascii="Times New Roman" w:hAnsi="Times New Roman" w:cs="Times New Roman"/>
          <w:b/>
          <w:sz w:val="24"/>
          <w:szCs w:val="24"/>
        </w:rPr>
        <w:t>施工废水</w:t>
      </w:r>
      <w:bookmarkEnd w:id="283"/>
    </w:p>
    <w:p>
      <w:pPr>
        <w:pStyle w:val="2"/>
        <w:autoSpaceDE/>
        <w:autoSpaceDN/>
        <w:adjustRightInd w:val="0"/>
        <w:snapToGrid w:val="0"/>
        <w:spacing w:before="0" w:line="360" w:lineRule="auto"/>
        <w:ind w:left="0" w:firstLine="480" w:firstLineChars="200"/>
        <w:jc w:val="both"/>
        <w:rPr>
          <w:rFonts w:ascii="Times New Roman" w:hAnsi="Times New Roman" w:cs="Times New Roman"/>
        </w:rPr>
      </w:pPr>
      <w:bookmarkStart w:id="284" w:name="_Hlk66205185"/>
      <w:r>
        <w:rPr>
          <w:rFonts w:ascii="Times New Roman" w:hAnsi="Times New Roman" w:cs="Times New Roman"/>
        </w:rPr>
        <w:t>本项目施工废水包括混凝土浇筑废水、场地及设备冲洗水等。主要含泥砂，pH值呈弱碱性，并带有少量油污。</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混凝土浇筑废水难以收集，靠自然蒸发和无组织排放。</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设备冲洗水主要污染物为石油类和SS，其中石油类浓度约为50mg/L，SS最大浓度约为2000mg/L。若废水直接就地排放，会在地表形成一层干结的黑色油污，导致土壤理化性质改变、肥力降低，不利于占地恢复；另外，含油废水散发机油气味，还将对施工作业区和周边环境造成影响。因此，对</w:t>
      </w:r>
      <w:bookmarkStart w:id="285" w:name="_Hlk66204981"/>
      <w:r>
        <w:rPr>
          <w:rFonts w:ascii="Times New Roman" w:hAnsi="Times New Roman" w:cs="Times New Roman"/>
        </w:rPr>
        <w:t>冲洗废水等含油废水进行沉淀隔油处理后回用于机械和车辆冲洗，不外排</w:t>
      </w:r>
      <w:bookmarkEnd w:id="285"/>
      <w:r>
        <w:rPr>
          <w:rFonts w:ascii="Times New Roman" w:hAnsi="Times New Roman" w:cs="Times New Roman"/>
        </w:rPr>
        <w:t>；隔油池产生的少量浮油集中收集后外运交由有资质单位处理，避免对周边水体造成影响。</w:t>
      </w:r>
      <w:bookmarkEnd w:id="284"/>
    </w:p>
    <w:p>
      <w:pPr>
        <w:autoSpaceDE/>
        <w:autoSpaceDN/>
        <w:adjustRightInd w:val="0"/>
        <w:snapToGrid w:val="0"/>
        <w:spacing w:line="360" w:lineRule="auto"/>
        <w:jc w:val="both"/>
        <w:outlineLvl w:val="3"/>
        <w:rPr>
          <w:rFonts w:ascii="Times New Roman" w:hAnsi="Times New Roman" w:cs="Times New Roman"/>
          <w:b/>
          <w:sz w:val="24"/>
          <w:szCs w:val="24"/>
        </w:rPr>
      </w:pPr>
      <w:r>
        <w:rPr>
          <w:rFonts w:ascii="Times New Roman" w:hAnsi="Times New Roman" w:cs="Times New Roman"/>
          <w:b/>
          <w:sz w:val="24"/>
          <w:szCs w:val="24"/>
        </w:rPr>
        <w:t>5.1.2.</w:t>
      </w:r>
      <w:r>
        <w:rPr>
          <w:rFonts w:hint="eastAsia" w:ascii="Times New Roman" w:hAnsi="Times New Roman" w:cs="Times New Roman"/>
          <w:b/>
          <w:sz w:val="24"/>
          <w:szCs w:val="24"/>
        </w:rPr>
        <w:t>2</w:t>
      </w:r>
      <w:r>
        <w:rPr>
          <w:rFonts w:ascii="Times New Roman" w:hAnsi="Times New Roman" w:cs="Times New Roman"/>
          <w:b/>
          <w:sz w:val="24"/>
          <w:szCs w:val="24"/>
        </w:rPr>
        <w:t>施工人员生活污水</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施工期施工人员生活污水产生于盥洗间、厕所冲洗等，一般不含有毒理指标，主要含有机物，细菌学指标差。参考同类工程生活污水的排放浓度，生活污水中COD、BOD</w:t>
      </w:r>
      <w:r>
        <w:rPr>
          <w:rFonts w:ascii="Times New Roman" w:hAnsi="Times New Roman" w:cs="Times New Roman"/>
          <w:vertAlign w:val="subscript"/>
        </w:rPr>
        <w:t>5</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-N和SS的浓度值约为250mg/L、150mg/L、20mg/L和220mg/L。生活污水如果不经过严格处理后排放，将污染周围的地表水、地下水。本工程施工期生活污水经</w:t>
      </w:r>
      <w:r>
        <w:rPr>
          <w:rFonts w:hint="eastAsia" w:ascii="Times New Roman" w:hAnsi="Times New Roman" w:cs="Times New Roman"/>
          <w:lang w:eastAsia="zh-CN"/>
        </w:rPr>
        <w:t>依托居民</w:t>
      </w:r>
      <w:r>
        <w:rPr>
          <w:rFonts w:ascii="Times New Roman" w:hAnsi="Times New Roman" w:cs="Times New Roman"/>
        </w:rPr>
        <w:t>化粪池处理，作为农肥综合利用，不外排，不会对周边水体造成影响。</w:t>
      </w:r>
    </w:p>
    <w:p>
      <w:pPr>
        <w:autoSpaceDE/>
        <w:autoSpaceDN/>
        <w:adjustRightInd w:val="0"/>
        <w:snapToGrid w:val="0"/>
        <w:spacing w:line="360" w:lineRule="auto"/>
        <w:jc w:val="both"/>
        <w:outlineLvl w:val="3"/>
        <w:rPr>
          <w:rFonts w:ascii="Times New Roman" w:hAnsi="Times New Roman" w:cs="Times New Roman"/>
          <w:b/>
          <w:sz w:val="24"/>
          <w:szCs w:val="24"/>
        </w:rPr>
      </w:pPr>
      <w:r>
        <w:rPr>
          <w:rFonts w:ascii="Times New Roman" w:hAnsi="Times New Roman" w:cs="Times New Roman"/>
          <w:b/>
          <w:sz w:val="24"/>
          <w:szCs w:val="24"/>
        </w:rPr>
        <w:t>5.1.2.</w:t>
      </w:r>
      <w:r>
        <w:rPr>
          <w:rFonts w:hint="eastAsia" w:ascii="Times New Roman" w:hAnsi="Times New Roman" w:cs="Times New Roman"/>
          <w:b/>
          <w:sz w:val="24"/>
          <w:szCs w:val="24"/>
        </w:rPr>
        <w:t>3施工期扰动底泥产生悬浮物</w:t>
      </w:r>
      <w:r>
        <w:rPr>
          <w:rFonts w:ascii="Times New Roman" w:hAnsi="Times New Roman" w:cs="Times New Roman"/>
          <w:b/>
          <w:sz w:val="24"/>
          <w:szCs w:val="24"/>
        </w:rPr>
        <w:t>的影响</w:t>
      </w:r>
    </w:p>
    <w:p>
      <w:pPr>
        <w:spacing w:line="360" w:lineRule="auto"/>
        <w:ind w:firstLine="480" w:firstLineChars="200"/>
        <w:rPr>
          <w:rFonts w:hint="eastAsia"/>
          <w:color w:val="auto"/>
          <w:sz w:val="24"/>
          <w:szCs w:val="24"/>
        </w:rPr>
      </w:pPr>
      <w:r>
        <w:rPr>
          <w:rFonts w:hint="default" w:ascii="Times New Roman" w:hAnsi="Times New Roman" w:cs="Times New Roman"/>
          <w:color w:val="auto"/>
          <w:sz w:val="24"/>
          <w:szCs w:val="24"/>
          <w:lang w:eastAsia="zh-CN"/>
        </w:rPr>
        <w:t>护坡</w:t>
      </w:r>
      <w:r>
        <w:rPr>
          <w:rFonts w:hint="default" w:ascii="Times New Roman" w:hAnsi="Times New Roman" w:cs="Times New Roman"/>
          <w:color w:val="auto"/>
          <w:sz w:val="24"/>
          <w:szCs w:val="24"/>
        </w:rPr>
        <w:t>工程</w:t>
      </w:r>
      <w:r>
        <w:rPr>
          <w:rFonts w:hint="default" w:ascii="Times New Roman" w:hAnsi="Times New Roman" w:cs="Times New Roman"/>
          <w:color w:val="auto"/>
          <w:sz w:val="24"/>
          <w:szCs w:val="24"/>
          <w:lang w:eastAsia="zh-CN"/>
        </w:rPr>
        <w:t>、清淤清障、围堰工程等</w:t>
      </w:r>
      <w:r>
        <w:rPr>
          <w:rFonts w:hint="default" w:ascii="Times New Roman" w:hAnsi="Times New Roman" w:cs="Times New Roman"/>
          <w:color w:val="auto"/>
          <w:sz w:val="24"/>
          <w:szCs w:val="24"/>
        </w:rPr>
        <w:t>施工扰动河床底泥，将使水域悬浮物浓度可能增大。施工过程导致局部水域的悬浮物含量增加，根据在围堰施工和清淤清障施工的类比调查表明，施工活动造成的SS扰动强度为0.8~1.2kg/s。采用二维稳态水质模型进行水质预测，二维稳态模型公式如下：</w:t>
      </w:r>
    </w:p>
    <w:p>
      <w:pPr>
        <w:spacing w:line="360" w:lineRule="auto"/>
        <w:rPr>
          <w:color w:val="auto"/>
          <w:sz w:val="24"/>
          <w:szCs w:val="24"/>
        </w:rPr>
      </w:pPr>
      <w:r>
        <w:rPr>
          <w:color w:val="auto"/>
          <w:sz w:val="24"/>
          <w:szCs w:val="24"/>
        </w:rPr>
        <w:drawing>
          <wp:inline distT="0" distB="0" distL="114300" distR="114300">
            <wp:extent cx="5398135" cy="872490"/>
            <wp:effectExtent l="0" t="0" r="12065" b="381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36"/>
                    <a:stretch>
                      <a:fillRect/>
                    </a:stretch>
                  </pic:blipFill>
                  <pic:spPr>
                    <a:xfrm>
                      <a:off x="0" y="0"/>
                      <a:ext cx="5398135" cy="872490"/>
                    </a:xfrm>
                    <a:prstGeom prst="rect">
                      <a:avLst/>
                    </a:prstGeom>
                    <a:noFill/>
                    <a:ln>
                      <a:noFill/>
                    </a:ln>
                  </pic:spPr>
                </pic:pic>
              </a:graphicData>
            </a:graphic>
          </wp:inline>
        </w:drawing>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其中</w:t>
      </w:r>
      <w:r>
        <w:rPr>
          <w:rFonts w:hint="default"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c（xy）污染物质浓度，mg/L</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K降解系数，1/d，经类比调查取水质降解系数为0.2/d </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x沿河道方向变量，m </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y沿河宽方向变量，m </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u流速，1m/s</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Co排污口上游染物质浓度，mg/L </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Qp排污口废水放量，m</w:t>
      </w:r>
      <w:r>
        <w:rPr>
          <w:rFonts w:hint="eastAsia"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rPr>
        <w:t xml:space="preserve">/s </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Cp：排污口废水放浓度，mg/L</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H：平均水深，m</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My：横向混合系数，m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/s，经类比调查取横向混合系数为5m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/s；</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B河道水面宽度，m。</w:t>
      </w:r>
    </w:p>
    <w:p>
      <w:pPr>
        <w:spacing w:line="360" w:lineRule="auto"/>
        <w:jc w:val="center"/>
        <w:rPr>
          <w:rFonts w:hint="eastAsia"/>
          <w:b/>
          <w:bCs/>
          <w:color w:val="auto"/>
          <w:sz w:val="24"/>
          <w:szCs w:val="24"/>
        </w:rPr>
      </w:pPr>
      <w:r>
        <w:rPr>
          <w:rFonts w:hint="eastAsia"/>
          <w:b/>
          <w:bCs/>
          <w:color w:val="auto"/>
          <w:sz w:val="24"/>
          <w:szCs w:val="24"/>
        </w:rPr>
        <w:t>表5.1-1 工程涉及饮用水源保护区基本情况及与工程相对位置关系表</w:t>
      </w:r>
    </w:p>
    <w:tbl>
      <w:tblPr>
        <w:tblStyle w:val="89"/>
        <w:tblW w:w="48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720"/>
        <w:gridCol w:w="2269"/>
        <w:gridCol w:w="1958"/>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5"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720"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水源地</w:t>
            </w:r>
          </w:p>
        </w:tc>
        <w:tc>
          <w:tcPr>
            <w:tcW w:w="2269"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与工程相对位置关系</w:t>
            </w:r>
          </w:p>
        </w:tc>
        <w:tc>
          <w:tcPr>
            <w:tcW w:w="1958"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纵向最大影响距离（m）</w:t>
            </w:r>
          </w:p>
        </w:tc>
        <w:tc>
          <w:tcPr>
            <w:tcW w:w="1950"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对取水口的影响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5"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720"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祁东县城连墟乡地下水饮用水水源保护区</w:t>
            </w:r>
            <w:r>
              <w:rPr>
                <w:rFonts w:hint="eastAsia" w:ascii="Times New Roman" w:hAnsi="Times New Roman" w:cs="Times New Roman"/>
                <w:color w:val="auto"/>
                <w:sz w:val="21"/>
                <w:szCs w:val="21"/>
                <w:lang w:eastAsia="zh-CN"/>
              </w:rPr>
              <w:t>取水口</w:t>
            </w:r>
          </w:p>
        </w:tc>
        <w:tc>
          <w:tcPr>
            <w:tcW w:w="2269"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位于太和堂段下游起点东风水闸（桩号祁32+537）</w:t>
            </w:r>
            <w:r>
              <w:rPr>
                <w:rFonts w:hint="eastAsia" w:ascii="Times New Roman" w:hAnsi="Times New Roman" w:cs="Times New Roman"/>
                <w:color w:val="auto"/>
                <w:sz w:val="21"/>
                <w:szCs w:val="21"/>
                <w:lang w:eastAsia="zh-CN"/>
              </w:rPr>
              <w:t>下</w:t>
            </w:r>
            <w:r>
              <w:rPr>
                <w:rFonts w:hint="default" w:ascii="Times New Roman" w:hAnsi="Times New Roman" w:cs="Times New Roman"/>
                <w:color w:val="auto"/>
                <w:sz w:val="21"/>
                <w:szCs w:val="21"/>
              </w:rPr>
              <w:t>游7</w:t>
            </w:r>
            <w:r>
              <w:rPr>
                <w:rFonts w:hint="eastAsia" w:ascii="Times New Roman" w:hAnsi="Times New Roman" w:cs="Times New Roman"/>
                <w:color w:val="auto"/>
                <w:sz w:val="21"/>
                <w:szCs w:val="21"/>
                <w:lang w:val="en-US" w:eastAsia="zh-CN"/>
              </w:rPr>
              <w:t>50</w:t>
            </w:r>
            <w:r>
              <w:rPr>
                <w:rFonts w:hint="default" w:ascii="Times New Roman" w:hAnsi="Times New Roman" w:cs="Times New Roman"/>
                <w:color w:val="auto"/>
                <w:sz w:val="21"/>
                <w:szCs w:val="21"/>
              </w:rPr>
              <w:t>m</w:t>
            </w:r>
          </w:p>
        </w:tc>
        <w:tc>
          <w:tcPr>
            <w:tcW w:w="1958"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85</w:t>
            </w:r>
          </w:p>
        </w:tc>
        <w:tc>
          <w:tcPr>
            <w:tcW w:w="1950" w:type="dxa"/>
            <w:noWrap w:val="0"/>
            <w:vAlign w:val="center"/>
          </w:tcPr>
          <w:p>
            <w:pPr>
              <w:pStyle w:val="82"/>
              <w:keepNext w:val="0"/>
              <w:keepLines w:val="0"/>
              <w:pageBreakBefore w:val="0"/>
              <w:kinsoku/>
              <w:wordWrap/>
              <w:overflowPunct/>
              <w:topLinePunct w:val="0"/>
              <w:bidi w:val="0"/>
              <w:adjustRightInd/>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影响</w:t>
            </w:r>
            <w:r>
              <w:rPr>
                <w:rFonts w:hint="eastAsia" w:ascii="Times New Roman" w:hAnsi="Times New Roman" w:cs="Times New Roman"/>
                <w:color w:val="auto"/>
                <w:sz w:val="21"/>
                <w:szCs w:val="21"/>
                <w:lang w:eastAsia="zh-CN"/>
              </w:rPr>
              <w:t>很小</w:t>
            </w:r>
          </w:p>
        </w:tc>
      </w:tr>
    </w:tbl>
    <w:p>
      <w:pPr>
        <w:pStyle w:val="2"/>
        <w:autoSpaceDE/>
        <w:autoSpaceDN/>
        <w:adjustRightInd w:val="0"/>
        <w:snapToGrid w:val="0"/>
        <w:spacing w:before="0" w:line="360" w:lineRule="auto"/>
        <w:ind w:left="0" w:firstLine="480" w:firstLineChars="200"/>
        <w:jc w:val="both"/>
        <w:rPr>
          <w:rFonts w:hint="eastAsia" w:ascii="Times New Roman" w:hAnsi="Times New Roman" w:eastAsia="宋体" w:cs="Times New Roman"/>
          <w:color w:val="auto"/>
          <w:lang w:eastAsia="zh-CN"/>
        </w:rPr>
      </w:pPr>
      <w:r>
        <w:rPr>
          <w:color w:val="auto"/>
        </w:rPr>
        <w:t>根据上表的计算结果可知：本工程施工产生的悬浮物随着水流稀释沉</w:t>
      </w:r>
      <w:r>
        <w:rPr>
          <w:rFonts w:ascii="Times New Roman" w:hAnsi="Times New Roman" w:eastAsia="宋体" w:cs="Times New Roman"/>
          <w:color w:val="auto"/>
        </w:rPr>
        <w:t>降后，影响范围在下游</w:t>
      </w:r>
      <w:r>
        <w:rPr>
          <w:rFonts w:hint="eastAsia" w:ascii="Times New Roman" w:hAnsi="Times New Roman" w:eastAsia="宋体" w:cs="Times New Roman"/>
          <w:color w:val="auto"/>
          <w:lang w:val="en-US" w:eastAsia="zh-CN"/>
        </w:rPr>
        <w:t>约85</w:t>
      </w:r>
      <w:r>
        <w:rPr>
          <w:rFonts w:ascii="Times New Roman" w:hAnsi="Times New Roman" w:eastAsia="宋体" w:cs="Times New Roman"/>
          <w:color w:val="auto"/>
        </w:rPr>
        <w:t>m，</w:t>
      </w:r>
      <w:r>
        <w:rPr>
          <w:rFonts w:hint="eastAsia" w:ascii="Times New Roman" w:hAnsi="Times New Roman" w:eastAsia="宋体" w:cs="Times New Roman"/>
          <w:color w:val="auto"/>
          <w:lang w:eastAsia="zh-CN"/>
        </w:rPr>
        <w:t>且祁东县城连墟乡饮用水水源保护区为地下水饮用水源保护区，取水口为傍河水井，自来水厂取水口不直接从祁水取水，祁水地表水需经过地下透水层方到达取水口，地下岩层对地表水起到了过滤的作用，从而使取水口水质受地表水体扰动影响较小，</w:t>
      </w:r>
    </w:p>
    <w:p>
      <w:pPr>
        <w:pStyle w:val="2"/>
        <w:autoSpaceDE/>
        <w:autoSpaceDN/>
        <w:adjustRightInd w:val="0"/>
        <w:snapToGrid w:val="0"/>
        <w:spacing w:before="0" w:line="360" w:lineRule="auto"/>
        <w:ind w:left="0" w:firstLine="480" w:firstLineChars="200"/>
        <w:jc w:val="both"/>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同时扰动底泥使悬浮物中部分重金属得到释放，悬浮物中重金属是影响水质的主要因素。根据环境现状监测中底泥监测结果，项目底泥监测各监测因子浓度均可达到《土壤环境质量 农用地土壤污染风险管控标准（试行）》（GB15618-2018）中风险筛选值中的标准限值，底泥水浸各监测因子浓度均低于《污水综合排放标准》（GB8978-1996）最高允许排放浓度，由此可知，涉水工程施工过程中，扰动底泥释放出来的重金属含量十分有限，且由于重金属元素为稳定化合物存在悬浮物中，重金属释放量远小于底泥中的含量，因此，除增加作业区下游局部水域水体中悬浮物浓度外，重金属二次污染的可能性较小。</w:t>
      </w:r>
    </w:p>
    <w:p>
      <w:pPr>
        <w:pStyle w:val="2"/>
        <w:autoSpaceDE/>
        <w:autoSpaceDN/>
        <w:adjustRightInd w:val="0"/>
        <w:snapToGrid w:val="0"/>
        <w:spacing w:before="0" w:line="360" w:lineRule="auto"/>
        <w:ind w:left="0" w:firstLine="480" w:firstLineChars="200"/>
        <w:jc w:val="both"/>
        <w:rPr>
          <w:color w:val="auto"/>
        </w:rPr>
      </w:pPr>
      <w:r>
        <w:rPr>
          <w:rFonts w:hint="eastAsia" w:ascii="Times New Roman" w:hAnsi="Times New Roman" w:eastAsia="宋体" w:cs="Times New Roman"/>
          <w:color w:val="auto"/>
          <w:lang w:eastAsia="zh-CN"/>
        </w:rPr>
        <w:t>因此，</w:t>
      </w:r>
      <w:r>
        <w:rPr>
          <w:rFonts w:ascii="Times New Roman" w:hAnsi="Times New Roman" w:eastAsia="宋体" w:cs="Times New Roman"/>
          <w:color w:val="auto"/>
        </w:rPr>
        <w:t>施工产生的悬浮物对</w:t>
      </w:r>
      <w:r>
        <w:rPr>
          <w:rFonts w:hint="eastAsia" w:ascii="Times New Roman" w:hAnsi="Times New Roman" w:eastAsia="宋体" w:cs="Times New Roman"/>
          <w:color w:val="auto"/>
          <w:lang w:eastAsia="zh-CN"/>
        </w:rPr>
        <w:t>下游及</w:t>
      </w:r>
      <w:r>
        <w:rPr>
          <w:rFonts w:hint="default" w:ascii="Times New Roman" w:hAnsi="Times New Roman" w:eastAsia="宋体" w:cs="Times New Roman"/>
          <w:color w:val="auto"/>
        </w:rPr>
        <w:t>城连墟乡地下水饮用水水源保护区</w:t>
      </w:r>
      <w:r>
        <w:rPr>
          <w:rFonts w:ascii="Times New Roman" w:hAnsi="Times New Roman" w:eastAsia="宋体" w:cs="Times New Roman"/>
          <w:color w:val="auto"/>
        </w:rPr>
        <w:t>取水口</w:t>
      </w:r>
      <w:r>
        <w:rPr>
          <w:rFonts w:hint="eastAsia" w:ascii="Times New Roman" w:hAnsi="Times New Roman" w:eastAsia="宋体" w:cs="Times New Roman"/>
          <w:color w:val="auto"/>
        </w:rPr>
        <w:t>影响很小</w:t>
      </w:r>
      <w:r>
        <w:rPr>
          <w:color w:val="auto"/>
        </w:rPr>
        <w:t>。</w:t>
      </w:r>
    </w:p>
    <w:p>
      <w:pPr>
        <w:autoSpaceDE/>
        <w:autoSpaceDN/>
        <w:adjustRightInd w:val="0"/>
        <w:snapToGrid w:val="0"/>
        <w:spacing w:line="360" w:lineRule="auto"/>
        <w:jc w:val="both"/>
        <w:outlineLvl w:val="3"/>
        <w:rPr>
          <w:rFonts w:ascii="Times New Roman" w:hAnsi="Times New Roman" w:cs="Times New Roman"/>
          <w:b/>
          <w:sz w:val="24"/>
          <w:szCs w:val="24"/>
        </w:rPr>
      </w:pPr>
      <w:r>
        <w:rPr>
          <w:rFonts w:ascii="Times New Roman" w:hAnsi="Times New Roman" w:cs="Times New Roman"/>
          <w:b/>
          <w:sz w:val="24"/>
          <w:szCs w:val="24"/>
        </w:rPr>
        <w:t>5.1.2.</w:t>
      </w:r>
      <w:r>
        <w:rPr>
          <w:rFonts w:hint="eastAsia" w:ascii="Times New Roman" w:hAnsi="Times New Roman" w:cs="Times New Roman"/>
          <w:b/>
          <w:sz w:val="24"/>
          <w:szCs w:val="24"/>
          <w:lang w:val="en-US" w:eastAsia="zh-CN"/>
        </w:rPr>
        <w:t>4</w:t>
      </w:r>
      <w:r>
        <w:rPr>
          <w:rFonts w:hint="eastAsia" w:ascii="Times New Roman" w:hAnsi="Times New Roman" w:cs="Times New Roman"/>
          <w:b/>
          <w:sz w:val="24"/>
          <w:szCs w:val="24"/>
          <w:lang w:eastAsia="zh-CN"/>
        </w:rPr>
        <w:t>施工期</w:t>
      </w:r>
      <w:r>
        <w:rPr>
          <w:rFonts w:hint="eastAsia" w:ascii="Times New Roman" w:hAnsi="Times New Roman" w:cs="Times New Roman"/>
          <w:b/>
          <w:sz w:val="24"/>
          <w:szCs w:val="24"/>
        </w:rPr>
        <w:t>对水文情势影响分析</w:t>
      </w:r>
    </w:p>
    <w:p>
      <w:pPr>
        <w:pStyle w:val="2"/>
        <w:autoSpaceDE/>
        <w:autoSpaceDN/>
        <w:adjustRightInd w:val="0"/>
        <w:snapToGrid w:val="0"/>
        <w:spacing w:before="0" w:line="360" w:lineRule="auto"/>
        <w:ind w:left="0"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本项目工程是在原有河道及河岸基础上进行堤防加固、护岸护坡、疏浚与清淤等工程。施工期水文情势影响主要是施工导流及围堰挡水的影响。</w:t>
      </w:r>
    </w:p>
    <w:p>
      <w:pPr>
        <w:pStyle w:val="2"/>
        <w:autoSpaceDE/>
        <w:autoSpaceDN/>
        <w:adjustRightInd w:val="0"/>
        <w:snapToGrid w:val="0"/>
        <w:spacing w:before="0" w:line="360" w:lineRule="auto"/>
        <w:ind w:left="0"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施工导流对水文情势的影响一般表现为水流流向的改变，但导流是临时施工措施，工程完成后该影响即可恢复至导流前状况。因此，施工导流的影响是暂时的、可逆的。</w:t>
      </w:r>
    </w:p>
    <w:p>
      <w:pPr>
        <w:pStyle w:val="2"/>
        <w:autoSpaceDE/>
        <w:autoSpaceDN/>
        <w:adjustRightInd w:val="0"/>
        <w:snapToGrid w:val="0"/>
        <w:spacing w:before="0" w:line="360" w:lineRule="auto"/>
        <w:ind w:left="0" w:firstLine="480" w:firstLineChars="200"/>
        <w:jc w:val="both"/>
        <w:rPr>
          <w:color w:val="auto"/>
        </w:rPr>
      </w:pPr>
      <w:r>
        <w:rPr>
          <w:rFonts w:hint="default" w:ascii="Times New Roman" w:hAnsi="Times New Roman" w:cs="Times New Roman"/>
          <w:color w:val="auto"/>
          <w:sz w:val="24"/>
          <w:szCs w:val="24"/>
        </w:rPr>
        <w:t>围堰挡水可能会改变部分河段的水流方向，本工程采用枯水期围堰挡水的导流方式，施工时围堰基坑排水采用潜水泵抽排，所需围堰河段均配备2台15kW排污泵进行基坑排水。本阶段施工临时围堰导流标准初选枯水期9月～次年2月洪水，且施工为分段施工，对</w:t>
      </w:r>
      <w:r>
        <w:rPr>
          <w:rFonts w:hint="eastAsia" w:ascii="Times New Roman" w:hAnsi="Times New Roman" w:cs="Times New Roman"/>
          <w:color w:val="auto"/>
          <w:sz w:val="24"/>
          <w:szCs w:val="24"/>
          <w:lang w:eastAsia="zh-CN"/>
        </w:rPr>
        <w:t>祁水</w:t>
      </w:r>
      <w:r>
        <w:rPr>
          <w:rFonts w:hint="default" w:ascii="Times New Roman" w:hAnsi="Times New Roman" w:cs="Times New Roman"/>
          <w:color w:val="auto"/>
          <w:sz w:val="24"/>
          <w:szCs w:val="24"/>
        </w:rPr>
        <w:t>水文情势影响较小，且不会改变河流的总体流向。</w:t>
      </w:r>
    </w:p>
    <w:p>
      <w:pPr>
        <w:autoSpaceDE/>
        <w:autoSpaceDN/>
        <w:adjustRightInd w:val="0"/>
        <w:snapToGrid w:val="0"/>
        <w:spacing w:line="360" w:lineRule="auto"/>
        <w:jc w:val="both"/>
        <w:outlineLvl w:val="2"/>
        <w:rPr>
          <w:rFonts w:ascii="Times New Roman" w:hAnsi="Times New Roman" w:cs="Times New Roman"/>
          <w:b/>
          <w:sz w:val="28"/>
          <w:szCs w:val="24"/>
        </w:rPr>
      </w:pPr>
      <w:bookmarkStart w:id="286" w:name="_Toc29275"/>
      <w:bookmarkStart w:id="287" w:name="_Toc82593169"/>
      <w:bookmarkStart w:id="288" w:name="_Toc66206103"/>
      <w:bookmarkStart w:id="289" w:name="_Toc69284629"/>
      <w:r>
        <w:rPr>
          <w:rFonts w:ascii="Times New Roman" w:hAnsi="Times New Roman" w:cs="Times New Roman"/>
          <w:b/>
          <w:sz w:val="28"/>
          <w:szCs w:val="24"/>
        </w:rPr>
        <w:t>5.1.3地下水环境影响分析</w:t>
      </w:r>
      <w:bookmarkEnd w:id="286"/>
      <w:bookmarkEnd w:id="287"/>
      <w:bookmarkEnd w:id="288"/>
      <w:bookmarkEnd w:id="289"/>
    </w:p>
    <w:p>
      <w:pPr>
        <w:pStyle w:val="2"/>
        <w:kinsoku w:val="0"/>
        <w:overflowPunct w:val="0"/>
        <w:spacing w:before="168" w:beforeLines="0" w:afterLines="0" w:line="372" w:lineRule="auto"/>
        <w:ind w:right="340" w:firstLine="463"/>
        <w:jc w:val="both"/>
        <w:rPr>
          <w:rFonts w:hint="eastAsia"/>
          <w:spacing w:val="-4"/>
          <w:sz w:val="24"/>
          <w:szCs w:val="24"/>
        </w:rPr>
      </w:pPr>
      <w:r>
        <w:rPr>
          <w:rFonts w:hint="eastAsia"/>
          <w:spacing w:val="-2"/>
          <w:sz w:val="24"/>
          <w:szCs w:val="24"/>
        </w:rPr>
        <w:t>本项目为河道整治项目，施工期不开采地下水，不会引起地下水流场或地下水水位变化。工程区地下水类型主要为：基岩裂隙水和岩溶裂隙水、第四系松散层孔</w:t>
      </w:r>
      <w:r>
        <w:rPr>
          <w:rFonts w:hint="eastAsia"/>
          <w:spacing w:val="-4"/>
          <w:sz w:val="24"/>
          <w:szCs w:val="24"/>
        </w:rPr>
        <w:t>隙水。</w:t>
      </w:r>
    </w:p>
    <w:p>
      <w:pPr>
        <w:pStyle w:val="2"/>
        <w:kinsoku w:val="0"/>
        <w:overflowPunct w:val="0"/>
        <w:spacing w:before="3" w:beforeLines="0" w:afterLines="0" w:line="372" w:lineRule="auto"/>
        <w:ind w:right="225" w:firstLine="463"/>
        <w:rPr>
          <w:rFonts w:hint="eastAsia"/>
          <w:spacing w:val="-2"/>
          <w:sz w:val="24"/>
          <w:szCs w:val="24"/>
        </w:rPr>
      </w:pPr>
      <w:r>
        <w:rPr>
          <w:rFonts w:hint="eastAsia"/>
          <w:spacing w:val="-2"/>
          <w:sz w:val="24"/>
          <w:szCs w:val="24"/>
        </w:rPr>
        <w:t>基岩裂隙水和岩溶裂隙水：赋存于工程区板岩、砂页岩、强风化花岗岩与白云</w:t>
      </w:r>
      <w:r>
        <w:rPr>
          <w:rFonts w:hint="eastAsia"/>
          <w:spacing w:val="-4"/>
          <w:sz w:val="24"/>
          <w:szCs w:val="24"/>
        </w:rPr>
        <w:t>质灰岩的节理裂隙与溶蚀裂隙溶隙中，接受大气降水、地表水及第四系孔隙水补给，</w:t>
      </w:r>
      <w:r>
        <w:rPr>
          <w:rFonts w:hint="eastAsia"/>
          <w:spacing w:val="-2"/>
          <w:sz w:val="24"/>
          <w:szCs w:val="24"/>
        </w:rPr>
        <w:t>沿岩石的节理裂隙和溶蚀裂隙储存和运移，以小泉水点或湿地泉的形式向河流及溪沟岸边排泄，水量细小，受季节性影响大。工程区部分钻孔中发育有蚀沟槽和溶蚀裂隙，未发现有岩溶管道水分布。</w:t>
      </w:r>
    </w:p>
    <w:p>
      <w:pPr>
        <w:pStyle w:val="2"/>
        <w:kinsoku w:val="0"/>
        <w:overflowPunct w:val="0"/>
        <w:spacing w:before="0" w:beforeLines="0" w:afterLines="0" w:line="374" w:lineRule="auto"/>
        <w:ind w:right="340" w:firstLine="463"/>
        <w:jc w:val="both"/>
        <w:rPr>
          <w:rFonts w:hint="eastAsia"/>
          <w:spacing w:val="-10"/>
          <w:sz w:val="24"/>
          <w:szCs w:val="24"/>
        </w:rPr>
      </w:pPr>
      <w:r>
        <w:rPr>
          <w:rFonts w:hint="eastAsia"/>
          <w:spacing w:val="-2"/>
          <w:position w:val="2"/>
          <w:sz w:val="24"/>
          <w:szCs w:val="24"/>
        </w:rPr>
        <w:t>第四系松散层孔隙水：主要赋存于全新统冲积堆积层（</w:t>
      </w:r>
      <w:r>
        <w:rPr>
          <w:rFonts w:hint="default" w:ascii="Times New Roman" w:hAnsi="Times New Roman" w:eastAsia="Times New Roman"/>
          <w:spacing w:val="-2"/>
          <w:position w:val="2"/>
          <w:sz w:val="24"/>
          <w:szCs w:val="24"/>
        </w:rPr>
        <w:t>Q</w:t>
      </w:r>
      <w:r>
        <w:rPr>
          <w:rFonts w:hint="default" w:ascii="Times New Roman" w:hAnsi="Times New Roman" w:eastAsia="Times New Roman"/>
          <w:spacing w:val="-2"/>
          <w:sz w:val="15"/>
          <w:szCs w:val="24"/>
        </w:rPr>
        <w:t>4</w:t>
      </w:r>
      <w:r>
        <w:rPr>
          <w:rFonts w:hint="default" w:ascii="Times New Roman" w:hAnsi="Times New Roman" w:eastAsia="Times New Roman"/>
          <w:spacing w:val="-2"/>
          <w:position w:val="10"/>
          <w:sz w:val="15"/>
          <w:szCs w:val="24"/>
        </w:rPr>
        <w:t>al</w:t>
      </w:r>
      <w:r>
        <w:rPr>
          <w:rFonts w:hint="eastAsia"/>
          <w:spacing w:val="-2"/>
          <w:position w:val="2"/>
          <w:sz w:val="24"/>
          <w:szCs w:val="24"/>
        </w:rPr>
        <w:t>）的含砾中粗砂和</w:t>
      </w:r>
      <w:r>
        <w:rPr>
          <w:rFonts w:hint="eastAsia"/>
          <w:spacing w:val="-2"/>
          <w:sz w:val="24"/>
          <w:szCs w:val="24"/>
        </w:rPr>
        <w:t>砂卵砾石层的孔隙中，接受大气降水和地表水的补给，沿松散土体的孔隙储存与运</w:t>
      </w:r>
      <w:r>
        <w:rPr>
          <w:rFonts w:hint="eastAsia"/>
          <w:spacing w:val="-3"/>
          <w:sz w:val="24"/>
          <w:szCs w:val="24"/>
        </w:rPr>
        <w:t>移，向下部补给基岩裂隙水及向地形低洼地带的河流溪沟排泄，水量与地下水位呈</w:t>
      </w:r>
      <w:r>
        <w:rPr>
          <w:rFonts w:hint="eastAsia"/>
          <w:spacing w:val="-6"/>
          <w:sz w:val="24"/>
          <w:szCs w:val="24"/>
        </w:rPr>
        <w:t>季节性波动明显，埋藏深度一般为</w:t>
      </w:r>
      <w:r>
        <w:rPr>
          <w:rFonts w:hint="default" w:ascii="Times New Roman" w:hAnsi="Times New Roman" w:eastAsia="Times New Roman"/>
          <w:spacing w:val="-6"/>
          <w:sz w:val="24"/>
          <w:szCs w:val="24"/>
        </w:rPr>
        <w:t>3m~6m</w:t>
      </w:r>
      <w:r>
        <w:rPr>
          <w:rFonts w:hint="eastAsia"/>
          <w:spacing w:val="-10"/>
          <w:sz w:val="24"/>
          <w:szCs w:val="24"/>
        </w:rPr>
        <w:t>。</w:t>
      </w:r>
    </w:p>
    <w:p>
      <w:pPr>
        <w:pStyle w:val="2"/>
        <w:kinsoku w:val="0"/>
        <w:overflowPunct w:val="0"/>
        <w:spacing w:beforeLines="0" w:afterLines="0" w:line="372" w:lineRule="auto"/>
        <w:ind w:right="470" w:firstLine="463"/>
        <w:rPr>
          <w:rFonts w:hint="eastAsia"/>
          <w:spacing w:val="-2"/>
          <w:sz w:val="24"/>
          <w:szCs w:val="24"/>
        </w:rPr>
      </w:pPr>
      <w:r>
        <w:rPr>
          <w:rFonts w:hint="default"/>
          <w:spacing w:val="-10"/>
          <w:sz w:val="24"/>
          <w:szCs w:val="24"/>
        </w:rPr>
        <mc:AlternateContent>
          <mc:Choice Requires="wps">
            <w:drawing>
              <wp:anchor distT="0" distB="0" distL="114300" distR="114300" simplePos="0" relativeHeight="251662336" behindDoc="1" locked="0" layoutInCell="1" allowOverlap="1">
                <wp:simplePos x="0" y="0"/>
                <wp:positionH relativeFrom="page">
                  <wp:posOffset>3041650</wp:posOffset>
                </wp:positionH>
                <wp:positionV relativeFrom="paragraph">
                  <wp:posOffset>484505</wp:posOffset>
                </wp:positionV>
                <wp:extent cx="49530" cy="109855"/>
                <wp:effectExtent l="0" t="0" r="0" b="0"/>
                <wp:wrapNone/>
                <wp:docPr id="8" name="文本框 8"/>
                <wp:cNvGraphicFramePr/>
                <a:graphic xmlns:a="http://schemas.openxmlformats.org/drawingml/2006/main">
                  <a:graphicData uri="http://schemas.microsoft.com/office/word/2010/wordprocessingShape">
                    <wps:wsp>
                      <wps:cNvSpPr txBox="1"/>
                      <wps:spPr>
                        <a:xfrm>
                          <a:off x="0" y="0"/>
                          <a:ext cx="49530" cy="109855"/>
                        </a:xfrm>
                        <a:prstGeom prst="rect">
                          <a:avLst/>
                        </a:prstGeom>
                        <a:noFill/>
                        <a:ln>
                          <a:noFill/>
                        </a:ln>
                      </wps:spPr>
                      <wps:txbx>
                        <w:txbxContent>
                          <w:p>
                            <w:pPr>
                              <w:pStyle w:val="2"/>
                              <w:kinsoku w:val="0"/>
                              <w:overflowPunct w:val="0"/>
                              <w:spacing w:before="0" w:beforeLines="0" w:afterLines="0" w:line="171" w:lineRule="exact"/>
                              <w:ind w:left="0"/>
                              <w:rPr>
                                <w:rFonts w:hint="default" w:ascii="Times New Roman" w:hAnsi="Times New Roman" w:eastAsia="Times New Roman"/>
                                <w:w w:val="104"/>
                                <w:sz w:val="15"/>
                                <w:szCs w:val="24"/>
                              </w:rPr>
                            </w:pPr>
                            <w:r>
                              <w:rPr>
                                <w:rFonts w:hint="default" w:ascii="Times New Roman" w:hAnsi="Times New Roman" w:eastAsia="Times New Roman"/>
                                <w:w w:val="104"/>
                                <w:sz w:val="15"/>
                                <w:szCs w:val="24"/>
                              </w:rPr>
                              <w:t>3</w:t>
                            </w:r>
                          </w:p>
                        </w:txbxContent>
                      </wps:txbx>
                      <wps:bodyPr lIns="0" tIns="0" rIns="0" bIns="0" upright="1"/>
                    </wps:wsp>
                  </a:graphicData>
                </a:graphic>
              </wp:anchor>
            </w:drawing>
          </mc:Choice>
          <mc:Fallback>
            <w:pict>
              <v:shape id="_x0000_s1026" o:spid="_x0000_s1026" o:spt="202" type="#_x0000_t202" style="position:absolute;left:0pt;margin-left:239.5pt;margin-top:38.15pt;height:8.65pt;width:3.9pt;mso-position-horizontal-relative:page;z-index:-251654144;mso-width-relative:page;mso-height-relative:page;" filled="f" stroked="f" coordsize="21600,21600" o:gfxdata="UEsDBAoAAAAAAIdO4kAAAAAAAAAAAAAAAAAEAAAAZHJzL1BLAwQUAAAACACHTuJAFoXZ49kAAAAJ&#10;AQAADwAAAGRycy9kb3ducmV2LnhtbE2Py07DMBBF90j8gzWV2FG7tHKbNE6FEKyQEGlYsHTiaWI1&#10;HofYffD3mBUsR3N17znF7uoGdsYpWE8KFnMBDKn1xlKn4KN+ud8AC1GT0YMnVPCNAXbl7U2hc+Mv&#10;VOF5HzuWSijkWkEf45hzHtoenQ5zPyKl38FPTsd0Th03k76kcjfwByEkd9pSWuj1iE89tsf9ySl4&#10;/KTq2X69Ne/VobJ1nQl6lUel7mYLsQUW8Rr/wvCLn9ChTEyNP5EJbFCwWmfJJSpYyyWwFFhtZHJp&#10;FGRLCbws+H+D8gdQSwMEFAAAAAgAh07iQLzzp7S4AQAAcAMAAA4AAABkcnMvZTJvRG9jLnhtbK1T&#10;zY7TMBC+I/EOlu/U6UJRN2q6EqoWISFAWngA17EbS/6Tx23SF4A34MSFO8/V52DsNF3YvexhL85k&#10;ZvLN933jrG4Ga8hBRtDeNXQ+qyiRTvhWu11Dv329fbWkBBJ3LTfeyYYeJdCb9csXqz7U8sp33rQy&#10;EgRxUPehoV1KoWYMRCcth5kP0mFR+Wh5wte4Y23kPaJbw66q6i3rfWxD9EICYHYzFukZMT4F0Cul&#10;hdx4sbfSpRE1SsMTSoJOB6DrwlYpKdJnpUAmYhqKSlM5cQjG23yy9YrXu8hDp8WZAn8KhQeaLNcO&#10;h16gNjxxso/6EZTVInrwKs2Et2wUUhxBFfPqgTd3HQ+yaEGrIVxMh+eDFZ8OXyLRbUNx7Y5bXPjp&#10;54/Trz+n39/JMtvTB6ix6y5gXxre+QEvzZQHTGbVg4o2P1EPwTqae7yYK4dEBCbfXC9eY0FgZV5d&#10;LxeLDMLuvw0R0nvpLclBQyOurjjKDx8hja1TSx7l/K02pqzPuP8SiJkzLBMfCeYoDdvhrGbr2yOK&#10;MR8cGpkvxRTEKdhOwT5EveuQTpFcIHERhff50uRN//teBt//KO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oXZ49kAAAAJAQAADwAAAAAAAAABACAAAAAiAAAAZHJzL2Rvd25yZXYueG1sUEsBAhQA&#10;FAAAAAgAh07iQLzzp7S4AQAAcAMAAA4AAAAAAAAAAQAgAAAAKAEAAGRycy9lMm9Eb2MueG1sUEsF&#10;BgAAAAAGAAYAWQEAAFIFAAAAAA==&#10;">
                <v:fill on="f" focussize="0,0"/>
                <v:stroke on="f"/>
                <v:imagedata o:title=""/>
                <o:lock v:ext="edit" aspectratio="f"/>
                <v:textbox inset="0mm,0mm,0mm,0mm">
                  <w:txbxContent>
                    <w:p>
                      <w:pPr>
                        <w:pStyle w:val="2"/>
                        <w:kinsoku w:val="0"/>
                        <w:overflowPunct w:val="0"/>
                        <w:spacing w:before="0" w:beforeLines="0" w:afterLines="0" w:line="171" w:lineRule="exact"/>
                        <w:ind w:left="0"/>
                        <w:rPr>
                          <w:rFonts w:hint="default" w:ascii="Times New Roman" w:hAnsi="Times New Roman" w:eastAsia="Times New Roman"/>
                          <w:w w:val="104"/>
                          <w:sz w:val="15"/>
                          <w:szCs w:val="24"/>
                        </w:rPr>
                      </w:pPr>
                      <w:r>
                        <w:rPr>
                          <w:rFonts w:hint="default" w:ascii="Times New Roman" w:hAnsi="Times New Roman" w:eastAsia="Times New Roman"/>
                          <w:w w:val="104"/>
                          <w:sz w:val="15"/>
                          <w:szCs w:val="24"/>
                        </w:rPr>
                        <w:t>3</w:t>
                      </w:r>
                    </w:p>
                  </w:txbxContent>
                </v:textbox>
              </v:shape>
            </w:pict>
          </mc:Fallback>
        </mc:AlternateContent>
      </w:r>
      <w:r>
        <w:rPr>
          <w:rFonts w:hint="eastAsia"/>
          <w:spacing w:val="-4"/>
          <w:sz w:val="24"/>
          <w:szCs w:val="24"/>
        </w:rPr>
        <w:t>根据项目初步设计中对项目区域地下水取水样室内水质分析成果可知，工程区</w:t>
      </w:r>
      <w:r>
        <w:rPr>
          <w:rFonts w:hint="eastAsia"/>
          <w:sz w:val="24"/>
          <w:szCs w:val="24"/>
        </w:rPr>
        <w:t>地下水水化学类型主要为</w:t>
      </w:r>
      <w:r>
        <w:rPr>
          <w:rFonts w:hint="default" w:ascii="Times New Roman" w:hAnsi="Times New Roman" w:eastAsia="Times New Roman"/>
          <w:sz w:val="24"/>
          <w:szCs w:val="24"/>
        </w:rPr>
        <w:t xml:space="preserve">HCO </w:t>
      </w:r>
      <w:r>
        <w:rPr>
          <w:rFonts w:hint="default" w:ascii="Times New Roman" w:hAnsi="Times New Roman" w:eastAsia="Times New Roman"/>
          <w:position w:val="8"/>
          <w:sz w:val="15"/>
          <w:szCs w:val="24"/>
        </w:rPr>
        <w:t>-</w:t>
      </w:r>
      <w:r>
        <w:rPr>
          <w:rFonts w:hint="default" w:ascii="Times New Roman" w:hAnsi="Times New Roman" w:eastAsia="Times New Roman"/>
          <w:sz w:val="24"/>
          <w:szCs w:val="24"/>
        </w:rPr>
        <w:t>·Ca</w:t>
      </w:r>
      <w:r>
        <w:rPr>
          <w:rFonts w:hint="default" w:ascii="Times New Roman" w:hAnsi="Times New Roman" w:eastAsia="Times New Roman"/>
          <w:position w:val="8"/>
          <w:sz w:val="15"/>
          <w:szCs w:val="24"/>
        </w:rPr>
        <w:t>+</w:t>
      </w:r>
      <w:r>
        <w:rPr>
          <w:rFonts w:hint="default" w:ascii="Times New Roman" w:hAnsi="Times New Roman" w:eastAsia="Times New Roman"/>
          <w:sz w:val="24"/>
          <w:szCs w:val="24"/>
        </w:rPr>
        <w:t>Mg</w:t>
      </w:r>
      <w:r>
        <w:rPr>
          <w:rFonts w:hint="eastAsia"/>
          <w:sz w:val="24"/>
          <w:szCs w:val="24"/>
        </w:rPr>
        <w:t>（</w:t>
      </w:r>
      <w:r>
        <w:rPr>
          <w:rFonts w:hint="default" w:ascii="Times New Roman" w:hAnsi="Times New Roman" w:eastAsia="Times New Roman"/>
          <w:sz w:val="24"/>
          <w:szCs w:val="24"/>
        </w:rPr>
        <w:t>Na</w:t>
      </w:r>
      <w:r>
        <w:rPr>
          <w:rFonts w:hint="default" w:ascii="Times New Roman" w:hAnsi="Times New Roman" w:eastAsia="Times New Roman"/>
          <w:position w:val="8"/>
          <w:sz w:val="15"/>
          <w:szCs w:val="24"/>
        </w:rPr>
        <w:t>+</w:t>
      </w:r>
      <w:r>
        <w:rPr>
          <w:rFonts w:hint="default" w:ascii="Times New Roman" w:hAnsi="Times New Roman" w:eastAsia="Times New Roman"/>
          <w:sz w:val="24"/>
          <w:szCs w:val="24"/>
        </w:rPr>
        <w:t>K</w:t>
      </w:r>
      <w:r>
        <w:rPr>
          <w:rFonts w:hint="eastAsia"/>
          <w:sz w:val="24"/>
          <w:szCs w:val="24"/>
        </w:rPr>
        <w:t>），属低矿化度软水型，</w:t>
      </w:r>
      <w:r>
        <w:rPr>
          <w:rFonts w:hint="default" w:ascii="Times New Roman" w:hAnsi="Times New Roman" w:eastAsia="Times New Roman"/>
          <w:sz w:val="24"/>
          <w:szCs w:val="24"/>
        </w:rPr>
        <w:t>pH</w:t>
      </w:r>
      <w:r>
        <w:rPr>
          <w:rFonts w:hint="eastAsia"/>
          <w:sz w:val="24"/>
          <w:szCs w:val="24"/>
        </w:rPr>
        <w:t xml:space="preserve">值 </w:t>
      </w:r>
      <w:r>
        <w:rPr>
          <w:rFonts w:hint="default" w:ascii="Times New Roman" w:hAnsi="Times New Roman" w:eastAsia="Times New Roman"/>
          <w:spacing w:val="-2"/>
          <w:sz w:val="24"/>
          <w:szCs w:val="24"/>
        </w:rPr>
        <w:t>6.68~6.83</w:t>
      </w:r>
      <w:r>
        <w:rPr>
          <w:rFonts w:hint="eastAsia"/>
          <w:spacing w:val="-2"/>
          <w:sz w:val="24"/>
          <w:szCs w:val="24"/>
        </w:rPr>
        <w:t>，呈弱酸性，对钢筋、混凝土均无腐蚀性。</w:t>
      </w:r>
    </w:p>
    <w:p>
      <w:pPr>
        <w:pStyle w:val="2"/>
        <w:kinsoku w:val="0"/>
        <w:overflowPunct w:val="0"/>
        <w:spacing w:before="1" w:beforeLines="0" w:afterLines="0" w:line="372" w:lineRule="auto"/>
        <w:ind w:right="439" w:firstLine="463"/>
        <w:rPr>
          <w:rFonts w:hint="eastAsia"/>
          <w:spacing w:val="-2"/>
          <w:sz w:val="24"/>
          <w:szCs w:val="24"/>
        </w:rPr>
      </w:pPr>
      <w:r>
        <w:rPr>
          <w:rFonts w:hint="eastAsia"/>
          <w:spacing w:val="-4"/>
          <w:sz w:val="24"/>
          <w:szCs w:val="24"/>
        </w:rPr>
        <w:t>本项目主要实施护坡护岸工程、治涝工程、灌溉工程等，施工产生的废水、施工机械漏油、基坑废水以及生活污水等若不妥善处理可能影响地下水水质。施工机械车辆维修、冲洗废水等施工废水主要污染物为石油类和悬浮物；基坑经常性排水由降水、渗水和施工用水组成，基坑经常性排水的悬浮物浓度约为</w:t>
      </w:r>
      <w:r>
        <w:rPr>
          <w:rFonts w:hint="default" w:ascii="Times New Roman" w:hAnsi="Times New Roman" w:eastAsia="Times New Roman"/>
          <w:spacing w:val="-4"/>
          <w:sz w:val="24"/>
          <w:szCs w:val="24"/>
        </w:rPr>
        <w:t>2000mg/L</w:t>
      </w:r>
      <w:r>
        <w:rPr>
          <w:rFonts w:hint="eastAsia"/>
          <w:spacing w:val="-4"/>
          <w:sz w:val="24"/>
          <w:szCs w:val="24"/>
        </w:rPr>
        <w:t>左右，</w:t>
      </w:r>
      <w:r>
        <w:rPr>
          <w:rFonts w:hint="default" w:ascii="Times New Roman" w:hAnsi="Times New Roman" w:eastAsia="Times New Roman"/>
          <w:spacing w:val="-2"/>
          <w:sz w:val="24"/>
          <w:szCs w:val="24"/>
        </w:rPr>
        <w:t>pH</w:t>
      </w:r>
      <w:r>
        <w:rPr>
          <w:rFonts w:hint="eastAsia"/>
          <w:spacing w:val="-2"/>
          <w:sz w:val="24"/>
          <w:szCs w:val="24"/>
        </w:rPr>
        <w:t>值为</w:t>
      </w:r>
      <w:r>
        <w:rPr>
          <w:rFonts w:hint="default" w:ascii="Times New Roman" w:hAnsi="Times New Roman" w:eastAsia="Times New Roman"/>
          <w:spacing w:val="-2"/>
          <w:sz w:val="24"/>
          <w:szCs w:val="24"/>
        </w:rPr>
        <w:t>9</w:t>
      </w:r>
      <w:r>
        <w:rPr>
          <w:rFonts w:hint="eastAsia"/>
          <w:spacing w:val="-2"/>
          <w:sz w:val="24"/>
          <w:szCs w:val="24"/>
        </w:rPr>
        <w:t>～</w:t>
      </w:r>
      <w:r>
        <w:rPr>
          <w:rFonts w:hint="default" w:ascii="Times New Roman" w:hAnsi="Times New Roman" w:eastAsia="Times New Roman"/>
          <w:spacing w:val="-2"/>
          <w:sz w:val="24"/>
          <w:szCs w:val="24"/>
        </w:rPr>
        <w:t>11</w:t>
      </w:r>
      <w:r>
        <w:rPr>
          <w:rFonts w:hint="eastAsia"/>
          <w:spacing w:val="-2"/>
          <w:sz w:val="24"/>
          <w:szCs w:val="24"/>
        </w:rPr>
        <w:t>。此外，施工过程中施工机械可能产生跑、冒、漏、滴，若不采取相关防护措施，也会引起地下水污染。</w:t>
      </w:r>
    </w:p>
    <w:p>
      <w:pPr>
        <w:pStyle w:val="2"/>
        <w:kinsoku w:val="0"/>
        <w:overflowPunct w:val="0"/>
        <w:spacing w:before="1" w:beforeLines="0" w:afterLines="0" w:line="372" w:lineRule="auto"/>
        <w:ind w:right="225" w:firstLine="463"/>
        <w:rPr>
          <w:rFonts w:hint="eastAsia"/>
          <w:spacing w:val="-7"/>
          <w:sz w:val="24"/>
          <w:szCs w:val="24"/>
        </w:rPr>
      </w:pPr>
      <w:r>
        <w:rPr>
          <w:rFonts w:hint="eastAsia"/>
          <w:spacing w:val="-2"/>
          <w:sz w:val="24"/>
          <w:szCs w:val="24"/>
        </w:rPr>
        <w:t xml:space="preserve">本工程基坑排水拟布置沉淀池进行收集，经处理达标后回用于施工生产中，多余部分排至河道内（非饮用水源保护区河段）；含油废水拟在施工机械停放场四周设置集水沟收集废水，进入隔油池处理，达标后用于施工场地洒水；施工生活用房 </w:t>
      </w:r>
      <w:r>
        <w:rPr>
          <w:rFonts w:hint="eastAsia"/>
          <w:spacing w:val="-4"/>
          <w:sz w:val="24"/>
          <w:szCs w:val="24"/>
        </w:rPr>
        <w:t>就近租用民房，生活污水按当地居民原有排放方式排放，经化粪池处理后用于农肥。</w:t>
      </w:r>
      <w:r>
        <w:rPr>
          <w:rFonts w:hint="eastAsia"/>
          <w:spacing w:val="-7"/>
          <w:sz w:val="24"/>
          <w:szCs w:val="24"/>
        </w:rPr>
        <w:t>本工程施工期废水均经处理后回用，不随意排放，基本不会对地下水水质造成影响。</w:t>
      </w:r>
    </w:p>
    <w:p>
      <w:pPr>
        <w:pStyle w:val="2"/>
        <w:kinsoku w:val="0"/>
        <w:overflowPunct w:val="0"/>
        <w:spacing w:before="2" w:beforeLines="0" w:afterLines="0" w:line="372" w:lineRule="auto"/>
        <w:ind w:right="460" w:firstLine="463"/>
        <w:jc w:val="both"/>
        <w:rPr>
          <w:rFonts w:hint="eastAsia"/>
          <w:spacing w:val="-2"/>
          <w:sz w:val="24"/>
          <w:szCs w:val="24"/>
        </w:rPr>
      </w:pPr>
      <w:r>
        <w:rPr>
          <w:rFonts w:hint="eastAsia"/>
          <w:spacing w:val="-4"/>
          <w:sz w:val="24"/>
          <w:szCs w:val="24"/>
        </w:rPr>
        <w:t>施工弃土、建筑垃圾、生活垃圾等固废若不进行有效处置随意堆放，在降雨林滤的情况下，可能通过间歇入渗进入堆放场地的地下水，或随地表径流污染其他区域的地下水水质。本工程弃土、建筑垃圾、生活垃圾均及时收集、运输，基本不会</w:t>
      </w:r>
      <w:r>
        <w:rPr>
          <w:rFonts w:hint="eastAsia"/>
          <w:spacing w:val="-2"/>
          <w:sz w:val="24"/>
          <w:szCs w:val="24"/>
        </w:rPr>
        <w:t>对区域地下水水质产生不利影响。</w:t>
      </w:r>
    </w:p>
    <w:p>
      <w:pPr>
        <w:pStyle w:val="2"/>
        <w:kinsoku w:val="0"/>
        <w:overflowPunct w:val="0"/>
        <w:spacing w:before="2" w:beforeLines="0" w:afterLines="0" w:line="372" w:lineRule="auto"/>
        <w:ind w:right="470" w:firstLine="463"/>
        <w:rPr>
          <w:rFonts w:hint="eastAsia"/>
          <w:spacing w:val="-2"/>
          <w:sz w:val="24"/>
          <w:szCs w:val="24"/>
        </w:rPr>
      </w:pPr>
      <w:r>
        <w:rPr>
          <w:rFonts w:hint="eastAsia"/>
          <w:spacing w:val="-4"/>
          <w:sz w:val="24"/>
          <w:szCs w:val="24"/>
        </w:rPr>
        <w:t>同时，本环评要求建设单位在临时施工场地配套修建拦挡措施、防渗层、沉淀</w:t>
      </w:r>
      <w:r>
        <w:rPr>
          <w:rFonts w:hint="eastAsia"/>
          <w:spacing w:val="-2"/>
          <w:sz w:val="24"/>
          <w:szCs w:val="24"/>
        </w:rPr>
        <w:t>池，施工期须做好围堰土工布铺底和临时施工场地防渗等措施。</w:t>
      </w:r>
    </w:p>
    <w:p>
      <w:pPr>
        <w:pStyle w:val="2"/>
        <w:autoSpaceDE/>
        <w:autoSpaceDN/>
        <w:adjustRightInd w:val="0"/>
        <w:snapToGrid w:val="0"/>
        <w:spacing w:before="0" w:line="360" w:lineRule="auto"/>
        <w:ind w:left="0" w:firstLine="452" w:firstLineChars="200"/>
        <w:jc w:val="both"/>
        <w:rPr>
          <w:rFonts w:ascii="Times New Roman" w:hAnsi="Times New Roman" w:cs="Times New Roman"/>
        </w:rPr>
      </w:pPr>
      <w:r>
        <w:rPr>
          <w:rFonts w:hint="eastAsia"/>
          <w:spacing w:val="-7"/>
          <w:sz w:val="24"/>
          <w:szCs w:val="24"/>
        </w:rPr>
        <w:t>在采取以上措施后，项目施工期对所在区域地下水环境的影响较小</w:t>
      </w:r>
      <w:r>
        <w:rPr>
          <w:rFonts w:ascii="Times New Roman" w:hAnsi="Times New Roman" w:cs="Times New Roman"/>
        </w:rPr>
        <w:t>。</w:t>
      </w:r>
    </w:p>
    <w:p>
      <w:pPr>
        <w:autoSpaceDE/>
        <w:autoSpaceDN/>
        <w:adjustRightInd w:val="0"/>
        <w:snapToGrid w:val="0"/>
        <w:spacing w:line="360" w:lineRule="auto"/>
        <w:jc w:val="both"/>
        <w:outlineLvl w:val="2"/>
        <w:rPr>
          <w:rFonts w:ascii="Times New Roman" w:hAnsi="Times New Roman" w:cs="Times New Roman"/>
          <w:b/>
          <w:sz w:val="28"/>
          <w:szCs w:val="24"/>
        </w:rPr>
      </w:pPr>
      <w:bookmarkStart w:id="290" w:name="_Toc82593170"/>
      <w:bookmarkStart w:id="291" w:name="_Toc66206104"/>
      <w:bookmarkStart w:id="292" w:name="_Toc69284630"/>
      <w:bookmarkStart w:id="293" w:name="_Toc9359"/>
      <w:r>
        <w:rPr>
          <w:rFonts w:ascii="Times New Roman" w:hAnsi="Times New Roman" w:cs="Times New Roman"/>
          <w:b/>
          <w:sz w:val="28"/>
          <w:szCs w:val="24"/>
        </w:rPr>
        <w:t>5.1.4声环境影响分析</w:t>
      </w:r>
      <w:bookmarkEnd w:id="290"/>
      <w:bookmarkEnd w:id="291"/>
      <w:bookmarkEnd w:id="292"/>
      <w:bookmarkEnd w:id="293"/>
    </w:p>
    <w:p>
      <w:pPr>
        <w:pStyle w:val="2"/>
        <w:autoSpaceDE/>
        <w:autoSpaceDN/>
        <w:adjustRightInd w:val="0"/>
        <w:snapToGrid w:val="0"/>
        <w:spacing w:before="0" w:line="360" w:lineRule="auto"/>
        <w:ind w:left="0" w:firstLine="480" w:firstLineChars="200"/>
        <w:jc w:val="both"/>
        <w:rPr>
          <w:rFonts w:ascii="Times New Roman" w:hAnsi="Times New Roman" w:cs="Times New Roman"/>
        </w:rPr>
      </w:pPr>
      <w:bookmarkStart w:id="294" w:name="_Hlk66205436"/>
      <w:r>
        <w:rPr>
          <w:rFonts w:ascii="Times New Roman" w:hAnsi="Times New Roman" w:cs="Times New Roman"/>
        </w:rPr>
        <w:t>本项目施工期间噪声主要来源于施工机械噪声和运输车辆噪声。</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（1）施工机械噪声</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主要指施工现场使用各类机械设备产生的施工噪声。这些施工机械包括装载机、挖掘机、推土机、钻孔机等，在施工中这类机械是最主要的施工噪声源。主要施工机械噪声源强见下表。</w:t>
      </w:r>
    </w:p>
    <w:p>
      <w:pPr>
        <w:pStyle w:val="2"/>
        <w:autoSpaceDE/>
        <w:autoSpaceDN/>
        <w:adjustRightInd w:val="0"/>
        <w:snapToGrid w:val="0"/>
        <w:spacing w:before="0" w:line="360" w:lineRule="auto"/>
        <w:ind w:left="0"/>
        <w:jc w:val="center"/>
        <w:rPr>
          <w:rFonts w:ascii="Times New Roman" w:hAnsi="Times New Roman" w:cs="Times New Roman"/>
          <w:b/>
        </w:rPr>
      </w:pPr>
      <w:r>
        <w:rPr>
          <w:rFonts w:ascii="Times New Roman" w:hAnsi="Times New Roman" w:cs="Times New Roman"/>
          <w:b/>
        </w:rPr>
        <w:t>表5.1</w:t>
      </w:r>
      <w:r>
        <w:rPr>
          <w:rFonts w:hint="eastAsia" w:ascii="Times New Roman" w:hAnsi="Times New Roman" w:cs="Times New Roman"/>
          <w:b/>
        </w:rPr>
        <w:t xml:space="preserve">-3 </w:t>
      </w:r>
      <w:r>
        <w:rPr>
          <w:rFonts w:ascii="Times New Roman" w:hAnsi="Times New Roman" w:cs="Times New Roman"/>
          <w:b/>
        </w:rPr>
        <w:t xml:space="preserve"> 施工机械噪声源强表</w:t>
      </w:r>
    </w:p>
    <w:tbl>
      <w:tblPr>
        <w:tblStyle w:val="90"/>
        <w:tblW w:w="4811" w:type="pct"/>
        <w:tblInd w:w="24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790"/>
        <w:gridCol w:w="3986"/>
        <w:gridCol w:w="2908"/>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1030"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序号</w:t>
            </w:r>
          </w:p>
        </w:tc>
        <w:tc>
          <w:tcPr>
            <w:tcW w:w="2294"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名称</w:t>
            </w:r>
          </w:p>
        </w:tc>
        <w:tc>
          <w:tcPr>
            <w:tcW w:w="1674"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源强/dB（A）</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1030"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1</w:t>
            </w:r>
          </w:p>
        </w:tc>
        <w:tc>
          <w:tcPr>
            <w:tcW w:w="2294"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装载机</w:t>
            </w:r>
          </w:p>
        </w:tc>
        <w:tc>
          <w:tcPr>
            <w:tcW w:w="1674" w:type="pct"/>
            <w:vAlign w:val="center"/>
          </w:tcPr>
          <w:p>
            <w:pPr>
              <w:pStyle w:val="147"/>
              <w:rPr>
                <w:rFonts w:cs="Times New Roman"/>
              </w:rPr>
            </w:pPr>
            <w:r>
              <w:rPr>
                <w:rFonts w:cs="Times New Roman"/>
              </w:rPr>
              <w:t>80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1030"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2</w:t>
            </w:r>
          </w:p>
        </w:tc>
        <w:tc>
          <w:tcPr>
            <w:tcW w:w="2294"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挖掘机</w:t>
            </w:r>
          </w:p>
        </w:tc>
        <w:tc>
          <w:tcPr>
            <w:tcW w:w="1674" w:type="pct"/>
            <w:vAlign w:val="center"/>
          </w:tcPr>
          <w:p>
            <w:pPr>
              <w:pStyle w:val="147"/>
              <w:rPr>
                <w:rFonts w:cs="Times New Roman"/>
              </w:rPr>
            </w:pPr>
            <w:r>
              <w:rPr>
                <w:rFonts w:cs="Times New Roman"/>
              </w:rPr>
              <w:t>85</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1030"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3</w:t>
            </w:r>
          </w:p>
        </w:tc>
        <w:tc>
          <w:tcPr>
            <w:tcW w:w="2294"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推土机</w:t>
            </w:r>
          </w:p>
        </w:tc>
        <w:tc>
          <w:tcPr>
            <w:tcW w:w="1674" w:type="pct"/>
            <w:vAlign w:val="center"/>
          </w:tcPr>
          <w:p>
            <w:pPr>
              <w:pStyle w:val="147"/>
              <w:rPr>
                <w:rFonts w:cs="Times New Roman"/>
              </w:rPr>
            </w:pPr>
            <w:r>
              <w:rPr>
                <w:rFonts w:cs="Times New Roman"/>
              </w:rPr>
              <w:t>85</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1030"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4</w:t>
            </w:r>
          </w:p>
        </w:tc>
        <w:tc>
          <w:tcPr>
            <w:tcW w:w="2294"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钻孔机</w:t>
            </w:r>
          </w:p>
        </w:tc>
        <w:tc>
          <w:tcPr>
            <w:tcW w:w="1674" w:type="pct"/>
            <w:vAlign w:val="center"/>
          </w:tcPr>
          <w:p>
            <w:pPr>
              <w:pStyle w:val="147"/>
              <w:rPr>
                <w:rFonts w:cs="Times New Roman"/>
              </w:rPr>
            </w:pPr>
            <w:r>
              <w:rPr>
                <w:rFonts w:cs="Times New Roman"/>
              </w:rPr>
              <w:t>90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1030"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5</w:t>
            </w:r>
          </w:p>
        </w:tc>
        <w:tc>
          <w:tcPr>
            <w:tcW w:w="2294"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压路机</w:t>
            </w:r>
          </w:p>
        </w:tc>
        <w:tc>
          <w:tcPr>
            <w:tcW w:w="1674" w:type="pct"/>
            <w:vAlign w:val="center"/>
          </w:tcPr>
          <w:p>
            <w:pPr>
              <w:pStyle w:val="147"/>
              <w:rPr>
                <w:rFonts w:cs="Times New Roman"/>
              </w:rPr>
            </w:pPr>
            <w:r>
              <w:rPr>
                <w:rFonts w:cs="Times New Roman"/>
              </w:rPr>
              <w:t>85</w:t>
            </w:r>
          </w:p>
        </w:tc>
      </w:tr>
    </w:tbl>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（2）运输车辆噪声</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工程施工中各类设备、材料等需要用汽车运至工地。这些运输车辆在行驶过程中会产生交通噪声，特别是重型汽车运行中产生的噪声辐射强度较高。因各类运输车辆频繁行驶在施工工地、施工便道和既有公路上，会对周围环境产生交通噪声影响。噪声源强大约70dB（A）。</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（3）预测模式</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本次评价只考虑几何衰减，采用下列公式计算距离建设项目噪声源不同距离处的噪声值：</w:t>
      </w:r>
    </w:p>
    <w:p>
      <w:pPr>
        <w:pStyle w:val="2"/>
        <w:autoSpaceDE/>
        <w:autoSpaceDN/>
        <w:adjustRightInd w:val="0"/>
        <w:snapToGrid w:val="0"/>
        <w:spacing w:before="0" w:line="360" w:lineRule="auto"/>
        <w:ind w:left="0"/>
        <w:jc w:val="center"/>
        <w:rPr>
          <w:rFonts w:ascii="Times New Roman" w:hAnsi="Times New Roman" w:cs="Times New Roman"/>
          <w:kern w:val="2"/>
          <w:lang w:val="en-US" w:bidi="ar-SA"/>
        </w:rPr>
      </w:pPr>
      <w:bookmarkStart w:id="295" w:name="_Hlk69203756"/>
      <w:r>
        <w:rPr>
          <w:rFonts w:ascii="Times New Roman" w:hAnsi="Times New Roman" w:cs="Times New Roman"/>
          <w:kern w:val="2"/>
          <w:lang w:val="en-US" w:bidi="ar-SA"/>
        </w:rPr>
        <w:t>L</w:t>
      </w:r>
      <w:r>
        <w:rPr>
          <w:rFonts w:ascii="Times New Roman" w:hAnsi="Times New Roman" w:cs="Times New Roman"/>
          <w:kern w:val="2"/>
          <w:vertAlign w:val="subscript"/>
          <w:lang w:val="en-US" w:bidi="ar-SA"/>
        </w:rPr>
        <w:t>A</w:t>
      </w:r>
      <w:r>
        <w:rPr>
          <w:rFonts w:ascii="Times New Roman" w:hAnsi="Times New Roman" w:cs="Times New Roman"/>
          <w:kern w:val="2"/>
          <w:lang w:val="en-US" w:bidi="ar-SA"/>
        </w:rPr>
        <w:t>(r)=L</w:t>
      </w:r>
      <w:r>
        <w:rPr>
          <w:rFonts w:ascii="Times New Roman" w:hAnsi="Times New Roman" w:cs="Times New Roman"/>
          <w:kern w:val="2"/>
          <w:vertAlign w:val="subscript"/>
          <w:lang w:val="en-US" w:bidi="ar-SA"/>
        </w:rPr>
        <w:t>A</w:t>
      </w:r>
      <w:r>
        <w:rPr>
          <w:rFonts w:ascii="Times New Roman" w:hAnsi="Times New Roman" w:cs="Times New Roman"/>
          <w:kern w:val="2"/>
          <w:lang w:val="en-US" w:bidi="ar-SA"/>
        </w:rPr>
        <w:t xml:space="preserve"> (r</w:t>
      </w:r>
      <w:r>
        <w:rPr>
          <w:rFonts w:ascii="Times New Roman" w:hAnsi="Times New Roman" w:cs="Times New Roman"/>
          <w:kern w:val="2"/>
          <w:vertAlign w:val="subscript"/>
          <w:lang w:val="en-US" w:bidi="ar-SA"/>
        </w:rPr>
        <w:t>0</w:t>
      </w:r>
      <w:r>
        <w:rPr>
          <w:rFonts w:ascii="Times New Roman" w:hAnsi="Times New Roman" w:cs="Times New Roman"/>
          <w:kern w:val="2"/>
          <w:lang w:val="en-US" w:bidi="ar-SA"/>
        </w:rPr>
        <w:t>)-</w:t>
      </w:r>
      <w:r>
        <w:rPr>
          <w:rFonts w:ascii="Times New Roman" w:hAnsi="Times New Roman" w:cs="Times New Roman"/>
          <w:szCs w:val="21"/>
          <w:lang w:val="en-US" w:bidi="ar-SA"/>
        </w:rPr>
        <w:t xml:space="preserve"> 20lg(r/r</w:t>
      </w:r>
      <w:r>
        <w:rPr>
          <w:rFonts w:ascii="Times New Roman" w:hAnsi="Times New Roman" w:cs="Times New Roman"/>
          <w:szCs w:val="21"/>
          <w:vertAlign w:val="subscript"/>
          <w:lang w:val="en-US" w:bidi="ar-SA"/>
        </w:rPr>
        <w:t>0</w:t>
      </w:r>
      <w:r>
        <w:rPr>
          <w:rFonts w:ascii="Times New Roman" w:hAnsi="Times New Roman" w:cs="Times New Roman"/>
          <w:szCs w:val="21"/>
          <w:lang w:val="en-US" w:bidi="ar-SA"/>
        </w:rPr>
        <w:t>)</w:t>
      </w:r>
    </w:p>
    <w:bookmarkEnd w:id="295"/>
    <w:p>
      <w:pPr>
        <w:pStyle w:val="145"/>
        <w:ind w:firstLine="480"/>
        <w:rPr>
          <w:rFonts w:cs="Times New Roman"/>
        </w:rPr>
      </w:pPr>
      <w:r>
        <w:rPr>
          <w:rFonts w:cs="Times New Roman"/>
        </w:rPr>
        <w:t>式中：L</w:t>
      </w:r>
      <w:r>
        <w:rPr>
          <w:rFonts w:cs="Times New Roman"/>
          <w:vertAlign w:val="subscript"/>
        </w:rPr>
        <w:t>A</w:t>
      </w:r>
      <w:r>
        <w:rPr>
          <w:rFonts w:cs="Times New Roman"/>
        </w:rPr>
        <w:t>(r)——距离声源r处的A声级，dB（A）；</w:t>
      </w:r>
    </w:p>
    <w:p>
      <w:pPr>
        <w:adjustRightInd w:val="0"/>
        <w:snapToGrid w:val="0"/>
        <w:spacing w:line="360" w:lineRule="auto"/>
        <w:ind w:firstLine="1200" w:firstLineChars="500"/>
        <w:contextualSpacing/>
        <w:jc w:val="both"/>
        <w:rPr>
          <w:rFonts w:ascii="Times New Roman" w:hAnsi="Times New Roman" w:cs="Times New Roman"/>
          <w:sz w:val="24"/>
          <w:szCs w:val="21"/>
          <w:lang w:val="en-US" w:bidi="ar-SA"/>
        </w:rPr>
      </w:pPr>
      <w:r>
        <w:rPr>
          <w:rFonts w:ascii="Times New Roman" w:hAnsi="Times New Roman" w:cs="Times New Roman"/>
          <w:sz w:val="24"/>
          <w:szCs w:val="21"/>
          <w:lang w:val="en-US" w:bidi="ar-SA"/>
        </w:rPr>
        <w:t>L</w:t>
      </w:r>
      <w:r>
        <w:rPr>
          <w:rFonts w:ascii="Times New Roman" w:hAnsi="Times New Roman" w:cs="Times New Roman"/>
          <w:sz w:val="24"/>
          <w:szCs w:val="21"/>
          <w:vertAlign w:val="subscript"/>
          <w:lang w:val="en-US" w:bidi="ar-SA"/>
        </w:rPr>
        <w:t>A</w:t>
      </w:r>
      <w:r>
        <w:rPr>
          <w:rFonts w:ascii="Times New Roman" w:hAnsi="Times New Roman" w:cs="Times New Roman"/>
          <w:sz w:val="24"/>
          <w:szCs w:val="21"/>
          <w:lang w:val="en-US" w:bidi="ar-SA"/>
        </w:rPr>
        <w:t xml:space="preserve"> (r</w:t>
      </w:r>
      <w:r>
        <w:rPr>
          <w:rFonts w:ascii="Times New Roman" w:hAnsi="Times New Roman" w:cs="Times New Roman"/>
          <w:sz w:val="24"/>
          <w:szCs w:val="21"/>
          <w:vertAlign w:val="subscript"/>
          <w:lang w:val="en-US" w:bidi="ar-SA"/>
        </w:rPr>
        <w:t>0</w:t>
      </w:r>
      <w:r>
        <w:rPr>
          <w:rFonts w:ascii="Times New Roman" w:hAnsi="Times New Roman" w:cs="Times New Roman"/>
          <w:sz w:val="24"/>
          <w:szCs w:val="21"/>
          <w:lang w:val="en-US" w:bidi="ar-SA"/>
        </w:rPr>
        <w:t>)——参测点的噪声值，dB</w:t>
      </w:r>
      <w:r>
        <w:rPr>
          <w:rFonts w:ascii="Times New Roman" w:hAnsi="Times New Roman" w:cs="Times New Roman"/>
        </w:rPr>
        <w:t>（A）</w:t>
      </w:r>
      <w:r>
        <w:rPr>
          <w:rFonts w:ascii="Times New Roman" w:hAnsi="Times New Roman" w:cs="Times New Roman"/>
          <w:sz w:val="24"/>
          <w:szCs w:val="21"/>
          <w:lang w:val="en-US" w:bidi="ar-SA"/>
        </w:rPr>
        <w:t>。</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（4）预测结果</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根据预测模式，本项目施工期各机械噪声预测结果见下表。</w:t>
      </w:r>
    </w:p>
    <w:p>
      <w:pPr>
        <w:pStyle w:val="2"/>
        <w:autoSpaceDE/>
        <w:autoSpaceDN/>
        <w:adjustRightInd w:val="0"/>
        <w:snapToGrid w:val="0"/>
        <w:spacing w:before="0" w:line="360" w:lineRule="auto"/>
        <w:jc w:val="center"/>
        <w:rPr>
          <w:rFonts w:ascii="Times New Roman" w:hAnsi="Times New Roman" w:cs="Times New Roman"/>
          <w:b/>
        </w:rPr>
      </w:pPr>
      <w:r>
        <w:rPr>
          <w:rFonts w:ascii="Times New Roman" w:hAnsi="Times New Roman" w:cs="Times New Roman"/>
          <w:b/>
        </w:rPr>
        <w:t>表5.1</w:t>
      </w:r>
      <w:r>
        <w:rPr>
          <w:rFonts w:hint="eastAsia" w:ascii="Times New Roman" w:hAnsi="Times New Roman" w:cs="Times New Roman"/>
          <w:b/>
        </w:rPr>
        <w:t>-4</w:t>
      </w:r>
      <w:r>
        <w:rPr>
          <w:rFonts w:ascii="Times New Roman" w:hAnsi="Times New Roman" w:cs="Times New Roman"/>
          <w:b/>
        </w:rPr>
        <w:t xml:space="preserve"> </w:t>
      </w:r>
      <w:r>
        <w:rPr>
          <w:rFonts w:hint="eastAsia" w:ascii="Times New Roman" w:hAnsi="Times New Roman" w:cs="Times New Roman"/>
          <w:b/>
        </w:rPr>
        <w:t xml:space="preserve"> </w:t>
      </w:r>
      <w:r>
        <w:rPr>
          <w:rFonts w:ascii="Times New Roman" w:hAnsi="Times New Roman" w:cs="Times New Roman"/>
          <w:b/>
        </w:rPr>
        <w:t>施工机械噪声随距离衰减结果表</w:t>
      </w:r>
    </w:p>
    <w:tbl>
      <w:tblPr>
        <w:tblStyle w:val="89"/>
        <w:tblW w:w="4900" w:type="pct"/>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275"/>
        <w:gridCol w:w="711"/>
        <w:gridCol w:w="711"/>
        <w:gridCol w:w="743"/>
        <w:gridCol w:w="746"/>
        <w:gridCol w:w="746"/>
        <w:gridCol w:w="746"/>
        <w:gridCol w:w="746"/>
        <w:gridCol w:w="746"/>
        <w:gridCol w:w="746"/>
        <w:gridCol w:w="746"/>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0" w:type="dxa"/>
            <w:bottom w:w="0" w:type="dxa"/>
            <w:right w:w="0" w:type="dxa"/>
          </w:tblCellMar>
        </w:tblPrEx>
        <w:trPr>
          <w:trHeight w:val="340" w:hRule="atLeast"/>
          <w:jc w:val="center"/>
        </w:trPr>
        <w:tc>
          <w:tcPr>
            <w:tcW w:w="1273" w:type="dxa"/>
            <w:shd w:val="clear" w:color="auto" w:fill="auto"/>
            <w:vAlign w:val="center"/>
          </w:tcPr>
          <w:p>
            <w:pPr>
              <w:adjustRightInd w:val="0"/>
              <w:snapToGrid w:val="0"/>
              <w:jc w:val="center"/>
              <w:rPr>
                <w:rFonts w:ascii="Times New Roman" w:hAnsi="Times New Roman" w:cs="Times New Roman"/>
                <w:sz w:val="21"/>
                <w:szCs w:val="21"/>
                <w:lang w:val="en-US" w:bidi="ar-SA"/>
              </w:rPr>
            </w:pPr>
            <w:r>
              <w:rPr>
                <w:rFonts w:ascii="Times New Roman" w:hAnsi="Times New Roman" w:cs="Times New Roman"/>
                <w:sz w:val="21"/>
                <w:szCs w:val="21"/>
                <w:lang w:val="en-US" w:bidi="ar-SA"/>
              </w:rPr>
              <w:t>机械名称</w:t>
            </w:r>
          </w:p>
        </w:tc>
        <w:tc>
          <w:tcPr>
            <w:tcW w:w="710" w:type="dxa"/>
            <w:shd w:val="clear" w:color="auto" w:fill="auto"/>
            <w:vAlign w:val="center"/>
          </w:tcPr>
          <w:p>
            <w:pPr>
              <w:adjustRightInd w:val="0"/>
              <w:snapToGrid w:val="0"/>
              <w:jc w:val="center"/>
              <w:rPr>
                <w:rFonts w:ascii="Times New Roman" w:hAnsi="Times New Roman" w:cs="Times New Roman"/>
                <w:sz w:val="21"/>
                <w:szCs w:val="21"/>
                <w:lang w:val="en-US" w:bidi="ar-SA"/>
              </w:rPr>
            </w:pPr>
            <w:r>
              <w:rPr>
                <w:rFonts w:ascii="Times New Roman" w:hAnsi="Times New Roman" w:cs="Times New Roman"/>
                <w:sz w:val="21"/>
                <w:szCs w:val="21"/>
                <w:lang w:val="en-US" w:bidi="ar-SA"/>
              </w:rPr>
              <w:t>5m</w:t>
            </w:r>
          </w:p>
        </w:tc>
        <w:tc>
          <w:tcPr>
            <w:tcW w:w="710" w:type="dxa"/>
            <w:shd w:val="clear" w:color="auto" w:fill="auto"/>
            <w:vAlign w:val="center"/>
          </w:tcPr>
          <w:p>
            <w:pPr>
              <w:adjustRightInd w:val="0"/>
              <w:snapToGrid w:val="0"/>
              <w:jc w:val="center"/>
              <w:rPr>
                <w:rFonts w:ascii="Times New Roman" w:hAnsi="Times New Roman" w:cs="Times New Roman"/>
                <w:sz w:val="21"/>
                <w:szCs w:val="21"/>
                <w:lang w:val="en-US" w:bidi="ar-SA"/>
              </w:rPr>
            </w:pPr>
            <w:r>
              <w:rPr>
                <w:rFonts w:ascii="Times New Roman" w:hAnsi="Times New Roman" w:cs="Times New Roman"/>
                <w:sz w:val="21"/>
                <w:szCs w:val="21"/>
                <w:lang w:val="en-US" w:bidi="ar-SA"/>
              </w:rPr>
              <w:t>10m</w:t>
            </w:r>
          </w:p>
        </w:tc>
        <w:tc>
          <w:tcPr>
            <w:tcW w:w="742" w:type="dxa"/>
            <w:shd w:val="clear" w:color="auto" w:fill="auto"/>
            <w:vAlign w:val="center"/>
          </w:tcPr>
          <w:p>
            <w:pPr>
              <w:adjustRightInd w:val="0"/>
              <w:snapToGrid w:val="0"/>
              <w:jc w:val="center"/>
              <w:rPr>
                <w:rFonts w:ascii="Times New Roman" w:hAnsi="Times New Roman" w:cs="Times New Roman"/>
                <w:sz w:val="21"/>
                <w:szCs w:val="21"/>
                <w:lang w:val="en-US" w:bidi="ar-SA"/>
              </w:rPr>
            </w:pPr>
            <w:r>
              <w:rPr>
                <w:rFonts w:ascii="Times New Roman" w:hAnsi="Times New Roman" w:cs="Times New Roman"/>
                <w:sz w:val="21"/>
                <w:szCs w:val="21"/>
                <w:lang w:val="en-US" w:bidi="ar-SA"/>
              </w:rPr>
              <w:t>20m</w:t>
            </w:r>
          </w:p>
        </w:tc>
        <w:tc>
          <w:tcPr>
            <w:tcW w:w="744" w:type="dxa"/>
            <w:shd w:val="clear" w:color="auto" w:fill="auto"/>
            <w:vAlign w:val="center"/>
          </w:tcPr>
          <w:p>
            <w:pPr>
              <w:adjustRightInd w:val="0"/>
              <w:snapToGrid w:val="0"/>
              <w:jc w:val="center"/>
              <w:rPr>
                <w:rFonts w:ascii="Times New Roman" w:hAnsi="Times New Roman" w:cs="Times New Roman"/>
                <w:sz w:val="21"/>
                <w:szCs w:val="21"/>
                <w:lang w:val="en-US" w:bidi="ar-SA"/>
              </w:rPr>
            </w:pPr>
            <w:r>
              <w:rPr>
                <w:rFonts w:ascii="Times New Roman" w:hAnsi="Times New Roman" w:cs="Times New Roman"/>
                <w:sz w:val="21"/>
                <w:szCs w:val="21"/>
                <w:lang w:val="en-US" w:bidi="ar-SA"/>
              </w:rPr>
              <w:t>40m</w:t>
            </w:r>
          </w:p>
        </w:tc>
        <w:tc>
          <w:tcPr>
            <w:tcW w:w="744" w:type="dxa"/>
            <w:shd w:val="clear" w:color="auto" w:fill="auto"/>
            <w:vAlign w:val="center"/>
          </w:tcPr>
          <w:p>
            <w:pPr>
              <w:adjustRightInd w:val="0"/>
              <w:snapToGrid w:val="0"/>
              <w:jc w:val="center"/>
              <w:rPr>
                <w:rFonts w:ascii="Times New Roman" w:hAnsi="Times New Roman" w:cs="Times New Roman"/>
                <w:sz w:val="21"/>
                <w:szCs w:val="21"/>
                <w:lang w:val="en-US" w:bidi="ar-SA"/>
              </w:rPr>
            </w:pPr>
            <w:r>
              <w:rPr>
                <w:rFonts w:ascii="Times New Roman" w:hAnsi="Times New Roman" w:cs="Times New Roman"/>
                <w:sz w:val="21"/>
                <w:szCs w:val="21"/>
                <w:lang w:val="en-US" w:bidi="ar-SA"/>
              </w:rPr>
              <w:t>50m</w:t>
            </w:r>
          </w:p>
        </w:tc>
        <w:tc>
          <w:tcPr>
            <w:tcW w:w="744" w:type="dxa"/>
            <w:shd w:val="clear" w:color="auto" w:fill="auto"/>
            <w:vAlign w:val="center"/>
          </w:tcPr>
          <w:p>
            <w:pPr>
              <w:adjustRightInd w:val="0"/>
              <w:snapToGrid w:val="0"/>
              <w:jc w:val="center"/>
              <w:rPr>
                <w:rFonts w:ascii="Times New Roman" w:hAnsi="Times New Roman" w:cs="Times New Roman"/>
                <w:sz w:val="21"/>
                <w:szCs w:val="21"/>
                <w:lang w:val="en-US" w:bidi="ar-SA"/>
              </w:rPr>
            </w:pPr>
            <w:r>
              <w:rPr>
                <w:rFonts w:ascii="Times New Roman" w:hAnsi="Times New Roman" w:cs="Times New Roman"/>
                <w:sz w:val="21"/>
                <w:szCs w:val="21"/>
                <w:lang w:val="en-US" w:bidi="ar-SA"/>
              </w:rPr>
              <w:t>100m</w:t>
            </w:r>
          </w:p>
        </w:tc>
        <w:tc>
          <w:tcPr>
            <w:tcW w:w="744" w:type="dxa"/>
            <w:shd w:val="clear" w:color="auto" w:fill="auto"/>
            <w:vAlign w:val="center"/>
          </w:tcPr>
          <w:p>
            <w:pPr>
              <w:adjustRightInd w:val="0"/>
              <w:snapToGrid w:val="0"/>
              <w:jc w:val="center"/>
              <w:rPr>
                <w:rFonts w:ascii="Times New Roman" w:hAnsi="Times New Roman" w:cs="Times New Roman"/>
                <w:sz w:val="21"/>
                <w:szCs w:val="21"/>
                <w:lang w:val="en-US" w:bidi="ar-SA"/>
              </w:rPr>
            </w:pPr>
            <w:r>
              <w:rPr>
                <w:rFonts w:ascii="Times New Roman" w:hAnsi="Times New Roman" w:cs="Times New Roman"/>
                <w:sz w:val="21"/>
                <w:szCs w:val="21"/>
                <w:lang w:val="en-US" w:bidi="ar-SA"/>
              </w:rPr>
              <w:t>150m</w:t>
            </w:r>
          </w:p>
        </w:tc>
        <w:tc>
          <w:tcPr>
            <w:tcW w:w="744" w:type="dxa"/>
            <w:shd w:val="clear" w:color="auto" w:fill="auto"/>
            <w:vAlign w:val="center"/>
          </w:tcPr>
          <w:p>
            <w:pPr>
              <w:adjustRightInd w:val="0"/>
              <w:snapToGrid w:val="0"/>
              <w:jc w:val="center"/>
              <w:rPr>
                <w:rFonts w:ascii="Times New Roman" w:hAnsi="Times New Roman" w:cs="Times New Roman"/>
                <w:sz w:val="21"/>
                <w:szCs w:val="21"/>
                <w:lang w:val="en-US" w:bidi="ar-SA"/>
              </w:rPr>
            </w:pPr>
            <w:r>
              <w:rPr>
                <w:rFonts w:ascii="Times New Roman" w:hAnsi="Times New Roman" w:cs="Times New Roman"/>
                <w:sz w:val="21"/>
                <w:szCs w:val="21"/>
                <w:lang w:val="en-US" w:bidi="ar-SA"/>
              </w:rPr>
              <w:t>200m</w:t>
            </w:r>
          </w:p>
        </w:tc>
        <w:tc>
          <w:tcPr>
            <w:tcW w:w="744" w:type="dxa"/>
            <w:shd w:val="clear" w:color="auto" w:fill="auto"/>
            <w:vAlign w:val="center"/>
          </w:tcPr>
          <w:p>
            <w:pPr>
              <w:adjustRightInd w:val="0"/>
              <w:snapToGrid w:val="0"/>
              <w:jc w:val="center"/>
              <w:rPr>
                <w:rFonts w:ascii="Times New Roman" w:hAnsi="Times New Roman" w:cs="Times New Roman"/>
                <w:sz w:val="21"/>
                <w:szCs w:val="21"/>
                <w:lang w:val="en-US" w:bidi="ar-SA"/>
              </w:rPr>
            </w:pPr>
            <w:r>
              <w:rPr>
                <w:rFonts w:ascii="Times New Roman" w:hAnsi="Times New Roman" w:cs="Times New Roman"/>
                <w:sz w:val="21"/>
                <w:szCs w:val="21"/>
                <w:lang w:val="en-US" w:bidi="ar-SA"/>
              </w:rPr>
              <w:t>300m</w:t>
            </w:r>
          </w:p>
        </w:tc>
        <w:tc>
          <w:tcPr>
            <w:tcW w:w="744" w:type="dxa"/>
            <w:shd w:val="clear" w:color="auto" w:fill="auto"/>
            <w:vAlign w:val="center"/>
          </w:tcPr>
          <w:p>
            <w:pPr>
              <w:adjustRightInd w:val="0"/>
              <w:snapToGrid w:val="0"/>
              <w:jc w:val="center"/>
              <w:rPr>
                <w:rFonts w:ascii="Times New Roman" w:hAnsi="Times New Roman" w:cs="Times New Roman"/>
                <w:sz w:val="21"/>
                <w:szCs w:val="21"/>
                <w:lang w:val="en-US" w:bidi="ar-SA"/>
              </w:rPr>
            </w:pPr>
            <w:r>
              <w:rPr>
                <w:rFonts w:ascii="Times New Roman" w:hAnsi="Times New Roman" w:cs="Times New Roman"/>
                <w:sz w:val="21"/>
                <w:szCs w:val="21"/>
                <w:lang w:val="en-US" w:bidi="ar-SA"/>
              </w:rPr>
              <w:t>400m</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0" w:type="dxa"/>
            <w:bottom w:w="0" w:type="dxa"/>
            <w:right w:w="0" w:type="dxa"/>
          </w:tblCellMar>
        </w:tblPrEx>
        <w:trPr>
          <w:trHeight w:val="340" w:hRule="atLeast"/>
          <w:jc w:val="center"/>
        </w:trPr>
        <w:tc>
          <w:tcPr>
            <w:tcW w:w="1273" w:type="dxa"/>
            <w:shd w:val="clear" w:color="auto" w:fill="auto"/>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装载机</w:t>
            </w:r>
          </w:p>
        </w:tc>
        <w:tc>
          <w:tcPr>
            <w:tcW w:w="710" w:type="dxa"/>
            <w:shd w:val="clear" w:color="auto" w:fill="auto"/>
            <w:vAlign w:val="center"/>
          </w:tcPr>
          <w:p>
            <w:pPr>
              <w:pStyle w:val="147"/>
              <w:adjustRightInd w:val="0"/>
              <w:snapToGrid w:val="0"/>
              <w:rPr>
                <w:rFonts w:cs="Times New Roman"/>
                <w:szCs w:val="21"/>
              </w:rPr>
            </w:pPr>
            <w:r>
              <w:rPr>
                <w:rFonts w:cs="Times New Roman"/>
                <w:szCs w:val="21"/>
              </w:rPr>
              <w:t>80</w:t>
            </w:r>
          </w:p>
        </w:tc>
        <w:tc>
          <w:tcPr>
            <w:tcW w:w="710"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74.0</w:t>
            </w:r>
          </w:p>
        </w:tc>
        <w:tc>
          <w:tcPr>
            <w:tcW w:w="742"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68.0</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61.9</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60.0</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54.0</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50.5</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48.0</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44.4</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41.9</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0" w:type="dxa"/>
            <w:bottom w:w="0" w:type="dxa"/>
            <w:right w:w="0" w:type="dxa"/>
          </w:tblCellMar>
        </w:tblPrEx>
        <w:trPr>
          <w:trHeight w:val="340" w:hRule="atLeast"/>
          <w:jc w:val="center"/>
        </w:trPr>
        <w:tc>
          <w:tcPr>
            <w:tcW w:w="1273" w:type="dxa"/>
            <w:shd w:val="clear" w:color="auto" w:fill="auto"/>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挖掘机</w:t>
            </w:r>
          </w:p>
        </w:tc>
        <w:tc>
          <w:tcPr>
            <w:tcW w:w="710" w:type="dxa"/>
            <w:shd w:val="clear" w:color="auto" w:fill="auto"/>
            <w:vAlign w:val="center"/>
          </w:tcPr>
          <w:p>
            <w:pPr>
              <w:pStyle w:val="147"/>
              <w:adjustRightInd w:val="0"/>
              <w:snapToGrid w:val="0"/>
              <w:rPr>
                <w:rFonts w:cs="Times New Roman"/>
                <w:szCs w:val="21"/>
              </w:rPr>
            </w:pPr>
            <w:r>
              <w:rPr>
                <w:rFonts w:cs="Times New Roman"/>
                <w:szCs w:val="21"/>
              </w:rPr>
              <w:t>85</w:t>
            </w:r>
          </w:p>
        </w:tc>
        <w:tc>
          <w:tcPr>
            <w:tcW w:w="710"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79.0</w:t>
            </w:r>
          </w:p>
        </w:tc>
        <w:tc>
          <w:tcPr>
            <w:tcW w:w="742"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73.0</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66.9</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65.0</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59.0</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55.5</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53.0</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49.4</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46.9</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0" w:type="dxa"/>
            <w:bottom w:w="0" w:type="dxa"/>
            <w:right w:w="0" w:type="dxa"/>
          </w:tblCellMar>
        </w:tblPrEx>
        <w:trPr>
          <w:trHeight w:val="340" w:hRule="atLeast"/>
          <w:jc w:val="center"/>
        </w:trPr>
        <w:tc>
          <w:tcPr>
            <w:tcW w:w="1273" w:type="dxa"/>
            <w:shd w:val="clear" w:color="auto" w:fill="auto"/>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推土机</w:t>
            </w:r>
          </w:p>
        </w:tc>
        <w:tc>
          <w:tcPr>
            <w:tcW w:w="710" w:type="dxa"/>
            <w:shd w:val="clear" w:color="auto" w:fill="auto"/>
            <w:vAlign w:val="center"/>
          </w:tcPr>
          <w:p>
            <w:pPr>
              <w:pStyle w:val="147"/>
              <w:adjustRightInd w:val="0"/>
              <w:snapToGrid w:val="0"/>
              <w:rPr>
                <w:rFonts w:cs="Times New Roman"/>
                <w:szCs w:val="21"/>
              </w:rPr>
            </w:pPr>
            <w:r>
              <w:rPr>
                <w:rFonts w:cs="Times New Roman"/>
                <w:szCs w:val="21"/>
              </w:rPr>
              <w:t>85</w:t>
            </w:r>
          </w:p>
        </w:tc>
        <w:tc>
          <w:tcPr>
            <w:tcW w:w="710"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79.0</w:t>
            </w:r>
          </w:p>
        </w:tc>
        <w:tc>
          <w:tcPr>
            <w:tcW w:w="742"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73.0</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66.9</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65.0</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59.0</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55.5</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53.0</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49.4</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46.9</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0" w:type="dxa"/>
            <w:bottom w:w="0" w:type="dxa"/>
            <w:right w:w="0" w:type="dxa"/>
          </w:tblCellMar>
        </w:tblPrEx>
        <w:trPr>
          <w:trHeight w:val="340" w:hRule="atLeast"/>
          <w:jc w:val="center"/>
        </w:trPr>
        <w:tc>
          <w:tcPr>
            <w:tcW w:w="1273" w:type="dxa"/>
            <w:shd w:val="clear" w:color="auto" w:fill="auto"/>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钻孔机</w:t>
            </w:r>
          </w:p>
        </w:tc>
        <w:tc>
          <w:tcPr>
            <w:tcW w:w="710" w:type="dxa"/>
            <w:shd w:val="clear" w:color="auto" w:fill="auto"/>
            <w:vAlign w:val="center"/>
          </w:tcPr>
          <w:p>
            <w:pPr>
              <w:pStyle w:val="147"/>
              <w:adjustRightInd w:val="0"/>
              <w:snapToGrid w:val="0"/>
              <w:rPr>
                <w:rFonts w:cs="Times New Roman"/>
                <w:szCs w:val="21"/>
              </w:rPr>
            </w:pPr>
            <w:r>
              <w:rPr>
                <w:rFonts w:cs="Times New Roman"/>
                <w:szCs w:val="21"/>
              </w:rPr>
              <w:t>90</w:t>
            </w:r>
          </w:p>
        </w:tc>
        <w:tc>
          <w:tcPr>
            <w:tcW w:w="710"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84.0</w:t>
            </w:r>
          </w:p>
        </w:tc>
        <w:tc>
          <w:tcPr>
            <w:tcW w:w="742"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78.0</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71.9</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70.0</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64.0</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60.5</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58.0</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54.4</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51.9</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0" w:type="dxa"/>
            <w:bottom w:w="0" w:type="dxa"/>
            <w:right w:w="0" w:type="dxa"/>
          </w:tblCellMar>
        </w:tblPrEx>
        <w:trPr>
          <w:trHeight w:val="340" w:hRule="atLeast"/>
          <w:jc w:val="center"/>
        </w:trPr>
        <w:tc>
          <w:tcPr>
            <w:tcW w:w="1273" w:type="dxa"/>
            <w:shd w:val="clear" w:color="auto" w:fill="auto"/>
            <w:vAlign w:val="center"/>
          </w:tcPr>
          <w:p>
            <w:pPr>
              <w:pStyle w:val="2"/>
              <w:autoSpaceDE/>
              <w:autoSpaceDN/>
              <w:adjustRightInd w:val="0"/>
              <w:snapToGrid w:val="0"/>
              <w:spacing w:before="0"/>
              <w:ind w:left="0"/>
              <w:jc w:val="center"/>
              <w:rPr>
                <w:rFonts w:ascii="Times New Roman" w:hAnsi="Times New Roman" w:cs="Times New Roman"/>
                <w:sz w:val="21"/>
                <w:szCs w:val="21"/>
              </w:rPr>
            </w:pPr>
            <w:r>
              <w:rPr>
                <w:rFonts w:ascii="Times New Roman" w:hAnsi="Times New Roman" w:cs="Times New Roman"/>
                <w:sz w:val="21"/>
                <w:szCs w:val="21"/>
              </w:rPr>
              <w:t>运输车辆</w:t>
            </w:r>
          </w:p>
        </w:tc>
        <w:tc>
          <w:tcPr>
            <w:tcW w:w="710" w:type="dxa"/>
            <w:shd w:val="clear" w:color="auto" w:fill="auto"/>
            <w:vAlign w:val="center"/>
          </w:tcPr>
          <w:p>
            <w:pPr>
              <w:adjustRightInd w:val="0"/>
              <w:snapToGrid w:val="0"/>
              <w:jc w:val="center"/>
              <w:rPr>
                <w:rFonts w:ascii="Times New Roman" w:hAnsi="Times New Roman" w:cs="Times New Roman"/>
                <w:sz w:val="21"/>
                <w:szCs w:val="21"/>
                <w:lang w:val="en-US" w:bidi="ar-SA"/>
              </w:rPr>
            </w:pPr>
            <w:r>
              <w:rPr>
                <w:rFonts w:ascii="Times New Roman" w:hAnsi="Times New Roman" w:cs="Times New Roman"/>
                <w:sz w:val="21"/>
                <w:szCs w:val="21"/>
                <w:lang w:val="en-US" w:bidi="ar-SA"/>
              </w:rPr>
              <w:t>70</w:t>
            </w:r>
          </w:p>
        </w:tc>
        <w:tc>
          <w:tcPr>
            <w:tcW w:w="710"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64.0</w:t>
            </w:r>
          </w:p>
        </w:tc>
        <w:tc>
          <w:tcPr>
            <w:tcW w:w="742"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58.0</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51.9</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50.0</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44.0</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40.5</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38.0</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34.4</w:t>
            </w:r>
          </w:p>
        </w:tc>
        <w:tc>
          <w:tcPr>
            <w:tcW w:w="744" w:type="dxa"/>
            <w:shd w:val="clear" w:color="auto" w:fill="auto"/>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31.9</w:t>
            </w:r>
          </w:p>
        </w:tc>
      </w:tr>
      <w:bookmarkEnd w:id="294"/>
    </w:tbl>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工程建设产生的噪声对周围区域环境有一定的影响。这种影响影响是短期的、暂时的，而且具有局部地段特性。根据《建筑施工场界噪声排放标准》 GB12523-2011，施工阶段作业噪声限值为：昼间70dB（A），夜间55dB（A）。源强为90dB（A）以上的噪声源距其50m以内的环境噪声预测值超标；若夜间施工，则400m以内的环境噪声超过55dB（A）的夜间标准值。由此可见，施工噪声对施工场地周围50m 范围内的环境影响较大，对50‐200m范围也将产生一定的影响，特别是夜间施工时影响更为严重。但是其噪声影响特点为短期性，暂时性，一旦施工活动结束，施工噪声也就随之结束。</w:t>
      </w:r>
    </w:p>
    <w:p>
      <w:pPr>
        <w:autoSpaceDE/>
        <w:autoSpaceDN/>
        <w:adjustRightInd w:val="0"/>
        <w:snapToGrid w:val="0"/>
        <w:spacing w:line="360" w:lineRule="auto"/>
        <w:jc w:val="both"/>
        <w:outlineLvl w:val="2"/>
        <w:rPr>
          <w:rFonts w:ascii="Times New Roman" w:hAnsi="Times New Roman" w:cs="Times New Roman"/>
          <w:b/>
          <w:sz w:val="28"/>
          <w:szCs w:val="24"/>
        </w:rPr>
      </w:pPr>
      <w:bookmarkStart w:id="296" w:name="_Toc69284631"/>
      <w:bookmarkStart w:id="297" w:name="_Toc82593171"/>
      <w:bookmarkStart w:id="298" w:name="_Toc66206105"/>
      <w:bookmarkStart w:id="299" w:name="_Toc20597"/>
      <w:r>
        <w:rPr>
          <w:rFonts w:ascii="Times New Roman" w:hAnsi="Times New Roman" w:cs="Times New Roman"/>
          <w:b/>
          <w:sz w:val="28"/>
          <w:szCs w:val="24"/>
        </w:rPr>
        <w:t>5.1.5固体废物影响分析</w:t>
      </w:r>
      <w:bookmarkEnd w:id="296"/>
      <w:bookmarkEnd w:id="297"/>
      <w:bookmarkEnd w:id="298"/>
      <w:bookmarkEnd w:id="299"/>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施工期的固体废物主要有</w:t>
      </w:r>
      <w:r>
        <w:rPr>
          <w:rFonts w:hint="eastAsia" w:ascii="Times New Roman" w:hAnsi="Times New Roman" w:cs="Times New Roman"/>
        </w:rPr>
        <w:t>地表开挖与场地整理产生的弃土</w:t>
      </w:r>
      <w:r>
        <w:rPr>
          <w:rFonts w:ascii="Times New Roman" w:hAnsi="Times New Roman" w:cs="Times New Roman"/>
        </w:rPr>
        <w:t>、清淤底泥、建筑垃圾、施工人员生活垃圾及废包装材料。</w:t>
      </w:r>
    </w:p>
    <w:p>
      <w:pPr>
        <w:pStyle w:val="2"/>
        <w:autoSpaceDE/>
        <w:autoSpaceDN/>
        <w:adjustRightInd w:val="0"/>
        <w:snapToGrid w:val="0"/>
        <w:spacing w:before="0" w:line="360" w:lineRule="auto"/>
        <w:ind w:left="0" w:leftChars="0" w:firstLine="0" w:firstLineChars="0"/>
        <w:jc w:val="both"/>
        <w:rPr>
          <w:rFonts w:ascii="Times New Roman" w:hAnsi="Times New Roman" w:cs="Times New Roman"/>
          <w:b/>
          <w:sz w:val="24"/>
          <w:szCs w:val="24"/>
        </w:rPr>
      </w:pPr>
      <w:r>
        <w:rPr>
          <w:rFonts w:ascii="Times New Roman" w:hAnsi="Times New Roman" w:cs="Times New Roman"/>
          <w:b/>
          <w:sz w:val="24"/>
          <w:szCs w:val="24"/>
        </w:rPr>
        <w:t>5.1.5.1清淤底泥</w:t>
      </w:r>
      <w:r>
        <w:commentReference w:id="1"/>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根据工程量分析表，清淤产生量为</w:t>
      </w:r>
      <w:r>
        <w:rPr>
          <w:rFonts w:hint="eastAsia" w:ascii="Times New Roman" w:hAnsi="Times New Roman" w:cs="Times New Roman"/>
          <w:lang w:val="en-US" w:eastAsia="zh-CN"/>
        </w:rPr>
        <w:t>6293</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，其中</w:t>
      </w:r>
      <w:r>
        <w:rPr>
          <w:rFonts w:hint="eastAsia" w:ascii="Times New Roman" w:hAnsi="Times New Roman" w:cs="Times New Roman"/>
          <w:lang w:eastAsia="zh-CN"/>
        </w:rPr>
        <w:t>河滨湿地</w:t>
      </w:r>
      <w:r>
        <w:rPr>
          <w:rFonts w:ascii="Times New Roman" w:hAnsi="Times New Roman" w:cs="Times New Roman"/>
        </w:rPr>
        <w:t>清淤量为</w:t>
      </w:r>
      <w:r>
        <w:rPr>
          <w:rFonts w:hint="eastAsia" w:ascii="Times New Roman" w:hAnsi="Times New Roman" w:cs="Times New Roman"/>
          <w:lang w:val="en-US" w:eastAsia="zh-CN"/>
        </w:rPr>
        <w:t>4625</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w:t>
      </w:r>
      <w:r>
        <w:rPr>
          <w:rFonts w:hint="eastAsia" w:ascii="Times New Roman" w:hAnsi="Times New Roman" w:cs="Times New Roman"/>
          <w:lang w:eastAsia="zh-CN"/>
        </w:rPr>
        <w:t>河口</w:t>
      </w:r>
      <w:r>
        <w:rPr>
          <w:rFonts w:ascii="Times New Roman" w:hAnsi="Times New Roman" w:cs="Times New Roman"/>
        </w:rPr>
        <w:t>湿地清淤量为</w:t>
      </w:r>
      <w:r>
        <w:rPr>
          <w:rFonts w:hint="eastAsia" w:ascii="Times New Roman" w:hAnsi="Times New Roman" w:cs="Times New Roman"/>
          <w:lang w:val="en-US" w:eastAsia="zh-CN"/>
        </w:rPr>
        <w:t>1668</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，根据</w:t>
      </w:r>
      <w:r>
        <w:rPr>
          <w:rFonts w:hint="eastAsia" w:ascii="Times New Roman" w:hAnsi="Times New Roman" w:cs="Times New Roman"/>
          <w:lang w:eastAsia="zh-CN"/>
        </w:rPr>
        <w:t>初步设计</w:t>
      </w:r>
      <w:r>
        <w:rPr>
          <w:rFonts w:ascii="Times New Roman" w:hAnsi="Times New Roman" w:cs="Times New Roman"/>
        </w:rPr>
        <w:t>，</w:t>
      </w:r>
      <w:r>
        <w:rPr>
          <w:rFonts w:hint="eastAsia" w:ascii="Times New Roman" w:hAnsi="Times New Roman" w:cs="Times New Roman"/>
          <w:lang w:eastAsia="zh-CN"/>
        </w:rPr>
        <w:t>淤泥</w:t>
      </w:r>
      <w:r>
        <w:rPr>
          <w:rFonts w:ascii="Times New Roman" w:hAnsi="Times New Roman" w:cs="Times New Roman"/>
        </w:rPr>
        <w:t>通过岸坡晾晒自然干化</w:t>
      </w:r>
      <w:r>
        <w:rPr>
          <w:rFonts w:hint="eastAsia" w:ascii="Times New Roman" w:hAnsi="Times New Roman" w:cs="Times New Roman"/>
          <w:lang w:eastAsia="zh-CN"/>
        </w:rPr>
        <w:t>后</w:t>
      </w:r>
      <w:r>
        <w:rPr>
          <w:rFonts w:ascii="Times New Roman" w:hAnsi="Times New Roman" w:cs="Times New Roman"/>
        </w:rPr>
        <w:t>用于岸坡平整。</w:t>
      </w:r>
    </w:p>
    <w:p>
      <w:pPr>
        <w:autoSpaceDE/>
        <w:autoSpaceDN/>
        <w:adjustRightInd w:val="0"/>
        <w:snapToGrid w:val="0"/>
        <w:spacing w:line="360" w:lineRule="auto"/>
        <w:jc w:val="both"/>
        <w:outlineLvl w:val="3"/>
        <w:rPr>
          <w:rFonts w:ascii="Times New Roman" w:hAnsi="Times New Roman" w:cs="Times New Roman"/>
          <w:b/>
          <w:sz w:val="24"/>
          <w:szCs w:val="24"/>
        </w:rPr>
      </w:pPr>
      <w:r>
        <w:rPr>
          <w:rFonts w:ascii="Times New Roman" w:hAnsi="Times New Roman" w:cs="Times New Roman"/>
          <w:b/>
          <w:sz w:val="24"/>
          <w:szCs w:val="24"/>
        </w:rPr>
        <w:t>5.1.5.</w:t>
      </w:r>
      <w:r>
        <w:rPr>
          <w:rFonts w:hint="eastAsia" w:ascii="Times New Roman" w:hAnsi="Times New Roman" w:cs="Times New Roman"/>
          <w:b/>
          <w:sz w:val="24"/>
          <w:szCs w:val="24"/>
          <w:lang w:val="en-US" w:eastAsia="zh-CN"/>
        </w:rPr>
        <w:t>2</w:t>
      </w:r>
      <w:r>
        <w:rPr>
          <w:rFonts w:ascii="Times New Roman" w:hAnsi="Times New Roman" w:cs="Times New Roman"/>
          <w:b/>
          <w:sz w:val="24"/>
          <w:szCs w:val="24"/>
        </w:rPr>
        <w:t>建筑垃圾</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bookmarkStart w:id="300" w:name="_Hlk66205568"/>
      <w:r>
        <w:rPr>
          <w:rFonts w:ascii="Times New Roman" w:hAnsi="Times New Roman" w:cs="Times New Roman"/>
        </w:rPr>
        <w:t>本项目在施工过程中产生的建筑垃圾包括砂石、碎砖、废木料、废金属、废钢筋等杂物。施工废料首先考虑回收利用，如钢筋、钢板、木材等下脚料可分类回收，交废品回收站处理；对不能回收的，如混凝土废料、含砖、石、砂的弃渣等送至</w:t>
      </w:r>
      <w:r>
        <w:rPr>
          <w:rFonts w:hint="eastAsia" w:ascii="Times New Roman" w:hAnsi="Times New Roman" w:cs="Times New Roman"/>
          <w:lang w:eastAsia="zh-CN"/>
        </w:rPr>
        <w:t>弃渣场</w:t>
      </w:r>
      <w:r>
        <w:rPr>
          <w:rFonts w:ascii="Times New Roman" w:hAnsi="Times New Roman" w:cs="Times New Roman"/>
        </w:rPr>
        <w:t>。</w:t>
      </w:r>
      <w:bookmarkEnd w:id="300"/>
    </w:p>
    <w:p>
      <w:pPr>
        <w:autoSpaceDE/>
        <w:autoSpaceDN/>
        <w:adjustRightInd w:val="0"/>
        <w:snapToGrid w:val="0"/>
        <w:spacing w:line="360" w:lineRule="auto"/>
        <w:jc w:val="both"/>
        <w:outlineLvl w:val="3"/>
        <w:rPr>
          <w:rFonts w:ascii="Times New Roman" w:hAnsi="Times New Roman" w:cs="Times New Roman"/>
          <w:b/>
          <w:sz w:val="24"/>
          <w:szCs w:val="24"/>
        </w:rPr>
      </w:pPr>
      <w:bookmarkStart w:id="301" w:name="_Hlk66205607"/>
      <w:r>
        <w:rPr>
          <w:rFonts w:ascii="Times New Roman" w:hAnsi="Times New Roman" w:cs="Times New Roman"/>
          <w:b/>
          <w:sz w:val="24"/>
          <w:szCs w:val="24"/>
        </w:rPr>
        <w:t>5.1.5.</w:t>
      </w:r>
      <w:r>
        <w:rPr>
          <w:rFonts w:hint="eastAsia" w:ascii="Times New Roman" w:hAnsi="Times New Roman" w:cs="Times New Roman"/>
          <w:b/>
          <w:sz w:val="24"/>
          <w:szCs w:val="24"/>
          <w:lang w:val="en-US" w:eastAsia="zh-CN"/>
        </w:rPr>
        <w:t>3</w:t>
      </w:r>
      <w:r>
        <w:rPr>
          <w:rFonts w:ascii="Times New Roman" w:hAnsi="Times New Roman" w:cs="Times New Roman"/>
          <w:b/>
          <w:sz w:val="24"/>
          <w:szCs w:val="24"/>
        </w:rPr>
        <w:t>施工人员生活垃圾及废包装材料</w:t>
      </w:r>
      <w:bookmarkEnd w:id="301"/>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本项目大部分为当地民工，只有少部分管理人员租赁靠近项目场地的临时住房，排放的生活垃圾很少，按施工人员生活垃圾 1.0kg/人·d 计算，施工高峰期人数约</w:t>
      </w:r>
      <w:r>
        <w:rPr>
          <w:rFonts w:hint="eastAsia" w:ascii="Times New Roman" w:hAnsi="Times New Roman" w:cs="Times New Roman"/>
        </w:rPr>
        <w:t>50</w:t>
      </w:r>
      <w:r>
        <w:rPr>
          <w:rFonts w:ascii="Times New Roman" w:hAnsi="Times New Roman" w:cs="Times New Roman"/>
        </w:rPr>
        <w:t>人，则排放量约为0.</w:t>
      </w:r>
      <w:r>
        <w:rPr>
          <w:rFonts w:hint="eastAsia" w:ascii="Times New Roman" w:hAnsi="Times New Roman" w:cs="Times New Roman"/>
        </w:rPr>
        <w:t>05</w:t>
      </w:r>
      <w:r>
        <w:rPr>
          <w:rFonts w:ascii="Times New Roman" w:hAnsi="Times New Roman" w:cs="Times New Roman"/>
        </w:rPr>
        <w:t>t/d，生活垃圾收集后交由当地环卫部门处置。</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废包装材料经收集后交当地环卫部门统一处理。</w:t>
      </w:r>
    </w:p>
    <w:p>
      <w:pPr>
        <w:autoSpaceDE/>
        <w:autoSpaceDN/>
        <w:adjustRightInd w:val="0"/>
        <w:snapToGrid w:val="0"/>
        <w:spacing w:line="360" w:lineRule="auto"/>
        <w:jc w:val="both"/>
        <w:outlineLvl w:val="3"/>
        <w:rPr>
          <w:rFonts w:ascii="Times New Roman" w:hAnsi="Times New Roman" w:cs="Times New Roman"/>
          <w:b/>
          <w:sz w:val="24"/>
          <w:szCs w:val="24"/>
        </w:rPr>
      </w:pPr>
      <w:r>
        <w:rPr>
          <w:rFonts w:ascii="Times New Roman" w:hAnsi="Times New Roman" w:cs="Times New Roman"/>
          <w:b/>
          <w:sz w:val="24"/>
          <w:szCs w:val="24"/>
        </w:rPr>
        <w:t>5.1.5.</w:t>
      </w:r>
      <w:r>
        <w:rPr>
          <w:rFonts w:hint="eastAsia" w:ascii="Times New Roman" w:hAnsi="Times New Roman" w:cs="Times New Roman"/>
          <w:b/>
          <w:sz w:val="24"/>
          <w:szCs w:val="24"/>
          <w:lang w:val="en-US" w:eastAsia="zh-CN"/>
        </w:rPr>
        <w:t>4</w:t>
      </w:r>
      <w:r>
        <w:rPr>
          <w:rFonts w:hint="eastAsia" w:ascii="Times New Roman" w:hAnsi="Times New Roman" w:cs="Times New Roman"/>
          <w:b/>
          <w:sz w:val="24"/>
          <w:szCs w:val="24"/>
        </w:rPr>
        <w:t>地表开挖与场地整理产生的弃土</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经土石方平衡计算后，本工程弃渣总量18.85万m</w:t>
      </w:r>
      <w:r>
        <w:rPr>
          <w:rFonts w:hint="eastAsia" w:ascii="Times New Roman" w:hAnsi="Times New Roman" w:cs="Times New Roman"/>
          <w:vertAlign w:val="superscript"/>
        </w:rPr>
        <w:t>3</w:t>
      </w:r>
      <w:r>
        <w:rPr>
          <w:rFonts w:hint="eastAsia" w:ascii="Times New Roman" w:hAnsi="Times New Roman" w:cs="Times New Roman"/>
        </w:rPr>
        <w:t>（含清淤、洲滩疏挖弃方）。本工程拟设弃渣场4处，分别位于</w:t>
      </w:r>
      <w:commentRangeStart w:id="2"/>
      <w:r>
        <w:rPr>
          <w:rFonts w:hint="eastAsia" w:ascii="Times New Roman" w:hAnsi="Times New Roman" w:cs="Times New Roman"/>
        </w:rPr>
        <w:t>坝塘镇南芬塘村、坝塘镇横田村、资福镇七星村和灰汤镇将军村</w:t>
      </w:r>
      <w:commentRangeEnd w:id="2"/>
      <w:r>
        <w:commentReference w:id="2"/>
      </w:r>
      <w:r>
        <w:rPr>
          <w:rFonts w:hint="eastAsia" w:ascii="Times New Roman" w:hAnsi="Times New Roman" w:cs="Times New Roman"/>
        </w:rPr>
        <w:t>，平均运距8.0-18km。工程所开挖的未回填利用的土石方及洲滩疏挖弃方均运至弃渣场回填。项目施工过程中产生的临时堆放土方、外运土方 等，这些固体废物的临时堆放对环境的影响主要表现在雨季防护不当造成水土流失的发生，起风时干燥土方可能会因防护不当起尘，影响大气环境。针对这些影 响，需要采取必要的防护措施，包括修筑临时堆渣场围挡、四周开挖边沟防止水土流失、覆盖篷布等防护物资，采取这些措施后，临时堆场对环境的影响较小。同时，弃渣在运输过程中应做好管理为围护措施，以防其沿途洒落影响周围环境。</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ascii="Times New Roman" w:hAnsi="Times New Roman" w:cs="Times New Roman"/>
        </w:rPr>
        <w:t>在采取上述临时防护措施，确保土石方后期全部综合利用的情况下，工程土石方对周边环境的影响较小。</w:t>
      </w:r>
    </w:p>
    <w:p>
      <w:pPr>
        <w:autoSpaceDE/>
        <w:autoSpaceDN/>
        <w:adjustRightInd w:val="0"/>
        <w:snapToGrid w:val="0"/>
        <w:spacing w:line="360" w:lineRule="auto"/>
        <w:jc w:val="both"/>
        <w:outlineLvl w:val="2"/>
        <w:rPr>
          <w:rFonts w:ascii="Times New Roman" w:hAnsi="Times New Roman" w:cs="Times New Roman"/>
          <w:b/>
          <w:sz w:val="28"/>
          <w:szCs w:val="24"/>
        </w:rPr>
      </w:pPr>
      <w:bookmarkStart w:id="302" w:name="_Toc66206106"/>
      <w:bookmarkStart w:id="303" w:name="_Toc82593172"/>
      <w:bookmarkStart w:id="304" w:name="_Toc10091"/>
      <w:bookmarkStart w:id="305" w:name="_Toc69284632"/>
      <w:r>
        <w:rPr>
          <w:rFonts w:ascii="Times New Roman" w:hAnsi="Times New Roman" w:cs="Times New Roman"/>
          <w:b/>
          <w:sz w:val="28"/>
          <w:szCs w:val="24"/>
        </w:rPr>
        <w:t>5.1.6生态环境影响分析</w:t>
      </w:r>
      <w:bookmarkEnd w:id="302"/>
      <w:bookmarkEnd w:id="303"/>
      <w:bookmarkEnd w:id="304"/>
      <w:bookmarkEnd w:id="305"/>
    </w:p>
    <w:p>
      <w:pPr>
        <w:autoSpaceDE/>
        <w:autoSpaceDN/>
        <w:adjustRightInd w:val="0"/>
        <w:snapToGrid w:val="0"/>
        <w:spacing w:line="360" w:lineRule="auto"/>
        <w:jc w:val="both"/>
        <w:outlineLvl w:val="3"/>
        <w:rPr>
          <w:rFonts w:ascii="Times New Roman" w:hAnsi="Times New Roman" w:cs="Times New Roman"/>
          <w:b/>
          <w:color w:val="000000" w:themeColor="text1"/>
          <w:sz w:val="24"/>
          <w:szCs w:val="24"/>
          <w:u w:val="none"/>
          <w14:textFill>
            <w14:solidFill>
              <w14:schemeClr w14:val="tx1"/>
            </w14:solidFill>
          </w14:textFill>
        </w:rPr>
      </w:pPr>
      <w:r>
        <w:rPr>
          <w:rFonts w:ascii="Times New Roman" w:hAnsi="Times New Roman" w:cs="Times New Roman"/>
          <w:b/>
          <w:color w:val="000000" w:themeColor="text1"/>
          <w:sz w:val="24"/>
          <w:szCs w:val="24"/>
          <w:u w:val="none"/>
          <w14:textFill>
            <w14:solidFill>
              <w14:schemeClr w14:val="tx1"/>
            </w14:solidFill>
          </w14:textFill>
        </w:rPr>
        <w:t>5.1.6.1对生态</w:t>
      </w:r>
      <w:r>
        <w:rPr>
          <w:rFonts w:hint="eastAsia" w:ascii="Times New Roman" w:hAnsi="Times New Roman" w:cs="Times New Roman"/>
          <w:b/>
          <w:color w:val="000000" w:themeColor="text1"/>
          <w:sz w:val="24"/>
          <w:szCs w:val="24"/>
          <w:u w:val="none"/>
          <w14:textFill>
            <w14:solidFill>
              <w14:schemeClr w14:val="tx1"/>
            </w14:solidFill>
          </w14:textFill>
        </w:rPr>
        <w:t>环境</w:t>
      </w:r>
      <w:r>
        <w:rPr>
          <w:rFonts w:ascii="Times New Roman" w:hAnsi="Times New Roman" w:cs="Times New Roman"/>
          <w:b/>
          <w:color w:val="000000" w:themeColor="text1"/>
          <w:sz w:val="24"/>
          <w:szCs w:val="24"/>
          <w:u w:val="none"/>
          <w14:textFill>
            <w14:solidFill>
              <w14:schemeClr w14:val="tx1"/>
            </w14:solidFill>
          </w14:textFill>
        </w:rPr>
        <w:t>的影响</w:t>
      </w:r>
    </w:p>
    <w:p>
      <w:pPr>
        <w:pStyle w:val="2"/>
        <w:autoSpaceDE/>
        <w:autoSpaceDN/>
        <w:adjustRightInd w:val="0"/>
        <w:snapToGrid w:val="0"/>
        <w:spacing w:before="0" w:line="360" w:lineRule="auto"/>
        <w:ind w:left="0" w:firstLine="482" w:firstLineChars="200"/>
        <w:jc w:val="both"/>
        <w:outlineLvl w:val="4"/>
        <w:rPr>
          <w:rFonts w:ascii="Times New Roman" w:hAnsi="Times New Roman" w:cs="Times New Roman"/>
          <w:b/>
          <w:color w:val="000000" w:themeColor="text1"/>
          <w:u w:val="none"/>
          <w14:textFill>
            <w14:solidFill>
              <w14:schemeClr w14:val="tx1"/>
            </w14:solidFill>
          </w14:textFill>
        </w:rPr>
      </w:pPr>
      <w:r>
        <w:rPr>
          <w:rFonts w:ascii="Times New Roman" w:hAnsi="Times New Roman" w:cs="Times New Roman"/>
          <w:b/>
          <w:color w:val="000000" w:themeColor="text1"/>
          <w:u w:val="none"/>
          <w14:textFill>
            <w14:solidFill>
              <w14:schemeClr w14:val="tx1"/>
            </w14:solidFill>
          </w14:textFill>
        </w:rPr>
        <w:t xml:space="preserve">5.1.6.1.1土地利用影响分析 </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本工程</w:t>
      </w:r>
      <w:r>
        <w:rPr>
          <w:rFonts w:hint="eastAsia" w:ascii="Times New Roman" w:hAnsi="Times New Roman" w:cs="Times New Roman"/>
          <w:color w:val="000000" w:themeColor="text1"/>
          <w:u w:val="none"/>
          <w:lang w:eastAsia="zh-CN"/>
          <w14:textFill>
            <w14:solidFill>
              <w14:schemeClr w14:val="tx1"/>
            </w14:solidFill>
          </w14:textFill>
        </w:rPr>
        <w:t>护坡工程</w:t>
      </w:r>
      <w:r>
        <w:rPr>
          <w:rFonts w:ascii="Times New Roman" w:hAnsi="Times New Roman" w:cs="Times New Roman"/>
          <w:color w:val="000000" w:themeColor="text1"/>
          <w:u w:val="none"/>
          <w14:textFill>
            <w14:solidFill>
              <w14:schemeClr w14:val="tx1"/>
            </w14:solidFill>
          </w14:textFill>
        </w:rPr>
        <w:t>、</w:t>
      </w:r>
      <w:r>
        <w:rPr>
          <w:rFonts w:hint="eastAsia" w:ascii="Times New Roman" w:hAnsi="Times New Roman" w:cs="Times New Roman"/>
          <w:color w:val="000000" w:themeColor="text1"/>
          <w:u w:val="none"/>
          <w:lang w:eastAsia="zh-CN"/>
          <w14:textFill>
            <w14:solidFill>
              <w14:schemeClr w14:val="tx1"/>
            </w14:solidFill>
          </w14:textFill>
        </w:rPr>
        <w:t>清淤清障等工程带</w:t>
      </w:r>
      <w:r>
        <w:rPr>
          <w:rFonts w:ascii="Times New Roman" w:hAnsi="Times New Roman" w:cs="Times New Roman"/>
          <w:color w:val="000000" w:themeColor="text1"/>
          <w:u w:val="none"/>
          <w14:textFill>
            <w14:solidFill>
              <w14:schemeClr w14:val="tx1"/>
            </w14:solidFill>
          </w14:textFill>
        </w:rPr>
        <w:t>均占用的河流、</w:t>
      </w:r>
      <w:r>
        <w:rPr>
          <w:rFonts w:hint="eastAsia" w:ascii="Times New Roman" w:hAnsi="Times New Roman" w:cs="Times New Roman"/>
          <w:color w:val="000000" w:themeColor="text1"/>
          <w:u w:val="none"/>
          <w:lang w:eastAsia="zh-CN"/>
          <w14:textFill>
            <w14:solidFill>
              <w14:schemeClr w14:val="tx1"/>
            </w14:solidFill>
          </w14:textFill>
        </w:rPr>
        <w:t>河流</w:t>
      </w:r>
      <w:r>
        <w:rPr>
          <w:rFonts w:ascii="Times New Roman" w:hAnsi="Times New Roman" w:cs="Times New Roman"/>
          <w:color w:val="000000" w:themeColor="text1"/>
          <w:u w:val="none"/>
          <w14:textFill>
            <w14:solidFill>
              <w14:schemeClr w14:val="tx1"/>
            </w14:solidFill>
          </w14:textFill>
        </w:rPr>
        <w:t>的岸坡及滩涂地，不新增其他占地，施工建设完成后，</w:t>
      </w:r>
      <w:r>
        <w:rPr>
          <w:rFonts w:hint="eastAsia" w:ascii="Times New Roman" w:hAnsi="Times New Roman" w:cs="Times New Roman"/>
          <w:color w:val="000000" w:themeColor="text1"/>
          <w:u w:val="none"/>
          <w:lang w:eastAsia="zh-CN"/>
          <w14:textFill>
            <w14:solidFill>
              <w14:schemeClr w14:val="tx1"/>
            </w14:solidFill>
          </w14:textFill>
        </w:rPr>
        <w:t>不改变土地原有利用性质</w:t>
      </w:r>
      <w:r>
        <w:rPr>
          <w:rFonts w:ascii="Times New Roman" w:hAnsi="Times New Roman" w:cs="Times New Roman"/>
          <w:color w:val="000000" w:themeColor="text1"/>
          <w:u w:val="none"/>
          <w14:textFill>
            <w14:solidFill>
              <w14:schemeClr w14:val="tx1"/>
            </w14:solidFill>
          </w14:textFill>
        </w:rPr>
        <w:t>，因此工程对土地利用的影响很小。</w:t>
      </w:r>
    </w:p>
    <w:p>
      <w:pPr>
        <w:pStyle w:val="2"/>
        <w:autoSpaceDE/>
        <w:autoSpaceDN/>
        <w:adjustRightInd w:val="0"/>
        <w:snapToGrid w:val="0"/>
        <w:spacing w:before="0" w:line="360" w:lineRule="auto"/>
        <w:ind w:left="0" w:firstLine="482" w:firstLineChars="200"/>
        <w:jc w:val="both"/>
        <w:outlineLvl w:val="4"/>
        <w:rPr>
          <w:rFonts w:ascii="Times New Roman" w:hAnsi="Times New Roman" w:cs="Times New Roman"/>
          <w:b/>
          <w:color w:val="000000" w:themeColor="text1"/>
          <w:u w:val="none"/>
          <w14:textFill>
            <w14:solidFill>
              <w14:schemeClr w14:val="tx1"/>
            </w14:solidFill>
          </w14:textFill>
        </w:rPr>
      </w:pPr>
      <w:r>
        <w:rPr>
          <w:rFonts w:ascii="Times New Roman" w:hAnsi="Times New Roman" w:cs="Times New Roman"/>
          <w:b/>
          <w:color w:val="000000" w:themeColor="text1"/>
          <w:u w:val="none"/>
          <w14:textFill>
            <w14:solidFill>
              <w14:schemeClr w14:val="tx1"/>
            </w14:solidFill>
          </w14:textFill>
        </w:rPr>
        <w:t>5.1.6.1.2</w:t>
      </w:r>
      <w:r>
        <w:rPr>
          <w:rFonts w:ascii="Times New Roman" w:hAnsi="Times New Roman" w:cs="Times New Roman"/>
          <w:b/>
          <w:color w:val="000000" w:themeColor="text1"/>
          <w:sz w:val="24"/>
          <w:szCs w:val="24"/>
          <w:u w:val="none"/>
          <w14:textFill>
            <w14:solidFill>
              <w14:schemeClr w14:val="tx1"/>
            </w14:solidFill>
          </w14:textFill>
        </w:rPr>
        <w:t>对陆生生态的影响</w:t>
      </w:r>
    </w:p>
    <w:p>
      <w:pPr>
        <w:pStyle w:val="2"/>
        <w:autoSpaceDE/>
        <w:autoSpaceDN/>
        <w:adjustRightInd w:val="0"/>
        <w:snapToGrid w:val="0"/>
        <w:spacing w:before="0" w:line="360" w:lineRule="auto"/>
        <w:ind w:left="0" w:firstLine="482" w:firstLineChars="200"/>
        <w:jc w:val="both"/>
        <w:rPr>
          <w:rFonts w:ascii="Times New Roman" w:hAnsi="Times New Roman" w:cs="Times New Roman"/>
          <w:b/>
          <w:bCs w:val="0"/>
          <w:color w:val="000000" w:themeColor="text1"/>
          <w:u w:val="none"/>
          <w14:textFill>
            <w14:solidFill>
              <w14:schemeClr w14:val="tx1"/>
            </w14:solidFill>
          </w14:textFill>
        </w:rPr>
      </w:pPr>
      <w:r>
        <w:rPr>
          <w:rFonts w:hint="eastAsia" w:ascii="Times New Roman" w:hAnsi="Times New Roman" w:cs="Times New Roman"/>
          <w:b/>
          <w:bCs w:val="0"/>
          <w:color w:val="000000" w:themeColor="text1"/>
          <w:u w:val="none"/>
          <w:lang w:val="en-US" w:eastAsia="zh-CN"/>
          <w14:textFill>
            <w14:solidFill>
              <w14:schemeClr w14:val="tx1"/>
            </w14:solidFill>
          </w14:textFill>
        </w:rPr>
        <w:t>1、</w:t>
      </w:r>
      <w:r>
        <w:rPr>
          <w:rFonts w:ascii="Times New Roman" w:hAnsi="Times New Roman" w:cs="Times New Roman"/>
          <w:b/>
          <w:bCs w:val="0"/>
          <w:color w:val="000000" w:themeColor="text1"/>
          <w:u w:val="none"/>
          <w14:textFill>
            <w14:solidFill>
              <w14:schemeClr w14:val="tx1"/>
            </w14:solidFill>
          </w14:textFill>
        </w:rPr>
        <w:t>对植被影响分析</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（1）对植物区系影响</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根据现场调查发现，在工程周边植被多以湿地植被为主，乔灌层有常绿阔叶落叶林、针阔混交林、灌丛、农业植被、湿地植被等，乔木树种主要为杉木、马尾松、毛竹等，农业植被主要为水稻等。从物种种类来看，这些物种均为常见物种，在工程影响区内广泛分布，因此工程对植物区系组成无明显的影响。</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（2）对植被群系组成和生物量影响</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工程对植被的影响主要集中</w:t>
      </w:r>
      <w:r>
        <w:rPr>
          <w:rFonts w:hint="eastAsia" w:ascii="Times New Roman" w:hAnsi="Times New Roman" w:cs="Times New Roman"/>
          <w:color w:val="000000" w:themeColor="text1"/>
          <w:u w:val="none"/>
          <w:lang w:eastAsia="zh-CN"/>
          <w14:textFill>
            <w14:solidFill>
              <w14:schemeClr w14:val="tx1"/>
            </w14:solidFill>
          </w14:textFill>
        </w:rPr>
        <w:t>护坡</w:t>
      </w:r>
      <w:r>
        <w:rPr>
          <w:rFonts w:ascii="Times New Roman" w:hAnsi="Times New Roman" w:cs="Times New Roman"/>
          <w:color w:val="000000" w:themeColor="text1"/>
          <w:u w:val="none"/>
          <w14:textFill>
            <w14:solidFill>
              <w14:schemeClr w14:val="tx1"/>
            </w14:solidFill>
          </w14:textFill>
        </w:rPr>
        <w:t>工程。建设</w:t>
      </w:r>
      <w:r>
        <w:rPr>
          <w:rFonts w:hint="eastAsia" w:ascii="Times New Roman" w:hAnsi="Times New Roman" w:cs="Times New Roman"/>
          <w:color w:val="000000" w:themeColor="text1"/>
          <w:u w:val="none"/>
          <w:lang w:eastAsia="zh-CN"/>
          <w14:textFill>
            <w14:solidFill>
              <w14:schemeClr w14:val="tx1"/>
            </w14:solidFill>
          </w14:textFill>
        </w:rPr>
        <w:t>时</w:t>
      </w:r>
      <w:r>
        <w:rPr>
          <w:rFonts w:ascii="Times New Roman" w:hAnsi="Times New Roman" w:cs="Times New Roman"/>
          <w:color w:val="000000" w:themeColor="text1"/>
          <w:u w:val="none"/>
          <w14:textFill>
            <w14:solidFill>
              <w14:schemeClr w14:val="tx1"/>
            </w14:solidFill>
          </w14:textFill>
        </w:rPr>
        <w:t>挖机对植物清理及地表开挖，将使植被生境破坏，生物个体失去生长环境，影响的程度是不可逆的。工程会对植被造成直接影响或间接影响。工程占地植被群系在评价区域内广泛分布，因此工程建设和运行将不会降低植被群系的组成。</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由于工程临时施工面积多以水域和水利设施用地为主，其他临时占地多以滩涂地为主，因此工程建设中破坏的植被不会对区域沿线生态系统物种的生物量产生明显影响。</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（3）对群落稳定性影响</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据资料及实地调查，结合设计资料，工程不会占用国家级及省级重点保护野生植物和古树名木，不存在对特殊保护植物的影响。虽然本工程建设将会导致一定数量的</w:t>
      </w:r>
      <w:r>
        <w:rPr>
          <w:rFonts w:hint="eastAsia" w:ascii="Times New Roman" w:hAnsi="Times New Roman" w:cs="Times New Roman"/>
          <w:color w:val="000000" w:themeColor="text1"/>
          <w:u w:val="none"/>
          <w:lang w:eastAsia="zh-CN"/>
          <w14:textFill>
            <w14:solidFill>
              <w14:schemeClr w14:val="tx1"/>
            </w14:solidFill>
          </w14:textFill>
        </w:rPr>
        <w:t>灌木</w:t>
      </w:r>
      <w:r>
        <w:rPr>
          <w:rFonts w:ascii="Times New Roman" w:hAnsi="Times New Roman" w:cs="Times New Roman"/>
          <w:color w:val="000000" w:themeColor="text1"/>
          <w:u w:val="none"/>
          <w14:textFill>
            <w14:solidFill>
              <w14:schemeClr w14:val="tx1"/>
            </w14:solidFill>
          </w14:textFill>
        </w:rPr>
        <w:t>砍伐，促使局部群落结构发生改变，为喜光植物的生长创造了有利条件，在一定程度上会促进植物更新。由于工程砍伐面积小，砍伐点位分散，因而不会促使森林群落的演替顺序、演替阶段发生改变，也不会影响到群落稳定性。</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（4）对植物生长的影响</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施工机械噪声通过改变动物的行为，如昆虫传播花粉等行为而间接影响植物的生长和繁殖。施工中因处理不当而产生的扬尘在叶面上形成叶面滞尘，粉尘的遮蔽阻塞改变植物的光谱特征，降低光合效率和蒸腾速率，抑制正常生理代谢反应，对植物生长造成不良影响，甚至引发病理危害。</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（5）潜在外来物种入侵影响</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工程建设期，施工人员及各种运输设施进入</w:t>
      </w:r>
      <w:r>
        <w:rPr>
          <w:rFonts w:hint="eastAsia" w:ascii="Times New Roman" w:hAnsi="Times New Roman" w:cs="Times New Roman"/>
          <w:color w:val="000000" w:themeColor="text1"/>
          <w:u w:val="none"/>
          <w:lang w:eastAsia="zh-CN"/>
          <w14:textFill>
            <w14:solidFill>
              <w14:schemeClr w14:val="tx1"/>
            </w14:solidFill>
          </w14:textFill>
        </w:rPr>
        <w:t>施工区域</w:t>
      </w:r>
      <w:r>
        <w:rPr>
          <w:rFonts w:ascii="Times New Roman" w:hAnsi="Times New Roman" w:cs="Times New Roman"/>
          <w:color w:val="000000" w:themeColor="text1"/>
          <w:u w:val="none"/>
          <w14:textFill>
            <w14:solidFill>
              <w14:schemeClr w14:val="tx1"/>
            </w14:solidFill>
          </w14:textFill>
        </w:rPr>
        <w:t>，有可能将外来物种带入。带有入侵性的外来物种具有适应、繁殖、传播能力强等特点，容易对本地植被群落造成影响。本工程周围均有人口居住区，长期以来对人为干扰具有了一定的适应，因此小范围的低强度扰动不会为外来种提供有利生境，潜在外来物种带入对本底植被群落影响较小。</w:t>
      </w:r>
    </w:p>
    <w:p>
      <w:pPr>
        <w:pStyle w:val="2"/>
        <w:autoSpaceDE/>
        <w:autoSpaceDN/>
        <w:adjustRightInd w:val="0"/>
        <w:snapToGrid w:val="0"/>
        <w:spacing w:before="0" w:line="360" w:lineRule="auto"/>
        <w:ind w:left="0" w:firstLine="482" w:firstLineChars="200"/>
        <w:jc w:val="both"/>
        <w:outlineLvl w:val="4"/>
        <w:rPr>
          <w:rFonts w:ascii="Times New Roman" w:hAnsi="Times New Roman" w:cs="Times New Roman"/>
          <w:b/>
          <w:color w:val="000000" w:themeColor="text1"/>
          <w:u w:val="none"/>
          <w14:textFill>
            <w14:solidFill>
              <w14:schemeClr w14:val="tx1"/>
            </w14:solidFill>
          </w14:textFill>
        </w:rPr>
      </w:pPr>
      <w:r>
        <w:rPr>
          <w:rFonts w:hint="eastAsia" w:ascii="Times New Roman" w:hAnsi="Times New Roman" w:cs="Times New Roman"/>
          <w:b/>
          <w:color w:val="000000" w:themeColor="text1"/>
          <w:u w:val="none"/>
          <w:lang w:val="en-US" w:eastAsia="zh-CN"/>
          <w14:textFill>
            <w14:solidFill>
              <w14:schemeClr w14:val="tx1"/>
            </w14:solidFill>
          </w14:textFill>
        </w:rPr>
        <w:t>2、</w:t>
      </w:r>
      <w:r>
        <w:rPr>
          <w:rFonts w:ascii="Times New Roman" w:hAnsi="Times New Roman" w:cs="Times New Roman"/>
          <w:b/>
          <w:color w:val="000000" w:themeColor="text1"/>
          <w:u w:val="none"/>
          <w14:textFill>
            <w14:solidFill>
              <w14:schemeClr w14:val="tx1"/>
            </w14:solidFill>
          </w14:textFill>
        </w:rPr>
        <w:t>对野生动物资源的影响分析</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（1）对两栖、爬行动物的影响</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蛙类等物种主要栖息在阴暗潮湿的林间草丛、农田、河沟、村舍附近，以昆虫为食，泽陆蛙主要栖息在淹没区的稻田、草间等地，以昆虫为食。蜥蜴类、蛇类等主要栖息在落叶阔叶林、针阔混交林、阴暗潮湿的林间灌丛和农田等处，以昆虫、蛙类、鸟和鼠为食。</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施工期间，施工废污水和水土流失会改变附近水体的浑浊度及其它理化性质，使得这些两栖类、爬行类动物的生活环境遭到破坏，甚至消失，但它们会迁移到非施工区，对其生存不会造成长期的不利影响。</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 xml:space="preserve">工程建设对两栖类动物多样性影响不大，但对两栖类动物分布的均匀性将产生一定的影响。由于工程施工人为干扰及施工噪音等原因，使项目建设区内及附近的两栖类动物迅速产生规避行为，两栖类动物出现的频率将大幅度降低，并迫使项目建设区及附近的两栖动物向外转移和集中，两栖动物生境范围缩小，但影响很小。 </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 xml:space="preserve">工程建设对爬行类动物多样性影响不大，但对爬行类动物分布的均匀性将产生一定的影响。由于工程施工人为干扰及施工噪音等原因，使项目建设区内及附近的爬行类动物迅速产生规避行为，爬行类动物出现的频率将大幅度降低，并迫使爬行类动物向外转移和集中，爬行类动物生境范围缩小，但影响很小。 </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（2）对鸟类的影响</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对鸟类的影响主要表现为施工占地对部分栖息于此的鸟类的生境的占用，以及施工噪音、扬尘、灯光等对生态环境的干扰。通过现场调查，项目建设区的优势种为白头鹎、白鹡鸰等，它们主要栖息于灌丛和森林，以杂草种子或昆虫为食，这些鸟类活动敏捷，迁移和环境适应能力强，景观异质性差别较小，工程施工使受影响的鸟类会迁徙到其它相似生境中，评价区植被丰富、地势平缓，为它们能够提供多样的、适宜的相似生境。因此，工程施工对鸟类的影响不大。</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（3）对哺乳动物的影响</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施工期间的开挖、堆积与回填，施工机械和施工人员进场，以及施工噪声均破坏了现有哺乳动物的生存环境，但项目建设区的哺乳动物种类数量不多，工程建设对哺乳动物的生境有一定的影响，但影响不是不大。</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工程建设对哺乳动物多样性影响不大，但对哺乳动物分布的均匀性将产生一定的影响。由于工程施工人为干扰及施工噪音等原因，使项目建设区内的哺乳动物迅速产生规避行为，哺乳动物在施工点出现的频率将大幅度降低，并迫使线路附近的哺乳动物向外转移和集中，哺乳动物生境范围缩小，但影响很小。</w:t>
      </w:r>
    </w:p>
    <w:p>
      <w:pPr>
        <w:pStyle w:val="2"/>
        <w:autoSpaceDE/>
        <w:autoSpaceDN/>
        <w:adjustRightInd w:val="0"/>
        <w:snapToGrid w:val="0"/>
        <w:spacing w:before="0" w:line="360" w:lineRule="auto"/>
        <w:ind w:left="0" w:firstLine="482" w:firstLineChars="200"/>
        <w:jc w:val="both"/>
        <w:outlineLvl w:val="4"/>
        <w:rPr>
          <w:rFonts w:ascii="Times New Roman" w:hAnsi="Times New Roman" w:cs="Times New Roman"/>
          <w:b/>
          <w:color w:val="000000" w:themeColor="text1"/>
          <w:u w:val="none"/>
          <w14:textFill>
            <w14:solidFill>
              <w14:schemeClr w14:val="tx1"/>
            </w14:solidFill>
          </w14:textFill>
        </w:rPr>
      </w:pPr>
      <w:r>
        <w:rPr>
          <w:rFonts w:ascii="Times New Roman" w:hAnsi="Times New Roman" w:cs="Times New Roman"/>
          <w:b/>
          <w:color w:val="000000" w:themeColor="text1"/>
          <w:u w:val="none"/>
          <w14:textFill>
            <w14:solidFill>
              <w14:schemeClr w14:val="tx1"/>
            </w14:solidFill>
          </w14:textFill>
        </w:rPr>
        <w:t>5.1.6.1.</w:t>
      </w:r>
      <w:r>
        <w:rPr>
          <w:rFonts w:hint="eastAsia" w:ascii="Times New Roman" w:hAnsi="Times New Roman" w:cs="Times New Roman"/>
          <w:b/>
          <w:color w:val="000000" w:themeColor="text1"/>
          <w:u w:val="none"/>
          <w:lang w:val="en-US" w:eastAsia="zh-CN"/>
          <w14:textFill>
            <w14:solidFill>
              <w14:schemeClr w14:val="tx1"/>
            </w14:solidFill>
          </w14:textFill>
        </w:rPr>
        <w:t>3</w:t>
      </w:r>
      <w:r>
        <w:rPr>
          <w:rFonts w:ascii="Times New Roman" w:hAnsi="Times New Roman" w:cs="Times New Roman"/>
          <w:b/>
          <w:color w:val="000000" w:themeColor="text1"/>
          <w:sz w:val="24"/>
          <w:szCs w:val="24"/>
          <w:u w:val="none"/>
          <w14:textFill>
            <w14:solidFill>
              <w14:schemeClr w14:val="tx1"/>
            </w14:solidFill>
          </w14:textFill>
        </w:rPr>
        <w:t>对</w:t>
      </w:r>
      <w:r>
        <w:rPr>
          <w:rFonts w:hint="eastAsia" w:ascii="Times New Roman" w:hAnsi="Times New Roman" w:cs="Times New Roman"/>
          <w:b/>
          <w:color w:val="000000" w:themeColor="text1"/>
          <w:sz w:val="24"/>
          <w:szCs w:val="24"/>
          <w:u w:val="none"/>
          <w:lang w:eastAsia="zh-CN"/>
          <w14:textFill>
            <w14:solidFill>
              <w14:schemeClr w14:val="tx1"/>
            </w14:solidFill>
          </w14:textFill>
        </w:rPr>
        <w:t>水</w:t>
      </w:r>
      <w:r>
        <w:rPr>
          <w:rFonts w:ascii="Times New Roman" w:hAnsi="Times New Roman" w:cs="Times New Roman"/>
          <w:b/>
          <w:color w:val="000000" w:themeColor="text1"/>
          <w:sz w:val="24"/>
          <w:szCs w:val="24"/>
          <w:u w:val="none"/>
          <w14:textFill>
            <w14:solidFill>
              <w14:schemeClr w14:val="tx1"/>
            </w14:solidFill>
          </w14:textFill>
        </w:rPr>
        <w:t>生生态的影响</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（1）对浮游生物的影响分析</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从水生态学角度而言，施工域内的局部体悬浮物增加透明下降，其中SS浓度的增加将直降低水体溶解氧，从而对生物产负面影响。SS浓度的增加将直接削弱水体真光层厚度，降低水体透光率，影响浮游植物的光合作用，进而妨碍其细胞分裂和生长，降低单位水体的浮游植物数量，导致局部水域浮游植物生物量减少，初级生产力水平降低。浮游植物生物量的减少，还会进一步影响到其它生物的数量。因为在水域食物链中，除了初级生产者——浮游藻类外，其它营养级上的生物均是消费者，同时也为其上级生物提供饵料。因此浮游植物的减少，会使以浮游植物为饵料的浮游动物在单位水体中所拥有的生物量也相应减少，以这些浮游生物为食的一些鱼类等由于饵料的贫乏而导致渔业资源量下降，同样，以捕食鱼类为生的一些高级消费者也会由于低营养级生物数量的减少而难以觅食。水体中悬浮物质含量的增加，对整个水生生态食物链的影响是多环节的。真光层的削弱会打乱依赖光线强度变化而进行上下垂直回游运动的动物的生活规律悬浮物还会粘附在浮游生物体表，干扰其正常的生理功能，使其运动、摄食等活动受到影响：滤食性浮游动物会吞食适当粒径的悬浮颗粒，造成内部消化系统紊乱，严重时会造成死亡，从而使局部水域内浮游生物的数量减少。水体悬浮物质含量的增加，对浮游桡足类动物的存活和繁殖有明显的抑制作用。过量的悬浮物质会堵塞浮游桡足类动物的食物过滤系统和消化器官，尤其在悬浮物含量水平达到300mgL以上时，这种危害特别明显。在悬浮物质中，以粘性淤泥的危害最大，泥土及细砂泥次之。在施工区域200m范围内可能对水生生物造成不良影响，范围之外的施工作业则基本不会构成不良影响。施工引起的环境影响是局部的，且这种不良影响是暂时的，施工作业结束后，这种影响也将随之消失。</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（2）对底栖动物的影响分析</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水下施工过程中，底栖动物主要生存场所受到较大程度破坏，将导致底栖动物种类、数量下降少量活动能力强的底栖生物逃往它处，大部分底栖生物将被掩埋、覆盖，除少数能够存活外，绝大多数将死亡。</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工程结束后，石笼等形成的护脚带占用水域，在短期内会影响局部底栖动物的数量和种类，经过若干个水文年后，石笼表面将带来一定量的泥沙淤积，使部分底栖生物的生存环境得到恢复，水工设施在河道内营造出新的局部繁杂的河床地貌及生态护坡，具有类似人工鱼礁的效应，一些营附着生活的底栖性生物可在这些水下构筑物上寻找到合适的生存空间，施工构筑物上底栖生物将发展成新的群系，底栖生物生物量可得以恢复。</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（3）对食物链的影响分析</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水体中的悬浮颗粒物含量的上升，对整个食物链的影响是多方面的。大量悬浮颗粒物的存在，阻碍光在水下的透射，减弱真光层厚度，影响光合作用，进而影响浮游植物初级生产力，以浮游植物为饵料的浮游动物的生物量下降，以捕食浮游动物为生的鱼类，由于饵料缺乏，鱼类丰度下降而掠食鱼类的高级消费者，由于上一级生产者资源下降而寻觅不到食物。</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应该特别强调的是对浮游动物的影响。据研究报道，悬浮颗粒物含量增加明显影响浮游动物桡足类的存活及繁殖，其原因是过多悬浮颗粒物导致桡足类食物过滤系统和消化器官堵塞，悬浮颗粒物含量达300mgL以上时影响尤其显著，并又以粘性淤泥危害更大，泥土和细泥沙次之。鱼虾类的幼稚阶段系浮游动物的范畴，也是构成饵料的有机组成部分。仔鱼与仔虾所受到的影响类似于桡足类。水生生态系统初级生产力降低了，就会影响到整个生态系统的生产力，进而就会影响到整个渔业资源的产量。但总体而言，工程呈线性分布，影响范围小且分散，运行期工程对食物链的影响有限。</w:t>
      </w:r>
    </w:p>
    <w:p>
      <w:pPr>
        <w:pStyle w:val="2"/>
        <w:autoSpaceDE/>
        <w:autoSpaceDN/>
        <w:adjustRightInd w:val="0"/>
        <w:snapToGrid w:val="0"/>
        <w:spacing w:before="0" w:line="360" w:lineRule="auto"/>
        <w:jc w:val="both"/>
        <w:rPr>
          <w:rFonts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lang w:val="en-US" w:eastAsia="zh-CN"/>
          <w14:textFill>
            <w14:solidFill>
              <w14:schemeClr w14:val="tx1"/>
            </w14:solidFill>
          </w14:textFill>
        </w:rPr>
        <w:t>（4）</w:t>
      </w:r>
      <w:r>
        <w:rPr>
          <w:rFonts w:ascii="Times New Roman" w:hAnsi="Times New Roman" w:cs="Times New Roman"/>
          <w:color w:val="000000" w:themeColor="text1"/>
          <w:u w:val="none"/>
          <w14:textFill>
            <w14:solidFill>
              <w14:schemeClr w14:val="tx1"/>
            </w14:solidFill>
          </w14:textFill>
        </w:rPr>
        <w:t>对鱼类资源的影响</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①</w:t>
      </w:r>
      <w:r>
        <w:rPr>
          <w:rFonts w:ascii="Times New Roman" w:hAnsi="Times New Roman" w:cs="Times New Roman"/>
          <w:color w:val="000000" w:themeColor="text1"/>
          <w:u w:val="none"/>
          <w14:textFill>
            <w14:solidFill>
              <w14:schemeClr w14:val="tx1"/>
            </w14:solidFill>
          </w14:textFill>
        </w:rPr>
        <w:t>对鱼类栖息地影响</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工程建设对鱼类多样性影响不大，但对鱼类分布的均匀性将产生一定的影响。由于工程施工强度较大，剧烈的人为活动、水污染及施工噪音等原因，使施工点四周近30m范围内鱼类出现的频率将有所降低。迫使施工点四周30m范围内的鱼类向施工点外转移和集中，鱼类生境范围缩小，但由于</w:t>
      </w:r>
      <w:r>
        <w:rPr>
          <w:rFonts w:hint="eastAsia" w:ascii="Times New Roman" w:hAnsi="Times New Roman" w:cs="Times New Roman"/>
          <w:color w:val="000000" w:themeColor="text1"/>
          <w:u w:val="none"/>
          <w:lang w:eastAsia="zh-CN"/>
          <w14:textFill>
            <w14:solidFill>
              <w14:schemeClr w14:val="tx1"/>
            </w14:solidFill>
          </w14:textFill>
        </w:rPr>
        <w:t>祁水流</w:t>
      </w:r>
      <w:r>
        <w:rPr>
          <w:rFonts w:ascii="Times New Roman" w:hAnsi="Times New Roman" w:cs="Times New Roman"/>
          <w:color w:val="000000" w:themeColor="text1"/>
          <w:u w:val="none"/>
          <w14:textFill>
            <w14:solidFill>
              <w14:schemeClr w14:val="tx1"/>
            </w14:solidFill>
          </w14:textFill>
        </w:rPr>
        <w:t>域鱼类适宜生境较多，故对鱼类原有的栖息地的影响较小。</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②</w:t>
      </w:r>
      <w:r>
        <w:rPr>
          <w:rFonts w:ascii="Times New Roman" w:hAnsi="Times New Roman" w:cs="Times New Roman"/>
          <w:color w:val="000000" w:themeColor="text1"/>
          <w:u w:val="none"/>
          <w14:textFill>
            <w14:solidFill>
              <w14:schemeClr w14:val="tx1"/>
            </w14:solidFill>
          </w14:textFill>
        </w:rPr>
        <w:t>对鱼类洄游通道的影响</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项目区域不涉及鱼类洄游通道。</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③</w:t>
      </w:r>
      <w:r>
        <w:rPr>
          <w:rFonts w:ascii="Times New Roman" w:hAnsi="Times New Roman" w:cs="Times New Roman"/>
          <w:color w:val="000000" w:themeColor="text1"/>
          <w:u w:val="none"/>
          <w14:textFill>
            <w14:solidFill>
              <w14:schemeClr w14:val="tx1"/>
            </w14:solidFill>
          </w14:textFill>
        </w:rPr>
        <w:t>对鱼类“三场”的影响。</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u w:val="none"/>
          <w14:textFill>
            <w14:solidFill>
              <w14:schemeClr w14:val="tx1"/>
            </w14:solidFill>
          </w14:textFill>
        </w:rPr>
      </w:pPr>
      <w:r>
        <w:rPr>
          <w:rFonts w:ascii="Times New Roman" w:hAnsi="Times New Roman" w:cs="Times New Roman"/>
          <w:color w:val="000000" w:themeColor="text1"/>
          <w:u w:val="none"/>
          <w14:textFill>
            <w14:solidFill>
              <w14:schemeClr w14:val="tx1"/>
            </w14:solidFill>
          </w14:textFill>
        </w:rPr>
        <w:t>由于评价区内没有鱼类产卵场、索饵场和越冬场分布，施工对鱼类繁衍、生长和觅食影响很小，而由于施工过程中没有明显改变了原有鱼类的生境状况，所以对施工区鱼类“三场”影响不大。</w:t>
      </w:r>
    </w:p>
    <w:p>
      <w:pPr>
        <w:autoSpaceDE/>
        <w:autoSpaceDN/>
        <w:adjustRightInd w:val="0"/>
        <w:snapToGrid w:val="0"/>
        <w:spacing w:line="360" w:lineRule="auto"/>
        <w:jc w:val="both"/>
        <w:outlineLvl w:val="3"/>
        <w:rPr>
          <w:rFonts w:ascii="Times New Roman" w:hAnsi="Times New Roman" w:cs="Times New Roman"/>
          <w:b/>
          <w:color w:val="000000" w:themeColor="text1"/>
          <w:sz w:val="24"/>
          <w:szCs w:val="24"/>
          <w:u w:val="none"/>
          <w14:textFill>
            <w14:solidFill>
              <w14:schemeClr w14:val="tx1"/>
            </w14:solidFill>
          </w14:textFill>
        </w:rPr>
      </w:pPr>
      <w:r>
        <w:rPr>
          <w:rFonts w:ascii="Times New Roman" w:hAnsi="Times New Roman" w:cs="Times New Roman"/>
          <w:b/>
          <w:color w:val="000000" w:themeColor="text1"/>
          <w:sz w:val="24"/>
          <w:szCs w:val="24"/>
          <w:u w:val="none"/>
          <w14:textFill>
            <w14:solidFill>
              <w14:schemeClr w14:val="tx1"/>
            </w14:solidFill>
          </w14:textFill>
        </w:rPr>
        <w:t>5.1.6.</w:t>
      </w:r>
      <w:r>
        <w:rPr>
          <w:rFonts w:hint="eastAsia" w:ascii="Times New Roman" w:hAnsi="Times New Roman" w:cs="Times New Roman"/>
          <w:b/>
          <w:color w:val="000000" w:themeColor="text1"/>
          <w:sz w:val="24"/>
          <w:szCs w:val="24"/>
          <w:u w:val="none"/>
          <w:lang w:val="en-US" w:eastAsia="zh-CN"/>
          <w14:textFill>
            <w14:solidFill>
              <w14:schemeClr w14:val="tx1"/>
            </w14:solidFill>
          </w14:textFill>
        </w:rPr>
        <w:t>2</w:t>
      </w:r>
      <w:r>
        <w:rPr>
          <w:rFonts w:hint="eastAsia" w:ascii="Times New Roman" w:hAnsi="Times New Roman" w:cs="Times New Roman"/>
          <w:b/>
          <w:color w:val="000000" w:themeColor="text1"/>
          <w:sz w:val="24"/>
          <w:szCs w:val="24"/>
          <w:u w:val="none"/>
          <w14:textFill>
            <w14:solidFill>
              <w14:schemeClr w14:val="tx1"/>
            </w14:solidFill>
          </w14:textFill>
        </w:rPr>
        <w:t>水土流失影响</w:t>
      </w:r>
      <w:r>
        <w:commentReference w:id="3"/>
      </w:r>
    </w:p>
    <w:p>
      <w:pPr>
        <w:pStyle w:val="2"/>
        <w:autoSpaceDE/>
        <w:autoSpaceDN/>
        <w:adjustRightInd w:val="0"/>
        <w:snapToGrid w:val="0"/>
        <w:spacing w:before="0" w:line="360" w:lineRule="auto"/>
        <w:ind w:left="0" w:firstLine="480" w:firstLineChars="20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工程施工对区域水土流失的影响</w:t>
      </w:r>
    </w:p>
    <w:p>
      <w:pPr>
        <w:pStyle w:val="2"/>
        <w:autoSpaceDE/>
        <w:autoSpaceDN/>
        <w:adjustRightInd w:val="0"/>
        <w:snapToGrid w:val="0"/>
        <w:spacing w:before="0" w:line="360" w:lineRule="auto"/>
        <w:ind w:left="0" w:firstLine="480" w:firstLineChars="20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工程施工对区域水土流失的影响主要表现在以下两个方面：</w:t>
      </w:r>
    </w:p>
    <w:p>
      <w:pPr>
        <w:pStyle w:val="2"/>
        <w:autoSpaceDE/>
        <w:autoSpaceDN/>
        <w:adjustRightInd w:val="0"/>
        <w:snapToGrid w:val="0"/>
        <w:spacing w:before="0" w:line="360" w:lineRule="auto"/>
        <w:ind w:left="0" w:firstLine="480" w:firstLineChars="20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工程清表、土石方开挖对水土流失的影响</w:t>
      </w:r>
    </w:p>
    <w:p>
      <w:pPr>
        <w:pStyle w:val="2"/>
        <w:autoSpaceDE/>
        <w:autoSpaceDN/>
        <w:adjustRightInd w:val="0"/>
        <w:snapToGrid w:val="0"/>
        <w:spacing w:before="0" w:line="360" w:lineRule="auto"/>
        <w:ind w:left="0" w:firstLine="480" w:firstLineChars="20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工程施工时局部清表、土石方开挖、场地平整等，改变了施工区域植被分布 状况和地表性质，进而改变了雨水落地强度，增加了雨水对地表的直接冲击，而 地表则以裸露的表土直接接受雨水的冲刷、侵蚀，这必将增加区域的土壤流失量，加剧局部区域水土流失现象。</w:t>
      </w:r>
    </w:p>
    <w:p>
      <w:pPr>
        <w:pStyle w:val="2"/>
        <w:autoSpaceDE/>
        <w:autoSpaceDN/>
        <w:adjustRightInd w:val="0"/>
        <w:snapToGrid w:val="0"/>
        <w:spacing w:before="0" w:line="360" w:lineRule="auto"/>
        <w:ind w:left="0" w:firstLine="480" w:firstLineChars="20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 2）施工场地改变对水土流失的影响</w:t>
      </w:r>
    </w:p>
    <w:p>
      <w:pPr>
        <w:pStyle w:val="2"/>
        <w:autoSpaceDE/>
        <w:autoSpaceDN/>
        <w:adjustRightInd w:val="0"/>
        <w:snapToGrid w:val="0"/>
        <w:spacing w:before="0" w:line="360" w:lineRule="auto"/>
        <w:ind w:left="0" w:firstLine="480" w:firstLineChars="20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工程施工场地改变了施工区域的微地形，加大了地面坡度，使施工区域成为新的水土流失发生源，加剧局部区域水土流失现象。</w:t>
      </w:r>
    </w:p>
    <w:p>
      <w:pPr>
        <w:pStyle w:val="2"/>
        <w:autoSpaceDE/>
        <w:autoSpaceDN/>
        <w:adjustRightInd w:val="0"/>
        <w:snapToGrid w:val="0"/>
        <w:spacing w:before="0" w:line="360" w:lineRule="auto"/>
        <w:ind w:left="0" w:firstLine="480" w:firstLineChars="20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因此，建设单位和设计单位应采取相应措施以防治施工期的水土流失现象。水土流失防治措施分为工程措施和植被措施，并以工程措施为先导，植被措施为后行，合理安排施工时间，使水土流失防治措施行之有效，将施工期的水土流失现象控制在最小限度。</w:t>
      </w:r>
    </w:p>
    <w:p>
      <w:pPr>
        <w:pStyle w:val="2"/>
        <w:numPr>
          <w:ilvl w:val="0"/>
          <w:numId w:val="11"/>
        </w:numPr>
        <w:autoSpaceDE/>
        <w:autoSpaceDN/>
        <w:adjustRightInd w:val="0"/>
        <w:snapToGrid w:val="0"/>
        <w:spacing w:before="0" w:line="360" w:lineRule="auto"/>
        <w:ind w:left="0" w:leftChars="0" w:firstLine="0" w:firstLine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水土保持措施。</w:t>
      </w:r>
    </w:p>
    <w:p>
      <w:pPr>
        <w:pStyle w:val="2"/>
        <w:numPr>
          <w:ilvl w:val="0"/>
          <w:numId w:val="11"/>
        </w:numPr>
        <w:autoSpaceDE/>
        <w:autoSpaceDN/>
        <w:adjustRightInd w:val="0"/>
        <w:snapToGrid w:val="0"/>
        <w:spacing w:before="0" w:line="360" w:lineRule="auto"/>
        <w:ind w:left="0" w:leftChars="0" w:firstLine="0" w:firstLine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本评价引用本项目初步设计中水土保持章节的相关内容。</w:t>
      </w:r>
    </w:p>
    <w:p>
      <w:pPr>
        <w:pStyle w:val="2"/>
        <w:numPr>
          <w:ilvl w:val="0"/>
          <w:numId w:val="11"/>
        </w:numPr>
        <w:autoSpaceDE/>
        <w:autoSpaceDN/>
        <w:adjustRightInd w:val="0"/>
        <w:snapToGrid w:val="0"/>
        <w:spacing w:before="0" w:line="360" w:lineRule="auto"/>
        <w:ind w:left="0" w:leftChars="0" w:firstLine="0" w:firstLine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根据《湖南省人民政府关于划分水土流失重点防治区的通告》（湘政函 1999115号），</w:t>
      </w:r>
      <w:r>
        <w:rPr>
          <w:rFonts w:hint="eastAsia" w:ascii="Times New Roman" w:hAnsi="Times New Roman" w:cs="Times New Roman"/>
          <w:color w:val="000000" w:themeColor="text1"/>
          <w:u w:val="none"/>
          <w:lang w:eastAsia="zh-CN"/>
          <w14:textFill>
            <w14:solidFill>
              <w14:schemeClr w14:val="tx1"/>
            </w14:solidFill>
          </w14:textFill>
        </w:rPr>
        <w:t>祁东县</w:t>
      </w:r>
      <w:r>
        <w:rPr>
          <w:rFonts w:hint="eastAsia" w:ascii="Times New Roman" w:hAnsi="Times New Roman" w:cs="Times New Roman"/>
          <w:color w:val="000000" w:themeColor="text1"/>
          <w:u w:val="none"/>
          <w14:textFill>
            <w14:solidFill>
              <w14:schemeClr w14:val="tx1"/>
            </w14:solidFill>
          </w14:textFill>
        </w:rPr>
        <w:t>属于湘中红壤丘陵水土流失重点治理区，水土流失侵蚀形态以轻、中度水力侵蚀为主，水蚀又以面蚀为主，沟蚀次之。根据《土壤侵蚀分类分级标准》（SL190-2007）中土壤侵蚀强度分类分级标准，在全国土壤侵蚀类型区划上，</w:t>
      </w:r>
      <w:r>
        <w:rPr>
          <w:rFonts w:hint="eastAsia" w:ascii="Times New Roman" w:hAnsi="Times New Roman" w:cs="Times New Roman"/>
          <w:color w:val="000000" w:themeColor="text1"/>
          <w:u w:val="none"/>
          <w:lang w:eastAsia="zh-CN"/>
          <w14:textFill>
            <w14:solidFill>
              <w14:schemeClr w14:val="tx1"/>
            </w14:solidFill>
          </w14:textFill>
        </w:rPr>
        <w:t>祁东县</w:t>
      </w:r>
      <w:r>
        <w:rPr>
          <w:rFonts w:hint="eastAsia" w:ascii="Times New Roman" w:hAnsi="Times New Roman" w:cs="Times New Roman"/>
          <w:color w:val="000000" w:themeColor="text1"/>
          <w:u w:val="none"/>
          <w14:textFill>
            <w14:solidFill>
              <w14:schemeClr w14:val="tx1"/>
            </w14:solidFill>
          </w14:textFill>
        </w:rPr>
        <w:t>属于以水力侵蚀为主的类型区中的南方红壤丘陵区，其土壤容许流失量为500t/km2.a。</w:t>
      </w:r>
    </w:p>
    <w:p>
      <w:pPr>
        <w:pStyle w:val="2"/>
        <w:numPr>
          <w:ilvl w:val="0"/>
          <w:numId w:val="11"/>
        </w:numPr>
        <w:autoSpaceDE/>
        <w:autoSpaceDN/>
        <w:adjustRightInd w:val="0"/>
        <w:snapToGrid w:val="0"/>
        <w:spacing w:before="0" w:line="360" w:lineRule="auto"/>
        <w:ind w:left="0" w:leftChars="0" w:firstLine="0" w:firstLine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本工程水土保持措施总体布局主要由主体工程区、施工便道区、施工生产生活区、弃渣场区、取土场区等5个防治区不同的防治措施构成，本项目水土流失的防治重点在主体工程区、土料场区和弃渣场区的土方工程。</w:t>
      </w:r>
    </w:p>
    <w:p>
      <w:pPr>
        <w:pStyle w:val="2"/>
        <w:numPr>
          <w:ilvl w:val="0"/>
          <w:numId w:val="11"/>
        </w:numPr>
        <w:autoSpaceDE/>
        <w:autoSpaceDN/>
        <w:adjustRightInd w:val="0"/>
        <w:snapToGrid w:val="0"/>
        <w:spacing w:before="0" w:line="360" w:lineRule="auto"/>
        <w:ind w:left="0" w:leftChars="0" w:firstLine="0" w:firstLine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对于水土流失的防治问题，根据本工程各防治区的特点和水土流失状况，确定各防治区的防治重点和措施配置。按照预防措施和治理措施相结合、工程措施和植物措施相结合的原则，拟定本工程的水土流失防治措施体系及总体布局。水土保持措施总体布局见表6.1-8。</w:t>
      </w:r>
    </w:p>
    <w:p>
      <w:pPr>
        <w:pStyle w:val="2"/>
        <w:numPr>
          <w:ilvl w:val="0"/>
          <w:numId w:val="0"/>
        </w:numPr>
        <w:autoSpaceDE/>
        <w:autoSpaceDN/>
        <w:adjustRightInd w:val="0"/>
        <w:snapToGrid w:val="0"/>
        <w:spacing w:before="0" w:line="360" w:lineRule="auto"/>
        <w:ind w:leftChars="0"/>
        <w:jc w:val="center"/>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表6.1-8 水土保持措施体系表</w:t>
      </w:r>
    </w:p>
    <w:tbl>
      <w:tblPr>
        <w:tblStyle w:val="89"/>
        <w:tblW w:w="88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24"/>
        <w:gridCol w:w="1585"/>
        <w:gridCol w:w="1575"/>
        <w:gridCol w:w="1385"/>
        <w:gridCol w:w="1533"/>
        <w:gridCol w:w="14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2" w:hRule="atLeast"/>
          <w:jc w:val="center"/>
        </w:trPr>
        <w:tc>
          <w:tcPr>
            <w:tcW w:w="1324" w:type="dxa"/>
            <w:vMerge w:val="restart"/>
            <w:tcBorders>
              <w:top w:val="single" w:color="000000" w:sz="12" w:space="0"/>
              <w:left w:val="single" w:color="000000" w:sz="12" w:space="0"/>
              <w:bottom w:val="single" w:color="000000" w:sz="4"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spacing w:val="-2"/>
                <w:sz w:val="21"/>
                <w:szCs w:val="24"/>
              </w:rPr>
            </w:pPr>
            <w:r>
              <w:rPr>
                <w:rFonts w:hint="eastAsia"/>
                <w:spacing w:val="-2"/>
                <w:sz w:val="21"/>
                <w:szCs w:val="24"/>
              </w:rPr>
              <w:t>防治分区</w:t>
            </w:r>
          </w:p>
        </w:tc>
        <w:tc>
          <w:tcPr>
            <w:tcW w:w="1585" w:type="dxa"/>
            <w:vMerge w:val="restart"/>
            <w:tcBorders>
              <w:top w:val="single" w:color="000000" w:sz="12" w:space="0"/>
              <w:left w:val="single" w:color="000000" w:sz="4" w:space="0"/>
              <w:bottom w:val="single" w:color="000000" w:sz="4"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spacing w:val="-2"/>
                <w:sz w:val="21"/>
                <w:szCs w:val="24"/>
              </w:rPr>
            </w:pPr>
            <w:r>
              <w:rPr>
                <w:rFonts w:hint="eastAsia"/>
                <w:spacing w:val="-2"/>
                <w:sz w:val="21"/>
                <w:szCs w:val="24"/>
              </w:rPr>
              <w:t>防治对象</w:t>
            </w:r>
          </w:p>
        </w:tc>
        <w:tc>
          <w:tcPr>
            <w:tcW w:w="4493" w:type="dxa"/>
            <w:gridSpan w:val="3"/>
            <w:tcBorders>
              <w:top w:val="single" w:color="000000" w:sz="12" w:space="0"/>
              <w:left w:val="single" w:color="000000" w:sz="4" w:space="0"/>
              <w:bottom w:val="single" w:color="000000" w:sz="4"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spacing w:val="-2"/>
                <w:sz w:val="21"/>
                <w:szCs w:val="24"/>
              </w:rPr>
            </w:pPr>
            <w:r>
              <w:rPr>
                <w:rFonts w:hint="eastAsia"/>
                <w:spacing w:val="-2"/>
                <w:sz w:val="21"/>
                <w:szCs w:val="24"/>
              </w:rPr>
              <w:t>治理措施</w:t>
            </w:r>
          </w:p>
        </w:tc>
        <w:tc>
          <w:tcPr>
            <w:tcW w:w="1431" w:type="dxa"/>
            <w:vMerge w:val="restart"/>
            <w:tcBorders>
              <w:top w:val="single" w:color="000000" w:sz="12" w:space="0"/>
              <w:left w:val="single" w:color="000000" w:sz="4" w:space="0"/>
              <w:bottom w:val="single" w:color="000000" w:sz="4" w:space="0"/>
              <w:right w:val="single" w:color="000000" w:sz="12"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spacing w:val="-2"/>
                <w:sz w:val="21"/>
                <w:szCs w:val="24"/>
              </w:rPr>
            </w:pPr>
            <w:r>
              <w:rPr>
                <w:rFonts w:hint="eastAsia"/>
                <w:spacing w:val="-2"/>
                <w:sz w:val="21"/>
                <w:szCs w:val="24"/>
              </w:rPr>
              <w:t>主体工程将有或已有措施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jc w:val="center"/>
        </w:trPr>
        <w:tc>
          <w:tcPr>
            <w:tcW w:w="1324" w:type="dxa"/>
            <w:vMerge w:val="continue"/>
            <w:tcBorders>
              <w:top w:val="nil"/>
              <w:left w:val="single" w:color="000000" w:sz="12" w:space="0"/>
              <w:bottom w:val="single" w:color="000000" w:sz="4" w:space="0"/>
              <w:right w:val="single" w:color="000000" w:sz="4" w:space="0"/>
              <w:tl2br w:val="nil"/>
              <w:tr2bl w:val="nil"/>
            </w:tcBorders>
            <w:noWrap w:val="0"/>
            <w:vAlign w:val="center"/>
          </w:tcPr>
          <w:p>
            <w:pPr>
              <w:pStyle w:val="2"/>
              <w:keepNext w:val="0"/>
              <w:keepLines w:val="0"/>
              <w:pageBreakBefore w:val="0"/>
              <w:widowControl w:val="0"/>
              <w:kinsoku w:val="0"/>
              <w:wordWrap/>
              <w:overflowPunct w:val="0"/>
              <w:topLinePunct w:val="0"/>
              <w:autoSpaceDE w:val="0"/>
              <w:autoSpaceDN w:val="0"/>
              <w:bidi w:val="0"/>
              <w:adjustRightInd/>
              <w:snapToGrid/>
              <w:spacing w:before="0"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p>
        </w:tc>
        <w:tc>
          <w:tcPr>
            <w:tcW w:w="1585" w:type="dxa"/>
            <w:vMerge w:val="continue"/>
            <w:tcBorders>
              <w:top w:val="nil"/>
              <w:left w:val="single" w:color="000000" w:sz="4" w:space="0"/>
              <w:bottom w:val="single" w:color="000000" w:sz="4" w:space="0"/>
              <w:right w:val="single" w:color="000000" w:sz="4" w:space="0"/>
              <w:tl2br w:val="nil"/>
              <w:tr2bl w:val="nil"/>
            </w:tcBorders>
            <w:noWrap w:val="0"/>
            <w:vAlign w:val="center"/>
          </w:tcPr>
          <w:p>
            <w:pPr>
              <w:pStyle w:val="2"/>
              <w:keepNext w:val="0"/>
              <w:keepLines w:val="0"/>
              <w:pageBreakBefore w:val="0"/>
              <w:widowControl w:val="0"/>
              <w:kinsoku w:val="0"/>
              <w:wordWrap/>
              <w:overflowPunct w:val="0"/>
              <w:topLinePunct w:val="0"/>
              <w:autoSpaceDE w:val="0"/>
              <w:autoSpaceDN w:val="0"/>
              <w:bidi w:val="0"/>
              <w:adjustRightInd/>
              <w:snapToGrid/>
              <w:spacing w:before="0"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p>
        </w:tc>
        <w:tc>
          <w:tcPr>
            <w:tcW w:w="15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r>
              <w:rPr>
                <w:rFonts w:hint="eastAsia" w:ascii="宋体" w:hAnsi="宋体" w:eastAsia="宋体" w:cs="宋体"/>
                <w:spacing w:val="-2"/>
                <w:sz w:val="21"/>
                <w:szCs w:val="24"/>
                <w:lang w:val="zh-CN" w:eastAsia="zh-CN" w:bidi="zh-CN"/>
              </w:rPr>
              <w:t>工程措施</w:t>
            </w:r>
          </w:p>
        </w:tc>
        <w:tc>
          <w:tcPr>
            <w:tcW w:w="13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r>
              <w:rPr>
                <w:rFonts w:hint="eastAsia" w:ascii="宋体" w:hAnsi="宋体" w:eastAsia="宋体" w:cs="宋体"/>
                <w:spacing w:val="-2"/>
                <w:sz w:val="21"/>
                <w:szCs w:val="24"/>
                <w:lang w:val="zh-CN" w:eastAsia="zh-CN" w:bidi="zh-CN"/>
              </w:rPr>
              <w:t>植物措施</w:t>
            </w:r>
          </w:p>
        </w:tc>
        <w:tc>
          <w:tcPr>
            <w:tcW w:w="15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r>
              <w:rPr>
                <w:rFonts w:hint="eastAsia" w:ascii="宋体" w:hAnsi="宋体" w:eastAsia="宋体" w:cs="宋体"/>
                <w:spacing w:val="-2"/>
                <w:sz w:val="21"/>
                <w:szCs w:val="24"/>
                <w:lang w:val="zh-CN" w:eastAsia="zh-CN" w:bidi="zh-CN"/>
              </w:rPr>
              <w:t>临时措施</w:t>
            </w:r>
          </w:p>
        </w:tc>
        <w:tc>
          <w:tcPr>
            <w:tcW w:w="1431" w:type="dxa"/>
            <w:vMerge w:val="continue"/>
            <w:tcBorders>
              <w:top w:val="nil"/>
              <w:left w:val="single" w:color="000000" w:sz="4" w:space="0"/>
              <w:bottom w:val="single" w:color="000000" w:sz="4" w:space="0"/>
              <w:right w:val="single" w:color="000000" w:sz="12" w:space="0"/>
              <w:tl2br w:val="nil"/>
              <w:tr2bl w:val="nil"/>
            </w:tcBorders>
            <w:noWrap w:val="0"/>
            <w:vAlign w:val="center"/>
          </w:tcPr>
          <w:p>
            <w:pPr>
              <w:pStyle w:val="2"/>
              <w:keepNext w:val="0"/>
              <w:keepLines w:val="0"/>
              <w:pageBreakBefore w:val="0"/>
              <w:widowControl w:val="0"/>
              <w:kinsoku w:val="0"/>
              <w:wordWrap/>
              <w:overflowPunct w:val="0"/>
              <w:topLinePunct w:val="0"/>
              <w:autoSpaceDE w:val="0"/>
              <w:autoSpaceDN w:val="0"/>
              <w:bidi w:val="0"/>
              <w:adjustRightInd/>
              <w:snapToGrid/>
              <w:spacing w:before="0"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1324" w:type="dxa"/>
            <w:tcBorders>
              <w:top w:val="single" w:color="000000" w:sz="4" w:space="0"/>
              <w:left w:val="single" w:color="000000" w:sz="12" w:space="0"/>
              <w:bottom w:val="single" w:color="000000" w:sz="4"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r>
              <w:rPr>
                <w:rFonts w:hint="eastAsia" w:ascii="宋体" w:hAnsi="宋体" w:eastAsia="宋体" w:cs="宋体"/>
                <w:spacing w:val="-2"/>
                <w:sz w:val="21"/>
                <w:szCs w:val="24"/>
                <w:lang w:val="zh-CN" w:eastAsia="zh-CN" w:bidi="zh-CN"/>
              </w:rPr>
              <w:t>主体工程区</w:t>
            </w:r>
          </w:p>
        </w:tc>
        <w:tc>
          <w:tcPr>
            <w:tcW w:w="15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r>
              <w:rPr>
                <w:rFonts w:hint="eastAsia" w:ascii="宋体" w:hAnsi="宋体" w:eastAsia="宋体" w:cs="宋体"/>
                <w:spacing w:val="-2"/>
                <w:sz w:val="21"/>
                <w:szCs w:val="24"/>
                <w:lang w:val="zh-CN" w:eastAsia="zh-CN" w:bidi="zh-CN"/>
              </w:rPr>
              <w:t>堤防及建筑物</w:t>
            </w:r>
          </w:p>
        </w:tc>
        <w:tc>
          <w:tcPr>
            <w:tcW w:w="15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r>
              <w:rPr>
                <w:rFonts w:hint="eastAsia" w:ascii="宋体" w:hAnsi="宋体" w:eastAsia="宋体" w:cs="宋体"/>
                <w:spacing w:val="-2"/>
                <w:sz w:val="21"/>
                <w:szCs w:val="24"/>
                <w:lang w:val="zh-CN" w:eastAsia="zh-CN" w:bidi="zh-CN"/>
              </w:rPr>
              <w:t>土地平整、复原</w:t>
            </w:r>
          </w:p>
        </w:tc>
        <w:tc>
          <w:tcPr>
            <w:tcW w:w="13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r>
              <w:rPr>
                <w:rFonts w:hint="eastAsia" w:ascii="宋体" w:hAnsi="宋体" w:eastAsia="宋体" w:cs="宋体"/>
                <w:spacing w:val="-2"/>
                <w:sz w:val="21"/>
                <w:szCs w:val="24"/>
                <w:lang w:val="zh-CN" w:eastAsia="zh-CN" w:bidi="zh-CN"/>
              </w:rPr>
              <w:t>保留原有植物</w:t>
            </w:r>
          </w:p>
        </w:tc>
        <w:tc>
          <w:tcPr>
            <w:tcW w:w="15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r>
              <w:rPr>
                <w:rFonts w:hint="eastAsia" w:ascii="宋体" w:hAnsi="宋体" w:eastAsia="宋体" w:cs="宋体"/>
                <w:spacing w:val="-2"/>
                <w:sz w:val="21"/>
                <w:szCs w:val="24"/>
                <w:lang w:val="zh-CN" w:eastAsia="zh-CN" w:bidi="zh-CN"/>
              </w:rPr>
              <w:t>袋装土拦挡</w:t>
            </w:r>
          </w:p>
        </w:tc>
        <w:tc>
          <w:tcPr>
            <w:tcW w:w="1431" w:type="dxa"/>
            <w:tcBorders>
              <w:top w:val="single" w:color="000000" w:sz="4" w:space="0"/>
              <w:left w:val="single" w:color="000000" w:sz="4" w:space="0"/>
              <w:bottom w:val="single" w:color="000000" w:sz="4" w:space="0"/>
              <w:right w:val="single" w:color="000000" w:sz="12"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r>
              <w:rPr>
                <w:rFonts w:hint="eastAsia" w:ascii="宋体" w:hAnsi="宋体" w:eastAsia="宋体" w:cs="宋体"/>
                <w:spacing w:val="-2"/>
                <w:sz w:val="21"/>
                <w:szCs w:val="24"/>
                <w:lang w:val="zh-CN" w:eastAsia="zh-CN" w:bidi="zh-CN"/>
              </w:rPr>
              <w:t>撒草籽、排水沟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7" w:hRule="atLeast"/>
          <w:jc w:val="center"/>
        </w:trPr>
        <w:tc>
          <w:tcPr>
            <w:tcW w:w="1324" w:type="dxa"/>
            <w:tcBorders>
              <w:top w:val="single" w:color="000000" w:sz="4" w:space="0"/>
              <w:left w:val="single" w:color="000000" w:sz="12" w:space="0"/>
              <w:bottom w:val="single" w:color="000000" w:sz="4"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r>
              <w:rPr>
                <w:rFonts w:hint="eastAsia" w:ascii="宋体" w:hAnsi="宋体" w:eastAsia="宋体" w:cs="宋体"/>
                <w:spacing w:val="-2"/>
                <w:sz w:val="21"/>
                <w:szCs w:val="24"/>
                <w:lang w:val="zh-CN" w:eastAsia="zh-CN" w:bidi="zh-CN"/>
              </w:rPr>
              <w:t>施工便道区</w:t>
            </w:r>
          </w:p>
        </w:tc>
        <w:tc>
          <w:tcPr>
            <w:tcW w:w="15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r>
              <w:rPr>
                <w:rFonts w:hint="eastAsia" w:ascii="宋体" w:hAnsi="宋体" w:eastAsia="宋体" w:cs="宋体"/>
                <w:spacing w:val="-2"/>
                <w:sz w:val="21"/>
                <w:szCs w:val="24"/>
                <w:lang w:val="zh-CN" w:eastAsia="zh-CN" w:bidi="zh-CN"/>
              </w:rPr>
              <w:t>占压扰动区</w:t>
            </w:r>
          </w:p>
        </w:tc>
        <w:tc>
          <w:tcPr>
            <w:tcW w:w="15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r>
              <w:rPr>
                <w:rFonts w:hint="eastAsia" w:ascii="宋体" w:hAnsi="宋体" w:eastAsia="宋体" w:cs="宋体"/>
                <w:spacing w:val="-2"/>
                <w:sz w:val="21"/>
                <w:szCs w:val="24"/>
                <w:lang w:val="zh-CN" w:eastAsia="zh-CN" w:bidi="zh-CN"/>
              </w:rPr>
              <w:t>土地平整、复耕</w:t>
            </w:r>
          </w:p>
        </w:tc>
        <w:tc>
          <w:tcPr>
            <w:tcW w:w="13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default" w:ascii="宋体" w:hAnsi="宋体" w:eastAsia="宋体" w:cs="宋体"/>
                <w:spacing w:val="-2"/>
                <w:sz w:val="21"/>
                <w:szCs w:val="24"/>
                <w:lang w:val="zh-CN" w:eastAsia="zh-CN" w:bidi="zh-CN"/>
              </w:rPr>
            </w:pPr>
          </w:p>
        </w:tc>
        <w:tc>
          <w:tcPr>
            <w:tcW w:w="15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r>
              <w:rPr>
                <w:rFonts w:hint="eastAsia" w:ascii="宋体" w:hAnsi="宋体" w:eastAsia="宋体" w:cs="宋体"/>
                <w:spacing w:val="-2"/>
                <w:sz w:val="21"/>
                <w:szCs w:val="24"/>
                <w:lang w:val="zh-CN" w:eastAsia="zh-CN" w:bidi="zh-CN"/>
              </w:rPr>
              <w:t>土质排水沟、临时沉砂、临时覆盖</w:t>
            </w:r>
          </w:p>
        </w:tc>
        <w:tc>
          <w:tcPr>
            <w:tcW w:w="1431" w:type="dxa"/>
            <w:tcBorders>
              <w:top w:val="single" w:color="000000" w:sz="4" w:space="0"/>
              <w:left w:val="single" w:color="000000" w:sz="4" w:space="0"/>
              <w:bottom w:val="single" w:color="000000" w:sz="4" w:space="0"/>
              <w:right w:val="single" w:color="000000" w:sz="12"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default" w:ascii="宋体" w:hAnsi="宋体" w:eastAsia="宋体" w:cs="宋体"/>
                <w:spacing w:val="-2"/>
                <w:sz w:val="21"/>
                <w:szCs w:val="24"/>
                <w:lang w:val="zh-CN" w:eastAsia="zh-CN" w:bidi="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jc w:val="center"/>
        </w:trPr>
        <w:tc>
          <w:tcPr>
            <w:tcW w:w="1324" w:type="dxa"/>
            <w:tcBorders>
              <w:top w:val="single" w:color="000000" w:sz="4" w:space="0"/>
              <w:left w:val="single" w:color="000000" w:sz="12" w:space="0"/>
              <w:bottom w:val="single" w:color="000000" w:sz="4"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r>
              <w:rPr>
                <w:rFonts w:hint="eastAsia" w:ascii="宋体" w:hAnsi="宋体" w:eastAsia="宋体" w:cs="宋体"/>
                <w:spacing w:val="-2"/>
                <w:sz w:val="21"/>
                <w:szCs w:val="24"/>
                <w:lang w:val="zh-CN" w:eastAsia="zh-CN" w:bidi="zh-CN"/>
              </w:rPr>
              <w:t>施工生产生</w:t>
            </w:r>
          </w:p>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r>
              <w:rPr>
                <w:rFonts w:hint="eastAsia" w:ascii="宋体" w:hAnsi="宋体" w:eastAsia="宋体" w:cs="宋体"/>
                <w:spacing w:val="-2"/>
                <w:sz w:val="21"/>
                <w:szCs w:val="24"/>
                <w:lang w:val="zh-CN" w:eastAsia="zh-CN" w:bidi="zh-CN"/>
              </w:rPr>
              <w:t>活区</w:t>
            </w:r>
          </w:p>
        </w:tc>
        <w:tc>
          <w:tcPr>
            <w:tcW w:w="15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r>
              <w:rPr>
                <w:rFonts w:hint="eastAsia" w:ascii="宋体" w:hAnsi="宋体" w:eastAsia="宋体" w:cs="宋体"/>
                <w:spacing w:val="-2"/>
                <w:sz w:val="21"/>
                <w:szCs w:val="24"/>
                <w:lang w:val="zh-CN" w:eastAsia="zh-CN" w:bidi="zh-CN"/>
              </w:rPr>
              <w:t>占压扰动区</w:t>
            </w:r>
          </w:p>
        </w:tc>
        <w:tc>
          <w:tcPr>
            <w:tcW w:w="15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r>
              <w:rPr>
                <w:rFonts w:hint="eastAsia" w:ascii="宋体" w:hAnsi="宋体" w:eastAsia="宋体" w:cs="宋体"/>
                <w:spacing w:val="-2"/>
                <w:sz w:val="21"/>
                <w:szCs w:val="24"/>
                <w:lang w:val="zh-CN" w:eastAsia="zh-CN" w:bidi="zh-CN"/>
              </w:rPr>
              <w:t>土地平整、恢复</w:t>
            </w:r>
          </w:p>
        </w:tc>
        <w:tc>
          <w:tcPr>
            <w:tcW w:w="13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default" w:ascii="宋体" w:hAnsi="宋体" w:eastAsia="宋体" w:cs="宋体"/>
                <w:spacing w:val="-2"/>
                <w:sz w:val="21"/>
                <w:szCs w:val="24"/>
                <w:lang w:val="zh-CN" w:eastAsia="zh-CN" w:bidi="zh-CN"/>
              </w:rPr>
            </w:pPr>
          </w:p>
        </w:tc>
        <w:tc>
          <w:tcPr>
            <w:tcW w:w="15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r>
              <w:rPr>
                <w:rFonts w:hint="eastAsia" w:ascii="宋体" w:hAnsi="宋体" w:eastAsia="宋体" w:cs="宋体"/>
                <w:spacing w:val="-2"/>
                <w:sz w:val="21"/>
                <w:szCs w:val="24"/>
                <w:lang w:val="zh-CN" w:eastAsia="zh-CN" w:bidi="zh-CN"/>
              </w:rPr>
              <w:t>临时覆盖</w:t>
            </w:r>
          </w:p>
        </w:tc>
        <w:tc>
          <w:tcPr>
            <w:tcW w:w="1431" w:type="dxa"/>
            <w:tcBorders>
              <w:top w:val="single" w:color="000000" w:sz="4" w:space="0"/>
              <w:left w:val="single" w:color="000000" w:sz="4" w:space="0"/>
              <w:bottom w:val="single" w:color="000000" w:sz="4" w:space="0"/>
              <w:right w:val="single" w:color="000000" w:sz="12"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default" w:ascii="宋体" w:hAnsi="宋体" w:eastAsia="宋体" w:cs="宋体"/>
                <w:spacing w:val="-2"/>
                <w:sz w:val="21"/>
                <w:szCs w:val="24"/>
                <w:lang w:val="zh-CN" w:eastAsia="zh-CN" w:bidi="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324" w:type="dxa"/>
            <w:tcBorders>
              <w:top w:val="single" w:color="000000" w:sz="4" w:space="0"/>
              <w:left w:val="single" w:color="000000" w:sz="12" w:space="0"/>
              <w:bottom w:val="single" w:color="000000" w:sz="12"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r>
              <w:rPr>
                <w:rFonts w:hint="eastAsia" w:ascii="宋体" w:hAnsi="宋体" w:eastAsia="宋体" w:cs="宋体"/>
                <w:spacing w:val="-2"/>
                <w:sz w:val="21"/>
                <w:szCs w:val="24"/>
                <w:lang w:val="zh-CN" w:eastAsia="zh-CN" w:bidi="zh-CN"/>
              </w:rPr>
              <w:t>弃渣场区</w:t>
            </w:r>
          </w:p>
        </w:tc>
        <w:tc>
          <w:tcPr>
            <w:tcW w:w="1585" w:type="dxa"/>
            <w:tcBorders>
              <w:top w:val="single" w:color="000000" w:sz="4" w:space="0"/>
              <w:left w:val="single" w:color="000000" w:sz="4" w:space="0"/>
              <w:bottom w:val="single" w:color="000000" w:sz="12"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r>
              <w:rPr>
                <w:rFonts w:hint="eastAsia" w:ascii="宋体" w:hAnsi="宋体" w:eastAsia="宋体" w:cs="宋体"/>
                <w:spacing w:val="-2"/>
                <w:sz w:val="21"/>
                <w:szCs w:val="24"/>
                <w:lang w:val="zh-CN" w:eastAsia="zh-CN" w:bidi="zh-CN"/>
              </w:rPr>
              <w:t>占压扰动区</w:t>
            </w:r>
          </w:p>
        </w:tc>
        <w:tc>
          <w:tcPr>
            <w:tcW w:w="1575" w:type="dxa"/>
            <w:tcBorders>
              <w:top w:val="single" w:color="000000" w:sz="4" w:space="0"/>
              <w:left w:val="single" w:color="000000" w:sz="4" w:space="0"/>
              <w:bottom w:val="single" w:color="000000" w:sz="12"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r>
              <w:rPr>
                <w:rFonts w:hint="eastAsia" w:ascii="宋体" w:hAnsi="宋体" w:eastAsia="宋体" w:cs="宋体"/>
                <w:spacing w:val="-2"/>
                <w:sz w:val="21"/>
                <w:szCs w:val="24"/>
                <w:lang w:val="zh-CN" w:eastAsia="zh-CN" w:bidi="zh-CN"/>
              </w:rPr>
              <w:t>挡墙、排水沟</w:t>
            </w:r>
          </w:p>
        </w:tc>
        <w:tc>
          <w:tcPr>
            <w:tcW w:w="1385" w:type="dxa"/>
            <w:tcBorders>
              <w:top w:val="single" w:color="000000" w:sz="4" w:space="0"/>
              <w:left w:val="single" w:color="000000" w:sz="4" w:space="0"/>
              <w:bottom w:val="single" w:color="000000" w:sz="12"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eastAsia" w:ascii="宋体" w:hAnsi="宋体" w:eastAsia="宋体" w:cs="宋体"/>
                <w:spacing w:val="-2"/>
                <w:sz w:val="21"/>
                <w:szCs w:val="24"/>
                <w:lang w:val="zh-CN" w:eastAsia="zh-CN" w:bidi="zh-CN"/>
              </w:rPr>
            </w:pPr>
            <w:r>
              <w:rPr>
                <w:rFonts w:hint="eastAsia" w:ascii="宋体" w:hAnsi="宋体" w:eastAsia="宋体" w:cs="宋体"/>
                <w:spacing w:val="-2"/>
                <w:sz w:val="21"/>
                <w:szCs w:val="24"/>
                <w:lang w:val="zh-CN" w:eastAsia="zh-CN" w:bidi="zh-CN"/>
              </w:rPr>
              <w:t>种植树木、撒草籽</w:t>
            </w:r>
          </w:p>
        </w:tc>
        <w:tc>
          <w:tcPr>
            <w:tcW w:w="1533" w:type="dxa"/>
            <w:tcBorders>
              <w:top w:val="single" w:color="000000" w:sz="4" w:space="0"/>
              <w:left w:val="single" w:color="000000" w:sz="4" w:space="0"/>
              <w:bottom w:val="single" w:color="000000" w:sz="12" w:space="0"/>
              <w:right w:val="single" w:color="000000" w:sz="4"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default" w:ascii="宋体" w:hAnsi="宋体" w:eastAsia="宋体" w:cs="宋体"/>
                <w:spacing w:val="-2"/>
                <w:sz w:val="21"/>
                <w:szCs w:val="24"/>
                <w:lang w:val="zh-CN" w:eastAsia="zh-CN" w:bidi="zh-CN"/>
              </w:rPr>
            </w:pPr>
          </w:p>
        </w:tc>
        <w:tc>
          <w:tcPr>
            <w:tcW w:w="1431" w:type="dxa"/>
            <w:tcBorders>
              <w:top w:val="single" w:color="000000" w:sz="4" w:space="0"/>
              <w:left w:val="single" w:color="000000" w:sz="4" w:space="0"/>
              <w:bottom w:val="single" w:color="000000" w:sz="12" w:space="0"/>
              <w:right w:val="single" w:color="000000" w:sz="12" w:space="0"/>
              <w:tl2br w:val="nil"/>
              <w:tr2bl w:val="nil"/>
            </w:tcBorders>
            <w:noWrap w:val="0"/>
            <w:vAlign w:val="center"/>
          </w:tcPr>
          <w:p>
            <w:pPr>
              <w:pStyle w:val="124"/>
              <w:keepNext w:val="0"/>
              <w:keepLines w:val="0"/>
              <w:pageBreakBefore w:val="0"/>
              <w:widowControl w:val="0"/>
              <w:kinsoku w:val="0"/>
              <w:wordWrap/>
              <w:overflowPunct w:val="0"/>
              <w:topLinePunct w:val="0"/>
              <w:autoSpaceDE w:val="0"/>
              <w:autoSpaceDN w:val="0"/>
              <w:bidi w:val="0"/>
              <w:adjustRightInd/>
              <w:snapToGrid/>
              <w:spacing w:beforeLines="0" w:afterLines="0" w:line="240" w:lineRule="auto"/>
              <w:ind w:left="0" w:right="0" w:firstLine="0"/>
              <w:jc w:val="center"/>
              <w:textAlignment w:val="auto"/>
              <w:rPr>
                <w:rFonts w:hint="default" w:ascii="宋体" w:hAnsi="宋体" w:eastAsia="宋体" w:cs="宋体"/>
                <w:spacing w:val="-2"/>
                <w:sz w:val="21"/>
                <w:szCs w:val="24"/>
                <w:lang w:val="zh-CN" w:eastAsia="zh-CN" w:bidi="zh-CN"/>
              </w:rPr>
            </w:pPr>
          </w:p>
        </w:tc>
      </w:tr>
    </w:tbl>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分区水土保持措施设计：</w:t>
      </w:r>
    </w:p>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主体工程区</w:t>
      </w:r>
    </w:p>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对堤防加固工程、岸线整治工程、护坡护岸工程、疏浚与清障工程、治涝工程、灌溉工程扰乱的土体撒播黑麦草草籽防护，对排水沟进行新建与恢复。</w:t>
      </w:r>
    </w:p>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根据主体工程在施工过程中造成水土流失的特点，对主体工程区进行水土流失的防治，经对主体工程进行分析，主体工程布设的截排水沟及植被绿化的数量均能满足水土保持的需求，为了更好地防治水土流失，还需补充如下临时措施：</w:t>
      </w:r>
    </w:p>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（1）临时排水沟</w:t>
      </w:r>
    </w:p>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主体工程在原有的截排水沟的基础上，还需新增坡面的临时排水沟5.94km。临时排水沟采用直接开挖的土质排水沟，为防止排水沟内受冲刷产生水土流失，在沟底及侧面土工布覆盖，排水沟终端应通过沉沙池与天然排水沟道连通。</w:t>
      </w:r>
    </w:p>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（2）沉砂池</w:t>
      </w:r>
    </w:p>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由于施工期地面积水中泥沙量大，排水系统中设置临时沉沙池进行沉降后，排入周围排水系统或水系，施工结束后拆除，根据临时排水沟布置，增加临时沉砂池15个。</w:t>
      </w:r>
    </w:p>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（3）拦挡措施</w:t>
      </w:r>
    </w:p>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在堤防施工过程中，需要在坡脚外设置临时拦挡措施；在下边坡有耕地的时候，需要在下边坡坡脚架设临时活动围挡，防止边坡土石方施工影响农业生产；根据水土保持需要，增设挡土坎2.2km，临时活动围挡1.45km。</w:t>
      </w:r>
    </w:p>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施工便道区</w:t>
      </w:r>
    </w:p>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本次工程施工道路主要利用原有道路，辅助修建施工临时道路。施工期间，在新建施工道路区两侧开挖排水沟，考虑施工道路运行时间不长，排水沟采用临时土质排水沟。工程完工后对施工道路区进行土地平整，并且复耕。共布设排水沟7.53km；撒播草籽0.41hm2；临时沉沙池18个。</w:t>
      </w:r>
    </w:p>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施工生产生活区</w:t>
      </w:r>
    </w:p>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施工生产区沿线布设在附近的平缓地区，施工人员生活营地可就近租用附近的民房，或在施工生产区内搭建临时住房。</w:t>
      </w:r>
    </w:p>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本项目共布设生产生活区4处，共占地0.037hm2，根据水土保持防治措施体系，共撒播草籽0.12hm2、临时排水沟2.89km、临时沉沙池8个。</w:t>
      </w:r>
    </w:p>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弃渣场</w:t>
      </w:r>
    </w:p>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弃渣场具体的防护措施布设如下：</w:t>
      </w:r>
    </w:p>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1）拦挡措施</w:t>
      </w:r>
    </w:p>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按照“先拦后弃”的要求，弃渣前在弃渣场下边坡坡脚修建挡渣墙，本弃渣场需新建挡土墙200m。</w:t>
      </w:r>
    </w:p>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2）截排水措施</w:t>
      </w:r>
    </w:p>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按照“上截下拦”的原则，需在弃渣场上游及边坡修建截水沟，拦截并引开上游坡面径流，本弃渣场需设置截水沟170m；弃渣边坡两侧、下游及弃渣边坡坡顶设置浆砌石排水沟，将场内外汇水排出，共需100m；各类截排水沟、临时排水设施须通过沉沙池连接，并通过沉沙池沉降后排入周边排水系统，共需浆砌石沉砂池 10个，临时沉砂池15个。</w:t>
      </w:r>
    </w:p>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（1）迹地恢复措施</w:t>
      </w:r>
    </w:p>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弃渣结束后对弃渣面及边坡进行平整，回填种植土，撒播草籽0.16hm2，并栽植乔木1045</w:t>
      </w:r>
      <w:r>
        <w:rPr>
          <w:rFonts w:hint="eastAsia" w:ascii="Times New Roman" w:hAnsi="Times New Roman" w:cs="Times New Roman"/>
          <w:color w:val="000000" w:themeColor="text1"/>
          <w:u w:val="none"/>
          <w:lang w:eastAsia="zh-CN"/>
          <w14:textFill>
            <w14:solidFill>
              <w14:schemeClr w14:val="tx1"/>
            </w14:solidFill>
          </w14:textFill>
        </w:rPr>
        <w:t>衡</w:t>
      </w:r>
      <w:r>
        <w:rPr>
          <w:rFonts w:hint="eastAsia" w:ascii="Times New Roman" w:hAnsi="Times New Roman" w:cs="Times New Roman"/>
          <w:color w:val="000000" w:themeColor="text1"/>
          <w:u w:val="none"/>
          <w14:textFill>
            <w14:solidFill>
              <w14:schemeClr w14:val="tx1"/>
            </w14:solidFill>
          </w14:textFill>
        </w:rPr>
        <w:t>，栽植灌木2184</w:t>
      </w:r>
      <w:r>
        <w:rPr>
          <w:rFonts w:hint="eastAsia" w:ascii="Times New Roman" w:hAnsi="Times New Roman" w:cs="Times New Roman"/>
          <w:color w:val="000000" w:themeColor="text1"/>
          <w:u w:val="none"/>
          <w:lang w:eastAsia="zh-CN"/>
          <w14:textFill>
            <w14:solidFill>
              <w14:schemeClr w14:val="tx1"/>
            </w14:solidFill>
          </w14:textFill>
        </w:rPr>
        <w:t>衡</w:t>
      </w:r>
      <w:r>
        <w:rPr>
          <w:rFonts w:hint="eastAsia" w:ascii="Times New Roman" w:hAnsi="Times New Roman" w:cs="Times New Roman"/>
          <w:color w:val="000000" w:themeColor="text1"/>
          <w:u w:val="none"/>
          <w14:textFill>
            <w14:solidFill>
              <w14:schemeClr w14:val="tx1"/>
            </w14:solidFill>
          </w14:textFill>
        </w:rPr>
        <w:t>。</w:t>
      </w:r>
    </w:p>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（2）其他措施</w:t>
      </w:r>
    </w:p>
    <w:p>
      <w:pPr>
        <w:pStyle w:val="2"/>
        <w:numPr>
          <w:ilvl w:val="0"/>
          <w:numId w:val="0"/>
        </w:numPr>
        <w:autoSpaceDE/>
        <w:autoSpaceDN/>
        <w:adjustRightInd w:val="0"/>
        <w:snapToGrid w:val="0"/>
        <w:spacing w:before="0" w:line="360" w:lineRule="auto"/>
        <w:ind w:leftChars="0"/>
        <w:jc w:val="both"/>
        <w:outlineLvl w:val="4"/>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弃渣场弃渣前需将弃渣场内的表土或基层进行清理并集中堆放，避免渣体底部摩擦力不足造成渣体滑动。表土剥离厚度为0.5m，并对集中堆放点进行临时拦挡、排水防护，共需临时拦挡坎323m，临时排水沟664m，防尘网0.12hm2。</w:t>
      </w:r>
    </w:p>
    <w:p>
      <w:pPr>
        <w:pStyle w:val="2"/>
        <w:autoSpaceDE/>
        <w:autoSpaceDN/>
        <w:adjustRightInd w:val="0"/>
        <w:snapToGrid w:val="0"/>
        <w:spacing w:before="0" w:line="360" w:lineRule="auto"/>
        <w:ind w:left="0" w:leftChars="0" w:firstLine="0" w:firstLineChars="0"/>
        <w:jc w:val="both"/>
        <w:outlineLvl w:val="4"/>
        <w:rPr>
          <w:rFonts w:ascii="Times New Roman" w:hAnsi="Times New Roman" w:cs="Times New Roman"/>
          <w:b/>
        </w:rPr>
      </w:pPr>
      <w:r>
        <w:rPr>
          <w:rFonts w:ascii="Times New Roman" w:hAnsi="Times New Roman" w:cs="Times New Roman"/>
          <w:b/>
        </w:rPr>
        <w:t>5.1.6.</w:t>
      </w:r>
      <w:r>
        <w:rPr>
          <w:rFonts w:hint="eastAsia" w:ascii="Times New Roman" w:hAnsi="Times New Roman" w:cs="Times New Roman"/>
          <w:b/>
          <w:lang w:val="en-US" w:eastAsia="zh-CN"/>
        </w:rPr>
        <w:t>3</w:t>
      </w:r>
      <w:r>
        <w:rPr>
          <w:rFonts w:ascii="Times New Roman" w:hAnsi="Times New Roman" w:cs="Times New Roman"/>
          <w:b/>
        </w:rPr>
        <w:t>对</w:t>
      </w:r>
      <w:r>
        <w:rPr>
          <w:rFonts w:hint="eastAsia" w:ascii="Times New Roman" w:hAnsi="Times New Roman" w:cs="Times New Roman"/>
          <w:b/>
          <w:lang w:eastAsia="zh-CN"/>
        </w:rPr>
        <w:t>饮用水源保护区的</w:t>
      </w:r>
      <w:r>
        <w:rPr>
          <w:rFonts w:ascii="Times New Roman" w:hAnsi="Times New Roman" w:cs="Times New Roman"/>
          <w:b/>
        </w:rPr>
        <w:t>影响分析</w:t>
      </w:r>
    </w:p>
    <w:p>
      <w:pPr>
        <w:pStyle w:val="2"/>
        <w:autoSpaceDE/>
        <w:autoSpaceDN/>
        <w:adjustRightInd w:val="0"/>
        <w:snapToGrid w:val="0"/>
        <w:spacing w:before="0" w:line="360" w:lineRule="auto"/>
        <w:ind w:left="0" w:firstLine="480" w:firstLineChars="200"/>
        <w:jc w:val="both"/>
        <w:rPr>
          <w:rFonts w:hint="eastAsia" w:ascii="Times New Roman" w:hAnsi="Times New Roman" w:eastAsia="宋体" w:cs="Times New Roman"/>
          <w:u w:val="none"/>
          <w:lang w:eastAsia="zh-CN"/>
        </w:rPr>
      </w:pPr>
      <w:r>
        <w:rPr>
          <w:rFonts w:hint="eastAsia" w:ascii="Times New Roman" w:hAnsi="Times New Roman" w:eastAsia="宋体" w:cs="Times New Roman"/>
          <w:u w:val="none"/>
          <w:lang w:eastAsia="zh-CN"/>
        </w:rPr>
        <w:t>本项目涉及祁东县城连墟乡地下水饮用水水源保护区，项目与涉及的饮用水源保护区具体位置关系见下表。</w:t>
      </w:r>
    </w:p>
    <w:p>
      <w:pPr>
        <w:spacing w:line="360" w:lineRule="auto"/>
        <w:jc w:val="center"/>
        <w:rPr>
          <w:rFonts w:hint="eastAsia"/>
          <w:b/>
          <w:bCs/>
          <w:color w:val="auto"/>
          <w:sz w:val="24"/>
          <w:szCs w:val="24"/>
        </w:rPr>
      </w:pPr>
      <w:r>
        <w:rPr>
          <w:rFonts w:hint="default" w:ascii="Times New Roman" w:hAnsi="Times New Roman" w:cs="Times New Roman"/>
          <w:b/>
          <w:bCs/>
          <w:color w:val="auto"/>
          <w:sz w:val="21"/>
          <w:szCs w:val="21"/>
        </w:rPr>
        <w:t>表5.1-1 工程涉及饮用水源保护区基本情况及与工程相对位置关系表</w:t>
      </w:r>
    </w:p>
    <w:tbl>
      <w:tblPr>
        <w:tblStyle w:val="89"/>
        <w:tblW w:w="48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720"/>
        <w:gridCol w:w="2019"/>
        <w:gridCol w:w="2208"/>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5"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720"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水源地</w:t>
            </w:r>
          </w:p>
        </w:tc>
        <w:tc>
          <w:tcPr>
            <w:tcW w:w="2019"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工程内容</w:t>
            </w:r>
          </w:p>
        </w:tc>
        <w:tc>
          <w:tcPr>
            <w:tcW w:w="2208"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施工位置</w:t>
            </w:r>
          </w:p>
        </w:tc>
        <w:tc>
          <w:tcPr>
            <w:tcW w:w="1950"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与饮用水水源保护区关系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5"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720"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祁东县城连墟乡地下水饮用水水源保护区</w:t>
            </w:r>
          </w:p>
        </w:tc>
        <w:tc>
          <w:tcPr>
            <w:tcW w:w="2019"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护岸工程（格宾挡墙）</w:t>
            </w:r>
            <w:r>
              <w:rPr>
                <w:rFonts w:hint="eastAsia" w:ascii="Times New Roman" w:hAnsi="Times New Roman" w:cs="Times New Roman"/>
                <w:color w:val="auto"/>
                <w:sz w:val="21"/>
                <w:szCs w:val="21"/>
                <w:lang w:val="en-US" w:eastAsia="zh-CN"/>
              </w:rPr>
              <w:t>175m</w:t>
            </w:r>
          </w:p>
        </w:tc>
        <w:tc>
          <w:tcPr>
            <w:tcW w:w="2208"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祁右32+175-祁右32-345</w:t>
            </w:r>
          </w:p>
        </w:tc>
        <w:tc>
          <w:tcPr>
            <w:tcW w:w="1950" w:type="dxa"/>
            <w:noWrap w:val="0"/>
            <w:vAlign w:val="center"/>
          </w:tcPr>
          <w:p>
            <w:pPr>
              <w:pStyle w:val="82"/>
              <w:keepNext w:val="0"/>
              <w:keepLines w:val="0"/>
              <w:pageBreakBefore w:val="0"/>
              <w:kinsoku/>
              <w:wordWrap/>
              <w:overflowPunct/>
              <w:topLinePunct w:val="0"/>
              <w:bidi w:val="0"/>
              <w:adjustRightInd/>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160m</w:t>
            </w:r>
            <w:r>
              <w:rPr>
                <w:rFonts w:hint="eastAsia" w:ascii="Times New Roman" w:hAnsi="Times New Roman" w:cs="Times New Roman"/>
                <w:color w:val="auto"/>
                <w:sz w:val="21"/>
                <w:szCs w:val="21"/>
                <w:lang w:eastAsia="zh-CN"/>
              </w:rPr>
              <w:t>位于</w:t>
            </w:r>
            <w:r>
              <w:rPr>
                <w:rFonts w:hint="default" w:ascii="Times New Roman" w:hAnsi="Times New Roman" w:cs="Times New Roman"/>
                <w:color w:val="auto"/>
                <w:sz w:val="21"/>
                <w:szCs w:val="21"/>
              </w:rPr>
              <w:t>饮用水水源保护区</w:t>
            </w:r>
            <w:r>
              <w:rPr>
                <w:rFonts w:hint="eastAsia" w:ascii="Times New Roman" w:hAnsi="Times New Roman" w:cs="Times New Roman"/>
                <w:color w:val="auto"/>
                <w:sz w:val="21"/>
                <w:szCs w:val="21"/>
                <w:lang w:eastAsia="zh-CN"/>
              </w:rPr>
              <w:t>二级陆域保护区内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5"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720"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祁东县城连墟乡地下水饮用水水源保护区</w:t>
            </w:r>
          </w:p>
        </w:tc>
        <w:tc>
          <w:tcPr>
            <w:tcW w:w="2019"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eastAsia="zh-CN"/>
              </w:rPr>
              <w:t>护岸工程（格宾挡墙）</w:t>
            </w:r>
            <w:r>
              <w:rPr>
                <w:rFonts w:hint="eastAsia" w:ascii="Times New Roman" w:hAnsi="Times New Roman" w:cs="Times New Roman"/>
                <w:color w:val="auto"/>
                <w:sz w:val="21"/>
                <w:szCs w:val="21"/>
                <w:lang w:val="en-US" w:eastAsia="zh-CN"/>
              </w:rPr>
              <w:t>526m</w:t>
            </w:r>
          </w:p>
        </w:tc>
        <w:tc>
          <w:tcPr>
            <w:tcW w:w="2208"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祁左31+735-祁左32-261</w:t>
            </w:r>
          </w:p>
        </w:tc>
        <w:tc>
          <w:tcPr>
            <w:tcW w:w="1950" w:type="dxa"/>
            <w:noWrap w:val="0"/>
            <w:vAlign w:val="center"/>
          </w:tcPr>
          <w:p>
            <w:pPr>
              <w:pStyle w:val="82"/>
              <w:keepNext w:val="0"/>
              <w:keepLines w:val="0"/>
              <w:pageBreakBefore w:val="0"/>
              <w:kinsoku/>
              <w:wordWrap/>
              <w:overflowPunct/>
              <w:topLinePunct w:val="0"/>
              <w:bidi w:val="0"/>
              <w:adjustRightIn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155m</w:t>
            </w:r>
            <w:r>
              <w:rPr>
                <w:rFonts w:hint="eastAsia" w:ascii="Times New Roman" w:hAnsi="Times New Roman" w:cs="Times New Roman"/>
                <w:color w:val="auto"/>
                <w:sz w:val="21"/>
                <w:szCs w:val="21"/>
                <w:lang w:eastAsia="zh-CN"/>
              </w:rPr>
              <w:t>位于</w:t>
            </w:r>
            <w:r>
              <w:rPr>
                <w:rFonts w:hint="default" w:ascii="Times New Roman" w:hAnsi="Times New Roman" w:cs="Times New Roman"/>
                <w:color w:val="auto"/>
                <w:sz w:val="21"/>
                <w:szCs w:val="21"/>
              </w:rPr>
              <w:t>饮用水水源保护区</w:t>
            </w:r>
            <w:r>
              <w:rPr>
                <w:rFonts w:hint="eastAsia" w:ascii="Times New Roman" w:hAnsi="Times New Roman" w:cs="Times New Roman"/>
                <w:color w:val="auto"/>
                <w:sz w:val="21"/>
                <w:szCs w:val="21"/>
                <w:lang w:eastAsia="zh-CN"/>
              </w:rPr>
              <w:t>二级陆域保护区内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5"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1720"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祁东县城连墟乡地下水饮用水水源保护区</w:t>
            </w:r>
          </w:p>
        </w:tc>
        <w:tc>
          <w:tcPr>
            <w:tcW w:w="2019"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河道疏浚</w:t>
            </w:r>
            <w:r>
              <w:rPr>
                <w:rFonts w:hint="eastAsia" w:ascii="Times New Roman" w:hAnsi="Times New Roman" w:cs="Times New Roman"/>
                <w:color w:val="auto"/>
                <w:sz w:val="21"/>
                <w:szCs w:val="21"/>
                <w:lang w:val="en-US" w:eastAsia="zh-CN"/>
              </w:rPr>
              <w:t>175m</w:t>
            </w:r>
          </w:p>
        </w:tc>
        <w:tc>
          <w:tcPr>
            <w:tcW w:w="2208" w:type="dxa"/>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祁32+000-祁32+175</w:t>
            </w:r>
          </w:p>
        </w:tc>
        <w:tc>
          <w:tcPr>
            <w:tcW w:w="1950" w:type="dxa"/>
            <w:noWrap w:val="0"/>
            <w:vAlign w:val="center"/>
          </w:tcPr>
          <w:p>
            <w:pPr>
              <w:pStyle w:val="82"/>
              <w:keepNext w:val="0"/>
              <w:keepLines w:val="0"/>
              <w:pageBreakBefore w:val="0"/>
              <w:kinsoku/>
              <w:wordWrap/>
              <w:overflowPunct/>
              <w:topLinePunct w:val="0"/>
              <w:bidi w:val="0"/>
              <w:adjustRightInd/>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全部位于</w:t>
            </w:r>
            <w:r>
              <w:rPr>
                <w:rFonts w:hint="default" w:ascii="Times New Roman" w:hAnsi="Times New Roman" w:cs="Times New Roman"/>
                <w:color w:val="auto"/>
                <w:sz w:val="21"/>
                <w:szCs w:val="21"/>
              </w:rPr>
              <w:t>饮用水水源保护区</w:t>
            </w:r>
            <w:r>
              <w:rPr>
                <w:rFonts w:hint="eastAsia" w:ascii="Times New Roman" w:hAnsi="Times New Roman" w:cs="Times New Roman"/>
                <w:color w:val="auto"/>
                <w:sz w:val="21"/>
                <w:szCs w:val="21"/>
                <w:lang w:eastAsia="zh-CN"/>
              </w:rPr>
              <w:t>二级水域保护区内</w:t>
            </w:r>
          </w:p>
        </w:tc>
      </w:tr>
    </w:tbl>
    <w:p>
      <w:pPr>
        <w:pStyle w:val="2"/>
        <w:autoSpaceDE/>
        <w:autoSpaceDN/>
        <w:adjustRightInd w:val="0"/>
        <w:snapToGrid w:val="0"/>
        <w:spacing w:before="0" w:line="360" w:lineRule="auto"/>
        <w:ind w:left="0" w:firstLine="480" w:firstLineChars="200"/>
        <w:jc w:val="both"/>
        <w:rPr>
          <w:rFonts w:hint="eastAsia" w:ascii="Times New Roman" w:hAnsi="Times New Roman" w:eastAsia="宋体" w:cs="Times New Roman"/>
          <w:u w:val="none"/>
          <w:lang w:eastAsia="zh-CN"/>
        </w:rPr>
      </w:pPr>
      <w:r>
        <w:rPr>
          <w:color w:val="auto"/>
        </w:rPr>
        <w:t>根据</w:t>
      </w:r>
      <w:r>
        <w:rPr>
          <w:rFonts w:hint="eastAsia"/>
          <w:color w:val="auto"/>
          <w:lang w:eastAsia="zh-CN"/>
        </w:rPr>
        <w:t>前文施工期地表水影响分析可知，</w:t>
      </w:r>
      <w:r>
        <w:rPr>
          <w:color w:val="auto"/>
        </w:rPr>
        <w:t>本工程施工产生的悬浮物随着水流稀释沉</w:t>
      </w:r>
      <w:r>
        <w:rPr>
          <w:rFonts w:ascii="Times New Roman" w:hAnsi="Times New Roman" w:eastAsia="宋体" w:cs="Times New Roman"/>
          <w:color w:val="auto"/>
        </w:rPr>
        <w:t>降后，影响范围在下游</w:t>
      </w:r>
      <w:r>
        <w:rPr>
          <w:rFonts w:hint="eastAsia" w:ascii="Times New Roman" w:hAnsi="Times New Roman" w:eastAsia="宋体" w:cs="Times New Roman"/>
          <w:color w:val="auto"/>
          <w:lang w:val="en-US" w:eastAsia="zh-CN"/>
        </w:rPr>
        <w:t>约85</w:t>
      </w:r>
      <w:r>
        <w:rPr>
          <w:rFonts w:ascii="Times New Roman" w:hAnsi="Times New Roman" w:eastAsia="宋体" w:cs="Times New Roman"/>
          <w:color w:val="auto"/>
        </w:rPr>
        <w:t>m，</w:t>
      </w:r>
      <w:r>
        <w:rPr>
          <w:rFonts w:hint="eastAsia" w:ascii="Times New Roman" w:hAnsi="Times New Roman" w:eastAsia="宋体" w:cs="Times New Roman"/>
          <w:color w:val="auto"/>
          <w:lang w:eastAsia="zh-CN"/>
        </w:rPr>
        <w:t>且祁东县城连墟乡饮用水水源保护区为地下水饮用水源保护区，取水口为傍河水井，自来水厂取水口不直接从祁水取水，祁水地表水需经过地下透水层方到达取水口，地下岩层对地表水起到了过滤的作用，从而使取水口水质受地表水体扰动影响较小，因此，</w:t>
      </w:r>
      <w:r>
        <w:rPr>
          <w:rFonts w:ascii="Times New Roman" w:hAnsi="Times New Roman" w:eastAsia="宋体" w:cs="Times New Roman"/>
          <w:color w:val="auto"/>
        </w:rPr>
        <w:t>施工产生的悬浮物对取水口影响</w:t>
      </w:r>
      <w:r>
        <w:rPr>
          <w:rFonts w:hint="eastAsia" w:ascii="Times New Roman" w:hAnsi="Times New Roman" w:eastAsia="宋体" w:cs="Times New Roman"/>
          <w:color w:val="auto"/>
          <w:lang w:eastAsia="zh-CN"/>
        </w:rPr>
        <w:t>很小</w:t>
      </w:r>
      <w:r>
        <w:rPr>
          <w:color w:val="auto"/>
        </w:rPr>
        <w:t>。</w:t>
      </w:r>
      <w:r>
        <w:rPr>
          <w:rFonts w:hint="eastAsia" w:ascii="Times New Roman" w:hAnsi="Times New Roman" w:eastAsia="宋体" w:cs="Times New Roman"/>
          <w:u w:val="none"/>
          <w:lang w:eastAsia="zh-CN"/>
        </w:rPr>
        <w:t>具体影响分析如下：</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lang w:val="en-US" w:eastAsia="zh-CN"/>
          <w14:textFill>
            <w14:solidFill>
              <w14:schemeClr w14:val="tx1"/>
            </w14:solidFill>
          </w14:textFill>
        </w:rPr>
        <w:t>1、</w:t>
      </w:r>
      <w:r>
        <w:rPr>
          <w:rFonts w:hint="eastAsia" w:ascii="Times New Roman" w:hAnsi="Times New Roman" w:cs="Times New Roman"/>
          <w:color w:val="000000" w:themeColor="text1"/>
          <w:u w:val="none"/>
          <w14:textFill>
            <w14:solidFill>
              <w14:schemeClr w14:val="tx1"/>
            </w14:solidFill>
          </w14:textFill>
        </w:rPr>
        <w:t>对饮用水源保护区生态功能的影响</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本工程</w:t>
      </w:r>
      <w:r>
        <w:rPr>
          <w:rFonts w:hint="eastAsia" w:ascii="Times New Roman" w:hAnsi="Times New Roman" w:cs="Times New Roman"/>
          <w:color w:val="000000" w:themeColor="text1"/>
          <w:u w:val="none"/>
          <w:lang w:eastAsia="zh-CN"/>
          <w14:textFill>
            <w14:solidFill>
              <w14:schemeClr w14:val="tx1"/>
            </w14:solidFill>
          </w14:textFill>
        </w:rPr>
        <w:t>起点段</w:t>
      </w:r>
      <w:r>
        <w:rPr>
          <w:rFonts w:hint="eastAsia" w:ascii="Times New Roman" w:hAnsi="Times New Roman" w:cs="Times New Roman"/>
          <w:color w:val="000000" w:themeColor="text1"/>
          <w:u w:val="none"/>
          <w14:textFill>
            <w14:solidFill>
              <w14:schemeClr w14:val="tx1"/>
            </w14:solidFill>
          </w14:textFill>
        </w:rPr>
        <w:t>东风水闸（桩号祁32+537）占用部分饮用水源保护区陆域面积，占保护区总陆域面积较小，本项目施工临建设施区均不在保护区范围内，不会影响饮用水源保护区重要生境类型的面积和分布。在施工期对周边动植物有一定的影响，但通过施工方案优化和加强管理，对动植物的不利影响可以得到缓解和减免。本工程施工结束后立即对饮用水源保护区相关区域进行生态恢复，对饮用水源保护区景观及饮用水源保护区生态的影响轻微，饮用水源保护区质量不会降低。因此，工程对饮用水源保护区生态功能的影响较小。</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lang w:val="en-US" w:eastAsia="zh-CN"/>
          <w14:textFill>
            <w14:solidFill>
              <w14:schemeClr w14:val="tx1"/>
            </w14:solidFill>
          </w14:textFill>
        </w:rPr>
        <w:t>2、</w:t>
      </w:r>
      <w:r>
        <w:rPr>
          <w:rFonts w:hint="eastAsia" w:ascii="Times New Roman" w:hAnsi="Times New Roman" w:cs="Times New Roman"/>
          <w:color w:val="000000" w:themeColor="text1"/>
          <w:u w:val="none"/>
          <w14:textFill>
            <w14:solidFill>
              <w14:schemeClr w14:val="tx1"/>
            </w14:solidFill>
          </w14:textFill>
        </w:rPr>
        <w:t>对饮用水源保护区植被的影响</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工程施工期对陆生植物和植被的影响主要是主体工程区占地对陆生植物和植被的破坏。</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本工程临时占用少量饮用水源</w:t>
      </w:r>
      <w:r>
        <w:rPr>
          <w:rFonts w:hint="eastAsia" w:ascii="Times New Roman" w:hAnsi="Times New Roman" w:cs="Times New Roman"/>
          <w:color w:val="000000" w:themeColor="text1"/>
          <w:u w:val="none"/>
          <w:lang w:eastAsia="zh-CN"/>
          <w14:textFill>
            <w14:solidFill>
              <w14:schemeClr w14:val="tx1"/>
            </w14:solidFill>
          </w14:textFill>
        </w:rPr>
        <w:t>二级</w:t>
      </w:r>
      <w:r>
        <w:rPr>
          <w:rFonts w:hint="eastAsia" w:ascii="Times New Roman" w:hAnsi="Times New Roman" w:cs="Times New Roman"/>
          <w:color w:val="000000" w:themeColor="text1"/>
          <w:u w:val="none"/>
          <w14:textFill>
            <w14:solidFill>
              <w14:schemeClr w14:val="tx1"/>
            </w14:solidFill>
          </w14:textFill>
        </w:rPr>
        <w:t>保护区内未被利用的河滩地和荒地，占压的树木主要是</w:t>
      </w:r>
      <w:r>
        <w:rPr>
          <w:rFonts w:hint="eastAsia" w:ascii="Times New Roman" w:hAnsi="Times New Roman" w:cs="Times New Roman"/>
          <w:color w:val="000000" w:themeColor="text1"/>
          <w:u w:val="none"/>
          <w:lang w:eastAsia="zh-CN"/>
          <w14:textFill>
            <w14:solidFill>
              <w14:schemeClr w14:val="tx1"/>
            </w14:solidFill>
          </w14:textFill>
        </w:rPr>
        <w:t>杂树林</w:t>
      </w:r>
      <w:r>
        <w:rPr>
          <w:rFonts w:hint="eastAsia" w:ascii="Times New Roman" w:hAnsi="Times New Roman" w:cs="Times New Roman"/>
          <w:color w:val="000000" w:themeColor="text1"/>
          <w:u w:val="none"/>
          <w14:textFill>
            <w14:solidFill>
              <w14:schemeClr w14:val="tx1"/>
            </w14:solidFill>
          </w14:textFill>
        </w:rPr>
        <w:t>，</w:t>
      </w:r>
      <w:r>
        <w:rPr>
          <w:rFonts w:hint="eastAsia" w:ascii="Times New Roman" w:hAnsi="Times New Roman" w:cs="Times New Roman"/>
          <w:color w:val="000000" w:themeColor="text1"/>
          <w:u w:val="none"/>
          <w:lang w:eastAsia="zh-CN"/>
          <w14:textFill>
            <w14:solidFill>
              <w14:schemeClr w14:val="tx1"/>
            </w14:solidFill>
          </w14:textFill>
        </w:rPr>
        <w:t>均</w:t>
      </w:r>
      <w:r>
        <w:rPr>
          <w:rFonts w:hint="eastAsia" w:ascii="Times New Roman" w:hAnsi="Times New Roman" w:cs="Times New Roman"/>
          <w:color w:val="000000" w:themeColor="text1"/>
          <w:u w:val="none"/>
          <w14:textFill>
            <w14:solidFill>
              <w14:schemeClr w14:val="tx1"/>
            </w14:solidFill>
          </w14:textFill>
        </w:rPr>
        <w:t>为分布范围较广的种类，工程建设对饮用水源保护区植被的影响范围小、影响时间短，在施工结束之后占用区域进行土地功能恢复和植被恢复，可有效减缓或消除施工临时占地对饮用水源保护区植被的影响。因此，工程建设对饮用水源保护区植被的影响有限。</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lang w:val="en-US" w:eastAsia="zh-CN"/>
          <w14:textFill>
            <w14:solidFill>
              <w14:schemeClr w14:val="tx1"/>
            </w14:solidFill>
          </w14:textFill>
        </w:rPr>
        <w:t>3、</w:t>
      </w:r>
      <w:r>
        <w:rPr>
          <w:rFonts w:hint="eastAsia" w:ascii="Times New Roman" w:hAnsi="Times New Roman" w:cs="Times New Roman"/>
          <w:color w:val="000000" w:themeColor="text1"/>
          <w:u w:val="none"/>
          <w14:textFill>
            <w14:solidFill>
              <w14:schemeClr w14:val="tx1"/>
            </w14:solidFill>
          </w14:textFill>
        </w:rPr>
        <w:t>对饮用水源保护区动物的影响</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由于项目所在区域附近人为活动干扰较大，项目所在区域分布的野生动物多为区域常见物种，且数量相对较少，根据现场调查两栖爬行类主要有中华蟾蜍、雨蛙、王锦蛇、黑眉锦蛇，鸟类主要有麻雀、家燕等，以及小型啮齿目的鼠科动物。工程施工对动物的</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影响主要表现为土方开挖和填土等使部分地表植被受损，使其活动空间和食物来源减少；施工人员和施工机械噪声，对其正常生活产生干扰影响，使工程影响区的动物迁移他处。但由于工程影响区范围较小，且影响的动物多为区域常见物种，在工程影响区以外均有分布，因此工程对动物影响较为有限。</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4</w:t>
      </w:r>
      <w:r>
        <w:rPr>
          <w:rFonts w:hint="eastAsia" w:ascii="Times New Roman" w:hAnsi="Times New Roman" w:cs="Times New Roman"/>
          <w:color w:val="000000" w:themeColor="text1"/>
          <w:u w:val="none"/>
          <w:lang w:eastAsia="zh-CN"/>
          <w14:textFill>
            <w14:solidFill>
              <w14:schemeClr w14:val="tx1"/>
            </w14:solidFill>
          </w14:textFill>
        </w:rPr>
        <w:t>、</w:t>
      </w:r>
      <w:r>
        <w:rPr>
          <w:rFonts w:hint="eastAsia" w:ascii="Times New Roman" w:hAnsi="Times New Roman" w:cs="Times New Roman"/>
          <w:color w:val="000000" w:themeColor="text1"/>
          <w:u w:val="none"/>
          <w14:textFill>
            <w14:solidFill>
              <w14:schemeClr w14:val="tx1"/>
            </w14:solidFill>
          </w14:textFill>
        </w:rPr>
        <w:t>对取水口及供水工程的影响</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工程施工废水和生活污水均经能合理处置，不</w:t>
      </w:r>
      <w:r>
        <w:rPr>
          <w:rFonts w:hint="eastAsia" w:ascii="Times New Roman" w:hAnsi="Times New Roman" w:cs="Times New Roman"/>
          <w:color w:val="000000" w:themeColor="text1"/>
          <w:u w:val="none"/>
          <w:lang w:eastAsia="zh-CN"/>
          <w14:textFill>
            <w14:solidFill>
              <w14:schemeClr w14:val="tx1"/>
            </w14:solidFill>
          </w14:textFill>
        </w:rPr>
        <w:t>外</w:t>
      </w:r>
      <w:r>
        <w:rPr>
          <w:rFonts w:hint="eastAsia" w:ascii="Times New Roman" w:hAnsi="Times New Roman" w:cs="Times New Roman"/>
          <w:color w:val="000000" w:themeColor="text1"/>
          <w:u w:val="none"/>
          <w14:textFill>
            <w14:solidFill>
              <w14:schemeClr w14:val="tx1"/>
            </w14:solidFill>
          </w14:textFill>
        </w:rPr>
        <w:t>排，对饮用水源保护区</w:t>
      </w:r>
      <w:r>
        <w:rPr>
          <w:rFonts w:hint="eastAsia" w:ascii="Times New Roman" w:hAnsi="Times New Roman" w:cs="Times New Roman"/>
          <w:color w:val="000000" w:themeColor="text1"/>
          <w:u w:val="none"/>
          <w:lang w:eastAsia="zh-CN"/>
          <w14:textFill>
            <w14:solidFill>
              <w14:schemeClr w14:val="tx1"/>
            </w14:solidFill>
          </w14:textFill>
        </w:rPr>
        <w:t>的</w:t>
      </w:r>
      <w:r>
        <w:rPr>
          <w:rFonts w:hint="eastAsia" w:ascii="Times New Roman" w:hAnsi="Times New Roman" w:cs="Times New Roman"/>
          <w:color w:val="000000" w:themeColor="text1"/>
          <w:u w:val="none"/>
          <w14:textFill>
            <w14:solidFill>
              <w14:schemeClr w14:val="tx1"/>
            </w14:solidFill>
          </w14:textFill>
        </w:rPr>
        <w:t>影响</w:t>
      </w:r>
      <w:r>
        <w:rPr>
          <w:rFonts w:hint="eastAsia" w:ascii="Times New Roman" w:hAnsi="Times New Roman" w:cs="Times New Roman"/>
          <w:color w:val="000000" w:themeColor="text1"/>
          <w:u w:val="none"/>
          <w:lang w:eastAsia="zh-CN"/>
          <w14:textFill>
            <w14:solidFill>
              <w14:schemeClr w14:val="tx1"/>
            </w14:solidFill>
          </w14:textFill>
        </w:rPr>
        <w:t>主要为工程建筑垃圾、施工人员生活垃圾对水质的不利影响；工程涉水作业的围堰施工、清淤及土方开挖对水体扰动的不利影响</w:t>
      </w:r>
      <w:r>
        <w:rPr>
          <w:rFonts w:hint="eastAsia" w:ascii="Times New Roman" w:hAnsi="Times New Roman" w:cs="Times New Roman"/>
          <w:color w:val="000000" w:themeColor="text1"/>
          <w:u w:val="none"/>
          <w14:textFill>
            <w14:solidFill>
              <w14:schemeClr w14:val="tx1"/>
            </w14:solidFill>
          </w14:textFill>
        </w:rPr>
        <w:t>。</w:t>
      </w:r>
    </w:p>
    <w:p>
      <w:pPr>
        <w:pStyle w:val="2"/>
        <w:autoSpaceDE/>
        <w:autoSpaceDN/>
        <w:adjustRightInd w:val="0"/>
        <w:snapToGrid w:val="0"/>
        <w:spacing w:before="0" w:line="360" w:lineRule="auto"/>
        <w:ind w:left="0" w:firstLine="480" w:firstLineChars="200"/>
        <w:jc w:val="both"/>
        <w:rPr>
          <w:rFonts w:hint="eastAsia" w:ascii="Times New Roman" w:hAnsi="Times New Roman" w:eastAsia="宋体" w:cs="Times New Roman"/>
          <w:color w:val="000000" w:themeColor="text1"/>
          <w:u w:val="none"/>
          <w:lang w:eastAsia="zh-CN"/>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涉水工程施工会扰动水体产生悬浮物，导致水体悬浮物浓度增加，对鱼类及水生生物造成不利影响。清淤过程将导致水生环境发生较大改变，可能会直接影响到水生生物的生存、繁殖和分布，保护措施不当可造成部分水生生物死亡，生物量和净生产量下降，生物多样性减少，好氧浮游生物、鱼类、底栖动物可能会因环境的恶化而死亡，从而造成整个水生生态系统一系列的变化，影响局部水文条件和水生生态系统的稳定性</w:t>
      </w:r>
      <w:r>
        <w:rPr>
          <w:rFonts w:hint="eastAsia" w:ascii="Times New Roman" w:hAnsi="Times New Roman" w:cs="Times New Roman"/>
          <w:color w:val="000000" w:themeColor="text1"/>
          <w:u w:val="none"/>
          <w:lang w:eastAsia="zh-CN"/>
          <w14:textFill>
            <w14:solidFill>
              <w14:schemeClr w14:val="tx1"/>
            </w14:solidFill>
          </w14:textFill>
        </w:rPr>
        <w:t>。</w:t>
      </w:r>
    </w:p>
    <w:p>
      <w:pPr>
        <w:pStyle w:val="2"/>
        <w:autoSpaceDE/>
        <w:autoSpaceDN/>
        <w:adjustRightInd w:val="0"/>
        <w:snapToGrid w:val="0"/>
        <w:spacing w:before="0" w:line="360" w:lineRule="auto"/>
        <w:ind w:left="0" w:firstLine="480" w:firstLineChars="200"/>
        <w:jc w:val="both"/>
        <w:rPr>
          <w:rFonts w:hint="eastAsia" w:ascii="Times New Roman" w:hAnsi="Times New Roman" w:eastAsia="宋体" w:cs="Times New Roman"/>
          <w:color w:val="000000" w:themeColor="text1"/>
          <w:u w:val="none"/>
          <w:lang w:eastAsia="zh-CN"/>
          <w14:textFill>
            <w14:solidFill>
              <w14:schemeClr w14:val="tx1"/>
            </w14:solidFill>
          </w14:textFill>
        </w:rPr>
      </w:pPr>
      <w:r>
        <w:rPr>
          <w:rFonts w:hint="eastAsia" w:ascii="Times New Roman" w:hAnsi="Times New Roman" w:cs="Times New Roman"/>
          <w:color w:val="000000" w:themeColor="text1"/>
          <w:u w:val="none"/>
          <w:lang w:eastAsia="zh-CN"/>
          <w14:textFill>
            <w14:solidFill>
              <w14:schemeClr w14:val="tx1"/>
            </w14:solidFill>
          </w14:textFill>
        </w:rPr>
        <w:t>工程将加强环境保护管理及教育，工程建筑垃圾及施工人员生活垃圾不乱堆乱放，严格禁止工程建筑垃圾及施工人员生活垃圾进入祁水河道。</w:t>
      </w:r>
    </w:p>
    <w:p>
      <w:pPr>
        <w:pStyle w:val="2"/>
        <w:autoSpaceDE/>
        <w:autoSpaceDN/>
        <w:adjustRightInd w:val="0"/>
        <w:snapToGrid w:val="0"/>
        <w:spacing w:before="0" w:line="360" w:lineRule="auto"/>
        <w:ind w:left="0" w:firstLine="480" w:firstLineChars="200"/>
        <w:jc w:val="both"/>
        <w:rPr>
          <w:rFonts w:hint="eastAsia" w:ascii="Times New Roman" w:hAnsi="Times New Roman" w:eastAsia="宋体" w:cs="Times New Roman"/>
          <w:color w:val="000000" w:themeColor="text1"/>
          <w:u w:val="none"/>
          <w:lang w:eastAsia="zh-CN"/>
          <w14:textFill>
            <w14:solidFill>
              <w14:schemeClr w14:val="tx1"/>
            </w14:solidFill>
          </w14:textFill>
        </w:rPr>
      </w:pPr>
      <w:r>
        <w:rPr>
          <w:rFonts w:hint="eastAsia" w:ascii="Times New Roman" w:hAnsi="Times New Roman" w:cs="Times New Roman"/>
          <w:color w:val="000000" w:themeColor="text1"/>
          <w:u w:val="none"/>
          <w14:textFill>
            <w14:solidFill>
              <w14:schemeClr w14:val="tx1"/>
            </w14:solidFill>
          </w14:textFill>
        </w:rPr>
        <w:t>根据施工组织设计，项目选择在枯水期施工，尽量减少对</w:t>
      </w:r>
      <w:r>
        <w:rPr>
          <w:rFonts w:hint="eastAsia" w:ascii="Times New Roman" w:hAnsi="Times New Roman" w:cs="Times New Roman"/>
          <w:color w:val="000000" w:themeColor="text1"/>
          <w:u w:val="none"/>
          <w:lang w:eastAsia="zh-CN"/>
          <w14:textFill>
            <w14:solidFill>
              <w14:schemeClr w14:val="tx1"/>
            </w14:solidFill>
          </w14:textFill>
        </w:rPr>
        <w:t>祁水及</w:t>
      </w:r>
      <w:r>
        <w:rPr>
          <w:rFonts w:hint="eastAsia" w:ascii="Times New Roman" w:hAnsi="Times New Roman" w:cs="Times New Roman"/>
          <w:color w:val="000000" w:themeColor="text1"/>
          <w:u w:val="none"/>
          <w14:textFill>
            <w14:solidFill>
              <w14:schemeClr w14:val="tx1"/>
            </w14:solidFill>
          </w14:textFill>
        </w:rPr>
        <w:t>饮用水水源保护区水质的扰动，降低项目施工对水质的影响。另一方面，项目施工期间，建设单位需事先与</w:t>
      </w:r>
      <w:r>
        <w:rPr>
          <w:rFonts w:hint="eastAsia" w:ascii="Times New Roman" w:hAnsi="Times New Roman" w:cs="Times New Roman"/>
          <w:color w:val="000000" w:themeColor="text1"/>
          <w:u w:val="none"/>
          <w:lang w:eastAsia="zh-CN"/>
          <w14:textFill>
            <w14:solidFill>
              <w14:schemeClr w14:val="tx1"/>
            </w14:solidFill>
          </w14:textFill>
        </w:rPr>
        <w:t>城连墟乡</w:t>
      </w:r>
      <w:r>
        <w:rPr>
          <w:rFonts w:hint="eastAsia" w:ascii="Times New Roman" w:hAnsi="Times New Roman" w:cs="Times New Roman"/>
          <w:color w:val="000000" w:themeColor="text1"/>
          <w:u w:val="none"/>
          <w14:textFill>
            <w14:solidFill>
              <w14:schemeClr w14:val="tx1"/>
            </w14:solidFill>
          </w14:textFill>
        </w:rPr>
        <w:t>自来水厂沟通协调好，选择用水低峰时段施工，施工期需加强对饮用水水源保护区及取水口上、下游</w:t>
      </w:r>
      <w:r>
        <w:rPr>
          <w:rFonts w:hint="eastAsia" w:ascii="Times New Roman" w:hAnsi="Times New Roman" w:cs="Times New Roman"/>
          <w:color w:val="000000" w:themeColor="text1"/>
          <w:u w:val="none"/>
          <w:lang w:eastAsia="zh-CN"/>
          <w14:textFill>
            <w14:solidFill>
              <w14:schemeClr w14:val="tx1"/>
            </w14:solidFill>
          </w14:textFill>
        </w:rPr>
        <w:t>、取水井</w:t>
      </w:r>
      <w:r>
        <w:rPr>
          <w:rFonts w:hint="eastAsia" w:ascii="Times New Roman" w:hAnsi="Times New Roman" w:cs="Times New Roman"/>
          <w:color w:val="000000" w:themeColor="text1"/>
          <w:u w:val="none"/>
          <w14:textFill>
            <w14:solidFill>
              <w14:schemeClr w14:val="tx1"/>
            </w14:solidFill>
          </w14:textFill>
        </w:rPr>
        <w:t>的水质监测工作，建设单位应与地方政府、水厂及相关管理部门建立施工水质管理应急联动机制，发现水体污染应及时采取停工等有效措施，并启动取水应急预案，自来水厂可加强水质净化处理，加大沉淀和深度处理力度，保证水厂正常供水和供水水质正常</w:t>
      </w:r>
      <w:r>
        <w:rPr>
          <w:rFonts w:hint="eastAsia" w:ascii="Times New Roman" w:hAnsi="Times New Roman" w:cs="Times New Roman"/>
          <w:color w:val="000000" w:themeColor="text1"/>
          <w:u w:val="none"/>
          <w:lang w:eastAsia="zh-CN"/>
          <w14:textFill>
            <w14:solidFill>
              <w14:schemeClr w14:val="tx1"/>
            </w14:solidFill>
          </w14:textFill>
        </w:rPr>
        <w:t>。</w:t>
      </w:r>
    </w:p>
    <w:p>
      <w:pPr>
        <w:autoSpaceDE/>
        <w:autoSpaceDN/>
        <w:adjustRightInd w:val="0"/>
        <w:snapToGrid w:val="0"/>
        <w:spacing w:line="360" w:lineRule="auto"/>
        <w:jc w:val="both"/>
        <w:outlineLvl w:val="2"/>
        <w:rPr>
          <w:rFonts w:ascii="Times New Roman" w:hAnsi="Times New Roman" w:cs="Times New Roman"/>
          <w:b/>
          <w:sz w:val="28"/>
          <w:szCs w:val="24"/>
        </w:rPr>
      </w:pPr>
      <w:bookmarkStart w:id="306" w:name="_Toc27651"/>
      <w:bookmarkStart w:id="307" w:name="_Toc82593174"/>
      <w:r>
        <w:rPr>
          <w:rFonts w:ascii="Times New Roman" w:hAnsi="Times New Roman" w:cs="Times New Roman"/>
          <w:b/>
          <w:sz w:val="28"/>
          <w:szCs w:val="24"/>
        </w:rPr>
        <w:t>5.1.</w:t>
      </w:r>
      <w:r>
        <w:rPr>
          <w:rFonts w:hint="eastAsia" w:ascii="Times New Roman" w:hAnsi="Times New Roman" w:cs="Times New Roman"/>
          <w:b/>
          <w:sz w:val="28"/>
          <w:szCs w:val="24"/>
        </w:rPr>
        <w:t>7</w:t>
      </w:r>
      <w:r>
        <w:rPr>
          <w:rFonts w:ascii="Times New Roman" w:hAnsi="Times New Roman" w:cs="Times New Roman"/>
          <w:b/>
          <w:sz w:val="28"/>
          <w:szCs w:val="24"/>
        </w:rPr>
        <w:t>社会环境影响分析</w:t>
      </w:r>
      <w:bookmarkEnd w:id="306"/>
      <w:bookmarkEnd w:id="307"/>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（1）对交通秩序的影响</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本工程施工会打乱当地正常的社会运作规律，在交通、生活等方面造成不利影响。</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（2）对当地居民生活质量的影响</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rPr>
        <w:t>①</w:t>
      </w:r>
      <w:r>
        <w:rPr>
          <w:rFonts w:ascii="Times New Roman" w:hAnsi="Times New Roman" w:cs="Times New Roman"/>
        </w:rPr>
        <w:t>项目建设临时占地，会对</w:t>
      </w:r>
      <w:r>
        <w:rPr>
          <w:rFonts w:hint="eastAsia" w:ascii="Times New Roman" w:hAnsi="Times New Roman" w:cs="Times New Roman"/>
          <w:lang w:eastAsia="zh-CN"/>
        </w:rPr>
        <w:t>周边</w:t>
      </w:r>
      <w:r>
        <w:rPr>
          <w:rFonts w:ascii="Times New Roman" w:hAnsi="Times New Roman" w:cs="Times New Roman"/>
        </w:rPr>
        <w:t>居民在工作、学习、生产和生活等方面产生一定的影响。</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rPr>
        <w:t>②</w:t>
      </w:r>
      <w:r>
        <w:rPr>
          <w:rFonts w:ascii="Times New Roman" w:hAnsi="Times New Roman" w:cs="Times New Roman"/>
        </w:rPr>
        <w:t>土方开挖和弃土区范围内的粉尘会对局部大气环境产生影响，从而影响当地居民的生活环境。</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但是施工期的影响是暂时的，随着施工结束而消除。</w:t>
      </w:r>
    </w:p>
    <w:p>
      <w:pPr>
        <w:pStyle w:val="5"/>
        <w:tabs>
          <w:tab w:val="left" w:pos="766"/>
        </w:tabs>
        <w:autoSpaceDE/>
        <w:autoSpaceDN/>
        <w:adjustRightInd w:val="0"/>
        <w:snapToGrid w:val="0"/>
        <w:spacing w:before="0" w:line="360" w:lineRule="auto"/>
        <w:ind w:left="0" w:firstLine="0"/>
        <w:jc w:val="both"/>
        <w:rPr>
          <w:rFonts w:ascii="Times New Roman" w:hAnsi="Times New Roman" w:cs="Times New Roman"/>
          <w:snapToGrid w:val="0"/>
        </w:rPr>
      </w:pPr>
      <w:bookmarkStart w:id="308" w:name="_bookmark38"/>
      <w:bookmarkEnd w:id="308"/>
      <w:bookmarkStart w:id="309" w:name="_Toc30080"/>
      <w:r>
        <w:rPr>
          <w:rFonts w:ascii="Times New Roman" w:hAnsi="Times New Roman" w:cs="Times New Roman"/>
          <w:snapToGrid w:val="0"/>
        </w:rPr>
        <w:t>5.2营运期环境影响</w:t>
      </w:r>
      <w:bookmarkEnd w:id="309"/>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1</w:t>
      </w:r>
      <w:r>
        <w:rPr>
          <w:rFonts w:hint="eastAsia" w:ascii="Times New Roman" w:hAnsi="Times New Roman" w:cs="Times New Roman"/>
          <w:lang w:eastAsia="zh-CN"/>
        </w:rPr>
        <w:t>）</w:t>
      </w:r>
      <w:r>
        <w:rPr>
          <w:rFonts w:hint="eastAsia" w:ascii="Times New Roman" w:hAnsi="Times New Roman" w:cs="Times New Roman"/>
        </w:rPr>
        <w:t>营运期生态影响分析</w:t>
      </w:r>
    </w:p>
    <w:p>
      <w:pPr>
        <w:pStyle w:val="2"/>
        <w:autoSpaceDE/>
        <w:autoSpaceDN/>
        <w:adjustRightInd w:val="0"/>
        <w:snapToGrid w:val="0"/>
        <w:spacing w:before="0" w:line="360" w:lineRule="auto"/>
        <w:ind w:left="0" w:firstLine="480" w:firstLineChars="200"/>
        <w:jc w:val="both"/>
        <w:rPr>
          <w:rFonts w:hint="eastAsia" w:ascii="Times New Roman" w:hAnsi="Times New Roman" w:eastAsia="宋体" w:cs="Times New Roman"/>
          <w:lang w:eastAsia="zh-CN"/>
        </w:rPr>
      </w:pPr>
      <w:r>
        <w:rPr>
          <w:rFonts w:hint="eastAsia" w:ascii="Times New Roman" w:hAnsi="Times New Roman" w:cs="Times New Roman"/>
        </w:rPr>
        <w:t>刚性护岸的修建、河槽过流断面的扩宽、洲滩疏挖、河道疏浚清淤等水利工程，对整个河流生态系统会造成不利影响，导致周边动植物生存环境破坏，甚至因丧失生存条件而使物种消失。河床、河岸及边坡的硬化处理改变了微生物的交换生存环境，破坏了鱼类食物来源及产卵场所；河滩疏挖工程使水生植物生长区域减少，土壤中微生物的数量种类大大减少，边坡硬化使鱼类产卵条件恶化，鸟类、鱼类以及两栖类动物栖息地被破坏甚至消失。因此，对乌江进行河道整治的同时，开展河流的生态恢复和修复，建设生态护坡和生态缓冲带，减少因河道整治工程的实施而对生态环境造成的不利影响</w:t>
      </w:r>
      <w:r>
        <w:rPr>
          <w:rFonts w:hint="eastAsia" w:ascii="Times New Roman" w:hAnsi="Times New Roman" w:cs="Times New Roman"/>
          <w:lang w:eastAsia="zh-CN"/>
        </w:rPr>
        <w:t>。</w:t>
      </w:r>
    </w:p>
    <w:p>
      <w:pPr>
        <w:pStyle w:val="2"/>
        <w:autoSpaceDE/>
        <w:autoSpaceDN/>
        <w:adjustRightInd w:val="0"/>
        <w:snapToGrid w:val="0"/>
        <w:spacing w:before="0" w:line="360" w:lineRule="auto"/>
        <w:jc w:val="both"/>
        <w:rPr>
          <w:rFonts w:hint="eastAsia"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2</w:t>
      </w:r>
      <w:r>
        <w:rPr>
          <w:rFonts w:hint="eastAsia" w:ascii="Times New Roman" w:hAnsi="Times New Roman" w:cs="Times New Roman"/>
          <w:lang w:eastAsia="zh-CN"/>
        </w:rPr>
        <w:t>）</w:t>
      </w:r>
      <w:r>
        <w:rPr>
          <w:rFonts w:hint="eastAsia" w:ascii="Times New Roman" w:hAnsi="Times New Roman" w:cs="Times New Roman"/>
        </w:rPr>
        <w:t>运营期地表水环境影响分析</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由于河道整治的实施，将一定程度上改变河道的天然状态，河流的水力条件得到了一定的改善。河道整治后修建堤防，清除淤积于河内的杂物，扩大河槽过流断面，使水流状态发生变化，水流变得集中且较顺畅，流速有一定的提高。防洪标准也相应提高，有利于减轻区域洪灾威胁。</w:t>
      </w:r>
    </w:p>
    <w:p>
      <w:pPr>
        <w:pStyle w:val="2"/>
        <w:numPr>
          <w:ilvl w:val="0"/>
          <w:numId w:val="12"/>
        </w:numPr>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整治河段水面线计算</w:t>
      </w:r>
    </w:p>
    <w:p>
      <w:pPr>
        <w:pStyle w:val="2"/>
        <w:numPr>
          <w:ilvl w:val="0"/>
          <w:numId w:val="0"/>
        </w:numPr>
        <w:autoSpaceDE/>
        <w:autoSpaceDN/>
        <w:adjustRightInd w:val="0"/>
        <w:snapToGrid w:val="0"/>
        <w:spacing w:before="0" w:line="360" w:lineRule="auto"/>
        <w:ind w:firstLine="480" w:firstLineChars="200"/>
        <w:jc w:val="both"/>
        <w:rPr>
          <w:rFonts w:hint="eastAsia" w:ascii="Times New Roman" w:hAnsi="Times New Roman" w:cs="Times New Roman"/>
        </w:rPr>
      </w:pPr>
      <w:r>
        <w:rPr>
          <w:rFonts w:hint="eastAsia" w:ascii="Times New Roman" w:hAnsi="Times New Roman" w:cs="Times New Roman"/>
        </w:rPr>
        <w:t>本评价治理河段工程前后水面线推算成果直接采用工程初步设计报告中的数据。</w:t>
      </w:r>
    </w:p>
    <w:p>
      <w:pPr>
        <w:pStyle w:val="459"/>
      </w:pPr>
      <w:r>
        <w:rPr>
          <w:rFonts w:hint="eastAsia"/>
        </w:rPr>
        <w:t>祁32+537东风水闸</w:t>
      </w:r>
      <w:r>
        <w:t>水位计算</w:t>
      </w:r>
    </w:p>
    <w:p>
      <w:pPr>
        <w:pStyle w:val="815"/>
        <w:rPr>
          <w:rFonts w:hint="eastAsia"/>
        </w:rPr>
      </w:pPr>
      <w:r>
        <w:rPr>
          <w:rFonts w:hint="eastAsia"/>
        </w:rPr>
        <w:t>祁水祁东县治理工程下游起点祁32+537为二期上游终点东风水闸，水位祁水二期已进行了计算，工程前上游</w:t>
      </w:r>
      <w:r>
        <w:t>10年一遇洪水位为</w:t>
      </w:r>
      <w:r>
        <w:rPr>
          <w:rFonts w:hint="eastAsia"/>
        </w:rPr>
        <w:t>141.06</w:t>
      </w:r>
      <w:r>
        <w:t>m，</w:t>
      </w:r>
      <w:r>
        <w:rPr>
          <w:rFonts w:hint="eastAsia"/>
        </w:rPr>
        <w:t>20年一遇洪水位为140.18m，工程后上游</w:t>
      </w:r>
      <w:r>
        <w:t>10年一遇洪水位为140.8</w:t>
      </w:r>
      <w:r>
        <w:rPr>
          <w:rFonts w:hint="eastAsia"/>
        </w:rPr>
        <w:t>0</w:t>
      </w:r>
      <w:r>
        <w:t>m，</w:t>
      </w:r>
      <w:r>
        <w:rPr>
          <w:rFonts w:hint="eastAsia"/>
        </w:rPr>
        <w:t>20年一遇洪水位为140.09m，成果见详表2.5-17。</w:t>
      </w:r>
    </w:p>
    <w:p>
      <w:pPr>
        <w:pStyle w:val="569"/>
        <w:spacing w:before="120"/>
        <w:rPr>
          <w:rFonts w:hint="eastAsia"/>
        </w:rPr>
      </w:pPr>
      <w:r>
        <w:rPr>
          <w:rFonts w:hint="eastAsia"/>
        </w:rPr>
        <w:t xml:space="preserve">                祁32+537断面水位成果表</w:t>
      </w:r>
    </w:p>
    <w:tbl>
      <w:tblPr>
        <w:tblStyle w:val="89"/>
        <w:tblW w:w="496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38"/>
        <w:gridCol w:w="1132"/>
        <w:gridCol w:w="1219"/>
        <w:gridCol w:w="1007"/>
        <w:gridCol w:w="1007"/>
        <w:gridCol w:w="1007"/>
        <w:gridCol w:w="977"/>
        <w:gridCol w:w="13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690" w:type="pct"/>
            <w:vMerge w:val="restart"/>
            <w:shd w:val="clear" w:color="auto" w:fill="auto"/>
            <w:noWrap/>
            <w:vAlign w:val="center"/>
          </w:tcPr>
          <w:p>
            <w:pPr>
              <w:pStyle w:val="2986"/>
            </w:pPr>
            <w:r>
              <w:rPr>
                <w:rFonts w:hint="eastAsia"/>
              </w:rPr>
              <w:t>桩号</w:t>
            </w:r>
          </w:p>
        </w:tc>
        <w:tc>
          <w:tcPr>
            <w:tcW w:w="631" w:type="pct"/>
            <w:vMerge w:val="restart"/>
            <w:shd w:val="clear" w:color="auto" w:fill="auto"/>
            <w:noWrap/>
            <w:vAlign w:val="center"/>
          </w:tcPr>
          <w:p>
            <w:pPr>
              <w:pStyle w:val="2986"/>
            </w:pPr>
            <w:r>
              <w:rPr>
                <w:rFonts w:hint="eastAsia"/>
              </w:rPr>
              <w:t>中泓（m）</w:t>
            </w:r>
          </w:p>
        </w:tc>
        <w:tc>
          <w:tcPr>
            <w:tcW w:w="1242" w:type="pct"/>
            <w:gridSpan w:val="2"/>
            <w:shd w:val="clear" w:color="auto" w:fill="auto"/>
            <w:noWrap/>
            <w:vAlign w:val="center"/>
          </w:tcPr>
          <w:p>
            <w:pPr>
              <w:pStyle w:val="2986"/>
            </w:pPr>
            <w:r>
              <w:rPr>
                <w:rFonts w:hint="eastAsia"/>
              </w:rPr>
              <w:t>P=10%水位（m）</w:t>
            </w:r>
          </w:p>
        </w:tc>
        <w:tc>
          <w:tcPr>
            <w:tcW w:w="1124" w:type="pct"/>
            <w:gridSpan w:val="2"/>
            <w:shd w:val="clear" w:color="auto" w:fill="auto"/>
            <w:noWrap/>
            <w:vAlign w:val="center"/>
          </w:tcPr>
          <w:p>
            <w:pPr>
              <w:pStyle w:val="2986"/>
            </w:pPr>
            <w:r>
              <w:rPr>
                <w:rFonts w:hint="eastAsia"/>
              </w:rPr>
              <w:t>P=20%水位（m）</w:t>
            </w:r>
          </w:p>
        </w:tc>
        <w:tc>
          <w:tcPr>
            <w:tcW w:w="545" w:type="pct"/>
            <w:vMerge w:val="restart"/>
            <w:shd w:val="clear" w:color="auto" w:fill="auto"/>
            <w:noWrap/>
            <w:vAlign w:val="center"/>
          </w:tcPr>
          <w:p>
            <w:pPr>
              <w:pStyle w:val="2986"/>
            </w:pPr>
            <w:r>
              <w:rPr>
                <w:rFonts w:hint="eastAsia"/>
              </w:rPr>
              <w:t>P=50%水位（m）</w:t>
            </w:r>
          </w:p>
        </w:tc>
        <w:tc>
          <w:tcPr>
            <w:tcW w:w="768" w:type="pct"/>
            <w:vMerge w:val="restart"/>
            <w:shd w:val="clear" w:color="auto" w:fill="auto"/>
            <w:noWrap/>
            <w:vAlign w:val="center"/>
          </w:tcPr>
          <w:p>
            <w:pPr>
              <w:pStyle w:val="2986"/>
            </w:pPr>
            <w:r>
              <w:rPr>
                <w:rFonts w:hint="eastAsia"/>
              </w:rPr>
              <w:t>备注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690" w:type="pct"/>
            <w:vMerge w:val="continue"/>
            <w:shd w:val="clear" w:color="auto" w:fill="auto"/>
            <w:noWrap w:val="0"/>
            <w:vAlign w:val="center"/>
          </w:tcPr>
          <w:p>
            <w:pPr>
              <w:pStyle w:val="2986"/>
            </w:pPr>
          </w:p>
        </w:tc>
        <w:tc>
          <w:tcPr>
            <w:tcW w:w="631" w:type="pct"/>
            <w:vMerge w:val="continue"/>
            <w:shd w:val="clear" w:color="auto" w:fill="auto"/>
            <w:noWrap w:val="0"/>
            <w:vAlign w:val="center"/>
          </w:tcPr>
          <w:p>
            <w:pPr>
              <w:pStyle w:val="2986"/>
            </w:pPr>
          </w:p>
        </w:tc>
        <w:tc>
          <w:tcPr>
            <w:tcW w:w="680" w:type="pct"/>
            <w:shd w:val="clear" w:color="auto" w:fill="auto"/>
            <w:noWrap/>
            <w:vAlign w:val="center"/>
          </w:tcPr>
          <w:p>
            <w:pPr>
              <w:pStyle w:val="2986"/>
            </w:pPr>
            <w:r>
              <w:rPr>
                <w:rFonts w:hint="eastAsia"/>
              </w:rPr>
              <w:t>工程前</w:t>
            </w:r>
          </w:p>
        </w:tc>
        <w:tc>
          <w:tcPr>
            <w:tcW w:w="562" w:type="pct"/>
            <w:shd w:val="clear" w:color="auto" w:fill="auto"/>
            <w:noWrap/>
            <w:vAlign w:val="center"/>
          </w:tcPr>
          <w:p>
            <w:pPr>
              <w:pStyle w:val="2986"/>
            </w:pPr>
            <w:r>
              <w:rPr>
                <w:rFonts w:hint="eastAsia"/>
              </w:rPr>
              <w:t>工程后</w:t>
            </w:r>
          </w:p>
        </w:tc>
        <w:tc>
          <w:tcPr>
            <w:tcW w:w="562" w:type="pct"/>
            <w:shd w:val="clear" w:color="auto" w:fill="auto"/>
            <w:noWrap/>
            <w:vAlign w:val="center"/>
          </w:tcPr>
          <w:p>
            <w:pPr>
              <w:pStyle w:val="2986"/>
            </w:pPr>
            <w:r>
              <w:rPr>
                <w:rFonts w:hint="eastAsia"/>
              </w:rPr>
              <w:t>工程前</w:t>
            </w:r>
          </w:p>
        </w:tc>
        <w:tc>
          <w:tcPr>
            <w:tcW w:w="562" w:type="pct"/>
            <w:shd w:val="clear" w:color="auto" w:fill="auto"/>
            <w:noWrap/>
            <w:vAlign w:val="center"/>
          </w:tcPr>
          <w:p>
            <w:pPr>
              <w:pStyle w:val="2986"/>
            </w:pPr>
            <w:r>
              <w:rPr>
                <w:rFonts w:hint="eastAsia"/>
              </w:rPr>
              <w:t>工程后</w:t>
            </w:r>
          </w:p>
        </w:tc>
        <w:tc>
          <w:tcPr>
            <w:tcW w:w="545" w:type="pct"/>
            <w:vMerge w:val="continue"/>
            <w:shd w:val="clear" w:color="auto" w:fill="auto"/>
            <w:noWrap/>
            <w:vAlign w:val="center"/>
          </w:tcPr>
          <w:p>
            <w:pPr>
              <w:pStyle w:val="2986"/>
            </w:pPr>
          </w:p>
        </w:tc>
        <w:tc>
          <w:tcPr>
            <w:tcW w:w="768" w:type="pct"/>
            <w:vMerge w:val="continue"/>
            <w:shd w:val="clear" w:color="auto" w:fill="auto"/>
            <w:noWrap/>
            <w:vAlign w:val="center"/>
          </w:tcPr>
          <w:p>
            <w:pPr>
              <w:pStyle w:val="2986"/>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90" w:type="pct"/>
            <w:shd w:val="clear" w:color="auto" w:fill="auto"/>
            <w:noWrap/>
            <w:vAlign w:val="center"/>
          </w:tcPr>
          <w:p>
            <w:pPr>
              <w:pStyle w:val="2986"/>
            </w:pPr>
            <w:r>
              <w:rPr>
                <w:rFonts w:hint="eastAsia"/>
              </w:rPr>
              <w:t>祁32+548</w:t>
            </w:r>
          </w:p>
        </w:tc>
        <w:tc>
          <w:tcPr>
            <w:tcW w:w="631" w:type="pct"/>
            <w:shd w:val="clear" w:color="auto" w:fill="auto"/>
            <w:noWrap/>
            <w:vAlign w:val="center"/>
          </w:tcPr>
          <w:p>
            <w:pPr>
              <w:pStyle w:val="2986"/>
            </w:pPr>
            <w:r>
              <w:rPr>
                <w:rFonts w:hint="eastAsia"/>
              </w:rPr>
              <w:t xml:space="preserve">135.09 </w:t>
            </w:r>
          </w:p>
        </w:tc>
        <w:tc>
          <w:tcPr>
            <w:tcW w:w="680" w:type="pct"/>
            <w:shd w:val="clear" w:color="auto" w:fill="auto"/>
            <w:noWrap/>
            <w:vAlign w:val="center"/>
          </w:tcPr>
          <w:p>
            <w:pPr>
              <w:pStyle w:val="2986"/>
            </w:pPr>
            <w:r>
              <w:rPr>
                <w:rFonts w:hint="eastAsia"/>
              </w:rPr>
              <w:t xml:space="preserve">140.75 </w:t>
            </w:r>
          </w:p>
        </w:tc>
        <w:tc>
          <w:tcPr>
            <w:tcW w:w="562" w:type="pct"/>
            <w:shd w:val="clear" w:color="auto" w:fill="auto"/>
            <w:noWrap/>
            <w:vAlign w:val="center"/>
          </w:tcPr>
          <w:p>
            <w:pPr>
              <w:pStyle w:val="2986"/>
            </w:pPr>
            <w:r>
              <w:rPr>
                <w:rFonts w:hint="eastAsia"/>
              </w:rPr>
              <w:t xml:space="preserve">140.73 </w:t>
            </w:r>
          </w:p>
        </w:tc>
        <w:tc>
          <w:tcPr>
            <w:tcW w:w="562" w:type="pct"/>
            <w:shd w:val="clear" w:color="auto" w:fill="auto"/>
            <w:noWrap/>
            <w:vAlign w:val="center"/>
          </w:tcPr>
          <w:p>
            <w:pPr>
              <w:pStyle w:val="2986"/>
            </w:pPr>
            <w:r>
              <w:rPr>
                <w:rFonts w:hint="eastAsia"/>
              </w:rPr>
              <w:t xml:space="preserve">140.09 </w:t>
            </w:r>
          </w:p>
        </w:tc>
        <w:tc>
          <w:tcPr>
            <w:tcW w:w="562" w:type="pct"/>
            <w:shd w:val="clear" w:color="auto" w:fill="auto"/>
            <w:noWrap/>
            <w:vAlign w:val="center"/>
          </w:tcPr>
          <w:p>
            <w:pPr>
              <w:pStyle w:val="2986"/>
            </w:pPr>
            <w:r>
              <w:rPr>
                <w:rFonts w:hint="eastAsia"/>
              </w:rPr>
              <w:t xml:space="preserve">140.05 </w:t>
            </w:r>
          </w:p>
        </w:tc>
        <w:tc>
          <w:tcPr>
            <w:tcW w:w="545" w:type="pct"/>
            <w:shd w:val="clear" w:color="auto" w:fill="auto"/>
            <w:noWrap/>
            <w:vAlign w:val="center"/>
          </w:tcPr>
          <w:p>
            <w:pPr>
              <w:pStyle w:val="2986"/>
            </w:pPr>
            <w:r>
              <w:rPr>
                <w:rFonts w:hint="eastAsia"/>
              </w:rPr>
              <w:t xml:space="preserve">139.03 </w:t>
            </w:r>
          </w:p>
        </w:tc>
        <w:tc>
          <w:tcPr>
            <w:tcW w:w="768" w:type="pct"/>
            <w:shd w:val="clear" w:color="auto" w:fill="auto"/>
            <w:noWrap/>
            <w:vAlign w:val="center"/>
          </w:tcPr>
          <w:p>
            <w:pPr>
              <w:pStyle w:val="2986"/>
            </w:pPr>
            <w:r>
              <w:rPr>
                <w:rFonts w:hint="eastAsia"/>
              </w:rPr>
              <w:t>东风水闸下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90" w:type="pct"/>
            <w:shd w:val="clear" w:color="auto" w:fill="auto"/>
            <w:noWrap/>
            <w:vAlign w:val="center"/>
          </w:tcPr>
          <w:p>
            <w:pPr>
              <w:pStyle w:val="2986"/>
            </w:pPr>
            <w:r>
              <w:rPr>
                <w:rFonts w:hint="eastAsia"/>
              </w:rPr>
              <w:t>祁32+537</w:t>
            </w:r>
          </w:p>
        </w:tc>
        <w:tc>
          <w:tcPr>
            <w:tcW w:w="631" w:type="pct"/>
            <w:shd w:val="clear" w:color="auto" w:fill="auto"/>
            <w:noWrap/>
            <w:vAlign w:val="center"/>
          </w:tcPr>
          <w:p>
            <w:pPr>
              <w:pStyle w:val="2986"/>
            </w:pPr>
            <w:r>
              <w:rPr>
                <w:rFonts w:hint="eastAsia"/>
              </w:rPr>
              <w:t xml:space="preserve">136.29 </w:t>
            </w:r>
          </w:p>
        </w:tc>
        <w:tc>
          <w:tcPr>
            <w:tcW w:w="680" w:type="pct"/>
            <w:shd w:val="clear" w:color="auto" w:fill="auto"/>
            <w:noWrap/>
            <w:vAlign w:val="center"/>
          </w:tcPr>
          <w:p>
            <w:pPr>
              <w:pStyle w:val="2986"/>
            </w:pPr>
            <w:r>
              <w:rPr>
                <w:rFonts w:hint="eastAsia"/>
              </w:rPr>
              <w:t xml:space="preserve">141.06 </w:t>
            </w:r>
          </w:p>
        </w:tc>
        <w:tc>
          <w:tcPr>
            <w:tcW w:w="562" w:type="pct"/>
            <w:shd w:val="clear" w:color="auto" w:fill="auto"/>
            <w:noWrap/>
            <w:vAlign w:val="center"/>
          </w:tcPr>
          <w:p>
            <w:pPr>
              <w:pStyle w:val="2986"/>
            </w:pPr>
            <w:r>
              <w:rPr>
                <w:rFonts w:hint="eastAsia"/>
              </w:rPr>
              <w:t xml:space="preserve">140.80 </w:t>
            </w:r>
          </w:p>
        </w:tc>
        <w:tc>
          <w:tcPr>
            <w:tcW w:w="562" w:type="pct"/>
            <w:shd w:val="clear" w:color="auto" w:fill="auto"/>
            <w:noWrap/>
            <w:vAlign w:val="center"/>
          </w:tcPr>
          <w:p>
            <w:pPr>
              <w:pStyle w:val="2986"/>
            </w:pPr>
            <w:r>
              <w:rPr>
                <w:rFonts w:hint="eastAsia"/>
              </w:rPr>
              <w:t xml:space="preserve">140.18 </w:t>
            </w:r>
          </w:p>
        </w:tc>
        <w:tc>
          <w:tcPr>
            <w:tcW w:w="562" w:type="pct"/>
            <w:shd w:val="clear" w:color="auto" w:fill="auto"/>
            <w:noWrap/>
            <w:vAlign w:val="center"/>
          </w:tcPr>
          <w:p>
            <w:pPr>
              <w:pStyle w:val="2986"/>
            </w:pPr>
            <w:r>
              <w:rPr>
                <w:rFonts w:hint="eastAsia"/>
              </w:rPr>
              <w:t xml:space="preserve">140.09 </w:t>
            </w:r>
          </w:p>
        </w:tc>
        <w:tc>
          <w:tcPr>
            <w:tcW w:w="545" w:type="pct"/>
            <w:shd w:val="clear" w:color="auto" w:fill="auto"/>
            <w:noWrap/>
            <w:vAlign w:val="center"/>
          </w:tcPr>
          <w:p>
            <w:pPr>
              <w:pStyle w:val="2986"/>
            </w:pPr>
            <w:r>
              <w:rPr>
                <w:rFonts w:hint="eastAsia"/>
              </w:rPr>
              <w:t xml:space="preserve">139.52 </w:t>
            </w:r>
          </w:p>
        </w:tc>
        <w:tc>
          <w:tcPr>
            <w:tcW w:w="768" w:type="pct"/>
            <w:shd w:val="clear" w:color="auto" w:fill="auto"/>
            <w:noWrap/>
            <w:vAlign w:val="center"/>
          </w:tcPr>
          <w:p>
            <w:pPr>
              <w:pStyle w:val="2986"/>
            </w:pPr>
            <w:r>
              <w:rPr>
                <w:rFonts w:hint="eastAsia"/>
              </w:rPr>
              <w:t>东风水闸上</w:t>
            </w:r>
          </w:p>
        </w:tc>
      </w:tr>
    </w:tbl>
    <w:p>
      <w:pPr>
        <w:pStyle w:val="2986"/>
        <w:rPr>
          <w:rFonts w:hint="eastAsia"/>
        </w:rPr>
      </w:pPr>
    </w:p>
    <w:p>
      <w:pPr>
        <w:pStyle w:val="459"/>
        <w:rPr>
          <w:rFonts w:hint="eastAsia"/>
        </w:rPr>
      </w:pPr>
      <w:r>
        <w:rPr>
          <w:rFonts w:hint="eastAsia"/>
        </w:rPr>
        <w:t>祁3+550双江村公路桥上游</w:t>
      </w:r>
      <w:r>
        <w:t>水位计算</w:t>
      </w:r>
    </w:p>
    <w:p>
      <w:pPr>
        <w:pStyle w:val="815"/>
      </w:pPr>
      <w:r>
        <w:rPr>
          <w:rFonts w:hint="eastAsia"/>
        </w:rPr>
        <w:t>祁水源段无具体洪水调查成果，根据测量取下游顺直河段即桩号祁3+550处作为起推断面，该位置虽然设有公路桥，但无中墩且桥板较高，本次不考虑两侧阻水作用。</w:t>
      </w:r>
      <w:r>
        <w:t>根据河道实测断面及曼宁公式计算下游水位-流量关系，计算公式</w:t>
      </w:r>
      <w:r>
        <w:rPr>
          <w:rFonts w:hint="eastAsia"/>
        </w:rPr>
        <w:t>：</w:t>
      </w:r>
    </w:p>
    <w:p>
      <w:pPr>
        <w:pStyle w:val="815"/>
        <w:ind w:firstLine="0" w:firstLineChars="0"/>
        <w:jc w:val="center"/>
        <w:rPr>
          <w:rFonts w:eastAsia="Times New Roman"/>
        </w:rPr>
      </w:pPr>
      <w:r>
        <w:t>Q=WR</w:t>
      </w:r>
      <w:r>
        <w:rPr>
          <w:vertAlign w:val="superscript"/>
        </w:rPr>
        <w:t>2/3</w:t>
      </w:r>
      <w:r>
        <w:t>J</w:t>
      </w:r>
      <w:r>
        <w:rPr>
          <w:vertAlign w:val="superscript"/>
        </w:rPr>
        <w:t>1/2</w:t>
      </w:r>
      <w:r>
        <w:t>/n</w:t>
      </w:r>
    </w:p>
    <w:p>
      <w:pPr>
        <w:pStyle w:val="815"/>
      </w:pPr>
      <w:r>
        <w:t>式中：W—过水断面积，m</w:t>
      </w:r>
      <w:r>
        <w:rPr>
          <w:vertAlign w:val="superscript"/>
        </w:rPr>
        <w:t>2</w:t>
      </w:r>
      <w:r>
        <w:t>；</w:t>
      </w:r>
    </w:p>
    <w:p>
      <w:pPr>
        <w:pStyle w:val="815"/>
        <w:ind w:firstLine="1132" w:firstLineChars="472"/>
      </w:pPr>
      <w:r>
        <w:t>R—水力半径，m；</w:t>
      </w:r>
    </w:p>
    <w:p>
      <w:pPr>
        <w:pStyle w:val="815"/>
        <w:ind w:firstLine="1132" w:firstLineChars="472"/>
      </w:pPr>
      <w:r>
        <w:t>J—河床坡降，取</w:t>
      </w:r>
      <w:r>
        <w:rPr>
          <w:rFonts w:hint="eastAsia"/>
        </w:rPr>
        <w:t>7.0</w:t>
      </w:r>
      <w:r>
        <w:t>‰（实测</w:t>
      </w:r>
      <w:r>
        <w:rPr>
          <w:rFonts w:hint="eastAsia"/>
        </w:rPr>
        <w:t>起推断面上下游200m河段平均</w:t>
      </w:r>
      <w:r>
        <w:t>坡降）；</w:t>
      </w:r>
    </w:p>
    <w:p>
      <w:pPr>
        <w:pStyle w:val="815"/>
        <w:ind w:firstLine="1132" w:firstLineChars="472"/>
        <w:rPr>
          <w:rFonts w:ascii="仿宋_GB2312" w:eastAsia="Times New Roman"/>
        </w:rPr>
      </w:pPr>
      <w:r>
        <w:t>n—河床糙率，根据取0.035。</w:t>
      </w:r>
    </w:p>
    <w:p>
      <w:pPr>
        <w:pStyle w:val="815"/>
        <w:rPr>
          <w:rFonts w:hint="eastAsia"/>
        </w:rPr>
      </w:pPr>
      <w:r>
        <w:rPr>
          <w:rFonts w:hint="eastAsia"/>
        </w:rPr>
        <w:t>经计算，祁3+550断面工程前</w:t>
      </w:r>
      <w:r>
        <w:t>10年一遇洪水位为475.57m，</w:t>
      </w:r>
      <w:r>
        <w:rPr>
          <w:rFonts w:hint="eastAsia"/>
        </w:rPr>
        <w:t>2年一遇洪水位为</w:t>
      </w:r>
      <w:r>
        <w:t xml:space="preserve">475.37 </w:t>
      </w:r>
      <w:r>
        <w:rPr>
          <w:rFonts w:hint="eastAsia"/>
        </w:rPr>
        <w:t>m，工程后</w:t>
      </w:r>
      <w:r>
        <w:t>10年一遇洪水位为475.51m，</w:t>
      </w:r>
      <w:r>
        <w:rPr>
          <w:rFonts w:hint="eastAsia"/>
        </w:rPr>
        <w:t>2年一遇洪水位为</w:t>
      </w:r>
      <w:r>
        <w:t>475.32</w:t>
      </w:r>
      <w:r>
        <w:rPr>
          <w:rFonts w:hint="eastAsia"/>
        </w:rPr>
        <w:t>m，成果见详表2.5-18。</w:t>
      </w:r>
    </w:p>
    <w:p>
      <w:pPr>
        <w:pStyle w:val="569"/>
        <w:spacing w:before="120"/>
        <w:rPr>
          <w:rFonts w:hint="eastAsia"/>
        </w:rPr>
      </w:pPr>
      <w:r>
        <w:rPr>
          <w:rFonts w:hint="eastAsia"/>
        </w:rPr>
        <w:t xml:space="preserve">                祁3+550断面水位成果表</w:t>
      </w:r>
    </w:p>
    <w:tbl>
      <w:tblPr>
        <w:tblStyle w:val="89"/>
        <w:tblW w:w="487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39"/>
        <w:gridCol w:w="1132"/>
        <w:gridCol w:w="1220"/>
        <w:gridCol w:w="1008"/>
        <w:gridCol w:w="1006"/>
        <w:gridCol w:w="1008"/>
        <w:gridCol w:w="977"/>
        <w:gridCol w:w="12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705" w:type="pct"/>
            <w:vMerge w:val="restart"/>
            <w:shd w:val="clear" w:color="auto" w:fill="auto"/>
            <w:noWrap/>
            <w:vAlign w:val="center"/>
          </w:tcPr>
          <w:p>
            <w:pPr>
              <w:pStyle w:val="2986"/>
            </w:pPr>
            <w:r>
              <w:rPr>
                <w:rFonts w:hint="eastAsia"/>
              </w:rPr>
              <w:t>桩号</w:t>
            </w:r>
          </w:p>
        </w:tc>
        <w:tc>
          <w:tcPr>
            <w:tcW w:w="643" w:type="pct"/>
            <w:vMerge w:val="restart"/>
            <w:shd w:val="clear" w:color="auto" w:fill="auto"/>
            <w:noWrap/>
            <w:vAlign w:val="center"/>
          </w:tcPr>
          <w:p>
            <w:pPr>
              <w:pStyle w:val="2986"/>
            </w:pPr>
            <w:r>
              <w:rPr>
                <w:rFonts w:hint="eastAsia"/>
              </w:rPr>
              <w:t>中泓（m）</w:t>
            </w:r>
          </w:p>
        </w:tc>
        <w:tc>
          <w:tcPr>
            <w:tcW w:w="1266" w:type="pct"/>
            <w:gridSpan w:val="2"/>
            <w:shd w:val="clear" w:color="auto" w:fill="auto"/>
            <w:noWrap/>
            <w:vAlign w:val="center"/>
          </w:tcPr>
          <w:p>
            <w:pPr>
              <w:pStyle w:val="2986"/>
            </w:pPr>
            <w:r>
              <w:rPr>
                <w:rFonts w:hint="eastAsia"/>
              </w:rPr>
              <w:t>P=10%水位（m）</w:t>
            </w:r>
          </w:p>
        </w:tc>
        <w:tc>
          <w:tcPr>
            <w:tcW w:w="1145" w:type="pct"/>
            <w:gridSpan w:val="2"/>
            <w:shd w:val="clear" w:color="auto" w:fill="auto"/>
            <w:noWrap/>
            <w:vAlign w:val="center"/>
          </w:tcPr>
          <w:p>
            <w:pPr>
              <w:pStyle w:val="2986"/>
            </w:pPr>
            <w:r>
              <w:rPr>
                <w:rFonts w:hint="eastAsia"/>
              </w:rPr>
              <w:t>P=20%水位（m）</w:t>
            </w:r>
          </w:p>
        </w:tc>
        <w:tc>
          <w:tcPr>
            <w:tcW w:w="555" w:type="pct"/>
            <w:vMerge w:val="restart"/>
            <w:shd w:val="clear" w:color="auto" w:fill="auto"/>
            <w:noWrap/>
            <w:vAlign w:val="center"/>
          </w:tcPr>
          <w:p>
            <w:pPr>
              <w:pStyle w:val="2986"/>
            </w:pPr>
            <w:r>
              <w:rPr>
                <w:rFonts w:hint="eastAsia"/>
              </w:rPr>
              <w:t>P=50%水位（m）</w:t>
            </w:r>
          </w:p>
        </w:tc>
        <w:tc>
          <w:tcPr>
            <w:tcW w:w="686" w:type="pct"/>
            <w:vMerge w:val="restart"/>
            <w:shd w:val="clear" w:color="auto" w:fill="auto"/>
            <w:noWrap/>
            <w:vAlign w:val="center"/>
          </w:tcPr>
          <w:p>
            <w:pPr>
              <w:pStyle w:val="2986"/>
            </w:pPr>
            <w:r>
              <w:rPr>
                <w:rFonts w:hint="eastAsia"/>
              </w:rPr>
              <w:t>备注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705" w:type="pct"/>
            <w:vMerge w:val="continue"/>
            <w:shd w:val="clear" w:color="auto" w:fill="auto"/>
            <w:noWrap w:val="0"/>
            <w:vAlign w:val="center"/>
          </w:tcPr>
          <w:p>
            <w:pPr>
              <w:pStyle w:val="2986"/>
            </w:pPr>
          </w:p>
        </w:tc>
        <w:tc>
          <w:tcPr>
            <w:tcW w:w="643" w:type="pct"/>
            <w:vMerge w:val="continue"/>
            <w:shd w:val="clear" w:color="auto" w:fill="auto"/>
            <w:noWrap w:val="0"/>
            <w:vAlign w:val="center"/>
          </w:tcPr>
          <w:p>
            <w:pPr>
              <w:pStyle w:val="2986"/>
            </w:pPr>
          </w:p>
        </w:tc>
        <w:tc>
          <w:tcPr>
            <w:tcW w:w="693" w:type="pct"/>
            <w:shd w:val="clear" w:color="auto" w:fill="auto"/>
            <w:noWrap/>
            <w:vAlign w:val="center"/>
          </w:tcPr>
          <w:p>
            <w:pPr>
              <w:pStyle w:val="2986"/>
            </w:pPr>
            <w:r>
              <w:rPr>
                <w:rFonts w:hint="eastAsia"/>
              </w:rPr>
              <w:t>工程前</w:t>
            </w:r>
          </w:p>
        </w:tc>
        <w:tc>
          <w:tcPr>
            <w:tcW w:w="572" w:type="pct"/>
            <w:shd w:val="clear" w:color="auto" w:fill="auto"/>
            <w:noWrap/>
            <w:vAlign w:val="center"/>
          </w:tcPr>
          <w:p>
            <w:pPr>
              <w:pStyle w:val="2986"/>
            </w:pPr>
            <w:r>
              <w:rPr>
                <w:rFonts w:hint="eastAsia"/>
              </w:rPr>
              <w:t>工程后</w:t>
            </w:r>
          </w:p>
        </w:tc>
        <w:tc>
          <w:tcPr>
            <w:tcW w:w="572" w:type="pct"/>
            <w:shd w:val="clear" w:color="auto" w:fill="auto"/>
            <w:noWrap/>
            <w:vAlign w:val="center"/>
          </w:tcPr>
          <w:p>
            <w:pPr>
              <w:pStyle w:val="2986"/>
            </w:pPr>
            <w:r>
              <w:rPr>
                <w:rFonts w:hint="eastAsia"/>
              </w:rPr>
              <w:t>工程前</w:t>
            </w:r>
          </w:p>
        </w:tc>
        <w:tc>
          <w:tcPr>
            <w:tcW w:w="572" w:type="pct"/>
            <w:shd w:val="clear" w:color="auto" w:fill="auto"/>
            <w:noWrap/>
            <w:vAlign w:val="center"/>
          </w:tcPr>
          <w:p>
            <w:pPr>
              <w:pStyle w:val="2986"/>
            </w:pPr>
            <w:r>
              <w:rPr>
                <w:rFonts w:hint="eastAsia"/>
              </w:rPr>
              <w:t>工程后</w:t>
            </w:r>
          </w:p>
        </w:tc>
        <w:tc>
          <w:tcPr>
            <w:tcW w:w="555" w:type="pct"/>
            <w:vMerge w:val="continue"/>
            <w:shd w:val="clear" w:color="auto" w:fill="auto"/>
            <w:noWrap/>
            <w:vAlign w:val="center"/>
          </w:tcPr>
          <w:p>
            <w:pPr>
              <w:pStyle w:val="2986"/>
            </w:pPr>
          </w:p>
        </w:tc>
        <w:tc>
          <w:tcPr>
            <w:tcW w:w="686" w:type="pct"/>
            <w:vMerge w:val="continue"/>
            <w:shd w:val="clear" w:color="auto" w:fill="auto"/>
            <w:noWrap/>
            <w:vAlign w:val="center"/>
          </w:tcPr>
          <w:p>
            <w:pPr>
              <w:pStyle w:val="2986"/>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05" w:type="pct"/>
            <w:shd w:val="clear" w:color="auto" w:fill="auto"/>
            <w:noWrap/>
            <w:vAlign w:val="center"/>
          </w:tcPr>
          <w:p>
            <w:pPr>
              <w:pStyle w:val="2986"/>
            </w:pPr>
            <w:r>
              <w:rPr>
                <w:rFonts w:hint="eastAsia"/>
              </w:rPr>
              <w:t>祁3+550</w:t>
            </w:r>
          </w:p>
        </w:tc>
        <w:tc>
          <w:tcPr>
            <w:tcW w:w="643" w:type="pct"/>
            <w:shd w:val="clear" w:color="auto" w:fill="auto"/>
            <w:noWrap/>
            <w:vAlign w:val="center"/>
          </w:tcPr>
          <w:p>
            <w:pPr>
              <w:pStyle w:val="2986"/>
            </w:pPr>
            <w:r>
              <w:rPr>
                <w:sz w:val="22"/>
                <w:szCs w:val="22"/>
              </w:rPr>
              <w:t xml:space="preserve">474.17 </w:t>
            </w:r>
          </w:p>
        </w:tc>
        <w:tc>
          <w:tcPr>
            <w:tcW w:w="693" w:type="pct"/>
            <w:shd w:val="clear" w:color="auto" w:fill="auto"/>
            <w:noWrap/>
            <w:vAlign w:val="center"/>
          </w:tcPr>
          <w:p>
            <w:pPr>
              <w:pStyle w:val="2986"/>
            </w:pPr>
            <w:r>
              <w:t xml:space="preserve">475.57 </w:t>
            </w:r>
          </w:p>
        </w:tc>
        <w:tc>
          <w:tcPr>
            <w:tcW w:w="572" w:type="pct"/>
            <w:shd w:val="clear" w:color="auto" w:fill="auto"/>
            <w:noWrap/>
            <w:vAlign w:val="center"/>
          </w:tcPr>
          <w:p>
            <w:pPr>
              <w:pStyle w:val="2986"/>
            </w:pPr>
            <w:r>
              <w:t xml:space="preserve">475.51 </w:t>
            </w:r>
          </w:p>
        </w:tc>
        <w:tc>
          <w:tcPr>
            <w:tcW w:w="572" w:type="pct"/>
            <w:shd w:val="clear" w:color="auto" w:fill="auto"/>
            <w:noWrap/>
            <w:vAlign w:val="center"/>
          </w:tcPr>
          <w:p>
            <w:pPr>
              <w:pStyle w:val="2986"/>
            </w:pPr>
            <w:r>
              <w:t xml:space="preserve">475.37 </w:t>
            </w:r>
          </w:p>
        </w:tc>
        <w:tc>
          <w:tcPr>
            <w:tcW w:w="572" w:type="pct"/>
            <w:shd w:val="clear" w:color="auto" w:fill="auto"/>
            <w:noWrap/>
            <w:vAlign w:val="center"/>
          </w:tcPr>
          <w:p>
            <w:pPr>
              <w:pStyle w:val="2986"/>
            </w:pPr>
            <w:r>
              <w:t xml:space="preserve">475.32 </w:t>
            </w:r>
          </w:p>
        </w:tc>
        <w:tc>
          <w:tcPr>
            <w:tcW w:w="555" w:type="pct"/>
            <w:shd w:val="clear" w:color="auto" w:fill="auto"/>
            <w:noWrap/>
            <w:vAlign w:val="center"/>
          </w:tcPr>
          <w:p>
            <w:pPr>
              <w:pStyle w:val="2986"/>
            </w:pPr>
            <w:r>
              <w:t xml:space="preserve">474.90 </w:t>
            </w:r>
          </w:p>
        </w:tc>
        <w:tc>
          <w:tcPr>
            <w:tcW w:w="686" w:type="pct"/>
            <w:shd w:val="clear" w:color="auto" w:fill="auto"/>
            <w:noWrap/>
            <w:vAlign w:val="center"/>
          </w:tcPr>
          <w:p>
            <w:pPr>
              <w:pStyle w:val="2986"/>
            </w:pPr>
          </w:p>
        </w:tc>
      </w:tr>
    </w:tbl>
    <w:p>
      <w:pPr>
        <w:pStyle w:val="2"/>
        <w:numPr>
          <w:ilvl w:val="0"/>
          <w:numId w:val="0"/>
        </w:numPr>
        <w:autoSpaceDE/>
        <w:autoSpaceDN/>
        <w:adjustRightInd w:val="0"/>
        <w:snapToGrid w:val="0"/>
        <w:spacing w:before="0" w:line="360" w:lineRule="auto"/>
        <w:ind w:firstLine="480" w:firstLineChars="200"/>
        <w:jc w:val="both"/>
        <w:rPr>
          <w:rFonts w:hint="eastAsia" w:ascii="Times New Roman" w:hAnsi="Times New Roman" w:cs="Times New Roman"/>
        </w:rPr>
      </w:pPr>
      <w:r>
        <w:rPr>
          <w:rFonts w:hint="eastAsia" w:ascii="Times New Roman" w:hAnsi="Times New Roman" w:cs="Times New Roman"/>
        </w:rPr>
        <w:t>根据对比工程河段施工前后河流水面线，通过疏浚、清障、部分河段扩宽等综合治理措施，河道治理后各断面水面线均略有下降，治理前后水位差在 0.00~0.26m之间，表明河道整治后的行洪能力得到提升，相同水位下河道断面的过水能力增加。</w:t>
      </w:r>
    </w:p>
    <w:p>
      <w:pPr>
        <w:pStyle w:val="2"/>
        <w:numPr>
          <w:ilvl w:val="0"/>
          <w:numId w:val="0"/>
        </w:numPr>
        <w:autoSpaceDE/>
        <w:autoSpaceDN/>
        <w:adjustRightInd w:val="0"/>
        <w:snapToGrid w:val="0"/>
        <w:spacing w:before="0" w:line="360" w:lineRule="auto"/>
        <w:ind w:firstLine="480" w:firstLineChars="200"/>
        <w:jc w:val="both"/>
        <w:rPr>
          <w:rFonts w:hint="eastAsia" w:ascii="Times New Roman" w:hAnsi="Times New Roman" w:cs="Times New Roman"/>
        </w:rPr>
      </w:pPr>
      <w:r>
        <w:rPr>
          <w:rFonts w:hint="eastAsia" w:ascii="Times New Roman" w:hAnsi="Times New Roman" w:cs="Times New Roman"/>
        </w:rPr>
        <w:t>2）泥沙冲淤分析</w:t>
      </w:r>
    </w:p>
    <w:p>
      <w:pPr>
        <w:pStyle w:val="2"/>
        <w:numPr>
          <w:ilvl w:val="0"/>
          <w:numId w:val="0"/>
        </w:numPr>
        <w:autoSpaceDE/>
        <w:autoSpaceDN/>
        <w:adjustRightInd w:val="0"/>
        <w:snapToGrid w:val="0"/>
        <w:spacing w:before="0" w:line="360" w:lineRule="auto"/>
        <w:ind w:firstLine="480" w:firstLineChars="200"/>
        <w:jc w:val="both"/>
        <w:rPr>
          <w:rFonts w:hint="eastAsia" w:ascii="Times New Roman" w:hAnsi="Times New Roman" w:cs="Times New Roman"/>
        </w:rPr>
      </w:pPr>
      <w:r>
        <w:rPr>
          <w:rFonts w:hint="eastAsia" w:ascii="Times New Roman" w:hAnsi="Times New Roman" w:cs="Times New Roman"/>
        </w:rPr>
        <w:t>本项目主要进行堤防加固工程、岸线整治工程、护坡护岸工程、疏浚与清障工程、治涝工程、灌溉工程等建设，对淤积河段以疏浚为主，对部分河道进行扩宽（扩宽河段合计长1400m，扩宽5~13m），对部分洲滩进行疏挖（疏挖河段长度合计1216m），有利于洪水宣泄。河床冲淤变化的影响因素非常复杂，受来水来沙条件、河道形态、河床边界条件以及支流汇入、河口改道等因素影响。本项目主要进行堤防加固、护坡护岸等工程建设，岸线整治基本沿原河岸线进行布置，不改变河道走势，不侵占河道行洪断面，仅对河道进行局部扩宽、疏挖，不改变支流汇入情况、不涉及河口改道，整治后，冲淤变化较小。通过工程治理后，由于对乌江两岸进行了安全有效防护，可减小河水对乌江两岸的冲刷，降低河水对河滩的水力侵蚀，减少区域河段内的水土流失，有利于对乌江饮用水源的保护。</w:t>
      </w:r>
    </w:p>
    <w:p>
      <w:pPr>
        <w:pStyle w:val="2"/>
        <w:numPr>
          <w:ilvl w:val="0"/>
          <w:numId w:val="0"/>
        </w:numPr>
        <w:autoSpaceDE/>
        <w:autoSpaceDN/>
        <w:adjustRightInd w:val="0"/>
        <w:snapToGrid w:val="0"/>
        <w:spacing w:before="0" w:line="360" w:lineRule="auto"/>
        <w:ind w:firstLine="480" w:firstLineChars="200"/>
        <w:jc w:val="both"/>
        <w:rPr>
          <w:rFonts w:hint="eastAsia" w:ascii="Times New Roman" w:hAnsi="Times New Roman" w:cs="Times New Roman"/>
        </w:rPr>
      </w:pPr>
    </w:p>
    <w:p>
      <w:pPr>
        <w:pStyle w:val="2"/>
        <w:numPr>
          <w:ilvl w:val="0"/>
          <w:numId w:val="0"/>
        </w:numPr>
        <w:autoSpaceDE/>
        <w:autoSpaceDN/>
        <w:adjustRightInd w:val="0"/>
        <w:snapToGrid w:val="0"/>
        <w:spacing w:before="0" w:line="360" w:lineRule="auto"/>
        <w:ind w:firstLine="480" w:firstLineChars="200"/>
        <w:jc w:val="both"/>
        <w:rPr>
          <w:rFonts w:hint="eastAsia" w:ascii="Times New Roman" w:hAnsi="Times New Roman" w:cs="Times New Roman"/>
        </w:rPr>
      </w:pPr>
      <w:r>
        <w:rPr>
          <w:rFonts w:hint="eastAsia" w:ascii="Times New Roman" w:hAnsi="Times New Roman" w:cs="Times New Roman"/>
        </w:rPr>
        <w:t>（3）工程对地下水水位的影响分析</w:t>
      </w:r>
    </w:p>
    <w:p>
      <w:pPr>
        <w:pStyle w:val="2"/>
        <w:numPr>
          <w:ilvl w:val="0"/>
          <w:numId w:val="0"/>
        </w:numPr>
        <w:autoSpaceDE/>
        <w:autoSpaceDN/>
        <w:adjustRightInd w:val="0"/>
        <w:snapToGrid w:val="0"/>
        <w:spacing w:before="0" w:line="360" w:lineRule="auto"/>
        <w:ind w:firstLine="480" w:firstLineChars="200"/>
        <w:jc w:val="both"/>
        <w:rPr>
          <w:rFonts w:hint="eastAsia" w:ascii="Times New Roman" w:hAnsi="Times New Roman" w:cs="Times New Roman"/>
        </w:rPr>
      </w:pPr>
      <w:r>
        <w:rPr>
          <w:rFonts w:hint="eastAsia" w:ascii="Times New Roman" w:hAnsi="Times New Roman" w:cs="Times New Roman"/>
        </w:rPr>
        <w:t>工程运行后，根据水面线计算结果（详见表6.2-1），治理前后水位差在 0.00~0.26m之间，河道治理后各断面水面线略有下降，下降幅度不大，对地下水补给和地下水水位的影响很小。</w:t>
      </w:r>
    </w:p>
    <w:p>
      <w:pPr>
        <w:pStyle w:val="5"/>
        <w:tabs>
          <w:tab w:val="left" w:pos="766"/>
        </w:tabs>
        <w:autoSpaceDE/>
        <w:autoSpaceDN/>
        <w:adjustRightInd w:val="0"/>
        <w:snapToGrid w:val="0"/>
        <w:spacing w:before="0" w:line="360" w:lineRule="auto"/>
        <w:ind w:left="0" w:firstLine="0"/>
        <w:jc w:val="both"/>
        <w:rPr>
          <w:rFonts w:ascii="Times New Roman" w:hAnsi="Times New Roman" w:cs="Times New Roman"/>
          <w:snapToGrid w:val="0"/>
        </w:rPr>
      </w:pPr>
      <w:bookmarkStart w:id="310" w:name="_Toc30763"/>
      <w:r>
        <w:rPr>
          <w:rFonts w:ascii="Times New Roman" w:hAnsi="Times New Roman" w:cs="Times New Roman"/>
          <w:snapToGrid w:val="0"/>
        </w:rPr>
        <w:t>5.3环境风险影响分析</w:t>
      </w:r>
      <w:bookmarkEnd w:id="310"/>
    </w:p>
    <w:p>
      <w:pPr>
        <w:pStyle w:val="2975"/>
        <w:rPr>
          <w:rFonts w:hint="eastAsia" w:ascii="Times New Roman" w:hAnsi="Times New Roman" w:cs="Times New Roman"/>
          <w:color w:val="auto"/>
          <w:u w:val="none" w:color="auto"/>
        </w:rPr>
      </w:pPr>
      <w:bookmarkStart w:id="311" w:name="_Toc25588"/>
      <w:bookmarkStart w:id="312" w:name="_Toc82593182"/>
      <w:bookmarkStart w:id="313" w:name="_Toc69284641"/>
      <w:r>
        <w:rPr>
          <w:rFonts w:hint="eastAsia"/>
          <w:color w:val="auto"/>
          <w:u w:val="none" w:color="auto"/>
          <w:lang w:val="en-US" w:eastAsia="zh-CN"/>
        </w:rPr>
        <w:t>5</w:t>
      </w:r>
      <w:r>
        <w:rPr>
          <w:rFonts w:hint="eastAsia"/>
          <w:color w:val="auto"/>
          <w:u w:val="none" w:color="auto"/>
        </w:rPr>
        <w:t>.</w:t>
      </w:r>
      <w:r>
        <w:rPr>
          <w:rFonts w:hint="eastAsia"/>
          <w:color w:val="auto"/>
          <w:u w:val="none" w:color="auto"/>
          <w:lang w:val="en-US" w:eastAsia="zh-CN"/>
        </w:rPr>
        <w:t>3</w:t>
      </w:r>
      <w:r>
        <w:rPr>
          <w:rFonts w:hint="eastAsia"/>
          <w:color w:val="auto"/>
          <w:u w:val="none" w:color="auto"/>
        </w:rPr>
        <w:t>.1</w:t>
      </w:r>
      <w:r>
        <w:rPr>
          <w:rFonts w:hint="eastAsia" w:ascii="Times New Roman" w:hAnsi="Times New Roman" w:eastAsia="宋体" w:cs="Times New Roman"/>
          <w:color w:val="auto"/>
          <w:kern w:val="2"/>
          <w:sz w:val="24"/>
          <w:szCs w:val="24"/>
          <w:u w:val="none" w:color="auto"/>
          <w:lang w:val="en-US" w:eastAsia="zh-CN" w:bidi="ar-SA"/>
        </w:rPr>
        <w:t>环境风险评价目的</w:t>
      </w:r>
      <w:bookmarkEnd w:id="311"/>
    </w:p>
    <w:p>
      <w:pPr>
        <w:pStyle w:val="2974"/>
        <w:rPr>
          <w:rFonts w:hint="eastAsia"/>
          <w:color w:val="auto"/>
          <w:u w:val="none" w:color="auto"/>
        </w:rPr>
      </w:pPr>
      <w:r>
        <w:rPr>
          <w:rFonts w:hint="eastAsia"/>
          <w:color w:val="auto"/>
          <w:u w:val="none" w:color="auto"/>
        </w:rPr>
        <w:t>环境风险是指突发性事故对环境(或健康)的危害程度。环境风险评价的目的是分析和预测建设项目存在的潜在危险、有害因素，建设项目建设和运行期间可能发生的突发性事件或事故，引起有毒有害和易燃易爆等物质泄漏，所造成的人身安全与环境影响和损害程度，提出合理可行的防范、应急与减缓措施，以使建设项目事故率、损失和环境影响达到可接受水平。</w:t>
      </w:r>
    </w:p>
    <w:p>
      <w:pPr>
        <w:pStyle w:val="2974"/>
        <w:rPr>
          <w:rFonts w:hint="eastAsia"/>
          <w:color w:val="auto"/>
          <w:u w:val="none" w:color="auto"/>
        </w:rPr>
      </w:pPr>
      <w:r>
        <w:rPr>
          <w:rFonts w:hint="eastAsia"/>
          <w:color w:val="auto"/>
          <w:u w:val="none" w:color="auto"/>
        </w:rPr>
        <w:t>根据环发[2012]77 号文《关于进一步加强环境影响评价管理防范环境风险的通知》的要求，参照《建设项目环境风险评价技术导则》(HJ169-2018)和《外来物种环境风险评估技术导则》(HJ624-2011)，通过风险调查、风险识别、风险事故分析和风险预测与评价等开展环境风险评价，为工程设计和环境管理提供资料和依据，以达到降低危险，减少危害的目的。评价工作程序见图。</w:t>
      </w:r>
    </w:p>
    <w:p>
      <w:pPr>
        <w:pStyle w:val="2974"/>
        <w:ind w:left="0" w:leftChars="0" w:firstLine="0" w:firstLineChars="0"/>
        <w:rPr>
          <w:rFonts w:hint="eastAsia"/>
          <w:color w:val="auto"/>
          <w:u w:val="none" w:color="auto"/>
        </w:rPr>
      </w:pPr>
      <w:r>
        <w:rPr>
          <w:color w:val="auto"/>
          <w:u w:val="none" w:color="auto"/>
        </w:rPr>
        <w:drawing>
          <wp:inline distT="0" distB="0" distL="114300" distR="114300">
            <wp:extent cx="5276215" cy="4996180"/>
            <wp:effectExtent l="0" t="0" r="635" b="1397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37"/>
                    <a:stretch>
                      <a:fillRect/>
                    </a:stretch>
                  </pic:blipFill>
                  <pic:spPr>
                    <a:xfrm>
                      <a:off x="0" y="0"/>
                      <a:ext cx="5276215" cy="4996180"/>
                    </a:xfrm>
                    <a:prstGeom prst="rect">
                      <a:avLst/>
                    </a:prstGeom>
                    <a:noFill/>
                    <a:ln>
                      <a:noFill/>
                    </a:ln>
                  </pic:spPr>
                </pic:pic>
              </a:graphicData>
            </a:graphic>
          </wp:inline>
        </w:drawing>
      </w:r>
    </w:p>
    <w:p>
      <w:pPr>
        <w:pStyle w:val="2976"/>
        <w:bidi w:val="0"/>
        <w:rPr>
          <w:rFonts w:hint="default"/>
          <w:color w:val="auto"/>
          <w:u w:val="none" w:color="auto"/>
          <w:lang w:val="en-US" w:eastAsia="zh-CN"/>
        </w:rPr>
      </w:pPr>
      <w:r>
        <w:rPr>
          <w:rFonts w:hint="eastAsia"/>
          <w:color w:val="auto"/>
          <w:u w:val="none" w:color="auto"/>
          <w:lang w:val="en-US" w:eastAsia="zh-CN"/>
        </w:rPr>
        <w:t>图5.3-1评价工作程序</w:t>
      </w:r>
    </w:p>
    <w:p>
      <w:pPr>
        <w:pStyle w:val="2975"/>
        <w:bidi w:val="0"/>
        <w:rPr>
          <w:rFonts w:hint="eastAsia"/>
          <w:color w:val="auto"/>
          <w:u w:val="none" w:color="auto"/>
        </w:rPr>
      </w:pPr>
      <w:bookmarkStart w:id="314" w:name="_Toc4526"/>
      <w:r>
        <w:rPr>
          <w:rFonts w:hint="eastAsia"/>
          <w:color w:val="auto"/>
          <w:u w:val="none" w:color="auto"/>
          <w:lang w:val="en-US" w:eastAsia="zh-CN"/>
        </w:rPr>
        <w:t>5</w:t>
      </w:r>
      <w:r>
        <w:rPr>
          <w:rFonts w:hint="eastAsia"/>
          <w:color w:val="auto"/>
          <w:u w:val="none" w:color="auto"/>
        </w:rPr>
        <w:t>.</w:t>
      </w:r>
      <w:r>
        <w:rPr>
          <w:rFonts w:hint="eastAsia"/>
          <w:color w:val="auto"/>
          <w:u w:val="none" w:color="auto"/>
          <w:lang w:val="en-US" w:eastAsia="zh-CN"/>
        </w:rPr>
        <w:t>3</w:t>
      </w:r>
      <w:r>
        <w:rPr>
          <w:rFonts w:hint="eastAsia"/>
          <w:color w:val="auto"/>
          <w:u w:val="none" w:color="auto"/>
        </w:rPr>
        <w:t>.2 风险调查</w:t>
      </w:r>
      <w:bookmarkEnd w:id="314"/>
    </w:p>
    <w:p>
      <w:pPr>
        <w:pStyle w:val="2974"/>
        <w:rPr>
          <w:rFonts w:hint="eastAsia"/>
          <w:color w:val="auto"/>
          <w:u w:val="none" w:color="auto"/>
        </w:rPr>
      </w:pPr>
      <w:r>
        <w:rPr>
          <w:rFonts w:hint="eastAsia"/>
          <w:color w:val="auto"/>
          <w:u w:val="none" w:color="auto"/>
        </w:rPr>
        <w:t>1、风险物质调查</w:t>
      </w:r>
    </w:p>
    <w:p>
      <w:pPr>
        <w:pStyle w:val="2974"/>
        <w:rPr>
          <w:rFonts w:hint="eastAsia"/>
          <w:color w:val="auto"/>
          <w:u w:val="none" w:color="auto"/>
        </w:rPr>
      </w:pPr>
      <w:r>
        <w:rPr>
          <w:rFonts w:hint="eastAsia"/>
          <w:color w:val="auto"/>
          <w:u w:val="none" w:color="auto"/>
        </w:rPr>
        <w:t>本项目为河湖整治工程，涉及的危险物质主要为施工期油料及施工期产生的废油，油料主要为柴油。本工程施工所需油料均根据施工需要及时运送，施工期产生的废油经收集后则交由有资质单位处理，不在施工区大量储存，可能发生的环境风险为油料、废油运输过程中产生的泄漏污染。</w:t>
      </w:r>
    </w:p>
    <w:p>
      <w:pPr>
        <w:pStyle w:val="2976"/>
        <w:bidi w:val="0"/>
        <w:rPr>
          <w:rFonts w:hint="eastAsia"/>
          <w:color w:val="auto"/>
          <w:u w:val="none" w:color="auto"/>
        </w:rPr>
      </w:pPr>
      <w:r>
        <w:rPr>
          <w:rFonts w:hint="eastAsia"/>
          <w:color w:val="auto"/>
          <w:u w:val="none" w:color="auto"/>
        </w:rPr>
        <w:t>表</w:t>
      </w:r>
      <w:r>
        <w:rPr>
          <w:rFonts w:hint="eastAsia"/>
          <w:color w:val="auto"/>
          <w:u w:val="none" w:color="auto"/>
          <w:lang w:val="en-US" w:eastAsia="zh-CN"/>
        </w:rPr>
        <w:t>5</w:t>
      </w:r>
      <w:r>
        <w:rPr>
          <w:rFonts w:hint="eastAsia"/>
          <w:color w:val="auto"/>
          <w:u w:val="none" w:color="auto"/>
        </w:rPr>
        <w:t>.</w:t>
      </w:r>
      <w:r>
        <w:rPr>
          <w:rFonts w:hint="eastAsia"/>
          <w:color w:val="auto"/>
          <w:u w:val="none" w:color="auto"/>
          <w:lang w:val="en-US" w:eastAsia="zh-CN"/>
        </w:rPr>
        <w:t>3</w:t>
      </w:r>
      <w:r>
        <w:rPr>
          <w:rFonts w:hint="eastAsia"/>
          <w:color w:val="auto"/>
          <w:u w:val="none" w:color="auto"/>
        </w:rPr>
        <w:t>-1 柴油的理化性质和危险特性</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894"/>
        <w:gridCol w:w="1894"/>
        <w:gridCol w:w="1781"/>
        <w:gridCol w:w="515"/>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Merge w:val="restart"/>
            <w:vAlign w:val="center"/>
          </w:tcPr>
          <w:p>
            <w:pPr>
              <w:pStyle w:val="2977"/>
              <w:widowControl w:val="0"/>
              <w:bidi w:val="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标识</w:t>
            </w:r>
          </w:p>
        </w:tc>
        <w:tc>
          <w:tcPr>
            <w:tcW w:w="3893" w:type="dxa"/>
            <w:gridSpan w:val="2"/>
            <w:vAlign w:val="center"/>
          </w:tcPr>
          <w:p>
            <w:pPr>
              <w:pStyle w:val="2977"/>
              <w:widowControl w:val="0"/>
              <w:bidi w:val="0"/>
              <w:jc w:val="both"/>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rPr>
              <w:t xml:space="preserve">中文名: </w:t>
            </w:r>
            <w:r>
              <w:rPr>
                <w:rFonts w:hint="default" w:ascii="Times New Roman" w:hAnsi="Times New Roman" w:cs="Times New Roman"/>
                <w:color w:val="auto"/>
                <w:u w:val="none" w:color="auto"/>
                <w:lang w:val="en-US" w:eastAsia="zh-CN"/>
              </w:rPr>
              <w:t>柴油</w:t>
            </w:r>
          </w:p>
        </w:tc>
        <w:tc>
          <w:tcPr>
            <w:tcW w:w="4691" w:type="dxa"/>
            <w:gridSpan w:val="3"/>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英文名：Diesel oil；Diesel fuel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Merge w:val="continue"/>
            <w:vAlign w:val="center"/>
          </w:tcPr>
          <w:p>
            <w:pPr>
              <w:pStyle w:val="2977"/>
              <w:widowControl w:val="0"/>
              <w:bidi w:val="0"/>
              <w:jc w:val="center"/>
              <w:rPr>
                <w:rFonts w:hint="default" w:ascii="Times New Roman" w:hAnsi="Times New Roman" w:cs="Times New Roman"/>
                <w:color w:val="auto"/>
                <w:u w:val="none" w:color="auto"/>
              </w:rPr>
            </w:pPr>
          </w:p>
        </w:tc>
        <w:tc>
          <w:tcPr>
            <w:tcW w:w="3893" w:type="dxa"/>
            <w:gridSpan w:val="2"/>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分子式：/</w:t>
            </w:r>
          </w:p>
        </w:tc>
        <w:tc>
          <w:tcPr>
            <w:tcW w:w="2345" w:type="dxa"/>
            <w:gridSpan w:val="2"/>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分子量：/</w:t>
            </w:r>
          </w:p>
        </w:tc>
        <w:tc>
          <w:tcPr>
            <w:tcW w:w="2346" w:type="dxa"/>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分子式：/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Merge w:val="continue"/>
            <w:vAlign w:val="center"/>
          </w:tcPr>
          <w:p>
            <w:pPr>
              <w:pStyle w:val="2977"/>
              <w:widowControl w:val="0"/>
              <w:bidi w:val="0"/>
              <w:jc w:val="center"/>
              <w:rPr>
                <w:rFonts w:hint="default" w:ascii="Times New Roman" w:hAnsi="Times New Roman" w:cs="Times New Roman"/>
                <w:color w:val="auto"/>
                <w:u w:val="none" w:color="auto"/>
              </w:rPr>
            </w:pPr>
          </w:p>
        </w:tc>
        <w:tc>
          <w:tcPr>
            <w:tcW w:w="3893" w:type="dxa"/>
            <w:gridSpan w:val="2"/>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危规号：/</w:t>
            </w:r>
          </w:p>
        </w:tc>
        <w:tc>
          <w:tcPr>
            <w:tcW w:w="2345" w:type="dxa"/>
            <w:gridSpan w:val="2"/>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RTECS号：</w:t>
            </w:r>
          </w:p>
        </w:tc>
        <w:tc>
          <w:tcPr>
            <w:tcW w:w="2346" w:type="dxa"/>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危规号：/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Merge w:val="restart"/>
            <w:vAlign w:val="center"/>
          </w:tcPr>
          <w:p>
            <w:pPr>
              <w:pStyle w:val="2977"/>
              <w:widowControl w:val="0"/>
              <w:bidi w:val="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理化性质</w:t>
            </w:r>
          </w:p>
        </w:tc>
        <w:tc>
          <w:tcPr>
            <w:tcW w:w="8584" w:type="dxa"/>
            <w:gridSpan w:val="5"/>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性状：稍有粘性的棕色液体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Merge w:val="continue"/>
            <w:vAlign w:val="center"/>
          </w:tcPr>
          <w:p>
            <w:pPr>
              <w:pStyle w:val="2977"/>
              <w:widowControl w:val="0"/>
              <w:bidi w:val="0"/>
              <w:jc w:val="center"/>
              <w:rPr>
                <w:rFonts w:hint="default" w:ascii="Times New Roman" w:hAnsi="Times New Roman" w:cs="Times New Roman"/>
                <w:color w:val="auto"/>
                <w:u w:val="none" w:color="auto"/>
              </w:rPr>
            </w:pPr>
          </w:p>
        </w:tc>
        <w:tc>
          <w:tcPr>
            <w:tcW w:w="1933" w:type="dxa"/>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熔点(℃)：-18</w:t>
            </w:r>
          </w:p>
        </w:tc>
        <w:tc>
          <w:tcPr>
            <w:tcW w:w="6651" w:type="dxa"/>
            <w:gridSpan w:val="4"/>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溶解性：/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Merge w:val="continue"/>
            <w:vAlign w:val="center"/>
          </w:tcPr>
          <w:p>
            <w:pPr>
              <w:pStyle w:val="2977"/>
              <w:widowControl w:val="0"/>
              <w:bidi w:val="0"/>
              <w:jc w:val="center"/>
              <w:rPr>
                <w:rFonts w:hint="default" w:ascii="Times New Roman" w:hAnsi="Times New Roman" w:cs="Times New Roman"/>
                <w:color w:val="auto"/>
                <w:u w:val="none" w:color="auto"/>
              </w:rPr>
            </w:pPr>
          </w:p>
        </w:tc>
        <w:tc>
          <w:tcPr>
            <w:tcW w:w="1933" w:type="dxa"/>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沸点(℃)：282-338</w:t>
            </w:r>
          </w:p>
        </w:tc>
        <w:tc>
          <w:tcPr>
            <w:tcW w:w="6651" w:type="dxa"/>
            <w:gridSpan w:val="4"/>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饱和蒸气压(kPa)：/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Merge w:val="continue"/>
            <w:vAlign w:val="center"/>
          </w:tcPr>
          <w:p>
            <w:pPr>
              <w:pStyle w:val="2977"/>
              <w:widowControl w:val="0"/>
              <w:bidi w:val="0"/>
              <w:jc w:val="center"/>
              <w:rPr>
                <w:rFonts w:hint="default" w:ascii="Times New Roman" w:hAnsi="Times New Roman" w:cs="Times New Roman"/>
                <w:color w:val="auto"/>
                <w:u w:val="none" w:color="auto"/>
              </w:rPr>
            </w:pPr>
          </w:p>
        </w:tc>
        <w:tc>
          <w:tcPr>
            <w:tcW w:w="1933" w:type="dxa"/>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临界温度(℃)： /</w:t>
            </w:r>
          </w:p>
        </w:tc>
        <w:tc>
          <w:tcPr>
            <w:tcW w:w="6651" w:type="dxa"/>
            <w:gridSpan w:val="4"/>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相对密度：(水=1)：0.84-0.9，（0＃柴油0.84～0.86）； (空气=1)：/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Merge w:val="restart"/>
            <w:vAlign w:val="center"/>
          </w:tcPr>
          <w:p>
            <w:pPr>
              <w:pStyle w:val="2977"/>
              <w:widowControl w:val="0"/>
              <w:bidi w:val="0"/>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燃烧爆炸危险性</w:t>
            </w:r>
          </w:p>
        </w:tc>
        <w:tc>
          <w:tcPr>
            <w:tcW w:w="1933" w:type="dxa"/>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燃烧性：助燃</w:t>
            </w:r>
          </w:p>
        </w:tc>
        <w:tc>
          <w:tcPr>
            <w:tcW w:w="6651" w:type="dxa"/>
            <w:gridSpan w:val="4"/>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燃烧分解产物：一氧化碳、二氧化碳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Merge w:val="continue"/>
            <w:vAlign w:val="center"/>
          </w:tcPr>
          <w:p>
            <w:pPr>
              <w:pStyle w:val="2977"/>
              <w:widowControl w:val="0"/>
              <w:bidi w:val="0"/>
              <w:jc w:val="center"/>
              <w:rPr>
                <w:rFonts w:hint="default" w:ascii="Times New Roman" w:hAnsi="Times New Roman" w:cs="Times New Roman"/>
                <w:color w:val="auto"/>
                <w:u w:val="none" w:color="auto"/>
              </w:rPr>
            </w:pPr>
          </w:p>
        </w:tc>
        <w:tc>
          <w:tcPr>
            <w:tcW w:w="1933" w:type="dxa"/>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闪点(℃)：38</w:t>
            </w:r>
          </w:p>
        </w:tc>
        <w:tc>
          <w:tcPr>
            <w:tcW w:w="6651" w:type="dxa"/>
            <w:gridSpan w:val="4"/>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最小引燃能量(mJ)：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Merge w:val="continue"/>
            <w:vAlign w:val="center"/>
          </w:tcPr>
          <w:p>
            <w:pPr>
              <w:pStyle w:val="2977"/>
              <w:widowControl w:val="0"/>
              <w:bidi w:val="0"/>
              <w:jc w:val="center"/>
              <w:rPr>
                <w:rFonts w:hint="default" w:ascii="Times New Roman" w:hAnsi="Times New Roman" w:cs="Times New Roman"/>
                <w:color w:val="auto"/>
                <w:u w:val="none" w:color="auto"/>
              </w:rPr>
            </w:pPr>
          </w:p>
        </w:tc>
        <w:tc>
          <w:tcPr>
            <w:tcW w:w="1933" w:type="dxa"/>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爆炸极限(V％)：/</w:t>
            </w:r>
          </w:p>
        </w:tc>
        <w:tc>
          <w:tcPr>
            <w:tcW w:w="3777" w:type="dxa"/>
            <w:gridSpan w:val="2"/>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稳定性：稳定</w:t>
            </w:r>
          </w:p>
        </w:tc>
        <w:tc>
          <w:tcPr>
            <w:tcW w:w="2874" w:type="dxa"/>
            <w:gridSpan w:val="2"/>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爆炸极限(V％)：/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Merge w:val="continue"/>
            <w:vAlign w:val="center"/>
          </w:tcPr>
          <w:p>
            <w:pPr>
              <w:pStyle w:val="2977"/>
              <w:widowControl w:val="0"/>
              <w:bidi w:val="0"/>
              <w:jc w:val="center"/>
              <w:rPr>
                <w:rFonts w:hint="default" w:ascii="Times New Roman" w:hAnsi="Times New Roman" w:cs="Times New Roman"/>
                <w:color w:val="auto"/>
                <w:u w:val="none" w:color="auto"/>
              </w:rPr>
            </w:pPr>
          </w:p>
        </w:tc>
        <w:tc>
          <w:tcPr>
            <w:tcW w:w="1933" w:type="dxa"/>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自燃温度(℃)：257</w:t>
            </w:r>
          </w:p>
        </w:tc>
        <w:tc>
          <w:tcPr>
            <w:tcW w:w="6651" w:type="dxa"/>
            <w:gridSpan w:val="4"/>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禁忌物：强氧化剂、卤素。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Merge w:val="continue"/>
            <w:vAlign w:val="center"/>
          </w:tcPr>
          <w:p>
            <w:pPr>
              <w:pStyle w:val="2977"/>
              <w:widowControl w:val="0"/>
              <w:bidi w:val="0"/>
              <w:jc w:val="center"/>
              <w:rPr>
                <w:rFonts w:hint="default" w:ascii="Times New Roman" w:hAnsi="Times New Roman" w:cs="Times New Roman"/>
                <w:color w:val="auto"/>
                <w:u w:val="none" w:color="auto"/>
              </w:rPr>
            </w:pPr>
          </w:p>
        </w:tc>
        <w:tc>
          <w:tcPr>
            <w:tcW w:w="8584" w:type="dxa"/>
            <w:gridSpan w:val="5"/>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危险特性：遇明火、高热或与氧化剂接触，有引起燃烧爆炸的危险。若遇高热，容器内压增大，有开裂和爆炸的危险。</w:t>
            </w:r>
          </w:p>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Align w:val="center"/>
          </w:tcPr>
          <w:p>
            <w:pPr>
              <w:pStyle w:val="2977"/>
              <w:widowControl w:val="0"/>
              <w:bidi w:val="0"/>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标准</w:t>
            </w:r>
          </w:p>
        </w:tc>
        <w:tc>
          <w:tcPr>
            <w:tcW w:w="8584" w:type="dxa"/>
            <w:gridSpan w:val="5"/>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车间卫生标准：中国MAC(mg／m3)/；短时接触容许浓度限值(mg／m3)：/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Align w:val="center"/>
          </w:tcPr>
          <w:p>
            <w:pPr>
              <w:pStyle w:val="2977"/>
              <w:widowControl w:val="0"/>
              <w:bidi w:val="0"/>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毒性</w:t>
            </w:r>
          </w:p>
        </w:tc>
        <w:tc>
          <w:tcPr>
            <w:tcW w:w="8584" w:type="dxa"/>
            <w:gridSpan w:val="5"/>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LD50：/</w:t>
            </w:r>
            <w:r>
              <w:rPr>
                <w:rFonts w:hint="default" w:ascii="Times New Roman" w:hAnsi="Times New Roman" w:cs="Times New Roman"/>
                <w:color w:val="auto"/>
                <w:u w:val="none" w:color="auto"/>
                <w:lang w:val="en-US" w:eastAsia="zh-CN"/>
              </w:rPr>
              <w:t xml:space="preserve">                   </w:t>
            </w:r>
            <w:r>
              <w:rPr>
                <w:rFonts w:hint="default" w:ascii="Times New Roman" w:hAnsi="Times New Roman" w:cs="Times New Roman"/>
                <w:color w:val="auto"/>
                <w:u w:val="none" w:color="auto"/>
              </w:rPr>
              <w:t xml:space="preserve"> LC50：/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Align w:val="center"/>
          </w:tcPr>
          <w:p>
            <w:pPr>
              <w:pStyle w:val="2977"/>
              <w:widowControl w:val="0"/>
              <w:bidi w:val="0"/>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对人体危害</w:t>
            </w:r>
          </w:p>
        </w:tc>
        <w:tc>
          <w:tcPr>
            <w:tcW w:w="8584" w:type="dxa"/>
            <w:gridSpan w:val="5"/>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皮肤接触可为主要吸收途径，可致急性肾脏损害。柴油可引起接触性皮炎、油性痤疮。吸入其雾滴或液体呛入可引起吸入性肺炎。能经胎盘进入胎儿血中。柴油废气可引起眼、鼻刺激症状，头晕及头痛。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Align w:val="center"/>
          </w:tcPr>
          <w:p>
            <w:pPr>
              <w:pStyle w:val="2977"/>
              <w:widowControl w:val="0"/>
              <w:bidi w:val="0"/>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急救</w:t>
            </w:r>
          </w:p>
        </w:tc>
        <w:tc>
          <w:tcPr>
            <w:tcW w:w="8584" w:type="dxa"/>
            <w:gridSpan w:val="5"/>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皮肤接触：立即脱去污染的衣着，用肥皂水和清水彻底冲洗皮肤。就医。眼睛接触：提起眼睑，用流动清水或生理盐水冲洗。就医。吸入：迅速脱离现场至空气新鲜处。保持呼吸道通畅。如呼吸困难，给输氧。如呼吸停止，立即进行人工呼吸。就医。食入：尽快彻底洗胃。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Align w:val="center"/>
          </w:tcPr>
          <w:p>
            <w:pPr>
              <w:pStyle w:val="2977"/>
              <w:widowControl w:val="0"/>
              <w:bidi w:val="0"/>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防护</w:t>
            </w:r>
          </w:p>
        </w:tc>
        <w:tc>
          <w:tcPr>
            <w:tcW w:w="8584" w:type="dxa"/>
            <w:gridSpan w:val="5"/>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工程控制：密闭操作，注意通风。呼吸系统防护：空气中浓度超标时，建议佩戴自吸过滤式防毒面具（半面罩）。紧急事态抢救或撤离时，应该佩戴空气呼吸器。眼睛防护：戴化学安全防护眼镜。身体防护：穿一般作业防护服。手防护：戴橡胶耐油手套。其他：工作现场严禁吸烟。避免长期反复接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8" w:type="dxa"/>
            <w:vAlign w:val="center"/>
          </w:tcPr>
          <w:p>
            <w:pPr>
              <w:pStyle w:val="2977"/>
              <w:widowControl w:val="0"/>
              <w:bidi w:val="0"/>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泄漏处理</w:t>
            </w:r>
          </w:p>
        </w:tc>
        <w:tc>
          <w:tcPr>
            <w:tcW w:w="8584" w:type="dxa"/>
            <w:gridSpan w:val="5"/>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构筑围堤或挖坑收容。用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Align w:val="center"/>
          </w:tcPr>
          <w:p>
            <w:pPr>
              <w:pStyle w:val="2977"/>
              <w:widowControl w:val="0"/>
              <w:bidi w:val="0"/>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贮运</w:t>
            </w:r>
          </w:p>
        </w:tc>
        <w:tc>
          <w:tcPr>
            <w:tcW w:w="8584" w:type="dxa"/>
            <w:gridSpan w:val="5"/>
            <w:vAlign w:val="center"/>
          </w:tcPr>
          <w:p>
            <w:pPr>
              <w:pStyle w:val="2977"/>
              <w:widowControl w:val="0"/>
              <w:bidi w:val="0"/>
              <w:jc w:val="both"/>
              <w:rPr>
                <w:rFonts w:hint="default" w:ascii="Times New Roman" w:hAnsi="Times New Roman" w:cs="Times New Roman"/>
                <w:color w:val="auto"/>
                <w:u w:val="none" w:color="auto"/>
              </w:rPr>
            </w:pPr>
            <w:r>
              <w:rPr>
                <w:rFonts w:hint="default" w:ascii="Times New Roman" w:hAnsi="Times New Roman" w:cs="Times New Roman"/>
                <w:color w:val="auto"/>
                <w:u w:val="none" w:color="auto"/>
              </w:rPr>
              <w:t>储存于阴凉、通风的库房。远离火种、热源。应与氧化剂、卤素分开存放，切忌混储。采用防爆型照明、通风设施。禁止使用易产生火花的机械设备和工具。储区应备有泄漏应急处理设备和合适的收容材料。</w:t>
            </w:r>
          </w:p>
        </w:tc>
      </w:tr>
    </w:tbl>
    <w:p>
      <w:pPr>
        <w:pStyle w:val="2974"/>
        <w:rPr>
          <w:rFonts w:hint="eastAsia" w:ascii="Times New Roman" w:hAnsi="Times New Roman" w:eastAsia="宋体" w:cs="Times New Roman"/>
          <w:color w:val="auto"/>
          <w:u w:val="none" w:color="auto"/>
        </w:rPr>
      </w:pPr>
      <w:r>
        <w:rPr>
          <w:rFonts w:hint="eastAsia" w:ascii="Times New Roman" w:hAnsi="Times New Roman" w:eastAsia="宋体" w:cs="Times New Roman"/>
          <w:color w:val="auto"/>
          <w:u w:val="none" w:color="auto"/>
        </w:rPr>
        <w:t>2、风险设施调查</w:t>
      </w:r>
    </w:p>
    <w:p>
      <w:pPr>
        <w:pStyle w:val="2974"/>
        <w:rPr>
          <w:rFonts w:hint="eastAsia" w:ascii="Times New Roman" w:hAnsi="Times New Roman" w:eastAsia="宋体" w:cs="Times New Roman"/>
          <w:color w:val="auto"/>
          <w:u w:val="none" w:color="auto"/>
        </w:rPr>
      </w:pPr>
      <w:r>
        <w:rPr>
          <w:rFonts w:hint="eastAsia" w:ascii="Times New Roman" w:hAnsi="Times New Roman" w:eastAsia="宋体" w:cs="Times New Roman"/>
          <w:color w:val="auto"/>
          <w:u w:val="none" w:color="auto"/>
        </w:rPr>
        <w:t>本项目生产运行过程风险包括：</w:t>
      </w:r>
    </w:p>
    <w:p>
      <w:pPr>
        <w:pStyle w:val="2974"/>
        <w:rPr>
          <w:rFonts w:hint="eastAsia" w:ascii="Times New Roman" w:hAnsi="Times New Roman" w:eastAsia="宋体" w:cs="Times New Roman"/>
          <w:color w:val="auto"/>
          <w:u w:val="none" w:color="auto"/>
        </w:rPr>
      </w:pPr>
      <w:r>
        <w:rPr>
          <w:rFonts w:hint="eastAsia" w:ascii="Times New Roman" w:hAnsi="Times New Roman" w:eastAsia="宋体" w:cs="Times New Roman"/>
          <w:color w:val="auto"/>
          <w:u w:val="none" w:color="auto"/>
        </w:rPr>
        <w:t>（1）储罐</w:t>
      </w:r>
    </w:p>
    <w:p>
      <w:pPr>
        <w:pStyle w:val="2974"/>
        <w:rPr>
          <w:rFonts w:hint="eastAsia" w:ascii="Times New Roman" w:hAnsi="Times New Roman" w:eastAsia="宋体" w:cs="Times New Roman"/>
          <w:color w:val="auto"/>
          <w:u w:val="none" w:color="auto"/>
        </w:rPr>
      </w:pPr>
      <w:r>
        <w:rPr>
          <w:rFonts w:hint="eastAsia" w:ascii="Times New Roman" w:hAnsi="Times New Roman" w:eastAsia="宋体" w:cs="Times New Roman"/>
          <w:color w:val="auto"/>
          <w:u w:val="none" w:color="auto"/>
        </w:rPr>
        <w:t>油罐主要用于临时储存燃料柴油，一旦发生泄漏，将会部分以蒸汽的形式挥发到空气中，部分将会以液体的形式扩散流入河流，遇明火将会发生火灾、爆炸，危害程度较大。</w:t>
      </w:r>
    </w:p>
    <w:p>
      <w:pPr>
        <w:pStyle w:val="2974"/>
        <w:rPr>
          <w:rFonts w:hint="eastAsia" w:ascii="Times New Roman" w:hAnsi="Times New Roman" w:eastAsia="宋体" w:cs="Times New Roman"/>
          <w:color w:val="auto"/>
          <w:u w:val="none" w:color="auto"/>
        </w:rPr>
      </w:pPr>
      <w:r>
        <w:rPr>
          <w:rFonts w:hint="eastAsia" w:ascii="Times New Roman" w:hAnsi="Times New Roman" w:eastAsia="宋体" w:cs="Times New Roman"/>
          <w:color w:val="auto"/>
          <w:u w:val="none" w:color="auto"/>
        </w:rPr>
        <w:t>（2）装卸油作业</w:t>
      </w:r>
    </w:p>
    <w:p>
      <w:pPr>
        <w:pStyle w:val="2974"/>
        <w:rPr>
          <w:rFonts w:hint="eastAsia" w:ascii="Times New Roman" w:hAnsi="Times New Roman" w:eastAsia="宋体" w:cs="Times New Roman"/>
          <w:color w:val="auto"/>
          <w:u w:val="none" w:color="auto"/>
        </w:rPr>
      </w:pPr>
      <w:r>
        <w:rPr>
          <w:rFonts w:hint="eastAsia" w:ascii="Times New Roman" w:hAnsi="Times New Roman" w:eastAsia="宋体" w:cs="Times New Roman"/>
          <w:color w:val="auto"/>
          <w:u w:val="none" w:color="auto"/>
        </w:rPr>
        <w:t>装卸油作业是指油罐车给储罐装卸油，由于人员、车辆流动，不安全因素较多。譬如：未熄火给油罐加油、机动车油箱漏油，作业过程中因修车或机械碰撞产生火花、加油时泄漏等均容易引发火灾爆炸事故。</w:t>
      </w:r>
    </w:p>
    <w:p>
      <w:pPr>
        <w:pStyle w:val="2975"/>
        <w:bidi w:val="0"/>
        <w:rPr>
          <w:rFonts w:hint="eastAsia"/>
          <w:color w:val="auto"/>
          <w:u w:val="none" w:color="auto"/>
        </w:rPr>
      </w:pPr>
      <w:bookmarkStart w:id="315" w:name="_Toc4075"/>
      <w:r>
        <w:rPr>
          <w:rFonts w:hint="eastAsia"/>
          <w:color w:val="auto"/>
          <w:u w:val="none" w:color="auto"/>
          <w:lang w:val="en-US" w:eastAsia="zh-CN"/>
        </w:rPr>
        <w:t>5</w:t>
      </w:r>
      <w:r>
        <w:rPr>
          <w:rFonts w:hint="eastAsia"/>
          <w:color w:val="auto"/>
          <w:u w:val="none" w:color="auto"/>
        </w:rPr>
        <w:t>.</w:t>
      </w:r>
      <w:r>
        <w:rPr>
          <w:rFonts w:hint="eastAsia"/>
          <w:color w:val="auto"/>
          <w:u w:val="none" w:color="auto"/>
          <w:lang w:val="en-US" w:eastAsia="zh-CN"/>
        </w:rPr>
        <w:t>3</w:t>
      </w:r>
      <w:r>
        <w:rPr>
          <w:rFonts w:hint="eastAsia"/>
          <w:color w:val="auto"/>
          <w:u w:val="none" w:color="auto"/>
        </w:rPr>
        <w:t>.3 评价等级</w:t>
      </w:r>
      <w:bookmarkEnd w:id="315"/>
    </w:p>
    <w:p>
      <w:pPr>
        <w:pStyle w:val="2974"/>
        <w:rPr>
          <w:rFonts w:hint="eastAsia" w:ascii="Times New Roman" w:hAnsi="Times New Roman" w:eastAsia="宋体" w:cs="Times New Roman"/>
          <w:color w:val="auto"/>
          <w:u w:val="none" w:color="auto"/>
        </w:rPr>
      </w:pPr>
      <w:r>
        <w:rPr>
          <w:rFonts w:hint="eastAsia" w:ascii="Times New Roman" w:hAnsi="Times New Roman" w:eastAsia="宋体" w:cs="Times New Roman"/>
          <w:color w:val="auto"/>
          <w:u w:val="none" w:color="auto"/>
        </w:rPr>
        <w:t>依据《建设项目环境风险评价技术导则》（HJ169-2018）和《危险化学品重大危险源辨识标准》（GB18218-2018）中规定的易燃易爆和有毒物质的临界量限值。</w:t>
      </w:r>
    </w:p>
    <w:p>
      <w:pPr>
        <w:pStyle w:val="2974"/>
        <w:rPr>
          <w:rFonts w:hint="eastAsia" w:ascii="Times New Roman" w:hAnsi="Times New Roman" w:eastAsia="宋体" w:cs="Times New Roman"/>
          <w:color w:val="auto"/>
          <w:u w:val="none" w:color="auto"/>
        </w:rPr>
      </w:pPr>
      <w:r>
        <w:rPr>
          <w:rFonts w:hint="eastAsia" w:ascii="Times New Roman" w:hAnsi="Times New Roman" w:eastAsia="宋体" w:cs="Times New Roman"/>
          <w:color w:val="auto"/>
          <w:u w:val="none" w:color="auto"/>
        </w:rPr>
        <w:t>根据《建设项目环境风险评价技术导则》（HJ169-2018），建设项目环境风险潜势划分为I、II、III、IV/IV+级。根据建设项目涉及的物质和工艺系统的危险性及其所在地的环境敏感程度，结合事故情形下环境影响途径，对建设项目潜在环境危害程度进行概化分析，按照表</w:t>
      </w:r>
      <w:r>
        <w:rPr>
          <w:rFonts w:hint="eastAsia" w:ascii="Times New Roman" w:hAnsi="Times New Roman" w:eastAsia="宋体" w:cs="Times New Roman"/>
          <w:color w:val="auto"/>
          <w:u w:val="none" w:color="auto"/>
          <w:lang w:val="en-US" w:eastAsia="zh-CN"/>
        </w:rPr>
        <w:t>5.3</w:t>
      </w:r>
      <w:r>
        <w:rPr>
          <w:rFonts w:hint="eastAsia" w:ascii="Times New Roman" w:hAnsi="Times New Roman" w:eastAsia="宋体" w:cs="Times New Roman"/>
          <w:color w:val="auto"/>
          <w:u w:val="none" w:color="auto"/>
        </w:rPr>
        <w:t>-2 确定环境风险潜势。</w:t>
      </w:r>
    </w:p>
    <w:p>
      <w:pPr>
        <w:pStyle w:val="2976"/>
        <w:bidi w:val="0"/>
        <w:rPr>
          <w:color w:val="auto"/>
          <w:u w:val="none" w:color="auto"/>
          <w:lang w:val="zh-CN"/>
        </w:rPr>
      </w:pPr>
      <w:r>
        <w:rPr>
          <w:rFonts w:hint="eastAsia"/>
          <w:color w:val="auto"/>
          <w:u w:val="none" w:color="auto"/>
          <w:lang w:val="zh-CN"/>
        </w:rPr>
        <w:t>表</w:t>
      </w:r>
      <w:r>
        <w:rPr>
          <w:rFonts w:hint="eastAsia" w:ascii="Times New Roman" w:hAnsi="Times New Roman" w:eastAsia="宋体" w:cs="Times New Roman"/>
          <w:color w:val="auto"/>
          <w:u w:val="none" w:color="auto"/>
          <w:lang w:val="en-US" w:eastAsia="zh-CN"/>
        </w:rPr>
        <w:t>5.3</w:t>
      </w:r>
      <w:r>
        <w:rPr>
          <w:rFonts w:hint="eastAsia"/>
          <w:color w:val="auto"/>
          <w:u w:val="none" w:color="auto"/>
          <w:lang w:val="en-US" w:eastAsia="zh-CN"/>
        </w:rPr>
        <w:t>-2</w:t>
      </w:r>
      <w:r>
        <w:rPr>
          <w:color w:val="auto"/>
          <w:u w:val="none" w:color="auto"/>
          <w:lang w:val="zh-CN"/>
        </w:rPr>
        <w:t xml:space="preserve"> </w:t>
      </w:r>
      <w:r>
        <w:rPr>
          <w:rFonts w:hint="eastAsia"/>
          <w:color w:val="auto"/>
          <w:u w:val="none" w:color="auto"/>
          <w:lang w:val="zh-CN"/>
        </w:rPr>
        <w:t>建设项目环境风险潜势划分</w:t>
      </w:r>
    </w:p>
    <w:tbl>
      <w:tblPr>
        <w:tblStyle w:val="89"/>
        <w:tblW w:w="9175" w:type="dxa"/>
        <w:jc w:val="center"/>
        <w:tblLayout w:type="fixed"/>
        <w:tblCellMar>
          <w:top w:w="0" w:type="dxa"/>
          <w:left w:w="0" w:type="dxa"/>
          <w:bottom w:w="0" w:type="dxa"/>
          <w:right w:w="0" w:type="dxa"/>
        </w:tblCellMar>
      </w:tblPr>
      <w:tblGrid>
        <w:gridCol w:w="2093"/>
        <w:gridCol w:w="1770"/>
        <w:gridCol w:w="1771"/>
        <w:gridCol w:w="1770"/>
        <w:gridCol w:w="1771"/>
      </w:tblGrid>
      <w:tr>
        <w:tblPrEx>
          <w:tblCellMar>
            <w:top w:w="0" w:type="dxa"/>
            <w:left w:w="0" w:type="dxa"/>
            <w:bottom w:w="0" w:type="dxa"/>
            <w:right w:w="0" w:type="dxa"/>
          </w:tblCellMar>
        </w:tblPrEx>
        <w:trPr>
          <w:trHeight w:val="340" w:hRule="exact"/>
          <w:jc w:val="center"/>
        </w:trPr>
        <w:tc>
          <w:tcPr>
            <w:tcW w:w="2093" w:type="dxa"/>
            <w:vMerge w:val="restart"/>
            <w:tcBorders>
              <w:top w:val="single" w:color="000000" w:sz="12" w:space="0"/>
              <w:left w:val="single" w:color="000000" w:sz="12" w:space="0"/>
              <w:bottom w:val="single" w:color="000000" w:sz="4" w:space="0"/>
              <w:right w:val="single" w:color="000000" w:sz="4" w:space="0"/>
            </w:tcBorders>
            <w:noWrap w:val="0"/>
            <w:vAlign w:val="center"/>
          </w:tcPr>
          <w:p>
            <w:pPr>
              <w:pStyle w:val="2977"/>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环境敏感程度（E）</w:t>
            </w:r>
          </w:p>
        </w:tc>
        <w:tc>
          <w:tcPr>
            <w:tcW w:w="7082" w:type="dxa"/>
            <w:gridSpan w:val="4"/>
            <w:tcBorders>
              <w:top w:val="single" w:color="000000" w:sz="12" w:space="0"/>
              <w:left w:val="single" w:color="000000" w:sz="4" w:space="0"/>
              <w:bottom w:val="single" w:color="000000" w:sz="4" w:space="0"/>
              <w:right w:val="single" w:color="000000" w:sz="12" w:space="0"/>
            </w:tcBorders>
            <w:noWrap w:val="0"/>
            <w:vAlign w:val="center"/>
          </w:tcPr>
          <w:p>
            <w:pPr>
              <w:pStyle w:val="2977"/>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危险物质及工艺系统危险性（P）</w:t>
            </w:r>
          </w:p>
        </w:tc>
      </w:tr>
      <w:tr>
        <w:tblPrEx>
          <w:tblCellMar>
            <w:top w:w="0" w:type="dxa"/>
            <w:left w:w="0" w:type="dxa"/>
            <w:bottom w:w="0" w:type="dxa"/>
            <w:right w:w="0" w:type="dxa"/>
          </w:tblCellMar>
        </w:tblPrEx>
        <w:trPr>
          <w:trHeight w:val="340" w:hRule="exact"/>
          <w:jc w:val="center"/>
        </w:trPr>
        <w:tc>
          <w:tcPr>
            <w:tcW w:w="2093" w:type="dxa"/>
            <w:vMerge w:val="continue"/>
            <w:tcBorders>
              <w:top w:val="nil"/>
              <w:left w:val="single" w:color="000000" w:sz="12" w:space="0"/>
              <w:bottom w:val="single" w:color="000000" w:sz="4" w:space="0"/>
              <w:right w:val="single" w:color="000000" w:sz="4" w:space="0"/>
            </w:tcBorders>
            <w:noWrap w:val="0"/>
            <w:vAlign w:val="center"/>
          </w:tcPr>
          <w:p>
            <w:pPr>
              <w:pStyle w:val="2977"/>
              <w:bidi w:val="0"/>
              <w:rPr>
                <w:rFonts w:hint="default" w:ascii="Times New Roman" w:hAnsi="Times New Roman" w:cs="Times New Roman"/>
                <w:color w:val="auto"/>
                <w:u w:val="none" w:color="auto"/>
              </w:rPr>
            </w:pP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pStyle w:val="2977"/>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极高危害（P1）</w:t>
            </w:r>
          </w:p>
        </w:tc>
        <w:tc>
          <w:tcPr>
            <w:tcW w:w="1771" w:type="dxa"/>
            <w:tcBorders>
              <w:top w:val="single" w:color="000000" w:sz="4" w:space="0"/>
              <w:left w:val="single" w:color="000000" w:sz="4" w:space="0"/>
              <w:bottom w:val="single" w:color="000000" w:sz="4" w:space="0"/>
              <w:right w:val="single" w:color="000000" w:sz="4" w:space="0"/>
            </w:tcBorders>
            <w:noWrap w:val="0"/>
            <w:vAlign w:val="center"/>
          </w:tcPr>
          <w:p>
            <w:pPr>
              <w:pStyle w:val="2977"/>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高度危害（P2）</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pStyle w:val="2977"/>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中度危害（P3）</w:t>
            </w:r>
          </w:p>
        </w:tc>
        <w:tc>
          <w:tcPr>
            <w:tcW w:w="1771" w:type="dxa"/>
            <w:tcBorders>
              <w:top w:val="single" w:color="000000" w:sz="4" w:space="0"/>
              <w:left w:val="single" w:color="000000" w:sz="4" w:space="0"/>
              <w:bottom w:val="single" w:color="000000" w:sz="4" w:space="0"/>
              <w:right w:val="single" w:color="000000" w:sz="12" w:space="0"/>
            </w:tcBorders>
            <w:noWrap w:val="0"/>
            <w:vAlign w:val="center"/>
          </w:tcPr>
          <w:p>
            <w:pPr>
              <w:pStyle w:val="2977"/>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轻度危害（P4）</w:t>
            </w:r>
          </w:p>
        </w:tc>
      </w:tr>
      <w:tr>
        <w:tblPrEx>
          <w:tblCellMar>
            <w:top w:w="0" w:type="dxa"/>
            <w:left w:w="0" w:type="dxa"/>
            <w:bottom w:w="0" w:type="dxa"/>
            <w:right w:w="0" w:type="dxa"/>
          </w:tblCellMar>
        </w:tblPrEx>
        <w:trPr>
          <w:trHeight w:val="340" w:hRule="exact"/>
          <w:jc w:val="center"/>
        </w:trPr>
        <w:tc>
          <w:tcPr>
            <w:tcW w:w="2093" w:type="dxa"/>
            <w:tcBorders>
              <w:top w:val="single" w:color="000000" w:sz="4" w:space="0"/>
              <w:left w:val="single" w:color="000000" w:sz="12" w:space="0"/>
              <w:bottom w:val="single" w:color="000000" w:sz="4" w:space="0"/>
              <w:right w:val="single" w:color="000000" w:sz="4" w:space="0"/>
            </w:tcBorders>
            <w:noWrap w:val="0"/>
            <w:vAlign w:val="center"/>
          </w:tcPr>
          <w:p>
            <w:pPr>
              <w:pStyle w:val="2977"/>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环境高度敏感区（E1）</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pStyle w:val="2977"/>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Ⅳ+</w:t>
            </w:r>
          </w:p>
        </w:tc>
        <w:tc>
          <w:tcPr>
            <w:tcW w:w="1771" w:type="dxa"/>
            <w:tcBorders>
              <w:top w:val="single" w:color="000000" w:sz="4" w:space="0"/>
              <w:left w:val="single" w:color="000000" w:sz="4" w:space="0"/>
              <w:bottom w:val="single" w:color="000000" w:sz="4" w:space="0"/>
              <w:right w:val="single" w:color="000000" w:sz="4" w:space="0"/>
            </w:tcBorders>
            <w:noWrap w:val="0"/>
            <w:vAlign w:val="center"/>
          </w:tcPr>
          <w:p>
            <w:pPr>
              <w:pStyle w:val="2977"/>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Ⅳ</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pStyle w:val="2977"/>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Ⅲ</w:t>
            </w:r>
          </w:p>
        </w:tc>
        <w:tc>
          <w:tcPr>
            <w:tcW w:w="1771" w:type="dxa"/>
            <w:tcBorders>
              <w:top w:val="single" w:color="000000" w:sz="4" w:space="0"/>
              <w:left w:val="single" w:color="000000" w:sz="4" w:space="0"/>
              <w:bottom w:val="single" w:color="000000" w:sz="4" w:space="0"/>
              <w:right w:val="single" w:color="000000" w:sz="12" w:space="0"/>
            </w:tcBorders>
            <w:noWrap w:val="0"/>
            <w:vAlign w:val="center"/>
          </w:tcPr>
          <w:p>
            <w:pPr>
              <w:pStyle w:val="2977"/>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Ⅲ</w:t>
            </w:r>
          </w:p>
        </w:tc>
      </w:tr>
      <w:tr>
        <w:tblPrEx>
          <w:tblCellMar>
            <w:top w:w="0" w:type="dxa"/>
            <w:left w:w="0" w:type="dxa"/>
            <w:bottom w:w="0" w:type="dxa"/>
            <w:right w:w="0" w:type="dxa"/>
          </w:tblCellMar>
        </w:tblPrEx>
        <w:trPr>
          <w:trHeight w:val="340" w:hRule="exact"/>
          <w:jc w:val="center"/>
        </w:trPr>
        <w:tc>
          <w:tcPr>
            <w:tcW w:w="2093" w:type="dxa"/>
            <w:tcBorders>
              <w:top w:val="single" w:color="000000" w:sz="4" w:space="0"/>
              <w:left w:val="single" w:color="000000" w:sz="12" w:space="0"/>
              <w:bottom w:val="single" w:color="000000" w:sz="4" w:space="0"/>
              <w:right w:val="single" w:color="000000" w:sz="4" w:space="0"/>
            </w:tcBorders>
            <w:noWrap w:val="0"/>
            <w:vAlign w:val="center"/>
          </w:tcPr>
          <w:p>
            <w:pPr>
              <w:pStyle w:val="2977"/>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环境中度敏感区（E2）</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pStyle w:val="2977"/>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Ⅳ</w:t>
            </w:r>
          </w:p>
        </w:tc>
        <w:tc>
          <w:tcPr>
            <w:tcW w:w="1771" w:type="dxa"/>
            <w:tcBorders>
              <w:top w:val="single" w:color="000000" w:sz="4" w:space="0"/>
              <w:left w:val="single" w:color="000000" w:sz="4" w:space="0"/>
              <w:bottom w:val="single" w:color="000000" w:sz="4" w:space="0"/>
              <w:right w:val="single" w:color="000000" w:sz="4" w:space="0"/>
            </w:tcBorders>
            <w:noWrap w:val="0"/>
            <w:vAlign w:val="center"/>
          </w:tcPr>
          <w:p>
            <w:pPr>
              <w:pStyle w:val="2977"/>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Ⅲ</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pStyle w:val="2977"/>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Ⅲ</w:t>
            </w:r>
          </w:p>
        </w:tc>
        <w:tc>
          <w:tcPr>
            <w:tcW w:w="1771" w:type="dxa"/>
            <w:tcBorders>
              <w:top w:val="single" w:color="000000" w:sz="4" w:space="0"/>
              <w:left w:val="single" w:color="000000" w:sz="4" w:space="0"/>
              <w:bottom w:val="single" w:color="000000" w:sz="4" w:space="0"/>
              <w:right w:val="single" w:color="000000" w:sz="12" w:space="0"/>
            </w:tcBorders>
            <w:noWrap w:val="0"/>
            <w:vAlign w:val="center"/>
          </w:tcPr>
          <w:p>
            <w:pPr>
              <w:pStyle w:val="2977"/>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Ⅱ</w:t>
            </w:r>
          </w:p>
        </w:tc>
      </w:tr>
      <w:tr>
        <w:tblPrEx>
          <w:tblCellMar>
            <w:top w:w="0" w:type="dxa"/>
            <w:left w:w="0" w:type="dxa"/>
            <w:bottom w:w="0" w:type="dxa"/>
            <w:right w:w="0" w:type="dxa"/>
          </w:tblCellMar>
        </w:tblPrEx>
        <w:trPr>
          <w:trHeight w:val="340" w:hRule="exact"/>
          <w:jc w:val="center"/>
        </w:trPr>
        <w:tc>
          <w:tcPr>
            <w:tcW w:w="2093" w:type="dxa"/>
            <w:tcBorders>
              <w:top w:val="single" w:color="000000" w:sz="4" w:space="0"/>
              <w:left w:val="single" w:color="000000" w:sz="12" w:space="0"/>
              <w:bottom w:val="single" w:color="000000" w:sz="4" w:space="0"/>
              <w:right w:val="single" w:color="000000" w:sz="4" w:space="0"/>
            </w:tcBorders>
            <w:noWrap w:val="0"/>
            <w:vAlign w:val="center"/>
          </w:tcPr>
          <w:p>
            <w:pPr>
              <w:pStyle w:val="2977"/>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环境低度敏感区（E3）</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pStyle w:val="2977"/>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Ⅲ</w:t>
            </w:r>
          </w:p>
        </w:tc>
        <w:tc>
          <w:tcPr>
            <w:tcW w:w="1771" w:type="dxa"/>
            <w:tcBorders>
              <w:top w:val="single" w:color="000000" w:sz="4" w:space="0"/>
              <w:left w:val="single" w:color="000000" w:sz="4" w:space="0"/>
              <w:bottom w:val="single" w:color="000000" w:sz="4" w:space="0"/>
              <w:right w:val="single" w:color="000000" w:sz="4" w:space="0"/>
            </w:tcBorders>
            <w:noWrap w:val="0"/>
            <w:vAlign w:val="center"/>
          </w:tcPr>
          <w:p>
            <w:pPr>
              <w:pStyle w:val="2977"/>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Ⅲ</w:t>
            </w:r>
          </w:p>
        </w:tc>
        <w:tc>
          <w:tcPr>
            <w:tcW w:w="1770" w:type="dxa"/>
            <w:tcBorders>
              <w:top w:val="single" w:color="000000" w:sz="4" w:space="0"/>
              <w:left w:val="single" w:color="000000" w:sz="4" w:space="0"/>
              <w:bottom w:val="single" w:color="000000" w:sz="4" w:space="0"/>
              <w:right w:val="single" w:color="000000" w:sz="4" w:space="0"/>
            </w:tcBorders>
            <w:noWrap w:val="0"/>
            <w:vAlign w:val="center"/>
          </w:tcPr>
          <w:p>
            <w:pPr>
              <w:pStyle w:val="2977"/>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Ⅱ</w:t>
            </w:r>
          </w:p>
        </w:tc>
        <w:tc>
          <w:tcPr>
            <w:tcW w:w="1771" w:type="dxa"/>
            <w:tcBorders>
              <w:top w:val="single" w:color="000000" w:sz="4" w:space="0"/>
              <w:left w:val="single" w:color="000000" w:sz="4" w:space="0"/>
              <w:bottom w:val="single" w:color="000000" w:sz="4" w:space="0"/>
              <w:right w:val="single" w:color="000000" w:sz="12" w:space="0"/>
            </w:tcBorders>
            <w:noWrap w:val="0"/>
            <w:vAlign w:val="center"/>
          </w:tcPr>
          <w:p>
            <w:pPr>
              <w:pStyle w:val="2977"/>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Ⅰ</w:t>
            </w:r>
          </w:p>
        </w:tc>
      </w:tr>
      <w:tr>
        <w:tblPrEx>
          <w:tblCellMar>
            <w:top w:w="0" w:type="dxa"/>
            <w:left w:w="0" w:type="dxa"/>
            <w:bottom w:w="0" w:type="dxa"/>
            <w:right w:w="0" w:type="dxa"/>
          </w:tblCellMar>
        </w:tblPrEx>
        <w:trPr>
          <w:trHeight w:val="340" w:hRule="exact"/>
          <w:jc w:val="center"/>
        </w:trPr>
        <w:tc>
          <w:tcPr>
            <w:tcW w:w="9175" w:type="dxa"/>
            <w:gridSpan w:val="5"/>
            <w:tcBorders>
              <w:top w:val="single" w:color="000000" w:sz="4" w:space="0"/>
              <w:left w:val="single" w:color="000000" w:sz="12" w:space="0"/>
              <w:bottom w:val="single" w:color="000000" w:sz="12" w:space="0"/>
              <w:right w:val="single" w:color="000000" w:sz="12" w:space="0"/>
            </w:tcBorders>
            <w:noWrap w:val="0"/>
            <w:vAlign w:val="center"/>
          </w:tcPr>
          <w:p>
            <w:pPr>
              <w:pStyle w:val="2977"/>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注：Ⅳ+为极高环境风险。</w:t>
            </w:r>
          </w:p>
        </w:tc>
      </w:tr>
    </w:tbl>
    <w:p>
      <w:pPr>
        <w:pStyle w:val="2974"/>
        <w:rPr>
          <w:rFonts w:hint="eastAsia"/>
          <w:color w:val="auto"/>
          <w:u w:val="none" w:color="auto"/>
        </w:rPr>
      </w:pPr>
      <w:r>
        <w:rPr>
          <w:rFonts w:hint="eastAsia"/>
          <w:color w:val="auto"/>
          <w:u w:val="none" w:color="auto"/>
        </w:rPr>
        <w:t>根据上表可知，风险潜势由危险物质及工艺系统危险性（P）与环境敏感程度（E）共同确定，而P 的分级由危险物质数量与临界量的比值（Q）和所属行业及生产工艺特点（M）共同确定。</w:t>
      </w:r>
    </w:p>
    <w:p>
      <w:pPr>
        <w:pStyle w:val="2974"/>
        <w:rPr>
          <w:rFonts w:hint="eastAsia"/>
          <w:color w:val="auto"/>
          <w:u w:val="none" w:color="auto"/>
        </w:rPr>
      </w:pPr>
      <w:r>
        <w:rPr>
          <w:rFonts w:hint="eastAsia"/>
          <w:color w:val="auto"/>
          <w:u w:val="none" w:color="auto"/>
        </w:rPr>
        <w:t>危险物质数量与临界量比值（Q）为每种危险物质在项目边界内的最大存在总量与其在《建设项目环境风险评价技术导则》（HJ169-2018）附录B 中对应临界量的比值Q，当只涉及一种危险物质时，计算该物质的总量与其临界量比值，即为Q；当存在多种危险物质时，则按照下式计算物质总量与其临界量比值（Q）：</w:t>
      </w:r>
    </w:p>
    <w:p>
      <w:pPr>
        <w:pStyle w:val="2974"/>
        <w:jc w:val="center"/>
        <w:rPr>
          <w:rFonts w:hint="eastAsia"/>
          <w:color w:val="auto"/>
          <w:u w:val="none" w:color="auto"/>
        </w:rPr>
      </w:pPr>
      <w:r>
        <w:rPr>
          <w:color w:val="auto"/>
          <w:u w:val="none" w:color="auto"/>
        </w:rPr>
        <w:drawing>
          <wp:inline distT="0" distB="0" distL="114300" distR="114300">
            <wp:extent cx="1838325" cy="466725"/>
            <wp:effectExtent l="0" t="0" r="9525" b="9525"/>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38"/>
                    <a:stretch>
                      <a:fillRect/>
                    </a:stretch>
                  </pic:blipFill>
                  <pic:spPr>
                    <a:xfrm>
                      <a:off x="0" y="0"/>
                      <a:ext cx="1838325" cy="466725"/>
                    </a:xfrm>
                    <a:prstGeom prst="rect">
                      <a:avLst/>
                    </a:prstGeom>
                    <a:noFill/>
                    <a:ln>
                      <a:noFill/>
                    </a:ln>
                  </pic:spPr>
                </pic:pic>
              </a:graphicData>
            </a:graphic>
          </wp:inline>
        </w:drawing>
      </w:r>
    </w:p>
    <w:p>
      <w:pPr>
        <w:pStyle w:val="2974"/>
        <w:rPr>
          <w:rFonts w:hint="default" w:ascii="Times New Roman" w:hAnsi="Times New Roman" w:cs="Times New Roman"/>
          <w:color w:val="auto"/>
          <w:u w:val="none" w:color="auto"/>
        </w:rPr>
      </w:pPr>
      <w:r>
        <w:rPr>
          <w:rFonts w:hint="default" w:ascii="Times New Roman" w:hAnsi="Times New Roman" w:cs="Times New Roman"/>
          <w:color w:val="auto"/>
          <w:u w:val="none" w:color="auto"/>
        </w:rPr>
        <w:t>式中：q</w:t>
      </w:r>
      <w:r>
        <w:rPr>
          <w:rFonts w:hint="default" w:ascii="Times New Roman" w:hAnsi="Times New Roman" w:cs="Times New Roman"/>
          <w:color w:val="auto"/>
          <w:u w:val="none" w:color="auto"/>
          <w:vertAlign w:val="subscript"/>
        </w:rPr>
        <w:t>1</w:t>
      </w:r>
      <w:r>
        <w:rPr>
          <w:rFonts w:hint="default" w:ascii="Times New Roman" w:hAnsi="Times New Roman" w:cs="Times New Roman"/>
          <w:color w:val="auto"/>
          <w:u w:val="none" w:color="auto"/>
        </w:rPr>
        <w:t>，q</w:t>
      </w:r>
      <w:r>
        <w:rPr>
          <w:rFonts w:hint="default" w:ascii="Times New Roman" w:hAnsi="Times New Roman" w:cs="Times New Roman"/>
          <w:color w:val="auto"/>
          <w:u w:val="none" w:color="auto"/>
          <w:vertAlign w:val="subscript"/>
        </w:rPr>
        <w:t>2</w:t>
      </w:r>
      <w:r>
        <w:rPr>
          <w:rFonts w:hint="default" w:ascii="Times New Roman" w:hAnsi="Times New Roman" w:cs="Times New Roman"/>
          <w:color w:val="auto"/>
          <w:u w:val="none" w:color="auto"/>
        </w:rPr>
        <w:t>，...，q</w:t>
      </w:r>
      <w:r>
        <w:rPr>
          <w:rFonts w:hint="default" w:ascii="Times New Roman" w:hAnsi="Times New Roman" w:cs="Times New Roman"/>
          <w:color w:val="auto"/>
          <w:u w:val="none" w:color="auto"/>
          <w:vertAlign w:val="subscript"/>
        </w:rPr>
        <w:t>n</w:t>
      </w:r>
      <w:r>
        <w:rPr>
          <w:rFonts w:hint="default" w:ascii="Times New Roman" w:hAnsi="Times New Roman" w:cs="Times New Roman"/>
          <w:color w:val="auto"/>
          <w:u w:val="none" w:color="auto"/>
        </w:rPr>
        <w:t>——每种危险物质的最大存在总量，t；</w:t>
      </w:r>
    </w:p>
    <w:p>
      <w:pPr>
        <w:pStyle w:val="2974"/>
        <w:rPr>
          <w:rFonts w:hint="default" w:ascii="Times New Roman" w:hAnsi="Times New Roman" w:cs="Times New Roman"/>
          <w:color w:val="auto"/>
          <w:u w:val="none" w:color="auto"/>
        </w:rPr>
      </w:pPr>
      <w:r>
        <w:rPr>
          <w:rFonts w:hint="default" w:ascii="Times New Roman" w:hAnsi="Times New Roman" w:cs="Times New Roman"/>
          <w:color w:val="auto"/>
          <w:u w:val="none" w:color="auto"/>
        </w:rPr>
        <w:t>Q</w:t>
      </w:r>
      <w:r>
        <w:rPr>
          <w:rFonts w:hint="default" w:ascii="Times New Roman" w:hAnsi="Times New Roman" w:cs="Times New Roman"/>
          <w:color w:val="auto"/>
          <w:u w:val="none" w:color="auto"/>
          <w:vertAlign w:val="subscript"/>
        </w:rPr>
        <w:t>1</w:t>
      </w:r>
      <w:r>
        <w:rPr>
          <w:rFonts w:hint="default" w:ascii="Times New Roman" w:hAnsi="Times New Roman" w:cs="Times New Roman"/>
          <w:color w:val="auto"/>
          <w:u w:val="none" w:color="auto"/>
        </w:rPr>
        <w:t>, Q</w:t>
      </w:r>
      <w:r>
        <w:rPr>
          <w:rFonts w:hint="default" w:ascii="Times New Roman" w:hAnsi="Times New Roman" w:cs="Times New Roman"/>
          <w:color w:val="auto"/>
          <w:u w:val="none" w:color="auto"/>
          <w:vertAlign w:val="subscript"/>
        </w:rPr>
        <w:t>2</w:t>
      </w:r>
      <w:r>
        <w:rPr>
          <w:rFonts w:hint="default" w:ascii="Times New Roman" w:hAnsi="Times New Roman" w:cs="Times New Roman"/>
          <w:color w:val="auto"/>
          <w:u w:val="none" w:color="auto"/>
        </w:rPr>
        <w:t>, ..., Q</w:t>
      </w:r>
      <w:r>
        <w:rPr>
          <w:rFonts w:hint="default" w:ascii="Times New Roman" w:hAnsi="Times New Roman" w:cs="Times New Roman"/>
          <w:color w:val="auto"/>
          <w:u w:val="none" w:color="auto"/>
          <w:vertAlign w:val="subscript"/>
        </w:rPr>
        <w:t>n</w:t>
      </w:r>
      <w:r>
        <w:rPr>
          <w:rFonts w:hint="default" w:ascii="Times New Roman" w:hAnsi="Times New Roman" w:cs="Times New Roman"/>
          <w:color w:val="auto"/>
          <w:u w:val="none" w:color="auto"/>
        </w:rPr>
        <w:t>——每种危险物质的临界量，t。</w:t>
      </w:r>
    </w:p>
    <w:p>
      <w:pPr>
        <w:pStyle w:val="2974"/>
        <w:rPr>
          <w:rFonts w:hint="default" w:ascii="Times New Roman" w:hAnsi="Times New Roman" w:cs="Times New Roman"/>
          <w:color w:val="auto"/>
          <w:u w:val="none" w:color="auto"/>
        </w:rPr>
      </w:pPr>
      <w:r>
        <w:rPr>
          <w:rFonts w:hint="default" w:ascii="Times New Roman" w:hAnsi="Times New Roman" w:cs="Times New Roman"/>
          <w:color w:val="auto"/>
          <w:u w:val="none" w:color="auto"/>
        </w:rPr>
        <w:t>当Q＜1 时，该项目环境风险潜势为Ⅰ。</w:t>
      </w:r>
    </w:p>
    <w:p>
      <w:pPr>
        <w:pStyle w:val="2974"/>
        <w:rPr>
          <w:rFonts w:hint="default" w:ascii="Times New Roman" w:hAnsi="Times New Roman" w:cs="Times New Roman"/>
          <w:color w:val="auto"/>
          <w:u w:val="none" w:color="auto"/>
        </w:rPr>
      </w:pPr>
      <w:r>
        <w:rPr>
          <w:rFonts w:hint="default" w:ascii="Times New Roman" w:hAnsi="Times New Roman" w:cs="Times New Roman"/>
          <w:color w:val="auto"/>
          <w:u w:val="none" w:color="auto"/>
        </w:rPr>
        <w:t>当Q≥1 时，将Q 值划分为：（1）1≤Q＜10；（2）10≤Q＜100；（3）Q≥100。</w:t>
      </w:r>
    </w:p>
    <w:p>
      <w:pPr>
        <w:pStyle w:val="2976"/>
        <w:bidi w:val="0"/>
        <w:rPr>
          <w:rFonts w:hint="eastAsia"/>
          <w:color w:val="auto"/>
          <w:u w:val="none" w:color="auto"/>
        </w:rPr>
      </w:pPr>
      <w:r>
        <w:rPr>
          <w:rFonts w:hint="eastAsia"/>
          <w:color w:val="auto"/>
          <w:u w:val="none" w:color="auto"/>
        </w:rPr>
        <w:t>表</w:t>
      </w:r>
      <w:r>
        <w:rPr>
          <w:rFonts w:hint="eastAsia" w:ascii="Times New Roman" w:hAnsi="Times New Roman" w:eastAsia="宋体" w:cs="Times New Roman"/>
          <w:color w:val="auto"/>
          <w:u w:val="none" w:color="auto"/>
          <w:lang w:val="en-US" w:eastAsia="zh-CN"/>
        </w:rPr>
        <w:t>5.3</w:t>
      </w:r>
      <w:r>
        <w:rPr>
          <w:rFonts w:hint="eastAsia"/>
          <w:color w:val="auto"/>
          <w:u w:val="none" w:color="auto"/>
        </w:rPr>
        <w:t>-3 涉及的风险物质及Q 值计算一览表</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1448"/>
        <w:gridCol w:w="1125"/>
        <w:gridCol w:w="1125"/>
        <w:gridCol w:w="1125"/>
        <w:gridCol w:w="1127"/>
        <w:gridCol w:w="1470"/>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977"/>
              <w:widowControl w:val="0"/>
              <w:bidi w:val="0"/>
              <w:rPr>
                <w:rFonts w:hint="eastAsia"/>
                <w:color w:val="auto"/>
                <w:u w:val="none" w:color="auto"/>
                <w:lang w:val="en-US" w:eastAsia="zh-CN"/>
              </w:rPr>
            </w:pPr>
            <w:r>
              <w:rPr>
                <w:rFonts w:hint="eastAsia"/>
                <w:color w:val="auto"/>
                <w:u w:val="none" w:color="auto"/>
                <w:lang w:val="en-US" w:eastAsia="zh-CN"/>
              </w:rPr>
              <w:t>序号</w:t>
            </w:r>
          </w:p>
        </w:tc>
        <w:tc>
          <w:tcPr>
            <w:tcW w:w="1448" w:type="dxa"/>
          </w:tcPr>
          <w:p>
            <w:pPr>
              <w:pStyle w:val="2977"/>
              <w:widowControl w:val="0"/>
              <w:bidi w:val="0"/>
              <w:rPr>
                <w:rFonts w:hint="default"/>
                <w:color w:val="auto"/>
                <w:u w:val="none" w:color="auto"/>
                <w:lang w:val="en-US" w:eastAsia="zh-CN"/>
              </w:rPr>
            </w:pPr>
            <w:r>
              <w:rPr>
                <w:rFonts w:hint="eastAsia"/>
                <w:color w:val="auto"/>
                <w:u w:val="none" w:color="auto"/>
                <w:lang w:val="en-US" w:eastAsia="zh-CN"/>
              </w:rPr>
              <w:t>名称</w:t>
            </w:r>
          </w:p>
        </w:tc>
        <w:tc>
          <w:tcPr>
            <w:tcW w:w="1125" w:type="dxa"/>
          </w:tcPr>
          <w:p>
            <w:pPr>
              <w:pStyle w:val="2977"/>
              <w:widowControl w:val="0"/>
              <w:bidi w:val="0"/>
              <w:rPr>
                <w:rFonts w:hint="eastAsia"/>
                <w:color w:val="auto"/>
                <w:u w:val="none" w:color="auto"/>
                <w:lang w:val="en-US" w:eastAsia="zh-CN"/>
              </w:rPr>
            </w:pPr>
            <w:r>
              <w:rPr>
                <w:rFonts w:hint="eastAsia"/>
                <w:color w:val="auto"/>
                <w:u w:val="none" w:color="auto"/>
                <w:lang w:val="en-US" w:eastAsia="zh-CN"/>
              </w:rPr>
              <w:t>理化性质</w:t>
            </w:r>
          </w:p>
        </w:tc>
        <w:tc>
          <w:tcPr>
            <w:tcW w:w="1125" w:type="dxa"/>
          </w:tcPr>
          <w:p>
            <w:pPr>
              <w:pStyle w:val="2977"/>
              <w:widowControl w:val="0"/>
              <w:bidi w:val="0"/>
              <w:rPr>
                <w:rFonts w:hint="default"/>
                <w:color w:val="auto"/>
                <w:u w:val="none" w:color="auto"/>
                <w:lang w:val="en-US" w:eastAsia="zh-CN"/>
              </w:rPr>
            </w:pPr>
            <w:r>
              <w:rPr>
                <w:rFonts w:hint="eastAsia"/>
                <w:color w:val="auto"/>
                <w:u w:val="none" w:color="auto"/>
                <w:lang w:val="en-US" w:eastAsia="zh-CN"/>
              </w:rPr>
              <w:t>危害特性</w:t>
            </w:r>
          </w:p>
        </w:tc>
        <w:tc>
          <w:tcPr>
            <w:tcW w:w="1125" w:type="dxa"/>
          </w:tcPr>
          <w:p>
            <w:pPr>
              <w:pStyle w:val="2977"/>
              <w:widowControl w:val="0"/>
              <w:bidi w:val="0"/>
              <w:rPr>
                <w:rFonts w:hint="eastAsia"/>
                <w:color w:val="auto"/>
                <w:u w:val="none" w:color="auto"/>
                <w:lang w:val="en-US" w:eastAsia="zh-CN"/>
              </w:rPr>
            </w:pPr>
            <w:r>
              <w:rPr>
                <w:rFonts w:hint="eastAsia"/>
                <w:color w:val="auto"/>
                <w:u w:val="none" w:color="auto"/>
                <w:lang w:val="en-US" w:eastAsia="zh-CN"/>
              </w:rPr>
              <w:t>贮存方式</w:t>
            </w:r>
          </w:p>
        </w:tc>
        <w:tc>
          <w:tcPr>
            <w:tcW w:w="1127" w:type="dxa"/>
          </w:tcPr>
          <w:p>
            <w:pPr>
              <w:pStyle w:val="2977"/>
              <w:widowControl w:val="0"/>
              <w:bidi w:val="0"/>
              <w:rPr>
                <w:rFonts w:hint="default"/>
                <w:color w:val="auto"/>
                <w:u w:val="none" w:color="auto"/>
                <w:lang w:val="en-US" w:eastAsia="zh-CN"/>
              </w:rPr>
            </w:pPr>
            <w:r>
              <w:rPr>
                <w:rFonts w:hint="eastAsia"/>
                <w:color w:val="auto"/>
                <w:u w:val="none" w:color="auto"/>
                <w:lang w:val="en-US" w:eastAsia="zh-CN"/>
              </w:rPr>
              <w:t>最大贮存量qi</w:t>
            </w:r>
          </w:p>
        </w:tc>
        <w:tc>
          <w:tcPr>
            <w:tcW w:w="1470" w:type="dxa"/>
          </w:tcPr>
          <w:p>
            <w:pPr>
              <w:pStyle w:val="2977"/>
              <w:widowControl w:val="0"/>
              <w:bidi w:val="0"/>
              <w:rPr>
                <w:rFonts w:hint="eastAsia"/>
                <w:color w:val="auto"/>
                <w:u w:val="none" w:color="auto"/>
              </w:rPr>
            </w:pPr>
            <w:r>
              <w:rPr>
                <w:rFonts w:hint="eastAsia"/>
                <w:color w:val="auto"/>
                <w:u w:val="none" w:color="auto"/>
              </w:rPr>
              <w:t>《辨识》中规定的临界量Qi</w:t>
            </w:r>
          </w:p>
        </w:tc>
        <w:tc>
          <w:tcPr>
            <w:tcW w:w="803" w:type="dxa"/>
          </w:tcPr>
          <w:p>
            <w:pPr>
              <w:pStyle w:val="2977"/>
              <w:widowControl w:val="0"/>
              <w:bidi w:val="0"/>
              <w:rPr>
                <w:rFonts w:hint="eastAsia"/>
                <w:color w:val="auto"/>
                <w:u w:val="none" w:color="auto"/>
              </w:rPr>
            </w:pPr>
            <w:r>
              <w:rPr>
                <w:rFonts w:hint="eastAsia"/>
                <w:color w:val="auto"/>
                <w:u w:val="none" w:color="auto"/>
              </w:rPr>
              <w:t>qi/Qi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977"/>
              <w:widowControl w:val="0"/>
              <w:bidi w:val="0"/>
              <w:rPr>
                <w:rFonts w:hint="eastAsia"/>
                <w:color w:val="auto"/>
                <w:u w:val="none" w:color="auto"/>
                <w:lang w:val="en-US" w:eastAsia="zh-CN"/>
              </w:rPr>
            </w:pPr>
            <w:r>
              <w:rPr>
                <w:rFonts w:hint="eastAsia"/>
                <w:color w:val="auto"/>
                <w:u w:val="none" w:color="auto"/>
                <w:lang w:val="en-US" w:eastAsia="zh-CN"/>
              </w:rPr>
              <w:t>1</w:t>
            </w:r>
          </w:p>
        </w:tc>
        <w:tc>
          <w:tcPr>
            <w:tcW w:w="1448" w:type="dxa"/>
          </w:tcPr>
          <w:p>
            <w:pPr>
              <w:pStyle w:val="2977"/>
              <w:widowControl w:val="0"/>
              <w:bidi w:val="0"/>
              <w:rPr>
                <w:rFonts w:hint="eastAsia"/>
                <w:color w:val="auto"/>
                <w:u w:val="none" w:color="auto"/>
                <w:lang w:val="en-US" w:eastAsia="zh-CN"/>
              </w:rPr>
            </w:pPr>
            <w:r>
              <w:rPr>
                <w:rFonts w:hint="eastAsia"/>
                <w:color w:val="auto"/>
                <w:u w:val="none" w:color="auto"/>
                <w:lang w:val="en-US" w:eastAsia="zh-CN"/>
              </w:rPr>
              <w:t>油料</w:t>
            </w:r>
          </w:p>
        </w:tc>
        <w:tc>
          <w:tcPr>
            <w:tcW w:w="1125" w:type="dxa"/>
          </w:tcPr>
          <w:p>
            <w:pPr>
              <w:pStyle w:val="2977"/>
              <w:widowControl w:val="0"/>
              <w:bidi w:val="0"/>
              <w:rPr>
                <w:rFonts w:hint="eastAsia"/>
                <w:color w:val="auto"/>
                <w:u w:val="none" w:color="auto"/>
              </w:rPr>
            </w:pPr>
            <w:r>
              <w:rPr>
                <w:rFonts w:hint="eastAsia"/>
                <w:color w:val="auto"/>
                <w:u w:val="none" w:color="auto"/>
              </w:rPr>
              <w:t>无色液体</w:t>
            </w:r>
          </w:p>
        </w:tc>
        <w:tc>
          <w:tcPr>
            <w:tcW w:w="1125" w:type="dxa"/>
          </w:tcPr>
          <w:p>
            <w:pPr>
              <w:pStyle w:val="2977"/>
              <w:widowControl w:val="0"/>
              <w:bidi w:val="0"/>
              <w:rPr>
                <w:rFonts w:hint="eastAsia"/>
                <w:color w:val="auto"/>
                <w:u w:val="none" w:color="auto"/>
              </w:rPr>
            </w:pPr>
            <w:r>
              <w:rPr>
                <w:rFonts w:hint="eastAsia"/>
                <w:color w:val="auto"/>
                <w:u w:val="none" w:color="auto"/>
              </w:rPr>
              <w:t>易燃易爆</w:t>
            </w:r>
          </w:p>
        </w:tc>
        <w:tc>
          <w:tcPr>
            <w:tcW w:w="1125" w:type="dxa"/>
          </w:tcPr>
          <w:p>
            <w:pPr>
              <w:pStyle w:val="2977"/>
              <w:widowControl w:val="0"/>
              <w:bidi w:val="0"/>
              <w:rPr>
                <w:rFonts w:hint="eastAsia"/>
                <w:color w:val="auto"/>
                <w:u w:val="none" w:color="auto"/>
                <w:lang w:val="en-US" w:eastAsia="zh-CN"/>
              </w:rPr>
            </w:pPr>
            <w:r>
              <w:rPr>
                <w:rFonts w:hint="eastAsia"/>
                <w:color w:val="auto"/>
                <w:u w:val="none" w:color="auto"/>
                <w:lang w:val="en-US" w:eastAsia="zh-CN"/>
              </w:rPr>
              <w:t>桶装</w:t>
            </w:r>
          </w:p>
        </w:tc>
        <w:tc>
          <w:tcPr>
            <w:tcW w:w="1127" w:type="dxa"/>
          </w:tcPr>
          <w:p>
            <w:pPr>
              <w:pStyle w:val="2977"/>
              <w:widowControl w:val="0"/>
              <w:bidi w:val="0"/>
              <w:rPr>
                <w:rFonts w:hint="default"/>
                <w:color w:val="auto"/>
                <w:u w:val="none" w:color="auto"/>
                <w:lang w:val="en-US" w:eastAsia="zh-CN"/>
              </w:rPr>
            </w:pPr>
            <w:r>
              <w:rPr>
                <w:rFonts w:hint="eastAsia"/>
                <w:color w:val="auto"/>
                <w:u w:val="none" w:color="auto"/>
                <w:lang w:val="en-US" w:eastAsia="zh-CN"/>
              </w:rPr>
              <w:t>2</w:t>
            </w:r>
          </w:p>
        </w:tc>
        <w:tc>
          <w:tcPr>
            <w:tcW w:w="1470" w:type="dxa"/>
          </w:tcPr>
          <w:p>
            <w:pPr>
              <w:pStyle w:val="2977"/>
              <w:widowControl w:val="0"/>
              <w:bidi w:val="0"/>
              <w:rPr>
                <w:rFonts w:hint="default"/>
                <w:color w:val="auto"/>
                <w:u w:val="none" w:color="auto"/>
                <w:lang w:val="en-US" w:eastAsia="zh-CN"/>
              </w:rPr>
            </w:pPr>
            <w:r>
              <w:rPr>
                <w:rFonts w:hint="eastAsia"/>
                <w:color w:val="auto"/>
                <w:u w:val="none" w:color="auto"/>
                <w:lang w:val="en-US" w:eastAsia="zh-CN"/>
              </w:rPr>
              <w:t>2500</w:t>
            </w:r>
          </w:p>
        </w:tc>
        <w:tc>
          <w:tcPr>
            <w:tcW w:w="803" w:type="dxa"/>
          </w:tcPr>
          <w:p>
            <w:pPr>
              <w:pStyle w:val="2977"/>
              <w:widowControl w:val="0"/>
              <w:bidi w:val="0"/>
              <w:rPr>
                <w:rFonts w:hint="default"/>
                <w:color w:val="auto"/>
                <w:u w:val="none" w:color="auto"/>
                <w:lang w:val="en-US" w:eastAsia="zh-CN"/>
              </w:rPr>
            </w:pPr>
            <w:r>
              <w:rPr>
                <w:rFonts w:hint="eastAsia"/>
                <w:color w:val="auto"/>
                <w:u w:val="none" w:color="auto"/>
                <w:lang w:val="en-US" w:eastAsia="zh-CN"/>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2" w:type="dxa"/>
            <w:gridSpan w:val="7"/>
          </w:tcPr>
          <w:p>
            <w:pPr>
              <w:pStyle w:val="2977"/>
              <w:widowControl w:val="0"/>
              <w:bidi w:val="0"/>
              <w:rPr>
                <w:rFonts w:hint="eastAsia"/>
                <w:color w:val="auto"/>
                <w:u w:val="none" w:color="auto"/>
                <w:lang w:val="en-US" w:eastAsia="zh-CN"/>
              </w:rPr>
            </w:pPr>
            <w:r>
              <w:rPr>
                <w:rFonts w:hint="eastAsia"/>
                <w:color w:val="auto"/>
                <w:u w:val="none" w:color="auto"/>
                <w:lang w:val="en-US" w:eastAsia="zh-CN"/>
              </w:rPr>
              <w:t>合计</w:t>
            </w:r>
          </w:p>
        </w:tc>
        <w:tc>
          <w:tcPr>
            <w:tcW w:w="803" w:type="dxa"/>
          </w:tcPr>
          <w:p>
            <w:pPr>
              <w:pStyle w:val="2977"/>
              <w:widowControl w:val="0"/>
              <w:bidi w:val="0"/>
              <w:rPr>
                <w:rFonts w:hint="default"/>
                <w:color w:val="auto"/>
                <w:u w:val="none" w:color="auto"/>
                <w:lang w:val="en-US" w:eastAsia="zh-CN"/>
              </w:rPr>
            </w:pPr>
            <w:r>
              <w:rPr>
                <w:rFonts w:hint="eastAsia"/>
                <w:color w:val="auto"/>
                <w:u w:val="none" w:color="auto"/>
                <w:lang w:val="en-US" w:eastAsia="zh-CN"/>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5" w:type="dxa"/>
            <w:gridSpan w:val="8"/>
          </w:tcPr>
          <w:p>
            <w:pPr>
              <w:pStyle w:val="2977"/>
              <w:widowControl w:val="0"/>
              <w:bidi w:val="0"/>
              <w:rPr>
                <w:rFonts w:hint="eastAsia"/>
                <w:color w:val="auto"/>
                <w:u w:val="none" w:color="auto"/>
                <w:lang w:val="en-US" w:eastAsia="zh-CN"/>
              </w:rPr>
            </w:pPr>
            <w:r>
              <w:rPr>
                <w:rFonts w:hint="eastAsia"/>
                <w:color w:val="auto"/>
                <w:u w:val="none" w:color="auto"/>
              </w:rPr>
              <w:t>注：临界量Qi 参照《建设项目环境风险评价技术导则》（HJ169-2018）附录B 里所列的临界值，均以纯物质来计。</w:t>
            </w:r>
          </w:p>
        </w:tc>
      </w:tr>
    </w:tbl>
    <w:p>
      <w:pPr>
        <w:pStyle w:val="2974"/>
        <w:rPr>
          <w:rFonts w:hint="eastAsia"/>
          <w:color w:val="auto"/>
          <w:u w:val="none" w:color="auto"/>
        </w:rPr>
      </w:pPr>
      <w:r>
        <w:rPr>
          <w:rFonts w:hint="eastAsia"/>
          <w:color w:val="auto"/>
          <w:u w:val="none" w:color="auto"/>
        </w:rPr>
        <w:t>所以本项目危险物质的数量与临界量比值Q=0.0</w:t>
      </w:r>
      <w:r>
        <w:rPr>
          <w:rFonts w:hint="eastAsia"/>
          <w:color w:val="auto"/>
          <w:u w:val="none" w:color="auto"/>
          <w:lang w:val="en-US" w:eastAsia="zh-CN"/>
        </w:rPr>
        <w:t>00</w:t>
      </w:r>
      <w:r>
        <w:rPr>
          <w:rFonts w:hint="eastAsia"/>
          <w:color w:val="auto"/>
          <w:u w:val="none" w:color="auto"/>
        </w:rPr>
        <w:t>8＜1，风险潜势为I。</w:t>
      </w:r>
    </w:p>
    <w:p>
      <w:pPr>
        <w:pStyle w:val="2974"/>
        <w:rPr>
          <w:rFonts w:hint="eastAsia"/>
          <w:color w:val="auto"/>
          <w:u w:val="none" w:color="auto"/>
        </w:rPr>
      </w:pPr>
      <w:r>
        <w:rPr>
          <w:rFonts w:hint="eastAsia"/>
          <w:color w:val="auto"/>
          <w:u w:val="none" w:color="auto"/>
        </w:rPr>
        <w:t>环境风险评价工作等级划分为一级、二级、三级。根据建设项目设计的物质及工艺系统危险性和所在地的环境敏感性确定环境风险潜势，按照下表确定工作等级。风险潜势为IV及以上，进行一级评价；风险潜势为III，进行二级评价；风险潜势为II，进行三级评价；风险潜势为I，可开展简单分析。</w:t>
      </w:r>
    </w:p>
    <w:p>
      <w:pPr>
        <w:pStyle w:val="2976"/>
        <w:bidi w:val="0"/>
        <w:rPr>
          <w:color w:val="auto"/>
          <w:u w:val="none" w:color="auto"/>
          <w:lang w:val="zh-CN"/>
        </w:rPr>
      </w:pPr>
      <w:r>
        <w:rPr>
          <w:rFonts w:hint="eastAsia"/>
          <w:color w:val="auto"/>
          <w:u w:val="none" w:color="auto"/>
          <w:lang w:val="zh-CN"/>
        </w:rPr>
        <w:t>表</w:t>
      </w:r>
      <w:r>
        <w:rPr>
          <w:rFonts w:hint="eastAsia"/>
          <w:color w:val="auto"/>
          <w:u w:val="none" w:color="auto"/>
          <w:lang w:val="en-US" w:eastAsia="zh-CN"/>
        </w:rPr>
        <w:t>5.3-4</w:t>
      </w:r>
      <w:r>
        <w:rPr>
          <w:color w:val="auto"/>
          <w:u w:val="none" w:color="auto"/>
          <w:lang w:val="zh-CN"/>
        </w:rPr>
        <w:t xml:space="preserve"> </w:t>
      </w:r>
      <w:r>
        <w:rPr>
          <w:rFonts w:hint="eastAsia"/>
          <w:color w:val="auto"/>
          <w:u w:val="none" w:color="auto"/>
          <w:lang w:val="zh-CN"/>
        </w:rPr>
        <w:t>本项目评价工作等级</w:t>
      </w:r>
    </w:p>
    <w:tbl>
      <w:tblPr>
        <w:tblStyle w:val="89"/>
        <w:tblW w:w="894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76"/>
        <w:gridCol w:w="1580"/>
        <w:gridCol w:w="1818"/>
        <w:gridCol w:w="1818"/>
        <w:gridCol w:w="205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1676" w:type="dxa"/>
            <w:noWrap w:val="0"/>
            <w:vAlign w:val="center"/>
          </w:tcPr>
          <w:p>
            <w:pPr>
              <w:pStyle w:val="2977"/>
              <w:bidi w:val="0"/>
              <w:rPr>
                <w:color w:val="auto"/>
                <w:u w:val="none" w:color="auto"/>
              </w:rPr>
            </w:pPr>
            <w:r>
              <w:rPr>
                <w:rFonts w:hint="eastAsia"/>
                <w:color w:val="auto"/>
                <w:u w:val="none" w:color="auto"/>
              </w:rPr>
              <w:t>环境风险潜势</w:t>
            </w:r>
          </w:p>
        </w:tc>
        <w:tc>
          <w:tcPr>
            <w:tcW w:w="1580" w:type="dxa"/>
            <w:tcBorders>
              <w:bottom w:val="single" w:color="000000" w:sz="4" w:space="0"/>
            </w:tcBorders>
            <w:noWrap w:val="0"/>
            <w:vAlign w:val="center"/>
          </w:tcPr>
          <w:p>
            <w:pPr>
              <w:pStyle w:val="2977"/>
              <w:bidi w:val="0"/>
              <w:rPr>
                <w:color w:val="auto"/>
                <w:u w:val="none" w:color="auto"/>
              </w:rPr>
            </w:pPr>
            <w:r>
              <w:rPr>
                <w:rFonts w:hint="eastAsia"/>
                <w:color w:val="auto"/>
                <w:u w:val="none" w:color="auto"/>
              </w:rPr>
              <w:t>Ⅳ、Ⅳ</w:t>
            </w:r>
            <w:r>
              <w:rPr>
                <w:color w:val="auto"/>
                <w:u w:val="none" w:color="auto"/>
              </w:rPr>
              <w:t>+</w:t>
            </w:r>
          </w:p>
        </w:tc>
        <w:tc>
          <w:tcPr>
            <w:tcW w:w="1818" w:type="dxa"/>
            <w:tcBorders>
              <w:bottom w:val="single" w:color="000000" w:sz="4" w:space="0"/>
            </w:tcBorders>
            <w:noWrap w:val="0"/>
            <w:vAlign w:val="center"/>
          </w:tcPr>
          <w:p>
            <w:pPr>
              <w:pStyle w:val="2977"/>
              <w:bidi w:val="0"/>
              <w:rPr>
                <w:color w:val="auto"/>
                <w:u w:val="none" w:color="auto"/>
              </w:rPr>
            </w:pPr>
            <w:r>
              <w:rPr>
                <w:rFonts w:hint="eastAsia"/>
                <w:color w:val="auto"/>
                <w:u w:val="none" w:color="auto"/>
              </w:rPr>
              <w:t>Ⅲ</w:t>
            </w:r>
          </w:p>
        </w:tc>
        <w:tc>
          <w:tcPr>
            <w:tcW w:w="1818" w:type="dxa"/>
            <w:noWrap w:val="0"/>
            <w:vAlign w:val="center"/>
          </w:tcPr>
          <w:p>
            <w:pPr>
              <w:pStyle w:val="2977"/>
              <w:bidi w:val="0"/>
              <w:rPr>
                <w:color w:val="auto"/>
                <w:u w:val="none" w:color="auto"/>
              </w:rPr>
            </w:pPr>
            <w:r>
              <w:rPr>
                <w:rFonts w:hint="eastAsia"/>
                <w:color w:val="auto"/>
                <w:u w:val="none" w:color="auto"/>
              </w:rPr>
              <w:t>Ⅱ</w:t>
            </w:r>
          </w:p>
        </w:tc>
        <w:tc>
          <w:tcPr>
            <w:tcW w:w="2053" w:type="dxa"/>
            <w:noWrap w:val="0"/>
            <w:vAlign w:val="center"/>
          </w:tcPr>
          <w:p>
            <w:pPr>
              <w:pStyle w:val="2977"/>
              <w:bidi w:val="0"/>
              <w:rPr>
                <w:color w:val="auto"/>
                <w:u w:val="none" w:color="auto"/>
              </w:rPr>
            </w:pPr>
            <w:r>
              <w:rPr>
                <w:rFonts w:hint="eastAsia"/>
                <w:color w:val="auto"/>
                <w:u w:val="none" w:color="auto"/>
              </w:rPr>
              <w:t>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1676" w:type="dxa"/>
            <w:shd w:val="clear" w:color="auto" w:fill="auto"/>
            <w:noWrap w:val="0"/>
            <w:vAlign w:val="center"/>
          </w:tcPr>
          <w:p>
            <w:pPr>
              <w:pStyle w:val="2977"/>
              <w:bidi w:val="0"/>
              <w:rPr>
                <w:color w:val="auto"/>
                <w:u w:val="none" w:color="auto"/>
              </w:rPr>
            </w:pPr>
            <w:r>
              <w:rPr>
                <w:rFonts w:hint="eastAsia"/>
                <w:color w:val="auto"/>
                <w:u w:val="none" w:color="auto"/>
              </w:rPr>
              <w:t>评价工作等级</w:t>
            </w:r>
          </w:p>
        </w:tc>
        <w:tc>
          <w:tcPr>
            <w:tcW w:w="1580" w:type="dxa"/>
            <w:tcBorders>
              <w:top w:val="single" w:color="000000" w:sz="4" w:space="0"/>
              <w:bottom w:val="single" w:color="000000" w:sz="4" w:space="0"/>
            </w:tcBorders>
            <w:shd w:val="clear" w:color="auto" w:fill="auto"/>
            <w:noWrap w:val="0"/>
            <w:vAlign w:val="center"/>
          </w:tcPr>
          <w:p>
            <w:pPr>
              <w:pStyle w:val="2977"/>
              <w:bidi w:val="0"/>
              <w:rPr>
                <w:color w:val="auto"/>
                <w:u w:val="none" w:color="auto"/>
              </w:rPr>
            </w:pPr>
            <w:r>
              <w:rPr>
                <w:rFonts w:hint="eastAsia"/>
                <w:color w:val="auto"/>
                <w:u w:val="none" w:color="auto"/>
              </w:rPr>
              <w:t>一</w:t>
            </w:r>
          </w:p>
        </w:tc>
        <w:tc>
          <w:tcPr>
            <w:tcW w:w="1818" w:type="dxa"/>
            <w:tcBorders>
              <w:top w:val="single" w:color="000000" w:sz="4" w:space="0"/>
              <w:bottom w:val="single" w:color="000000" w:sz="4" w:space="0"/>
            </w:tcBorders>
            <w:shd w:val="clear" w:color="auto" w:fill="auto"/>
            <w:noWrap w:val="0"/>
            <w:vAlign w:val="center"/>
          </w:tcPr>
          <w:p>
            <w:pPr>
              <w:pStyle w:val="2977"/>
              <w:bidi w:val="0"/>
              <w:rPr>
                <w:color w:val="auto"/>
                <w:u w:val="none" w:color="auto"/>
              </w:rPr>
            </w:pPr>
            <w:r>
              <w:rPr>
                <w:rFonts w:hint="eastAsia"/>
                <w:color w:val="auto"/>
                <w:u w:val="none" w:color="auto"/>
                <w:shd w:val="clear"/>
              </w:rPr>
              <w:t>二</w:t>
            </w:r>
          </w:p>
        </w:tc>
        <w:tc>
          <w:tcPr>
            <w:tcW w:w="1818" w:type="dxa"/>
            <w:noWrap w:val="0"/>
            <w:vAlign w:val="center"/>
          </w:tcPr>
          <w:p>
            <w:pPr>
              <w:pStyle w:val="2977"/>
              <w:bidi w:val="0"/>
              <w:rPr>
                <w:color w:val="auto"/>
                <w:u w:val="none" w:color="auto"/>
              </w:rPr>
            </w:pPr>
            <w:r>
              <w:rPr>
                <w:rFonts w:hint="eastAsia"/>
                <w:color w:val="auto"/>
                <w:u w:val="none" w:color="auto"/>
              </w:rPr>
              <w:t>三</w:t>
            </w:r>
          </w:p>
        </w:tc>
        <w:tc>
          <w:tcPr>
            <w:tcW w:w="2053" w:type="dxa"/>
            <w:noWrap w:val="0"/>
            <w:vAlign w:val="center"/>
          </w:tcPr>
          <w:p>
            <w:pPr>
              <w:pStyle w:val="2977"/>
              <w:bidi w:val="0"/>
              <w:rPr>
                <w:color w:val="auto"/>
                <w:u w:val="none" w:color="auto"/>
              </w:rPr>
            </w:pPr>
            <w:r>
              <w:rPr>
                <w:rFonts w:hint="eastAsia"/>
                <w:color w:val="auto"/>
                <w:u w:val="none" w:color="auto"/>
              </w:rPr>
              <w:t>简单分析</w:t>
            </w:r>
            <w:r>
              <w:rPr>
                <w:color w:val="auto"/>
                <w:u w:val="none" w:color="auto"/>
              </w:rPr>
              <w: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2" w:hRule="exact"/>
          <w:jc w:val="center"/>
        </w:trPr>
        <w:tc>
          <w:tcPr>
            <w:tcW w:w="8945" w:type="dxa"/>
            <w:gridSpan w:val="5"/>
            <w:noWrap w:val="0"/>
            <w:vAlign w:val="center"/>
          </w:tcPr>
          <w:p>
            <w:pPr>
              <w:pStyle w:val="2977"/>
              <w:bidi w:val="0"/>
              <w:rPr>
                <w:color w:val="auto"/>
                <w:u w:val="none" w:color="auto"/>
              </w:rPr>
            </w:pPr>
            <w:r>
              <w:rPr>
                <w:color w:val="auto"/>
                <w:u w:val="none" w:color="auto"/>
              </w:rPr>
              <w:t>a</w:t>
            </w:r>
            <w:r>
              <w:rPr>
                <w:rFonts w:hint="eastAsia"/>
                <w:color w:val="auto"/>
                <w:u w:val="none" w:color="auto"/>
              </w:rPr>
              <w:t>是相对于详细评价工作内容而言，在描述危险物质、环境影响途径、环境危害后果、风险防范措施等方面给出定性的说明。见附录</w:t>
            </w:r>
            <w:r>
              <w:rPr>
                <w:color w:val="auto"/>
                <w:u w:val="none" w:color="auto"/>
              </w:rPr>
              <w:t>A</w:t>
            </w:r>
            <w:r>
              <w:rPr>
                <w:rFonts w:hint="eastAsia"/>
                <w:color w:val="auto"/>
                <w:u w:val="none" w:color="auto"/>
              </w:rPr>
              <w:t>。</w:t>
            </w:r>
          </w:p>
        </w:tc>
      </w:tr>
    </w:tbl>
    <w:p>
      <w:pPr>
        <w:pStyle w:val="2974"/>
        <w:rPr>
          <w:rFonts w:hint="eastAsia"/>
          <w:color w:val="auto"/>
          <w:u w:val="none" w:color="auto"/>
        </w:rPr>
      </w:pPr>
      <w:r>
        <w:rPr>
          <w:rFonts w:hint="eastAsia"/>
          <w:color w:val="auto"/>
          <w:u w:val="none" w:color="auto"/>
        </w:rPr>
        <w:t>综上所述，本项目评价工作等级为简单分析。</w:t>
      </w:r>
    </w:p>
    <w:p>
      <w:pPr>
        <w:pStyle w:val="2975"/>
        <w:bidi w:val="0"/>
        <w:rPr>
          <w:rFonts w:hint="eastAsia"/>
          <w:color w:val="auto"/>
          <w:u w:val="none" w:color="auto"/>
        </w:rPr>
      </w:pPr>
      <w:bookmarkStart w:id="316" w:name="_Toc12002"/>
      <w:r>
        <w:rPr>
          <w:rFonts w:hint="eastAsia" w:ascii="Times New Roman" w:hAnsi="Times New Roman" w:eastAsia="宋体" w:cs="Times New Roman"/>
          <w:color w:val="auto"/>
          <w:u w:val="none" w:color="auto"/>
          <w:lang w:val="en-US" w:eastAsia="zh-CN"/>
        </w:rPr>
        <w:t>5.3</w:t>
      </w:r>
      <w:r>
        <w:rPr>
          <w:rFonts w:hint="eastAsia"/>
          <w:color w:val="auto"/>
          <w:u w:val="none" w:color="auto"/>
        </w:rPr>
        <w:t>.4 风险识别</w:t>
      </w:r>
      <w:bookmarkEnd w:id="316"/>
    </w:p>
    <w:p>
      <w:pPr>
        <w:pStyle w:val="2974"/>
        <w:rPr>
          <w:rFonts w:hint="eastAsia"/>
          <w:color w:val="auto"/>
          <w:u w:val="none" w:color="auto"/>
        </w:rPr>
      </w:pPr>
      <w:r>
        <w:rPr>
          <w:rFonts w:hint="eastAsia"/>
          <w:color w:val="auto"/>
          <w:u w:val="none" w:color="auto"/>
        </w:rPr>
        <w:t>（1）评价范围及保护目标</w:t>
      </w:r>
    </w:p>
    <w:p>
      <w:pPr>
        <w:pStyle w:val="2974"/>
        <w:rPr>
          <w:rFonts w:hint="eastAsia"/>
          <w:color w:val="auto"/>
          <w:u w:val="none" w:color="auto"/>
          <w:lang w:val="en-US" w:eastAsia="zh-CN"/>
        </w:rPr>
      </w:pPr>
      <w:r>
        <w:rPr>
          <w:rFonts w:hint="eastAsia"/>
          <w:color w:val="auto"/>
          <w:u w:val="none" w:color="auto"/>
        </w:rPr>
        <w:t>依据确定的项目环境风险评价等级和评价范围，风险评价范围内的环境敏感点</w:t>
      </w:r>
      <w:r>
        <w:rPr>
          <w:rFonts w:hint="eastAsia"/>
          <w:color w:val="auto"/>
          <w:u w:val="none" w:color="auto"/>
          <w:lang w:eastAsia="zh-CN"/>
        </w:rPr>
        <w:t>主要为地表水保护目标，即祁水及沿线乡镇饮用水源保护区，</w:t>
      </w:r>
      <w:r>
        <w:rPr>
          <w:rFonts w:hint="eastAsia"/>
          <w:color w:val="auto"/>
          <w:u w:val="none" w:color="auto"/>
          <w:lang w:val="en-US" w:eastAsia="zh-CN"/>
        </w:rPr>
        <w:t>详见表2.6-2。</w:t>
      </w:r>
    </w:p>
    <w:p>
      <w:pPr>
        <w:pStyle w:val="2974"/>
        <w:rPr>
          <w:rFonts w:hint="eastAsia"/>
          <w:color w:val="auto"/>
          <w:u w:val="none" w:color="auto"/>
        </w:rPr>
      </w:pPr>
      <w:r>
        <w:rPr>
          <w:rFonts w:hint="eastAsia"/>
          <w:color w:val="auto"/>
          <w:u w:val="none" w:color="auto"/>
        </w:rPr>
        <w:t>（2）环境风险源识别</w:t>
      </w:r>
    </w:p>
    <w:p>
      <w:pPr>
        <w:pStyle w:val="2974"/>
        <w:rPr>
          <w:rFonts w:hint="eastAsia"/>
          <w:color w:val="auto"/>
          <w:u w:val="none" w:color="auto"/>
        </w:rPr>
      </w:pPr>
      <w:r>
        <w:rPr>
          <w:rFonts w:hint="eastAsia"/>
          <w:color w:val="auto"/>
          <w:u w:val="none" w:color="auto"/>
        </w:rPr>
        <w:t>1)油料运输风险</w:t>
      </w:r>
    </w:p>
    <w:p>
      <w:pPr>
        <w:pStyle w:val="2974"/>
        <w:rPr>
          <w:rFonts w:hint="eastAsia"/>
          <w:color w:val="auto"/>
          <w:u w:val="none" w:color="auto"/>
        </w:rPr>
      </w:pPr>
      <w:r>
        <w:rPr>
          <w:rFonts w:hint="eastAsia"/>
          <w:color w:val="auto"/>
          <w:u w:val="none" w:color="auto"/>
        </w:rPr>
        <w:t>施工期，工程施工区不设置油库，施工期所需油料全部外购运输，进入施工区使用。油料主要为汽柴油，最大运输量为2t。危险品运输和储存可能出现的环境风险类型是交通事故、火灾和爆炸。</w:t>
      </w:r>
    </w:p>
    <w:p>
      <w:pPr>
        <w:pStyle w:val="2974"/>
        <w:rPr>
          <w:rFonts w:hint="eastAsia"/>
          <w:color w:val="auto"/>
          <w:u w:val="none" w:color="auto"/>
        </w:rPr>
      </w:pPr>
      <w:r>
        <w:rPr>
          <w:rFonts w:hint="eastAsia"/>
          <w:color w:val="auto"/>
          <w:u w:val="none" w:color="auto"/>
        </w:rPr>
        <w:t>2)其他环境风险源</w:t>
      </w:r>
    </w:p>
    <w:p>
      <w:pPr>
        <w:pStyle w:val="2974"/>
        <w:rPr>
          <w:rFonts w:hint="eastAsia"/>
          <w:color w:val="auto"/>
          <w:u w:val="none" w:color="auto"/>
        </w:rPr>
      </w:pPr>
      <w:r>
        <w:rPr>
          <w:rFonts w:hint="eastAsia"/>
          <w:color w:val="auto"/>
          <w:u w:val="none" w:color="auto"/>
        </w:rPr>
        <w:t>施工期其它环境风险源主要为废污水事故排放风险。</w:t>
      </w:r>
    </w:p>
    <w:p>
      <w:pPr>
        <w:pStyle w:val="2975"/>
        <w:bidi w:val="0"/>
        <w:rPr>
          <w:rFonts w:hint="eastAsia"/>
          <w:color w:val="auto"/>
          <w:u w:val="none" w:color="auto"/>
        </w:rPr>
      </w:pPr>
      <w:bookmarkStart w:id="317" w:name="_Toc13603"/>
      <w:r>
        <w:rPr>
          <w:rFonts w:hint="eastAsia" w:ascii="Times New Roman" w:hAnsi="Times New Roman" w:eastAsia="宋体" w:cs="Times New Roman"/>
          <w:color w:val="auto"/>
          <w:u w:val="none" w:color="auto"/>
          <w:lang w:val="en-US" w:eastAsia="zh-CN"/>
        </w:rPr>
        <w:t>5.3</w:t>
      </w:r>
      <w:r>
        <w:rPr>
          <w:rFonts w:hint="eastAsia"/>
          <w:color w:val="auto"/>
          <w:u w:val="none" w:color="auto"/>
        </w:rPr>
        <w:t>.5 风险评价</w:t>
      </w:r>
      <w:bookmarkEnd w:id="317"/>
    </w:p>
    <w:p>
      <w:pPr>
        <w:pStyle w:val="2974"/>
        <w:rPr>
          <w:rFonts w:hint="eastAsia"/>
          <w:color w:val="auto"/>
          <w:u w:val="single" w:color="auto"/>
        </w:rPr>
      </w:pPr>
      <w:r>
        <w:rPr>
          <w:rFonts w:hint="eastAsia"/>
          <w:color w:val="auto"/>
          <w:u w:val="single" w:color="auto"/>
        </w:rPr>
        <w:t>1、施工期废(污)水事故排放风险评价</w:t>
      </w:r>
    </w:p>
    <w:p>
      <w:pPr>
        <w:pStyle w:val="2974"/>
        <w:rPr>
          <w:rFonts w:hint="eastAsia"/>
          <w:color w:val="auto"/>
          <w:u w:val="single" w:color="auto"/>
        </w:rPr>
      </w:pPr>
      <w:r>
        <w:rPr>
          <w:rFonts w:hint="eastAsia"/>
          <w:color w:val="auto"/>
          <w:u w:val="single" w:color="auto"/>
          <w:lang w:eastAsia="zh-CN"/>
        </w:rPr>
        <w:t>项目位于祁水及沿线乡镇饮用水源保护区</w:t>
      </w:r>
      <w:r>
        <w:rPr>
          <w:rFonts w:hint="eastAsia"/>
          <w:color w:val="auto"/>
          <w:u w:val="single" w:color="auto"/>
        </w:rPr>
        <w:t>，施工期会产生产生少量施工废水，在环评阶段均规划了相应的处理措施，明确了水去向，提出了管理要求。然而，在施工过程中，仍有可能因为回用水泵或各污废水处理设施故障、施工废水产生量突然增加（如施工期暴雨等）等情况，导致无法达到预期处理效果从而造成施工生产废水出现事故排放，进一步导致</w:t>
      </w:r>
      <w:r>
        <w:rPr>
          <w:rFonts w:hint="eastAsia"/>
          <w:color w:val="auto"/>
          <w:u w:val="single" w:color="auto"/>
          <w:lang w:val="en-US" w:eastAsia="zh-CN"/>
        </w:rPr>
        <w:t>祁水</w:t>
      </w:r>
      <w:r>
        <w:rPr>
          <w:rFonts w:hint="eastAsia"/>
          <w:color w:val="auto"/>
          <w:u w:val="single" w:color="auto"/>
        </w:rPr>
        <w:t>水质受到一定程度的污染。</w:t>
      </w:r>
    </w:p>
    <w:p>
      <w:pPr>
        <w:pStyle w:val="2974"/>
        <w:rPr>
          <w:rFonts w:hint="eastAsia"/>
          <w:color w:val="auto"/>
          <w:u w:val="single" w:color="auto"/>
        </w:rPr>
      </w:pPr>
      <w:r>
        <w:rPr>
          <w:rFonts w:hint="eastAsia"/>
          <w:color w:val="auto"/>
          <w:u w:val="single" w:color="auto"/>
        </w:rPr>
        <w:t>2、油料储运风险评价</w:t>
      </w:r>
    </w:p>
    <w:p>
      <w:pPr>
        <w:pStyle w:val="2974"/>
        <w:rPr>
          <w:rFonts w:hint="eastAsia"/>
          <w:color w:val="auto"/>
          <w:u w:val="single" w:color="auto"/>
        </w:rPr>
      </w:pPr>
      <w:r>
        <w:rPr>
          <w:rFonts w:hint="eastAsia"/>
          <w:color w:val="auto"/>
          <w:u w:val="single" w:color="auto"/>
        </w:rPr>
        <w:t>a)风险识别</w:t>
      </w:r>
    </w:p>
    <w:p>
      <w:pPr>
        <w:pStyle w:val="2974"/>
        <w:rPr>
          <w:rFonts w:hint="eastAsia"/>
          <w:color w:val="auto"/>
          <w:u w:val="single" w:color="auto"/>
        </w:rPr>
      </w:pPr>
      <w:r>
        <w:rPr>
          <w:rFonts w:hint="eastAsia"/>
          <w:color w:val="auto"/>
          <w:u w:val="single" w:color="auto"/>
        </w:rPr>
        <w:t>工程在施工、运行过程中，不涉及剧毒有害原材料或产品，但在施工过程中需使用大量的油料，如柴油。因柴油的易燃特性，若其运输、使用和储存管理不当，有可能引发火灾、爆炸等事故，存在一定的环境风险。工程不设常备油库，油料由当地石油公司供应，仅在施工场地内设临时储油设施或油罐车以保证油料供给。</w:t>
      </w:r>
    </w:p>
    <w:p>
      <w:pPr>
        <w:pStyle w:val="2974"/>
        <w:rPr>
          <w:rFonts w:hint="eastAsia"/>
          <w:color w:val="auto"/>
          <w:u w:val="single" w:color="auto"/>
        </w:rPr>
      </w:pPr>
      <w:r>
        <w:rPr>
          <w:rFonts w:hint="eastAsia"/>
          <w:color w:val="auto"/>
          <w:u w:val="single" w:color="auto"/>
        </w:rPr>
        <w:t>b)风险分析车辆运输过程中，有可能发生交通事故，造成油料的泄露，可能引发火灾或爆炸事故，以及未及时拦截的油料，将会污染周围生态环境和环境质量。</w:t>
      </w:r>
    </w:p>
    <w:p>
      <w:pPr>
        <w:pStyle w:val="2974"/>
        <w:rPr>
          <w:rFonts w:hint="eastAsia"/>
          <w:color w:val="auto"/>
          <w:u w:val="single" w:color="auto"/>
        </w:rPr>
      </w:pPr>
      <w:r>
        <w:rPr>
          <w:rFonts w:hint="eastAsia"/>
          <w:color w:val="auto"/>
          <w:u w:val="single" w:color="auto"/>
        </w:rPr>
        <w:t>虽然油料泄漏事故发生的机率很小，但事故后果较为严重，会对周围环境造成很大的危害。油品进入水体后，由于比重比水轻，成品油会迅速浮于水面上，在重力和表面张力的作用下，会在水面上形成油膜向四周散开，根据水体的流态不同，存在着大小和尺度不同的涡旋和湍流，使得油膜在扩展的基础上进一步扩大范围，油膜还会随水流流动而发生的纵向位移。水体底部泥沙和底泥会吸附水中的成品油物质，并通过泥沙的悬浮、沉积等过程使成品油在水中产生新的分布从而造成周边水源地的大面积污染。</w:t>
      </w:r>
    </w:p>
    <w:p>
      <w:pPr>
        <w:pStyle w:val="2974"/>
        <w:rPr>
          <w:rFonts w:hint="eastAsia"/>
          <w:color w:val="auto"/>
          <w:u w:val="single" w:color="auto"/>
        </w:rPr>
      </w:pPr>
      <w:r>
        <w:rPr>
          <w:rFonts w:hint="eastAsia"/>
          <w:color w:val="auto"/>
          <w:u w:val="single" w:color="auto"/>
        </w:rPr>
        <w:t>油类入水后很快扩展成膜，然后在水流、风生流作用下产生漂移，同时油类本身扩散的等效圆膜还在不断地扩散增大。因此溢油污染范围就是这个不断扩大而在漂移的等效圆膜。如果膜中心初始位置为x0，经过△t 时间后，其位置x 由下式计算：</w:t>
      </w:r>
    </w:p>
    <w:p>
      <w:pPr>
        <w:pStyle w:val="2974"/>
        <w:jc w:val="center"/>
        <w:rPr>
          <w:rFonts w:hint="eastAsia"/>
          <w:color w:val="auto"/>
          <w:u w:val="single" w:color="auto"/>
        </w:rPr>
      </w:pPr>
      <w:r>
        <w:rPr>
          <w:color w:val="auto"/>
          <w:u w:val="single" w:color="auto"/>
        </w:rPr>
        <w:drawing>
          <wp:inline distT="0" distB="0" distL="114300" distR="114300">
            <wp:extent cx="1819275" cy="1066800"/>
            <wp:effectExtent l="0" t="0" r="9525" b="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39"/>
                    <a:stretch>
                      <a:fillRect/>
                    </a:stretch>
                  </pic:blipFill>
                  <pic:spPr>
                    <a:xfrm>
                      <a:off x="0" y="0"/>
                      <a:ext cx="1819275" cy="1066800"/>
                    </a:xfrm>
                    <a:prstGeom prst="rect">
                      <a:avLst/>
                    </a:prstGeom>
                    <a:noFill/>
                    <a:ln>
                      <a:noFill/>
                    </a:ln>
                  </pic:spPr>
                </pic:pic>
              </a:graphicData>
            </a:graphic>
          </wp:inline>
        </w:drawing>
      </w:r>
    </w:p>
    <w:p>
      <w:pPr>
        <w:pStyle w:val="2974"/>
        <w:rPr>
          <w:rFonts w:hint="eastAsia"/>
          <w:color w:val="auto"/>
          <w:u w:val="single" w:color="auto"/>
        </w:rPr>
      </w:pPr>
      <w:r>
        <w:rPr>
          <w:rFonts w:hint="eastAsia"/>
          <w:color w:val="auto"/>
          <w:u w:val="single" w:color="auto"/>
        </w:rPr>
        <w:t>式中：x——计算位置；</w:t>
      </w:r>
    </w:p>
    <w:p>
      <w:pPr>
        <w:pStyle w:val="2974"/>
        <w:rPr>
          <w:rFonts w:hint="eastAsia"/>
          <w:color w:val="auto"/>
          <w:u w:val="single" w:color="auto"/>
        </w:rPr>
      </w:pPr>
      <w:r>
        <w:rPr>
          <w:rFonts w:hint="eastAsia"/>
          <w:color w:val="auto"/>
          <w:u w:val="single" w:color="auto"/>
        </w:rPr>
        <w:t>x0——初始位置；</w:t>
      </w:r>
    </w:p>
    <w:p>
      <w:pPr>
        <w:pStyle w:val="2974"/>
        <w:rPr>
          <w:rFonts w:hint="eastAsia"/>
          <w:color w:val="auto"/>
          <w:u w:val="single" w:color="auto"/>
        </w:rPr>
      </w:pPr>
      <w:r>
        <w:rPr>
          <w:rFonts w:hint="eastAsia"/>
          <w:color w:val="auto"/>
          <w:u w:val="single" w:color="auto"/>
        </w:rPr>
        <w:t>t0——初始时间；</w:t>
      </w:r>
    </w:p>
    <w:p>
      <w:pPr>
        <w:pStyle w:val="2974"/>
        <w:rPr>
          <w:rFonts w:hint="eastAsia"/>
          <w:color w:val="auto"/>
          <w:u w:val="single" w:color="auto"/>
        </w:rPr>
      </w:pPr>
      <w:r>
        <w:rPr>
          <w:rFonts w:hint="eastAsia"/>
          <w:color w:val="auto"/>
          <w:u w:val="single" w:color="auto"/>
        </w:rPr>
        <w:t>Δt——时间间隔；</w:t>
      </w:r>
    </w:p>
    <w:p>
      <w:pPr>
        <w:pStyle w:val="2974"/>
        <w:rPr>
          <w:rFonts w:hint="eastAsia"/>
          <w:color w:val="auto"/>
          <w:u w:val="single" w:color="auto"/>
        </w:rPr>
      </w:pPr>
      <w:r>
        <w:rPr>
          <w:rFonts w:hint="eastAsia"/>
          <w:color w:val="auto"/>
          <w:u w:val="single" w:color="auto"/>
        </w:rPr>
        <w:t>V</w:t>
      </w:r>
      <w:r>
        <w:rPr>
          <w:rFonts w:hint="eastAsia"/>
          <w:color w:val="auto"/>
          <w:u w:val="single" w:color="auto"/>
          <w:vertAlign w:val="subscript"/>
        </w:rPr>
        <w:t>0</w:t>
      </w:r>
      <w:r>
        <w:rPr>
          <w:rFonts w:hint="eastAsia"/>
          <w:color w:val="auto"/>
          <w:u w:val="single" w:color="auto"/>
        </w:rPr>
        <w:t>——漂移速度；</w:t>
      </w:r>
    </w:p>
    <w:p>
      <w:pPr>
        <w:pStyle w:val="2974"/>
        <w:rPr>
          <w:rFonts w:hint="eastAsia"/>
          <w:color w:val="auto"/>
          <w:u w:val="single" w:color="auto"/>
        </w:rPr>
      </w:pPr>
      <w:r>
        <w:rPr>
          <w:rFonts w:hint="eastAsia"/>
          <w:color w:val="auto"/>
          <w:u w:val="single" w:color="auto"/>
        </w:rPr>
        <w:t>V</w:t>
      </w:r>
      <w:r>
        <w:rPr>
          <w:rFonts w:hint="eastAsia"/>
          <w:color w:val="auto"/>
          <w:u w:val="single" w:color="auto"/>
          <w:vertAlign w:val="subscript"/>
        </w:rPr>
        <w:t>1</w:t>
      </w:r>
      <w:r>
        <w:rPr>
          <w:rFonts w:hint="eastAsia"/>
          <w:color w:val="auto"/>
          <w:u w:val="single" w:color="auto"/>
        </w:rPr>
        <w:t>——表面水流漂移速度矢量；</w:t>
      </w:r>
    </w:p>
    <w:p>
      <w:pPr>
        <w:pStyle w:val="2974"/>
        <w:rPr>
          <w:rFonts w:hint="eastAsia"/>
          <w:color w:val="auto"/>
          <w:u w:val="single" w:color="auto"/>
        </w:rPr>
      </w:pPr>
      <w:r>
        <w:rPr>
          <w:rFonts w:hint="eastAsia"/>
          <w:color w:val="auto"/>
          <w:u w:val="single" w:color="auto"/>
        </w:rPr>
        <w:t>V</w:t>
      </w:r>
      <w:r>
        <w:rPr>
          <w:rFonts w:hint="eastAsia"/>
          <w:color w:val="auto"/>
          <w:u w:val="single" w:color="auto"/>
          <w:vertAlign w:val="subscript"/>
        </w:rPr>
        <w:t>2</w:t>
      </w:r>
      <w:r>
        <w:rPr>
          <w:rFonts w:hint="eastAsia"/>
          <w:color w:val="auto"/>
          <w:u w:val="single" w:color="auto"/>
        </w:rPr>
        <w:t>——表面风漂移速度矢量，V</w:t>
      </w:r>
      <w:r>
        <w:rPr>
          <w:rFonts w:hint="eastAsia"/>
          <w:color w:val="auto"/>
          <w:u w:val="single" w:color="auto"/>
          <w:vertAlign w:val="subscript"/>
        </w:rPr>
        <w:t>2</w:t>
      </w:r>
      <w:r>
        <w:rPr>
          <w:rFonts w:hint="eastAsia"/>
          <w:color w:val="auto"/>
          <w:u w:val="single" w:color="auto"/>
        </w:rPr>
        <w:t>=0.035×V</w:t>
      </w:r>
      <w:r>
        <w:rPr>
          <w:rFonts w:hint="eastAsia"/>
          <w:color w:val="auto"/>
          <w:u w:val="single" w:color="auto"/>
          <w:vertAlign w:val="subscript"/>
        </w:rPr>
        <w:t>10-</w:t>
      </w:r>
      <w:r>
        <w:rPr>
          <w:rFonts w:hint="eastAsia"/>
          <w:color w:val="auto"/>
          <w:u w:val="single" w:color="auto"/>
        </w:rPr>
        <w:t>；</w:t>
      </w:r>
    </w:p>
    <w:p>
      <w:pPr>
        <w:pStyle w:val="2974"/>
        <w:rPr>
          <w:rFonts w:hint="eastAsia"/>
          <w:color w:val="auto"/>
          <w:u w:val="single" w:color="auto"/>
        </w:rPr>
      </w:pPr>
      <w:r>
        <w:rPr>
          <w:rFonts w:hint="eastAsia"/>
          <w:color w:val="auto"/>
          <w:u w:val="single" w:color="auto"/>
        </w:rPr>
        <w:t>V</w:t>
      </w:r>
      <w:r>
        <w:rPr>
          <w:rFonts w:hint="eastAsia"/>
          <w:color w:val="auto"/>
          <w:u w:val="single" w:color="auto"/>
          <w:vertAlign w:val="subscript"/>
        </w:rPr>
        <w:t>10-</w:t>
      </w:r>
      <w:r>
        <w:rPr>
          <w:rFonts w:hint="eastAsia"/>
          <w:color w:val="auto"/>
          <w:u w:val="single" w:color="auto"/>
        </w:rPr>
        <w:t>——当地水面上10m 处风速。</w:t>
      </w:r>
    </w:p>
    <w:p>
      <w:pPr>
        <w:pStyle w:val="2974"/>
        <w:rPr>
          <w:rFonts w:hint="eastAsia"/>
          <w:color w:val="auto"/>
          <w:u w:val="single" w:color="auto"/>
        </w:rPr>
      </w:pPr>
      <w:r>
        <w:rPr>
          <w:rFonts w:hint="eastAsia"/>
          <w:color w:val="auto"/>
          <w:u w:val="single" w:color="auto"/>
          <w:lang w:eastAsia="zh-CN"/>
        </w:rPr>
        <w:t>项目</w:t>
      </w:r>
      <w:r>
        <w:rPr>
          <w:rFonts w:hint="eastAsia"/>
          <w:color w:val="auto"/>
          <w:u w:val="single" w:color="auto"/>
        </w:rPr>
        <w:t>区域属亚热带季风气候区，春夏多吹东南风，秋冬多吹西北风。参考附近地区气象站资料，多年平均风速在1.8m/s 左右。经计算，溢油</w:t>
      </w:r>
      <w:r>
        <w:rPr>
          <w:rFonts w:hint="eastAsia"/>
          <w:color w:val="auto"/>
          <w:u w:val="single" w:color="auto"/>
          <w:lang w:eastAsia="zh-CN"/>
        </w:rPr>
        <w:t>向下游</w:t>
      </w:r>
      <w:r>
        <w:rPr>
          <w:rFonts w:hint="eastAsia"/>
          <w:color w:val="auto"/>
          <w:u w:val="single" w:color="auto"/>
        </w:rPr>
        <w:t>扩散1000m所需时间仅为6分钟。因此，本项目施工机械或者运输车辆漏油时，必须立即启动应急预案，调动溢油应急防治队伍和应急防治设备、器材等以及必要的后勤支援；竭尽全力对污染物采取围油栏围油、污油吸附材料吸油等，必要时在主管部门同意的前提下，使用消油剂，防止及控制油品污染水域；对漏油地点周围水域、沿岸进行监测。施工单位应定期对围油栏和吸油材料等吸油装置等应急处理系统进行检查和维护，确保其正常使用；并加强应急清污队伍的建设，定期培训和演练。同时，加强施工机械的维护和管理，严禁漏油现象发生，并加强施工过程中的监控，一旦发现存在对取水口水质的潜在危险，则立即停止使用，并及时采取相应的水质保护措施。</w:t>
      </w:r>
    </w:p>
    <w:p>
      <w:pPr>
        <w:pStyle w:val="2974"/>
        <w:rPr>
          <w:rFonts w:hint="eastAsia"/>
          <w:color w:val="auto"/>
          <w:u w:val="single" w:color="auto"/>
        </w:rPr>
      </w:pPr>
      <w:r>
        <w:rPr>
          <w:rFonts w:hint="eastAsia"/>
          <w:color w:val="auto"/>
          <w:u w:val="single" w:color="auto"/>
        </w:rPr>
        <w:t>有关研究表明，油污对水环境及水生生态环境的危害主要体现在以下几方面：</w:t>
      </w:r>
    </w:p>
    <w:p>
      <w:pPr>
        <w:pStyle w:val="2974"/>
        <w:rPr>
          <w:rFonts w:hint="eastAsia"/>
          <w:color w:val="auto"/>
          <w:u w:val="single" w:color="auto"/>
        </w:rPr>
      </w:pPr>
      <w:r>
        <w:rPr>
          <w:rFonts w:hint="eastAsia"/>
          <w:color w:val="auto"/>
          <w:u w:val="single" w:color="auto"/>
        </w:rPr>
        <w:t>（1）对浮游生物的影响：实验证明石油会破坏浮游植物细胞，损坏叶绿素及干扰气体交换，从而妨碍它们的光合作用。这种破坏作用的程度取决于石油的类型，浓度及浮游植物的种类。国内外许多毒性实验结果表明，浮游植物作为鱼虾类饵料的基础，其对各类油类的耐受能力均很低，浮游植物石油急性中毒致死浓度为0.1~10mg/L，一般为1mg/L。</w:t>
      </w:r>
    </w:p>
    <w:p>
      <w:pPr>
        <w:pStyle w:val="2974"/>
        <w:rPr>
          <w:rFonts w:hint="eastAsia"/>
          <w:color w:val="auto"/>
          <w:u w:val="single" w:color="auto"/>
        </w:rPr>
      </w:pPr>
      <w:r>
        <w:rPr>
          <w:rFonts w:hint="eastAsia"/>
          <w:color w:val="auto"/>
          <w:u w:val="single" w:color="auto"/>
        </w:rPr>
        <w:t>对于更敏感的生物种类，即使油浓度低于0.1mg/L 也会妨碍其细胞的分裂和生长的速率。</w:t>
      </w:r>
    </w:p>
    <w:p>
      <w:pPr>
        <w:pStyle w:val="2974"/>
        <w:rPr>
          <w:rFonts w:hint="eastAsia"/>
          <w:color w:val="auto"/>
          <w:u w:val="single" w:color="auto"/>
        </w:rPr>
      </w:pPr>
      <w:r>
        <w:rPr>
          <w:rFonts w:hint="eastAsia"/>
          <w:color w:val="auto"/>
          <w:u w:val="single" w:color="auto"/>
        </w:rPr>
        <w:t>（2）对鱼类的影响：石油通常是通过鱼鳃呼吸、代谢、体表渗透和生物链传输逐渐富集于生物体内，而导致对鱼类的毒性和中毒作用，其症状主要表现为致死性、神经性、对造血功能的损伤和酶活性的抑制；慢性中毒影响，即在小剂量、低浓度之下，仍表现代谢毒性、生活毒性以及“致癌、致畸、致突变”的三致毒理效应。国内外许多研究均表明，高浓度的石油会使鱼卵、仔幼鱼短时间内中毒死亡，而低浓度石油所引起的长期亚急性毒性可干扰鱼类摄食和繁殖，其毒性随石油组分的不同而有差异。此外，水体中一旦发生油污染，扩散的油分子会迅速随风及水的流动而扩散，鱼类等水产资源一旦与其接触，即会在短时间内发生油臭，从而影响其食用价值。</w:t>
      </w:r>
    </w:p>
    <w:p>
      <w:pPr>
        <w:pStyle w:val="2974"/>
        <w:rPr>
          <w:rFonts w:hint="eastAsia"/>
          <w:color w:val="auto"/>
          <w:u w:val="single" w:color="auto"/>
        </w:rPr>
      </w:pPr>
      <w:r>
        <w:rPr>
          <w:rFonts w:hint="eastAsia"/>
          <w:color w:val="auto"/>
          <w:u w:val="single" w:color="auto"/>
        </w:rPr>
        <w:t>（3）对水质的影响：溢油进入水体后，在水体表面输移过程中还伴随着风化过程（蒸发、溶解、乳化），溢油的组份进入水体中，使下覆水体中的石油类、挥发酚等特征污染因子浓度升高，危害水环境。</w:t>
      </w:r>
    </w:p>
    <w:p>
      <w:pPr>
        <w:pStyle w:val="2974"/>
        <w:rPr>
          <w:rFonts w:hint="default" w:eastAsia="宋体"/>
          <w:color w:val="auto"/>
          <w:u w:val="single" w:color="auto"/>
          <w:lang w:val="en-US" w:eastAsia="zh-CN"/>
        </w:rPr>
      </w:pPr>
      <w:r>
        <w:rPr>
          <w:rFonts w:hint="eastAsia"/>
          <w:color w:val="auto"/>
          <w:u w:val="single" w:color="auto"/>
        </w:rPr>
        <w:t>（</w:t>
      </w:r>
      <w:r>
        <w:rPr>
          <w:rFonts w:hint="eastAsia"/>
          <w:color w:val="auto"/>
          <w:u w:val="single" w:color="auto"/>
          <w:lang w:val="en-US" w:eastAsia="zh-CN"/>
        </w:rPr>
        <w:t>4</w:t>
      </w:r>
      <w:r>
        <w:rPr>
          <w:rFonts w:hint="eastAsia"/>
          <w:color w:val="auto"/>
          <w:u w:val="single" w:color="auto"/>
        </w:rPr>
        <w:t>）</w:t>
      </w:r>
      <w:r>
        <w:rPr>
          <w:rFonts w:hint="eastAsia"/>
          <w:color w:val="auto"/>
          <w:u w:val="single" w:color="auto"/>
          <w:lang w:val="en-US" w:eastAsia="zh-CN"/>
        </w:rPr>
        <w:t>工程施工期可能对饮用水水源保护区有以下生态环境影响：若土方滑落进入水体，将引起局部水体悬浮物增加，较高的悬浮物和浊度导致施工区域水质污染，饮用水水质下降；若运输施工物料的车辆发生交通事故，导致油料泄露，或水泥、土料等物料洒落水体，会对保护区水质产生严重的污染影响事故发生后，将直接影响下游饮用水保护区水质，且下游饮用水源分布密集，影响范围很大。</w:t>
      </w:r>
    </w:p>
    <w:p>
      <w:pPr>
        <w:pStyle w:val="2975"/>
        <w:bidi w:val="0"/>
        <w:rPr>
          <w:rFonts w:hint="eastAsia"/>
          <w:color w:val="auto"/>
          <w:u w:val="single" w:color="auto"/>
        </w:rPr>
      </w:pPr>
      <w:bookmarkStart w:id="318" w:name="_Toc10338"/>
      <w:r>
        <w:rPr>
          <w:rFonts w:hint="eastAsia" w:ascii="Times New Roman" w:hAnsi="Times New Roman" w:eastAsia="宋体" w:cs="Times New Roman"/>
          <w:color w:val="auto"/>
          <w:u w:val="single" w:color="auto"/>
          <w:lang w:val="en-US" w:eastAsia="zh-CN"/>
        </w:rPr>
        <w:t>5.3</w:t>
      </w:r>
      <w:r>
        <w:rPr>
          <w:rFonts w:hint="eastAsia"/>
          <w:color w:val="auto"/>
          <w:u w:val="single" w:color="auto"/>
        </w:rPr>
        <w:t>.6 事故风险防范措施</w:t>
      </w:r>
      <w:bookmarkEnd w:id="318"/>
    </w:p>
    <w:p>
      <w:pPr>
        <w:pStyle w:val="2974"/>
        <w:rPr>
          <w:rFonts w:hint="eastAsia"/>
          <w:color w:val="auto"/>
          <w:u w:val="single" w:color="auto"/>
          <w:lang w:val="en-US" w:eastAsia="zh-CN"/>
        </w:rPr>
      </w:pPr>
      <w:r>
        <w:rPr>
          <w:rFonts w:hint="eastAsia"/>
          <w:color w:val="auto"/>
          <w:u w:val="single" w:color="auto"/>
          <w:lang w:val="en-US" w:eastAsia="zh-CN"/>
        </w:rPr>
        <w:t>1、饮用水源保护区</w:t>
      </w:r>
      <w:r>
        <w:rPr>
          <w:rFonts w:hint="eastAsia"/>
          <w:color w:val="auto"/>
          <w:u w:val="single" w:color="auto"/>
        </w:rPr>
        <w:t>风险防范</w:t>
      </w:r>
      <w:r>
        <w:rPr>
          <w:rFonts w:hint="eastAsia"/>
          <w:color w:val="auto"/>
          <w:u w:val="single" w:color="auto"/>
          <w:lang w:val="en-US" w:eastAsia="zh-CN"/>
        </w:rPr>
        <w:t>及处置</w:t>
      </w:r>
      <w:r>
        <w:rPr>
          <w:rFonts w:hint="eastAsia"/>
          <w:color w:val="auto"/>
          <w:u w:val="single" w:color="auto"/>
        </w:rPr>
        <w:t>措施</w:t>
      </w:r>
    </w:p>
    <w:p>
      <w:pPr>
        <w:pStyle w:val="2974"/>
        <w:rPr>
          <w:rFonts w:hint="default"/>
          <w:color w:val="auto"/>
          <w:u w:val="single" w:color="auto"/>
          <w:lang w:val="en-US" w:eastAsia="zh-CN"/>
        </w:rPr>
      </w:pPr>
      <w:r>
        <w:rPr>
          <w:rFonts w:hint="eastAsia"/>
          <w:color w:val="auto"/>
          <w:u w:val="single" w:color="auto"/>
          <w:lang w:val="en-US" w:eastAsia="zh-CN"/>
        </w:rPr>
        <w:t>建设单位</w:t>
      </w:r>
      <w:r>
        <w:rPr>
          <w:rFonts w:hint="default"/>
          <w:color w:val="auto"/>
          <w:u w:val="single" w:color="auto"/>
          <w:lang w:val="en-US" w:eastAsia="zh-CN"/>
        </w:rPr>
        <w:t>成立饮用水源应急处理指挥部（以下简称指挥部），统一指挥</w:t>
      </w:r>
      <w:r>
        <w:rPr>
          <w:rFonts w:hint="eastAsia"/>
          <w:color w:val="auto"/>
          <w:u w:val="single" w:color="auto"/>
          <w:lang w:val="en-US" w:eastAsia="zh-CN"/>
        </w:rPr>
        <w:t>项目段</w:t>
      </w:r>
      <w:r>
        <w:rPr>
          <w:rFonts w:hint="default"/>
          <w:color w:val="auto"/>
          <w:u w:val="single" w:color="auto"/>
          <w:lang w:val="en-US" w:eastAsia="zh-CN"/>
        </w:rPr>
        <w:t>饮用水源污染的处置工作。发生一般或较大饮用水源安全事故时，由本指挥部负责指挥应急处理和组织调查。发生重特大饮用水源安全事故时，应由本指挥部及发生地所在上一级人民政府处理环境应急处理指挥机构的统一领导下开展应急处理工作。</w:t>
      </w:r>
    </w:p>
    <w:p>
      <w:pPr>
        <w:pStyle w:val="2974"/>
        <w:rPr>
          <w:rFonts w:hint="default"/>
          <w:color w:val="auto"/>
          <w:u w:val="single" w:color="auto"/>
          <w:lang w:val="en-US" w:eastAsia="zh-CN"/>
        </w:rPr>
      </w:pPr>
      <w:r>
        <w:rPr>
          <w:rFonts w:hint="default"/>
          <w:color w:val="auto"/>
          <w:u w:val="single" w:color="auto"/>
          <w:lang w:val="en-US" w:eastAsia="zh-CN"/>
        </w:rPr>
        <w:t>（</w:t>
      </w:r>
      <w:r>
        <w:rPr>
          <w:rFonts w:hint="eastAsia"/>
          <w:color w:val="auto"/>
          <w:u w:val="single" w:color="auto"/>
          <w:lang w:val="en-US" w:eastAsia="zh-CN"/>
        </w:rPr>
        <w:t>1</w:t>
      </w:r>
      <w:r>
        <w:rPr>
          <w:rFonts w:hint="default"/>
          <w:color w:val="auto"/>
          <w:u w:val="single" w:color="auto"/>
          <w:lang w:val="en-US" w:eastAsia="zh-CN"/>
        </w:rPr>
        <w:t>）发生环境污染与破坏事故后致使饮用水源安全得不到保证时，</w:t>
      </w:r>
      <w:r>
        <w:rPr>
          <w:rFonts w:hint="eastAsia"/>
          <w:color w:val="auto"/>
          <w:u w:val="single" w:color="auto"/>
          <w:lang w:val="en-US" w:eastAsia="zh-CN"/>
        </w:rPr>
        <w:t>建设</w:t>
      </w:r>
      <w:r>
        <w:rPr>
          <w:rFonts w:hint="default"/>
          <w:color w:val="auto"/>
          <w:u w:val="single" w:color="auto"/>
          <w:lang w:val="en-US" w:eastAsia="zh-CN"/>
        </w:rPr>
        <w:t>单位立即向</w:t>
      </w:r>
      <w:r>
        <w:rPr>
          <w:rFonts w:hint="eastAsia"/>
          <w:color w:val="auto"/>
          <w:u w:val="single" w:color="auto"/>
          <w:lang w:val="en-US" w:eastAsia="zh-CN"/>
        </w:rPr>
        <w:t>上级部门</w:t>
      </w:r>
      <w:r>
        <w:rPr>
          <w:rFonts w:hint="default"/>
          <w:color w:val="auto"/>
          <w:u w:val="single" w:color="auto"/>
          <w:lang w:val="en-US" w:eastAsia="zh-CN"/>
        </w:rPr>
        <w:t>报告。</w:t>
      </w:r>
    </w:p>
    <w:p>
      <w:pPr>
        <w:pStyle w:val="2974"/>
        <w:rPr>
          <w:rFonts w:hint="default"/>
          <w:color w:val="auto"/>
          <w:u w:val="single" w:color="auto"/>
          <w:lang w:val="en-US" w:eastAsia="zh-CN"/>
        </w:rPr>
      </w:pPr>
      <w:r>
        <w:rPr>
          <w:rFonts w:hint="default"/>
          <w:color w:val="auto"/>
          <w:u w:val="single" w:color="auto"/>
          <w:lang w:val="en-US" w:eastAsia="zh-CN"/>
        </w:rPr>
        <w:t>（</w:t>
      </w:r>
      <w:r>
        <w:rPr>
          <w:rFonts w:hint="eastAsia"/>
          <w:color w:val="auto"/>
          <w:u w:val="single" w:color="auto"/>
          <w:lang w:val="en-US" w:eastAsia="zh-CN"/>
        </w:rPr>
        <w:t>2</w:t>
      </w:r>
      <w:r>
        <w:rPr>
          <w:rFonts w:hint="default"/>
          <w:color w:val="auto"/>
          <w:u w:val="single" w:color="auto"/>
          <w:lang w:val="en-US" w:eastAsia="zh-CN"/>
        </w:rPr>
        <w:t>）凡属重大或特大环境污染与破坏事故，应在事故发生后的24小时内报上一级人民政府和环境保护行政主管部门。</w:t>
      </w:r>
    </w:p>
    <w:p>
      <w:pPr>
        <w:pStyle w:val="2974"/>
        <w:rPr>
          <w:rFonts w:hint="default"/>
          <w:color w:val="auto"/>
          <w:u w:val="single" w:color="auto"/>
          <w:lang w:val="en-US" w:eastAsia="zh-CN"/>
        </w:rPr>
      </w:pPr>
      <w:r>
        <w:rPr>
          <w:rFonts w:hint="default"/>
          <w:color w:val="auto"/>
          <w:u w:val="single" w:color="auto"/>
          <w:lang w:val="en-US" w:eastAsia="zh-CN"/>
        </w:rPr>
        <w:t>（</w:t>
      </w:r>
      <w:r>
        <w:rPr>
          <w:rFonts w:hint="eastAsia"/>
          <w:color w:val="auto"/>
          <w:u w:val="single" w:color="auto"/>
          <w:lang w:val="en-US" w:eastAsia="zh-CN"/>
        </w:rPr>
        <w:t>3</w:t>
      </w:r>
      <w:r>
        <w:rPr>
          <w:rFonts w:hint="default"/>
          <w:color w:val="auto"/>
          <w:u w:val="single" w:color="auto"/>
          <w:lang w:val="en-US" w:eastAsia="zh-CN"/>
        </w:rPr>
        <w:t>）事故报告内容主要包括：环境污染与破坏事故的类型、发生时间、地点、污染源、主要污染物质、经济损失数额、人员受害情况，事故发生单位或业主名称、联系人、联系电话等。</w:t>
      </w:r>
    </w:p>
    <w:p>
      <w:pPr>
        <w:pStyle w:val="2974"/>
        <w:rPr>
          <w:rFonts w:hint="default"/>
          <w:color w:val="auto"/>
          <w:u w:val="single" w:color="auto"/>
          <w:lang w:val="en-US" w:eastAsia="zh-CN"/>
        </w:rPr>
      </w:pPr>
      <w:r>
        <w:rPr>
          <w:rFonts w:hint="default"/>
          <w:color w:val="auto"/>
          <w:u w:val="single" w:color="auto"/>
          <w:lang w:val="en-US" w:eastAsia="zh-CN"/>
        </w:rPr>
        <w:t>饮用水源安全事故应急处理</w:t>
      </w:r>
    </w:p>
    <w:p>
      <w:pPr>
        <w:pStyle w:val="2974"/>
        <w:rPr>
          <w:rFonts w:hint="default"/>
          <w:color w:val="auto"/>
          <w:u w:val="single" w:color="auto"/>
          <w:lang w:val="en-US" w:eastAsia="zh-CN"/>
        </w:rPr>
      </w:pPr>
      <w:r>
        <w:rPr>
          <w:rFonts w:hint="default"/>
          <w:color w:val="auto"/>
          <w:u w:val="single" w:color="auto"/>
          <w:lang w:val="en-US" w:eastAsia="zh-CN"/>
        </w:rPr>
        <w:t>（</w:t>
      </w:r>
      <w:r>
        <w:rPr>
          <w:rFonts w:hint="eastAsia"/>
          <w:color w:val="auto"/>
          <w:u w:val="single" w:color="auto"/>
          <w:lang w:val="en-US" w:eastAsia="zh-CN"/>
        </w:rPr>
        <w:t>1</w:t>
      </w:r>
      <w:r>
        <w:rPr>
          <w:rFonts w:hint="default"/>
          <w:color w:val="auto"/>
          <w:u w:val="single" w:color="auto"/>
          <w:lang w:val="en-US" w:eastAsia="zh-CN"/>
        </w:rPr>
        <w:t>）发生集中饮用水源安全危险时，相关部门接到报告后，应当立即上报指挥部，由指挥部决定启动并组织实施应急预案；按指挥机构的指令实施事故处理。</w:t>
      </w:r>
    </w:p>
    <w:p>
      <w:pPr>
        <w:pStyle w:val="2974"/>
        <w:rPr>
          <w:rFonts w:hint="default"/>
          <w:color w:val="auto"/>
          <w:u w:val="single" w:color="auto"/>
          <w:lang w:val="en-US" w:eastAsia="zh-CN"/>
        </w:rPr>
      </w:pPr>
      <w:r>
        <w:rPr>
          <w:rFonts w:hint="default"/>
          <w:color w:val="auto"/>
          <w:u w:val="single" w:color="auto"/>
          <w:lang w:val="en-US" w:eastAsia="zh-CN"/>
        </w:rPr>
        <w:t>（</w:t>
      </w:r>
      <w:r>
        <w:rPr>
          <w:rFonts w:hint="eastAsia"/>
          <w:color w:val="auto"/>
          <w:u w:val="single" w:color="auto"/>
          <w:lang w:val="en-US" w:eastAsia="zh-CN"/>
        </w:rPr>
        <w:t>2</w:t>
      </w:r>
      <w:r>
        <w:rPr>
          <w:rFonts w:hint="default"/>
          <w:color w:val="auto"/>
          <w:u w:val="single" w:color="auto"/>
          <w:lang w:val="en-US" w:eastAsia="zh-CN"/>
        </w:rPr>
        <w:t>）指挥部下设专业组，各有关部门和专业组必须按指挥部的统一指挥作出应急处理，完成各专业组的任务：</w:t>
      </w:r>
    </w:p>
    <w:p>
      <w:pPr>
        <w:pStyle w:val="2974"/>
        <w:rPr>
          <w:rFonts w:hint="default"/>
          <w:color w:val="auto"/>
          <w:u w:val="single" w:color="auto"/>
          <w:lang w:val="en-US" w:eastAsia="zh-CN"/>
        </w:rPr>
      </w:pPr>
      <w:r>
        <w:rPr>
          <w:rFonts w:hint="eastAsia"/>
          <w:color w:val="auto"/>
          <w:u w:val="single" w:color="auto"/>
          <w:lang w:val="en-US" w:eastAsia="zh-CN"/>
        </w:rPr>
        <w:t>a</w:t>
      </w:r>
      <w:r>
        <w:rPr>
          <w:rFonts w:hint="default"/>
          <w:color w:val="auto"/>
          <w:u w:val="single" w:color="auto"/>
          <w:lang w:val="en-US" w:eastAsia="zh-CN"/>
        </w:rPr>
        <w:t>．环境污染现场处置专业组</w:t>
      </w:r>
    </w:p>
    <w:p>
      <w:pPr>
        <w:pStyle w:val="2974"/>
        <w:rPr>
          <w:rFonts w:hint="default"/>
          <w:color w:val="auto"/>
          <w:u w:val="single" w:color="auto"/>
          <w:lang w:val="en-US" w:eastAsia="zh-CN"/>
        </w:rPr>
      </w:pPr>
      <w:r>
        <w:rPr>
          <w:rFonts w:hint="eastAsia"/>
          <w:color w:val="auto"/>
          <w:u w:val="single" w:color="auto"/>
          <w:lang w:val="en-US" w:eastAsia="zh-CN"/>
        </w:rPr>
        <w:t>b</w:t>
      </w:r>
      <w:r>
        <w:rPr>
          <w:rFonts w:hint="default"/>
          <w:color w:val="auto"/>
          <w:u w:val="single" w:color="auto"/>
          <w:lang w:val="en-US" w:eastAsia="zh-CN"/>
        </w:rPr>
        <w:t>．现场保卫警戒组</w:t>
      </w:r>
    </w:p>
    <w:p>
      <w:pPr>
        <w:pStyle w:val="2974"/>
        <w:rPr>
          <w:rFonts w:hint="default"/>
          <w:color w:val="auto"/>
          <w:u w:val="single" w:color="auto"/>
          <w:lang w:val="en-US" w:eastAsia="zh-CN"/>
        </w:rPr>
      </w:pPr>
      <w:r>
        <w:rPr>
          <w:rFonts w:hint="eastAsia"/>
          <w:color w:val="auto"/>
          <w:u w:val="single" w:color="auto"/>
          <w:lang w:val="en-US" w:eastAsia="zh-CN"/>
        </w:rPr>
        <w:t>c</w:t>
      </w:r>
      <w:r>
        <w:rPr>
          <w:rFonts w:hint="default"/>
          <w:color w:val="auto"/>
          <w:u w:val="single" w:color="auto"/>
          <w:lang w:val="en-US" w:eastAsia="zh-CN"/>
        </w:rPr>
        <w:t>．卫生医疗救护专业组</w:t>
      </w:r>
    </w:p>
    <w:p>
      <w:pPr>
        <w:pStyle w:val="2974"/>
        <w:rPr>
          <w:rFonts w:hint="default"/>
          <w:color w:val="auto"/>
          <w:u w:val="single" w:color="auto"/>
          <w:lang w:val="en-US" w:eastAsia="zh-CN"/>
        </w:rPr>
      </w:pPr>
      <w:r>
        <w:rPr>
          <w:rFonts w:hint="eastAsia"/>
          <w:color w:val="auto"/>
          <w:u w:val="single" w:color="auto"/>
          <w:lang w:val="en-US" w:eastAsia="zh-CN"/>
        </w:rPr>
        <w:t>d</w:t>
      </w:r>
      <w:r>
        <w:rPr>
          <w:rFonts w:hint="default"/>
          <w:color w:val="auto"/>
          <w:u w:val="single" w:color="auto"/>
          <w:lang w:val="en-US" w:eastAsia="zh-CN"/>
        </w:rPr>
        <w:t>．交通运输保障组</w:t>
      </w:r>
    </w:p>
    <w:p>
      <w:pPr>
        <w:pStyle w:val="2974"/>
        <w:rPr>
          <w:rFonts w:hint="default"/>
          <w:color w:val="auto"/>
          <w:u w:val="single" w:color="auto"/>
          <w:lang w:val="en-US" w:eastAsia="zh-CN"/>
        </w:rPr>
      </w:pPr>
      <w:r>
        <w:rPr>
          <w:rFonts w:hint="eastAsia"/>
          <w:color w:val="auto"/>
          <w:u w:val="single" w:color="auto"/>
          <w:lang w:val="en-US" w:eastAsia="zh-CN"/>
        </w:rPr>
        <w:t>e</w:t>
      </w:r>
      <w:r>
        <w:rPr>
          <w:rFonts w:hint="default"/>
          <w:color w:val="auto"/>
          <w:u w:val="single" w:color="auto"/>
          <w:lang w:val="en-US" w:eastAsia="zh-CN"/>
        </w:rPr>
        <w:t>．基础设施保障组</w:t>
      </w:r>
    </w:p>
    <w:p>
      <w:pPr>
        <w:pStyle w:val="2974"/>
        <w:rPr>
          <w:rFonts w:hint="default"/>
          <w:color w:val="auto"/>
          <w:u w:val="single" w:color="auto"/>
          <w:lang w:val="en-US" w:eastAsia="zh-CN"/>
        </w:rPr>
      </w:pPr>
      <w:r>
        <w:rPr>
          <w:rFonts w:hint="eastAsia"/>
          <w:color w:val="auto"/>
          <w:u w:val="single" w:color="auto"/>
          <w:lang w:val="en-US" w:eastAsia="zh-CN"/>
        </w:rPr>
        <w:t>f</w:t>
      </w:r>
      <w:r>
        <w:rPr>
          <w:rFonts w:hint="default"/>
          <w:color w:val="auto"/>
          <w:u w:val="single" w:color="auto"/>
          <w:lang w:val="en-US" w:eastAsia="zh-CN"/>
        </w:rPr>
        <w:t>．后勤物资保障组</w:t>
      </w:r>
    </w:p>
    <w:p>
      <w:pPr>
        <w:pStyle w:val="2974"/>
        <w:rPr>
          <w:rFonts w:hint="default"/>
          <w:color w:val="auto"/>
          <w:u w:val="single" w:color="auto"/>
          <w:lang w:val="en-US" w:eastAsia="zh-CN"/>
        </w:rPr>
      </w:pPr>
      <w:r>
        <w:rPr>
          <w:rFonts w:hint="eastAsia"/>
          <w:color w:val="auto"/>
          <w:u w:val="single" w:color="auto"/>
          <w:lang w:val="en-US" w:eastAsia="zh-CN"/>
        </w:rPr>
        <w:t>g</w:t>
      </w:r>
      <w:r>
        <w:rPr>
          <w:rFonts w:hint="default"/>
          <w:color w:val="auto"/>
          <w:u w:val="single" w:color="auto"/>
          <w:lang w:val="en-US" w:eastAsia="zh-CN"/>
        </w:rPr>
        <w:t>．事故善后处理组</w:t>
      </w:r>
    </w:p>
    <w:p>
      <w:pPr>
        <w:pStyle w:val="2974"/>
        <w:rPr>
          <w:rFonts w:hint="default"/>
          <w:color w:val="auto"/>
          <w:u w:val="single" w:color="auto"/>
          <w:lang w:val="en-US" w:eastAsia="zh-CN"/>
        </w:rPr>
      </w:pPr>
      <w:r>
        <w:rPr>
          <w:rFonts w:hint="default"/>
          <w:color w:val="auto"/>
          <w:u w:val="single" w:color="auto"/>
          <w:lang w:val="en-US" w:eastAsia="zh-CN"/>
        </w:rPr>
        <w:t>8．事故调查组</w:t>
      </w:r>
    </w:p>
    <w:p>
      <w:pPr>
        <w:pStyle w:val="2974"/>
        <w:rPr>
          <w:rFonts w:hint="default"/>
          <w:color w:val="auto"/>
          <w:u w:val="single" w:color="auto"/>
          <w:lang w:val="en-US" w:eastAsia="zh-CN"/>
        </w:rPr>
      </w:pPr>
      <w:r>
        <w:rPr>
          <w:rFonts w:hint="default"/>
          <w:color w:val="auto"/>
          <w:u w:val="single" w:color="auto"/>
          <w:lang w:val="en-US" w:eastAsia="zh-CN"/>
        </w:rPr>
        <w:t>（三）应急处理措施</w:t>
      </w:r>
    </w:p>
    <w:p>
      <w:pPr>
        <w:pStyle w:val="2974"/>
        <w:rPr>
          <w:rFonts w:hint="default"/>
          <w:color w:val="auto"/>
          <w:u w:val="single" w:color="auto"/>
          <w:lang w:val="en-US" w:eastAsia="zh-CN"/>
        </w:rPr>
      </w:pPr>
      <w:r>
        <w:rPr>
          <w:rFonts w:hint="default"/>
          <w:color w:val="auto"/>
          <w:u w:val="single" w:color="auto"/>
          <w:lang w:val="en-US" w:eastAsia="zh-CN"/>
        </w:rPr>
        <w:t>1.先期处置：对</w:t>
      </w:r>
      <w:r>
        <w:rPr>
          <w:rFonts w:hint="eastAsia"/>
          <w:color w:val="auto"/>
          <w:u w:val="single" w:color="auto"/>
          <w:lang w:val="en-US" w:eastAsia="zh-CN"/>
        </w:rPr>
        <w:t>项目范围内</w:t>
      </w:r>
      <w:r>
        <w:rPr>
          <w:rFonts w:hint="default"/>
          <w:color w:val="auto"/>
          <w:u w:val="single" w:color="auto"/>
          <w:lang w:val="en-US" w:eastAsia="zh-CN"/>
        </w:rPr>
        <w:t>发生的饮用水源污染事件，无论级别高低、规模大小、损害轻重，</w:t>
      </w:r>
      <w:r>
        <w:rPr>
          <w:rFonts w:hint="eastAsia"/>
          <w:color w:val="auto"/>
          <w:u w:val="single" w:color="auto"/>
          <w:lang w:val="en-US" w:eastAsia="zh-CN"/>
        </w:rPr>
        <w:t>建设单位</w:t>
      </w:r>
      <w:r>
        <w:rPr>
          <w:rFonts w:hint="default"/>
          <w:color w:val="auto"/>
          <w:u w:val="single" w:color="auto"/>
          <w:lang w:val="en-US" w:eastAsia="zh-CN"/>
        </w:rPr>
        <w:t>都必须组织相关部门进行先期处置，防止事故的进一步扩大，减少财产损失和社会影响，并迅速向</w:t>
      </w:r>
      <w:r>
        <w:rPr>
          <w:rFonts w:hint="eastAsia"/>
          <w:color w:val="auto"/>
          <w:u w:val="single" w:color="auto"/>
          <w:lang w:val="en-US" w:eastAsia="zh-CN"/>
        </w:rPr>
        <w:t>祁东县</w:t>
      </w:r>
      <w:r>
        <w:rPr>
          <w:rFonts w:hint="default"/>
          <w:color w:val="auto"/>
          <w:u w:val="single" w:color="auto"/>
          <w:lang w:val="en-US" w:eastAsia="zh-CN"/>
        </w:rPr>
        <w:t>应急指挥中心报告。</w:t>
      </w:r>
    </w:p>
    <w:p>
      <w:pPr>
        <w:pStyle w:val="2974"/>
        <w:rPr>
          <w:rFonts w:hint="default"/>
          <w:color w:val="auto"/>
          <w:u w:val="single" w:color="auto"/>
          <w:lang w:val="en-US" w:eastAsia="zh-CN"/>
        </w:rPr>
      </w:pPr>
      <w:r>
        <w:rPr>
          <w:rFonts w:hint="default"/>
          <w:color w:val="auto"/>
          <w:u w:val="single" w:color="auto"/>
          <w:lang w:val="en-US" w:eastAsia="zh-CN"/>
        </w:rPr>
        <w:t>2.应急处置：饮用水安全保障工作领导组在接到饮用水源污染事件报告后，无论级别高低、规模大小，都要迅速通知相关水厂关闭污染水源，接通备用水源，同时根据污染程度、预警级别，确定部分用水较大企业暂停生产用水，确保镇村（社区）居民正常供水和饮用水安全。</w:t>
      </w:r>
    </w:p>
    <w:p>
      <w:pPr>
        <w:pStyle w:val="2974"/>
        <w:rPr>
          <w:rFonts w:hint="default"/>
          <w:color w:val="auto"/>
          <w:u w:val="single" w:color="auto"/>
          <w:lang w:val="en-US" w:eastAsia="zh-CN"/>
        </w:rPr>
      </w:pPr>
      <w:r>
        <w:rPr>
          <w:rFonts w:hint="default"/>
          <w:color w:val="auto"/>
          <w:u w:val="single" w:color="auto"/>
          <w:lang w:val="en-US" w:eastAsia="zh-CN"/>
        </w:rPr>
        <w:t>3.后期处置：在对饮用水源污染事件进行应急处置的同时，要迅速采取措施，对需要进行救济救助的，及时组织救济救助，尽快恢复当地正常的社会秩序，并及时采取措施防止次生灾害的发生。卫生部门要做好灾害事故现场的消毒的监控工作。</w:t>
      </w:r>
    </w:p>
    <w:p>
      <w:pPr>
        <w:pStyle w:val="2974"/>
        <w:rPr>
          <w:rFonts w:hint="default"/>
          <w:color w:val="auto"/>
          <w:u w:val="single" w:color="auto"/>
          <w:lang w:val="en-US" w:eastAsia="zh-CN"/>
        </w:rPr>
      </w:pPr>
      <w:r>
        <w:rPr>
          <w:rFonts w:hint="default"/>
          <w:color w:val="auto"/>
          <w:u w:val="single" w:color="auto"/>
          <w:lang w:val="en-US" w:eastAsia="zh-CN"/>
        </w:rPr>
        <w:t>4.应急结束：饮用水源污染事件处置工作基本完成，次生、衍生事件危害被消除，现场应急处置工作指挥应邀请专家咨询组和有关专业技术人员，按规定进行检查(检测)、分析评估，认为应当结束应急状态的，要及时向</w:t>
      </w:r>
      <w:r>
        <w:rPr>
          <w:rFonts w:hint="eastAsia"/>
          <w:color w:val="auto"/>
          <w:u w:val="single" w:color="auto"/>
          <w:lang w:val="en-US" w:eastAsia="zh-CN"/>
        </w:rPr>
        <w:t>祁东县</w:t>
      </w:r>
      <w:r>
        <w:rPr>
          <w:rFonts w:hint="default"/>
          <w:color w:val="auto"/>
          <w:u w:val="single" w:color="auto"/>
          <w:lang w:val="en-US" w:eastAsia="zh-CN"/>
        </w:rPr>
        <w:t>应急指挥中心提出建议，</w:t>
      </w:r>
      <w:r>
        <w:rPr>
          <w:rFonts w:hint="eastAsia"/>
          <w:color w:val="auto"/>
          <w:u w:val="single" w:color="auto"/>
          <w:lang w:val="en-US" w:eastAsia="zh-CN"/>
        </w:rPr>
        <w:t>祁东县</w:t>
      </w:r>
      <w:r>
        <w:rPr>
          <w:rFonts w:hint="default"/>
          <w:color w:val="auto"/>
          <w:u w:val="single" w:color="auto"/>
          <w:lang w:val="en-US" w:eastAsia="zh-CN"/>
        </w:rPr>
        <w:t>应急指挥中心据此建议决定是否结束应急状态。决定应急结束的，报请县人民政府向社会公布。</w:t>
      </w:r>
    </w:p>
    <w:p>
      <w:pPr>
        <w:pStyle w:val="2974"/>
        <w:rPr>
          <w:rFonts w:hint="eastAsia"/>
          <w:color w:val="auto"/>
          <w:u w:val="single" w:color="auto"/>
        </w:rPr>
      </w:pPr>
      <w:r>
        <w:rPr>
          <w:rFonts w:hint="eastAsia"/>
          <w:color w:val="auto"/>
          <w:u w:val="single" w:color="auto"/>
          <w:lang w:val="en-US" w:eastAsia="zh-CN"/>
        </w:rPr>
        <w:t>2</w:t>
      </w:r>
      <w:r>
        <w:rPr>
          <w:rFonts w:hint="eastAsia"/>
          <w:color w:val="auto"/>
          <w:u w:val="single" w:color="auto"/>
        </w:rPr>
        <w:t>、施工期废(污)水排放风险防范措施</w:t>
      </w:r>
    </w:p>
    <w:p>
      <w:pPr>
        <w:pStyle w:val="2974"/>
        <w:rPr>
          <w:rFonts w:hint="eastAsia"/>
          <w:color w:val="auto"/>
          <w:u w:val="single" w:color="auto"/>
        </w:rPr>
      </w:pPr>
      <w:r>
        <w:rPr>
          <w:rFonts w:hint="eastAsia"/>
          <w:color w:val="auto"/>
          <w:u w:val="single" w:color="auto"/>
        </w:rPr>
        <w:t>1）应重视引水沟、沉淀池设施的维护及管理，定期对引水沟进行清淤，防止清淤物沉积堵塞而影响过水能力；</w:t>
      </w:r>
    </w:p>
    <w:p>
      <w:pPr>
        <w:pStyle w:val="2974"/>
        <w:rPr>
          <w:rFonts w:hint="eastAsia"/>
          <w:color w:val="auto"/>
          <w:u w:val="single" w:color="auto"/>
        </w:rPr>
      </w:pPr>
      <w:r>
        <w:rPr>
          <w:rFonts w:hint="eastAsia"/>
          <w:color w:val="auto"/>
          <w:u w:val="single" w:color="auto"/>
        </w:rPr>
        <w:t>2）施工过程中，建设单位应密切留意当地气象预报，在恶劣天气条件下应提前做好施工安全防护工作；</w:t>
      </w:r>
    </w:p>
    <w:p>
      <w:pPr>
        <w:pStyle w:val="2974"/>
        <w:rPr>
          <w:rFonts w:hint="eastAsia"/>
          <w:color w:val="auto"/>
          <w:u w:val="single" w:color="auto"/>
        </w:rPr>
      </w:pPr>
      <w:r>
        <w:rPr>
          <w:rFonts w:hint="eastAsia"/>
          <w:color w:val="auto"/>
          <w:u w:val="single" w:color="auto"/>
        </w:rPr>
        <w:t>3）如遇暴雨，来不及对清淤物进行及时清运的情况下，应对清淤物坡面采用防水布临时覆盖，防止冲刷破坏，避免产生废水对周围水体产生影响；</w:t>
      </w:r>
    </w:p>
    <w:p>
      <w:pPr>
        <w:pStyle w:val="2974"/>
        <w:rPr>
          <w:rFonts w:hint="eastAsia"/>
          <w:color w:val="auto"/>
          <w:u w:val="single" w:color="auto"/>
        </w:rPr>
      </w:pPr>
      <w:r>
        <w:rPr>
          <w:rFonts w:hint="eastAsia"/>
          <w:color w:val="auto"/>
          <w:u w:val="single" w:color="auto"/>
        </w:rPr>
        <w:t>4）应及时清运干化后的清淤物，避免长期堆放；</w:t>
      </w:r>
    </w:p>
    <w:p>
      <w:pPr>
        <w:pStyle w:val="2974"/>
        <w:rPr>
          <w:rFonts w:hint="eastAsia"/>
          <w:color w:val="auto"/>
          <w:u w:val="single" w:color="auto"/>
        </w:rPr>
      </w:pPr>
      <w:r>
        <w:rPr>
          <w:rFonts w:hint="eastAsia"/>
          <w:color w:val="auto"/>
          <w:u w:val="single" w:color="auto"/>
        </w:rPr>
        <w:t>5）汛期前，必须对排水引导系统进行全面检查，发现问题，及时解决，准备好必要的抢险物资、工具、运载机械。加强值班和巡视，发现险情及时报告，采取紧急措施，严防事态恶化，避免造成围挡坍塌等事故；</w:t>
      </w:r>
    </w:p>
    <w:p>
      <w:pPr>
        <w:pStyle w:val="2974"/>
        <w:rPr>
          <w:rFonts w:hint="eastAsia"/>
          <w:color w:val="auto"/>
          <w:u w:val="single" w:color="auto"/>
        </w:rPr>
      </w:pPr>
      <w:r>
        <w:rPr>
          <w:rFonts w:hint="eastAsia"/>
          <w:color w:val="auto"/>
          <w:u w:val="single" w:color="auto"/>
        </w:rPr>
        <w:t>6）做好水土保持措施，避免造成水土流失。</w:t>
      </w:r>
    </w:p>
    <w:p>
      <w:pPr>
        <w:pStyle w:val="2974"/>
        <w:rPr>
          <w:rFonts w:hint="eastAsia"/>
          <w:color w:val="auto"/>
          <w:u w:val="single" w:color="auto"/>
        </w:rPr>
      </w:pPr>
      <w:r>
        <w:rPr>
          <w:rFonts w:hint="eastAsia"/>
          <w:color w:val="auto"/>
          <w:u w:val="single" w:color="auto"/>
          <w:lang w:val="en-US" w:eastAsia="zh-CN"/>
        </w:rPr>
        <w:t>3</w:t>
      </w:r>
      <w:r>
        <w:rPr>
          <w:rFonts w:hint="eastAsia"/>
          <w:color w:val="auto"/>
          <w:u w:val="single" w:color="auto"/>
        </w:rPr>
        <w:t>、油料储运风险防范措施</w:t>
      </w:r>
    </w:p>
    <w:p>
      <w:pPr>
        <w:pStyle w:val="2974"/>
        <w:rPr>
          <w:rFonts w:hint="eastAsia"/>
          <w:color w:val="auto"/>
          <w:u w:val="single" w:color="auto"/>
        </w:rPr>
      </w:pPr>
      <w:r>
        <w:rPr>
          <w:rFonts w:hint="eastAsia"/>
          <w:color w:val="auto"/>
          <w:u w:val="single" w:color="auto"/>
        </w:rPr>
        <w:t>1）成立应急组织指挥系统</w:t>
      </w:r>
    </w:p>
    <w:p>
      <w:pPr>
        <w:pStyle w:val="2974"/>
        <w:rPr>
          <w:rFonts w:hint="eastAsia"/>
          <w:color w:val="auto"/>
          <w:u w:val="single" w:color="auto"/>
        </w:rPr>
      </w:pPr>
      <w:r>
        <w:rPr>
          <w:rFonts w:hint="eastAsia"/>
          <w:color w:val="auto"/>
          <w:u w:val="single" w:color="auto"/>
        </w:rPr>
        <w:t>①应急计划和日常管理工作由建设单位调度组负责。各有关部门按职责分工，落实应急计划的人员培训与演练，应急设备的配置与维修保养，以及应急计划的预算等。</w:t>
      </w:r>
    </w:p>
    <w:p>
      <w:pPr>
        <w:pStyle w:val="2974"/>
        <w:rPr>
          <w:rFonts w:hint="eastAsia"/>
          <w:color w:val="auto"/>
          <w:u w:val="single" w:color="auto"/>
        </w:rPr>
      </w:pPr>
      <w:r>
        <w:rPr>
          <w:rFonts w:hint="eastAsia"/>
          <w:color w:val="auto"/>
          <w:u w:val="single" w:color="auto"/>
        </w:rPr>
        <w:t>②应急指挥系统的功能及构成以应急指挥部为中心，对上接受上级主管单位的指导，横向接受有关单位的支援；对下直接领导各应急防治队伍，对应急反应的全过程实行指挥。应急指挥部由总指挥、副指挥、装卸队、调度组、保卫处等有关人员共同组成。其中总指挥由建设经理担任，副指挥由副经理担任。</w:t>
      </w:r>
    </w:p>
    <w:p>
      <w:pPr>
        <w:pStyle w:val="2974"/>
        <w:rPr>
          <w:rFonts w:hint="eastAsia"/>
          <w:color w:val="auto"/>
          <w:u w:val="single" w:color="auto"/>
        </w:rPr>
      </w:pPr>
      <w:r>
        <w:rPr>
          <w:rFonts w:hint="eastAsia"/>
          <w:color w:val="auto"/>
          <w:u w:val="single" w:color="auto"/>
        </w:rPr>
        <w:t>③应急指控部的主要职责</w:t>
      </w:r>
    </w:p>
    <w:p>
      <w:pPr>
        <w:pStyle w:val="2974"/>
        <w:rPr>
          <w:rFonts w:hint="eastAsia"/>
          <w:color w:val="auto"/>
          <w:u w:val="single" w:color="auto"/>
        </w:rPr>
      </w:pPr>
      <w:r>
        <w:rPr>
          <w:rFonts w:hint="eastAsia"/>
          <w:color w:val="auto"/>
          <w:u w:val="single" w:color="auto"/>
        </w:rPr>
        <w:t>协调油污事故处理过程中的重大问题，</w:t>
      </w:r>
      <w:r>
        <w:rPr>
          <w:rFonts w:hint="eastAsia"/>
          <w:color w:val="auto"/>
          <w:u w:val="single" w:color="auto"/>
          <w:lang w:val="en-US" w:eastAsia="zh-CN"/>
        </w:rPr>
        <w:t>事故发生后，第一时间通知下游自来水厂，加强取水口水质监测或停止取水。同时</w:t>
      </w:r>
      <w:r>
        <w:rPr>
          <w:rFonts w:hint="eastAsia"/>
          <w:color w:val="auto"/>
          <w:u w:val="single" w:color="auto"/>
        </w:rPr>
        <w:t>启动指控各项行动，将事故发展趋势向上级报告，组织员工分析事故原因。</w:t>
      </w:r>
    </w:p>
    <w:p>
      <w:pPr>
        <w:pStyle w:val="2974"/>
        <w:rPr>
          <w:rFonts w:hint="eastAsia"/>
          <w:color w:val="auto"/>
          <w:u w:val="single" w:color="auto"/>
        </w:rPr>
      </w:pPr>
      <w:r>
        <w:rPr>
          <w:rFonts w:hint="eastAsia"/>
          <w:color w:val="auto"/>
          <w:u w:val="single" w:color="auto"/>
        </w:rPr>
        <w:t>④相关职能部门在应急计划管理中的职责</w:t>
      </w:r>
    </w:p>
    <w:p>
      <w:pPr>
        <w:pStyle w:val="2974"/>
        <w:rPr>
          <w:rFonts w:hint="eastAsia"/>
          <w:color w:val="auto"/>
          <w:u w:val="single" w:color="auto"/>
        </w:rPr>
      </w:pPr>
      <w:r>
        <w:rPr>
          <w:rFonts w:hint="eastAsia"/>
          <w:color w:val="auto"/>
          <w:u w:val="single" w:color="auto"/>
        </w:rPr>
        <w:t>调度组：负责应急计划的日常工作，提出应急计划的预算报有关领导审核，汇同有关部门实施计划的培训和演练，参与事故分析和总结。</w:t>
      </w:r>
    </w:p>
    <w:p>
      <w:pPr>
        <w:pStyle w:val="2974"/>
        <w:rPr>
          <w:rFonts w:hint="eastAsia"/>
          <w:color w:val="auto"/>
          <w:u w:val="single" w:color="auto"/>
        </w:rPr>
      </w:pPr>
      <w:r>
        <w:rPr>
          <w:rFonts w:hint="eastAsia"/>
          <w:color w:val="auto"/>
          <w:u w:val="single" w:color="auto"/>
        </w:rPr>
        <w:t>保卫处：参与应急计划的培训和演练，对事故进行分析、总结、报告，负责事故的取证工作，提出对废弃物的处理意见，建立和保管应急档案。</w:t>
      </w:r>
    </w:p>
    <w:p>
      <w:pPr>
        <w:pStyle w:val="2974"/>
        <w:rPr>
          <w:rFonts w:hint="eastAsia"/>
          <w:color w:val="auto"/>
          <w:u w:val="single" w:color="auto"/>
        </w:rPr>
      </w:pPr>
      <w:r>
        <w:rPr>
          <w:rFonts w:hint="eastAsia"/>
          <w:color w:val="auto"/>
          <w:u w:val="single" w:color="auto"/>
        </w:rPr>
        <w:t>装卸队：负责防污设备、器材和管道的维护、保养，参与应急计划的培训和演练。</w:t>
      </w:r>
    </w:p>
    <w:p>
      <w:pPr>
        <w:pStyle w:val="2974"/>
        <w:rPr>
          <w:rFonts w:hint="eastAsia"/>
          <w:color w:val="auto"/>
          <w:u w:val="single" w:color="auto"/>
        </w:rPr>
      </w:pPr>
      <w:r>
        <w:rPr>
          <w:rFonts w:hint="eastAsia"/>
          <w:color w:val="auto"/>
          <w:u w:val="single" w:color="auto"/>
        </w:rPr>
        <w:t>3）组建应急队伍</w:t>
      </w:r>
    </w:p>
    <w:p>
      <w:pPr>
        <w:pStyle w:val="2974"/>
        <w:rPr>
          <w:rFonts w:hint="eastAsia"/>
          <w:color w:val="auto"/>
          <w:u w:val="single" w:color="auto"/>
        </w:rPr>
      </w:pPr>
      <w:r>
        <w:rPr>
          <w:rFonts w:hint="eastAsia"/>
          <w:color w:val="auto"/>
          <w:u w:val="single" w:color="auto"/>
        </w:rPr>
        <w:t>①应急队伍的组成</w:t>
      </w:r>
    </w:p>
    <w:p>
      <w:pPr>
        <w:pStyle w:val="2974"/>
        <w:rPr>
          <w:rFonts w:hint="eastAsia"/>
          <w:color w:val="auto"/>
          <w:u w:val="single" w:color="auto"/>
        </w:rPr>
      </w:pPr>
      <w:r>
        <w:rPr>
          <w:rFonts w:hint="eastAsia"/>
          <w:color w:val="auto"/>
          <w:u w:val="single" w:color="auto"/>
        </w:rPr>
        <w:t>应急队伍是执行应急计划，进行自救的员工队伍。应急队伍应由建设单位保卫处、装卸队各班组人员组成。</w:t>
      </w:r>
    </w:p>
    <w:p>
      <w:pPr>
        <w:pStyle w:val="2974"/>
        <w:rPr>
          <w:rFonts w:hint="eastAsia"/>
          <w:color w:val="auto"/>
          <w:u w:val="single" w:color="auto"/>
        </w:rPr>
      </w:pPr>
      <w:r>
        <w:rPr>
          <w:rFonts w:hint="eastAsia"/>
          <w:color w:val="auto"/>
          <w:u w:val="single" w:color="auto"/>
        </w:rPr>
        <w:t>②应急队伍分工保卫处人员除现场监护人员继续警戒外，其他人员立即从物资仓库领取备用围油栏，送入现场并在油源周围布防以免油污扩散。维修班组的人员协助施工方维修，确保必要时能立即中断溢油源，防止事态扩大。</w:t>
      </w:r>
    </w:p>
    <w:p>
      <w:pPr>
        <w:pStyle w:val="2974"/>
        <w:rPr>
          <w:rFonts w:hint="eastAsia"/>
          <w:color w:val="auto"/>
          <w:u w:val="single" w:color="auto"/>
        </w:rPr>
      </w:pPr>
      <w:r>
        <w:rPr>
          <w:rFonts w:hint="eastAsia"/>
          <w:color w:val="auto"/>
          <w:u w:val="single" w:color="auto"/>
        </w:rPr>
        <w:t>如果溢油较为严重，将酿成大面积污染，应立即停止作业，中断溢油源，应急分队要按照应急小组的指控，全面投入清污工作。</w:t>
      </w:r>
    </w:p>
    <w:p>
      <w:pPr>
        <w:pStyle w:val="2974"/>
        <w:rPr>
          <w:rFonts w:hint="eastAsia"/>
          <w:color w:val="auto"/>
          <w:u w:val="single" w:color="auto"/>
        </w:rPr>
      </w:pPr>
      <w:r>
        <w:rPr>
          <w:rFonts w:hint="eastAsia"/>
          <w:color w:val="auto"/>
          <w:u w:val="single" w:color="auto"/>
        </w:rPr>
        <w:t>在应急分队清污的过程中，安全生产管理处值班人员要不断地利用便携式可燃气体探测仪探测溢油点周围油气浓度，随时向应急领导小组报告，做好启动应急预案的准备。</w:t>
      </w:r>
    </w:p>
    <w:p>
      <w:pPr>
        <w:pStyle w:val="2974"/>
        <w:rPr>
          <w:rFonts w:hint="eastAsia"/>
          <w:color w:val="auto"/>
          <w:u w:val="single" w:color="auto"/>
        </w:rPr>
      </w:pPr>
      <w:r>
        <w:rPr>
          <w:rFonts w:hint="eastAsia"/>
          <w:color w:val="auto"/>
          <w:u w:val="single" w:color="auto"/>
        </w:rPr>
        <w:t>应急队伍在应急中，要绝对服从指挥部的指挥、组长的安排。</w:t>
      </w:r>
    </w:p>
    <w:p>
      <w:pPr>
        <w:pStyle w:val="2974"/>
        <w:rPr>
          <w:rFonts w:hint="eastAsia"/>
          <w:color w:val="auto"/>
          <w:u w:val="single" w:color="auto"/>
        </w:rPr>
      </w:pPr>
      <w:r>
        <w:rPr>
          <w:rFonts w:hint="eastAsia"/>
          <w:color w:val="auto"/>
          <w:u w:val="single" w:color="auto"/>
        </w:rPr>
        <w:t>4）定期培训</w:t>
      </w:r>
    </w:p>
    <w:p>
      <w:pPr>
        <w:pStyle w:val="2974"/>
        <w:rPr>
          <w:rFonts w:hint="eastAsia"/>
          <w:color w:val="auto"/>
          <w:u w:val="single" w:color="auto"/>
        </w:rPr>
      </w:pPr>
      <w:r>
        <w:rPr>
          <w:rFonts w:hint="eastAsia"/>
          <w:color w:val="auto"/>
          <w:u w:val="single" w:color="auto"/>
        </w:rPr>
        <w:t>①培训目的</w:t>
      </w:r>
    </w:p>
    <w:p>
      <w:pPr>
        <w:pStyle w:val="2974"/>
        <w:rPr>
          <w:rFonts w:hint="eastAsia"/>
          <w:color w:val="auto"/>
          <w:u w:val="single" w:color="auto"/>
        </w:rPr>
      </w:pPr>
      <w:r>
        <w:rPr>
          <w:rFonts w:hint="eastAsia"/>
          <w:color w:val="auto"/>
          <w:u w:val="single" w:color="auto"/>
        </w:rPr>
        <w:t>培训对保证施工期间油料泄露应急计划的有效实施起着至关重要的作用，应定期或不定期地组织管理人员、指挥人员、溢油应急队伍及其他相关人员参加培训，使各参加人员掌握溢油应急反应知识和技术，同时也为检验和修订油料泄露应急总计划提供依据。</w:t>
      </w:r>
    </w:p>
    <w:p>
      <w:pPr>
        <w:pStyle w:val="2974"/>
        <w:rPr>
          <w:rFonts w:hint="eastAsia"/>
          <w:color w:val="auto"/>
          <w:u w:val="single" w:color="auto"/>
        </w:rPr>
      </w:pPr>
      <w:r>
        <w:rPr>
          <w:rFonts w:hint="eastAsia"/>
          <w:color w:val="auto"/>
          <w:u w:val="single" w:color="auto"/>
        </w:rPr>
        <w:t>②培训内容</w:t>
      </w:r>
    </w:p>
    <w:p>
      <w:pPr>
        <w:pStyle w:val="2974"/>
        <w:rPr>
          <w:rFonts w:hint="eastAsia"/>
          <w:color w:val="auto"/>
          <w:u w:val="single" w:color="auto"/>
        </w:rPr>
      </w:pPr>
      <w:r>
        <w:rPr>
          <w:rFonts w:hint="eastAsia"/>
          <w:color w:val="auto"/>
          <w:u w:val="single" w:color="auto"/>
        </w:rPr>
        <w:t>培训可分为三个层次进行，即作业人员培训、中级管理人员培训和高级管理人员的培训。培训内容由理论培训和操作培训两部分组成，对作业人员的培训侧重于设施、设备和器材等的使用、操作和维护，对管理人员的培训要求理论和操作并重，其管理和反应对策经验的获得可通过理论培训中总结获得。</w:t>
      </w:r>
    </w:p>
    <w:p>
      <w:pPr>
        <w:pStyle w:val="2974"/>
        <w:rPr>
          <w:rFonts w:hint="eastAsia"/>
          <w:color w:val="auto"/>
          <w:u w:val="single" w:color="auto"/>
        </w:rPr>
      </w:pPr>
      <w:r>
        <w:rPr>
          <w:rFonts w:hint="eastAsia"/>
          <w:color w:val="auto"/>
          <w:u w:val="single" w:color="auto"/>
        </w:rPr>
        <w:t>5）应急反应</w:t>
      </w:r>
    </w:p>
    <w:p>
      <w:pPr>
        <w:pStyle w:val="2974"/>
        <w:rPr>
          <w:rFonts w:hint="eastAsia"/>
          <w:color w:val="auto"/>
          <w:u w:val="single" w:color="auto"/>
        </w:rPr>
      </w:pPr>
      <w:r>
        <w:rPr>
          <w:rFonts w:hint="eastAsia"/>
          <w:color w:val="auto"/>
          <w:u w:val="single" w:color="auto"/>
        </w:rPr>
        <w:t>①事故报告</w:t>
      </w:r>
    </w:p>
    <w:p>
      <w:pPr>
        <w:pStyle w:val="2974"/>
        <w:rPr>
          <w:rFonts w:hint="eastAsia"/>
          <w:color w:val="auto"/>
          <w:u w:val="single" w:color="auto"/>
        </w:rPr>
      </w:pPr>
      <w:r>
        <w:rPr>
          <w:rFonts w:hint="eastAsia"/>
          <w:color w:val="auto"/>
          <w:u w:val="single" w:color="auto"/>
        </w:rPr>
        <w:t>现场人员发现油料储运及其有关作业活动可能对水环境造成污染的，或者已经发生污染事故时，应当立即采取相应的应急处置措施，根据现场各个方面状况初步判断事故性质与规模，并立即向相关部门报告：造成污染事故的种类、数量、地点等。</w:t>
      </w:r>
    </w:p>
    <w:p>
      <w:pPr>
        <w:pStyle w:val="2974"/>
        <w:rPr>
          <w:rFonts w:hint="eastAsia"/>
          <w:color w:val="auto"/>
          <w:u w:val="single" w:color="auto"/>
        </w:rPr>
      </w:pPr>
      <w:r>
        <w:rPr>
          <w:rFonts w:hint="eastAsia"/>
          <w:color w:val="auto"/>
          <w:u w:val="single" w:color="auto"/>
        </w:rPr>
        <w:t>②事故初始评估：</w:t>
      </w:r>
    </w:p>
    <w:p>
      <w:pPr>
        <w:pStyle w:val="2974"/>
        <w:rPr>
          <w:rFonts w:hint="eastAsia"/>
          <w:color w:val="auto"/>
          <w:u w:val="single" w:color="auto"/>
        </w:rPr>
      </w:pPr>
      <w:r>
        <w:rPr>
          <w:rFonts w:hint="eastAsia"/>
          <w:color w:val="auto"/>
          <w:u w:val="single" w:color="auto"/>
        </w:rPr>
        <w:t>要立即对污染事故进行初始评估，通过初始评估，尽快再次确定报警（通报）部门采取应急反应措施。</w:t>
      </w:r>
    </w:p>
    <w:p>
      <w:pPr>
        <w:pStyle w:val="2974"/>
        <w:rPr>
          <w:rFonts w:hint="eastAsia"/>
          <w:color w:val="auto"/>
          <w:u w:val="single" w:color="auto"/>
        </w:rPr>
      </w:pPr>
      <w:r>
        <w:rPr>
          <w:rFonts w:hint="eastAsia"/>
          <w:color w:val="auto"/>
          <w:u w:val="single" w:color="auto"/>
        </w:rPr>
        <w:t>③应急措施：</w:t>
      </w:r>
    </w:p>
    <w:p>
      <w:pPr>
        <w:pStyle w:val="2974"/>
        <w:rPr>
          <w:rFonts w:hint="eastAsia"/>
          <w:color w:val="auto"/>
          <w:u w:val="single" w:color="auto"/>
        </w:rPr>
      </w:pPr>
      <w:r>
        <w:rPr>
          <w:rFonts w:hint="eastAsia"/>
          <w:color w:val="auto"/>
          <w:u w:val="single" w:color="auto"/>
        </w:rPr>
        <w:t>接受来自上级应急指挥部的指令，及时反馈事故现场有关情况和提出处理意见。调动现场的应急力量，采取对抗事故的应急反应行动。依据客观情况，向政府部门寻求应急人力、应急物资援助和专家咨询组的技术支持。</w:t>
      </w:r>
    </w:p>
    <w:p>
      <w:pPr>
        <w:pStyle w:val="2974"/>
        <w:rPr>
          <w:rFonts w:hint="eastAsia"/>
          <w:color w:val="auto"/>
          <w:u w:val="single" w:color="auto"/>
        </w:rPr>
      </w:pPr>
      <w:r>
        <w:rPr>
          <w:rFonts w:hint="eastAsia"/>
          <w:color w:val="auto"/>
          <w:u w:val="single" w:color="auto"/>
        </w:rPr>
        <w:t>④记录：</w:t>
      </w:r>
    </w:p>
    <w:p>
      <w:pPr>
        <w:pStyle w:val="2974"/>
        <w:rPr>
          <w:rFonts w:hint="eastAsia"/>
          <w:color w:val="auto"/>
          <w:u w:val="single" w:color="auto"/>
        </w:rPr>
      </w:pPr>
      <w:r>
        <w:rPr>
          <w:rFonts w:hint="eastAsia"/>
          <w:color w:val="auto"/>
          <w:u w:val="single" w:color="auto"/>
        </w:rPr>
        <w:t>对污染事故的应急处理过程详细的记录，以作为员工的培训学习的案例，并向渔业、水利、环保、环卫部门报告。</w:t>
      </w:r>
    </w:p>
    <w:p>
      <w:pPr>
        <w:pStyle w:val="2974"/>
        <w:rPr>
          <w:rFonts w:hint="eastAsia"/>
          <w:color w:val="auto"/>
          <w:u w:val="single" w:color="auto"/>
        </w:rPr>
      </w:pPr>
      <w:r>
        <w:rPr>
          <w:rFonts w:hint="eastAsia"/>
          <w:color w:val="auto"/>
          <w:u w:val="single" w:color="auto"/>
        </w:rPr>
        <w:t>6）应急方案和措施</w:t>
      </w:r>
    </w:p>
    <w:p>
      <w:pPr>
        <w:pStyle w:val="2974"/>
        <w:rPr>
          <w:rFonts w:hint="eastAsia"/>
          <w:color w:val="auto"/>
          <w:u w:val="single" w:color="auto"/>
        </w:rPr>
      </w:pPr>
      <w:r>
        <w:rPr>
          <w:rFonts w:hint="eastAsia"/>
          <w:color w:val="auto"/>
          <w:u w:val="single" w:color="auto"/>
        </w:rPr>
        <w:t>①指挥长到达现场后应立即与环保、渔业和水利部门取得联系，确定行动方案和措施。</w:t>
      </w:r>
    </w:p>
    <w:p>
      <w:pPr>
        <w:pStyle w:val="2974"/>
        <w:rPr>
          <w:rFonts w:hint="eastAsia"/>
          <w:color w:val="auto"/>
          <w:u w:val="single" w:color="auto"/>
        </w:rPr>
      </w:pPr>
      <w:r>
        <w:rPr>
          <w:rFonts w:hint="eastAsia"/>
          <w:color w:val="auto"/>
          <w:u w:val="single" w:color="auto"/>
        </w:rPr>
        <w:t>②根据污染物的类型、规模、溢出污染物的种类、污染物扩散方向等，考虑采取如下相应的防治措施：</w:t>
      </w:r>
    </w:p>
    <w:p>
      <w:pPr>
        <w:pStyle w:val="2974"/>
        <w:rPr>
          <w:rFonts w:hint="eastAsia"/>
          <w:color w:val="auto"/>
          <w:u w:val="single" w:color="auto"/>
        </w:rPr>
      </w:pPr>
      <w:r>
        <w:rPr>
          <w:rFonts w:hint="eastAsia"/>
          <w:color w:val="auto"/>
          <w:u w:val="single" w:color="auto"/>
        </w:rPr>
        <w:t>非持久性的油类：</w:t>
      </w:r>
    </w:p>
    <w:p>
      <w:pPr>
        <w:pStyle w:val="2974"/>
        <w:rPr>
          <w:rFonts w:hint="eastAsia"/>
          <w:color w:val="auto"/>
          <w:u w:val="single" w:color="auto"/>
        </w:rPr>
      </w:pPr>
      <w:r>
        <w:rPr>
          <w:rFonts w:hint="eastAsia"/>
          <w:color w:val="auto"/>
          <w:u w:val="single" w:color="auto"/>
        </w:rPr>
        <w:t>a)一般采取回收方式，因为这种油经过一定的时间，大部分会挥发掉，但为防止其向附近的敏感区域扩散，可利用围油栏拦截和导向，在可能引起火灾的情况下，经相关部门批准，可使用溢油处理剂（沉降剂，分散剂）使其沉降和分散。b)严格控制溢油处理剂的使用，要根据溢油的理化性质，流出数量、溢油地点以及周围的环境情况等，权衡利弊后，决定是否使用。c)若经预测和实际观察，溢油总的趋势是向外扩散时，可采取对应的防治行动，但需要严格监视溢油的扩散方向。</w:t>
      </w:r>
    </w:p>
    <w:p>
      <w:pPr>
        <w:pStyle w:val="2974"/>
        <w:rPr>
          <w:rFonts w:hint="eastAsia"/>
          <w:color w:val="auto"/>
          <w:u w:val="single" w:color="auto"/>
        </w:rPr>
      </w:pPr>
      <w:r>
        <w:rPr>
          <w:rFonts w:hint="eastAsia"/>
          <w:color w:val="auto"/>
          <w:u w:val="single" w:color="auto"/>
        </w:rPr>
        <w:t>持久性油类：</w:t>
      </w:r>
    </w:p>
    <w:p>
      <w:pPr>
        <w:pStyle w:val="2974"/>
        <w:rPr>
          <w:rFonts w:hint="eastAsia"/>
          <w:color w:val="auto"/>
          <w:u w:val="single" w:color="auto"/>
        </w:rPr>
      </w:pPr>
      <w:r>
        <w:rPr>
          <w:rFonts w:hint="eastAsia"/>
          <w:color w:val="auto"/>
          <w:u w:val="single" w:color="auto"/>
        </w:rPr>
        <w:t>a)在可能的情况下，尽量采取回收方式进行回收。回收时可用浮油回收船、撇油器、油拖网、油拖把、吸油材料及人工捞取等。b)回收的废油、含油废水和岸线清理出来的油污废气物等，应考虑其运输、储存、处理和处置的方法。</w:t>
      </w:r>
    </w:p>
    <w:p>
      <w:pPr>
        <w:pStyle w:val="2974"/>
        <w:rPr>
          <w:rFonts w:hint="eastAsia"/>
          <w:color w:val="auto"/>
          <w:u w:val="single" w:color="auto"/>
        </w:rPr>
      </w:pPr>
      <w:r>
        <w:rPr>
          <w:rFonts w:hint="eastAsia"/>
          <w:color w:val="auto"/>
          <w:u w:val="single" w:color="auto"/>
        </w:rPr>
        <w:t>（3）需配备主要应急设施及设备</w:t>
      </w:r>
    </w:p>
    <w:p>
      <w:pPr>
        <w:pStyle w:val="2974"/>
        <w:rPr>
          <w:rFonts w:hint="eastAsia"/>
          <w:color w:val="auto"/>
          <w:u w:val="single" w:color="auto"/>
        </w:rPr>
      </w:pPr>
      <w:r>
        <w:rPr>
          <w:rFonts w:hint="eastAsia"/>
          <w:color w:val="auto"/>
          <w:u w:val="single" w:color="auto"/>
        </w:rPr>
        <w:t>目前，国际上较多采用的溢油处理方法是物理清除法和化学清除法。物理清除法主要机械设备是围油栏和回收设备，首先是利用围油栏将溢油围在一定的区域内，然后采用回收装置回收溢油；化学清除法则是向浮油喷洒化学药剂－消油剂，使溢油分解消散，一般是在物理清除法不能使用的情况下使用。</w:t>
      </w:r>
    </w:p>
    <w:p>
      <w:pPr>
        <w:pStyle w:val="2974"/>
        <w:rPr>
          <w:rFonts w:hint="eastAsia"/>
          <w:color w:val="auto"/>
          <w:u w:val="single" w:color="auto"/>
        </w:rPr>
      </w:pPr>
      <w:r>
        <w:rPr>
          <w:rFonts w:hint="eastAsia"/>
          <w:color w:val="auto"/>
          <w:u w:val="single" w:color="auto"/>
        </w:rPr>
        <w:t>本项目应配备一定数量的应急设备和器材，以便能够及时应对溢油风险。同时，本项目配备一定数量的溢油应急设施和器材，还能够应对跑、冒、滴、漏油等事件发生。配备的应急器材数量见表</w:t>
      </w:r>
      <w:r>
        <w:rPr>
          <w:rFonts w:hint="eastAsia" w:ascii="Times New Roman" w:hAnsi="Times New Roman" w:eastAsia="宋体" w:cs="Times New Roman"/>
          <w:color w:val="auto"/>
          <w:u w:val="single" w:color="auto"/>
          <w:lang w:val="en-US" w:eastAsia="zh-CN"/>
        </w:rPr>
        <w:t>5.3</w:t>
      </w:r>
      <w:r>
        <w:rPr>
          <w:rFonts w:hint="eastAsia"/>
          <w:color w:val="auto"/>
          <w:u w:val="single" w:color="auto"/>
        </w:rPr>
        <w:t>-6。</w:t>
      </w:r>
    </w:p>
    <w:p>
      <w:pPr>
        <w:pStyle w:val="2976"/>
        <w:bidi w:val="0"/>
        <w:rPr>
          <w:rFonts w:hint="eastAsia"/>
          <w:color w:val="auto"/>
          <w:u w:val="single" w:color="auto"/>
        </w:rPr>
      </w:pPr>
      <w:r>
        <w:rPr>
          <w:rFonts w:hint="default" w:ascii="Times New Roman" w:hAnsi="Times New Roman" w:eastAsia="宋体" w:cs="Times New Roman"/>
          <w:b/>
          <w:bCs/>
          <w:color w:val="auto"/>
          <w:sz w:val="21"/>
          <w:szCs w:val="20"/>
          <w:u w:val="single" w:color="auto"/>
        </w:rPr>
        <w:t>表</w:t>
      </w:r>
      <w:r>
        <w:rPr>
          <w:rFonts w:hint="default" w:ascii="Times New Roman" w:hAnsi="Times New Roman" w:eastAsia="宋体" w:cs="Times New Roman"/>
          <w:b/>
          <w:bCs/>
          <w:color w:val="auto"/>
          <w:sz w:val="21"/>
          <w:szCs w:val="20"/>
          <w:u w:val="single" w:color="auto"/>
          <w:lang w:val="en-US" w:eastAsia="zh-CN"/>
        </w:rPr>
        <w:t>5.3</w:t>
      </w:r>
      <w:r>
        <w:rPr>
          <w:rFonts w:hint="default" w:ascii="Times New Roman" w:hAnsi="Times New Roman" w:eastAsia="宋体" w:cs="Times New Roman"/>
          <w:b/>
          <w:bCs/>
          <w:color w:val="auto"/>
          <w:sz w:val="21"/>
          <w:szCs w:val="20"/>
          <w:u w:val="single" w:color="auto"/>
        </w:rPr>
        <w:t>-6 配备的防污应急设施和器材表</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1"/>
        <w:gridCol w:w="2251"/>
        <w:gridCol w:w="4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1" w:type="dxa"/>
            <w:vAlign w:val="center"/>
          </w:tcPr>
          <w:p>
            <w:pPr>
              <w:pStyle w:val="2977"/>
              <w:widowControl w:val="0"/>
              <w:bidi w:val="0"/>
              <w:jc w:val="center"/>
              <w:rPr>
                <w:rFonts w:hint="default" w:eastAsia="宋体"/>
                <w:color w:val="auto"/>
                <w:u w:val="single" w:color="auto"/>
                <w:lang w:val="en-US" w:eastAsia="zh-CN"/>
              </w:rPr>
            </w:pPr>
            <w:r>
              <w:rPr>
                <w:rFonts w:hint="eastAsia"/>
                <w:color w:val="auto"/>
                <w:u w:val="single" w:color="auto"/>
                <w:lang w:val="en-US" w:eastAsia="zh-CN"/>
              </w:rPr>
              <w:t>序号</w:t>
            </w:r>
          </w:p>
        </w:tc>
        <w:tc>
          <w:tcPr>
            <w:tcW w:w="2251" w:type="dxa"/>
            <w:vAlign w:val="center"/>
          </w:tcPr>
          <w:p>
            <w:pPr>
              <w:pStyle w:val="2977"/>
              <w:widowControl w:val="0"/>
              <w:bidi w:val="0"/>
              <w:jc w:val="center"/>
              <w:rPr>
                <w:rFonts w:hint="eastAsia"/>
                <w:color w:val="auto"/>
                <w:u w:val="single" w:color="auto"/>
              </w:rPr>
            </w:pPr>
            <w:r>
              <w:rPr>
                <w:rFonts w:hint="eastAsia"/>
                <w:color w:val="auto"/>
                <w:u w:val="single" w:color="auto"/>
              </w:rPr>
              <w:t>应急设备和器材</w:t>
            </w:r>
          </w:p>
        </w:tc>
        <w:tc>
          <w:tcPr>
            <w:tcW w:w="4390" w:type="dxa"/>
            <w:vAlign w:val="center"/>
          </w:tcPr>
          <w:p>
            <w:pPr>
              <w:pStyle w:val="2977"/>
              <w:widowControl w:val="0"/>
              <w:bidi w:val="0"/>
              <w:jc w:val="center"/>
              <w:rPr>
                <w:rFonts w:hint="eastAsia" w:eastAsia="宋体"/>
                <w:color w:val="auto"/>
                <w:u w:val="single" w:color="auto"/>
                <w:lang w:val="en-US" w:eastAsia="zh-CN"/>
              </w:rPr>
            </w:pPr>
            <w:r>
              <w:rPr>
                <w:rFonts w:hint="eastAsia"/>
                <w:color w:val="auto"/>
                <w:u w:val="single" w:color="auto"/>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1" w:type="dxa"/>
            <w:vAlign w:val="center"/>
          </w:tcPr>
          <w:p>
            <w:pPr>
              <w:pStyle w:val="2977"/>
              <w:widowControl w:val="0"/>
              <w:bidi w:val="0"/>
              <w:jc w:val="center"/>
              <w:rPr>
                <w:rFonts w:hint="eastAsia" w:eastAsia="宋体"/>
                <w:color w:val="auto"/>
                <w:u w:val="single" w:color="auto"/>
                <w:lang w:val="en-US" w:eastAsia="zh-CN"/>
              </w:rPr>
            </w:pPr>
            <w:r>
              <w:rPr>
                <w:rFonts w:hint="eastAsia"/>
                <w:color w:val="auto"/>
                <w:u w:val="single" w:color="auto"/>
                <w:lang w:val="en-US" w:eastAsia="zh-CN"/>
              </w:rPr>
              <w:t>1</w:t>
            </w:r>
          </w:p>
        </w:tc>
        <w:tc>
          <w:tcPr>
            <w:tcW w:w="2251" w:type="dxa"/>
            <w:vAlign w:val="center"/>
          </w:tcPr>
          <w:p>
            <w:pPr>
              <w:pStyle w:val="2977"/>
              <w:widowControl w:val="0"/>
              <w:bidi w:val="0"/>
              <w:jc w:val="center"/>
              <w:rPr>
                <w:rFonts w:hint="eastAsia"/>
                <w:color w:val="auto"/>
                <w:u w:val="single" w:color="auto"/>
              </w:rPr>
            </w:pPr>
            <w:r>
              <w:rPr>
                <w:rFonts w:hint="eastAsia"/>
                <w:color w:val="auto"/>
                <w:u w:val="single" w:color="auto"/>
              </w:rPr>
              <w:t>手提式灭火器</w:t>
            </w:r>
          </w:p>
        </w:tc>
        <w:tc>
          <w:tcPr>
            <w:tcW w:w="4390" w:type="dxa"/>
            <w:vAlign w:val="center"/>
          </w:tcPr>
          <w:p>
            <w:pPr>
              <w:pStyle w:val="2977"/>
              <w:widowControl w:val="0"/>
              <w:bidi w:val="0"/>
              <w:jc w:val="center"/>
              <w:rPr>
                <w:rFonts w:hint="eastAsia"/>
                <w:color w:val="auto"/>
                <w:u w:val="single" w:color="auto"/>
              </w:rPr>
            </w:pPr>
            <w:r>
              <w:rPr>
                <w:rFonts w:hint="eastAsia"/>
                <w:color w:val="auto"/>
                <w:u w:val="single" w:color="auto"/>
              </w:rPr>
              <w:t>20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1" w:type="dxa"/>
            <w:vAlign w:val="center"/>
          </w:tcPr>
          <w:p>
            <w:pPr>
              <w:pStyle w:val="2977"/>
              <w:widowControl w:val="0"/>
              <w:bidi w:val="0"/>
              <w:jc w:val="center"/>
              <w:rPr>
                <w:rFonts w:hint="eastAsia" w:eastAsia="宋体"/>
                <w:color w:val="auto"/>
                <w:u w:val="single" w:color="auto"/>
                <w:lang w:val="en-US" w:eastAsia="zh-CN"/>
              </w:rPr>
            </w:pPr>
            <w:r>
              <w:rPr>
                <w:rFonts w:hint="eastAsia"/>
                <w:color w:val="auto"/>
                <w:u w:val="single" w:color="auto"/>
                <w:lang w:val="en-US" w:eastAsia="zh-CN"/>
              </w:rPr>
              <w:t>2</w:t>
            </w:r>
          </w:p>
        </w:tc>
        <w:tc>
          <w:tcPr>
            <w:tcW w:w="2251" w:type="dxa"/>
            <w:vAlign w:val="center"/>
          </w:tcPr>
          <w:p>
            <w:pPr>
              <w:pStyle w:val="2977"/>
              <w:widowControl w:val="0"/>
              <w:bidi w:val="0"/>
              <w:jc w:val="center"/>
              <w:rPr>
                <w:rFonts w:hint="eastAsia"/>
                <w:color w:val="auto"/>
                <w:u w:val="single" w:color="auto"/>
              </w:rPr>
            </w:pPr>
            <w:r>
              <w:rPr>
                <w:rFonts w:hint="eastAsia" w:ascii="宋体" w:hAnsi="宋体" w:eastAsia="宋体"/>
                <w:color w:val="auto"/>
                <w:sz w:val="21"/>
                <w:szCs w:val="24"/>
                <w:u w:val="single" w:color="auto"/>
              </w:rPr>
              <w:t>吸油毡</w:t>
            </w:r>
          </w:p>
        </w:tc>
        <w:tc>
          <w:tcPr>
            <w:tcW w:w="4390" w:type="dxa"/>
            <w:vAlign w:val="center"/>
          </w:tcPr>
          <w:p>
            <w:pPr>
              <w:pStyle w:val="2977"/>
              <w:widowControl w:val="0"/>
              <w:bidi w:val="0"/>
              <w:jc w:val="center"/>
              <w:rPr>
                <w:rFonts w:hint="eastAsia"/>
                <w:color w:val="auto"/>
                <w:u w:val="single" w:color="auto"/>
              </w:rPr>
            </w:pPr>
            <w:r>
              <w:rPr>
                <w:rFonts w:hint="eastAsia" w:ascii="TimesNewRomanPSMT" w:hAnsi="TimesNewRomanPSMT" w:eastAsia="TimesNewRomanPSMT"/>
                <w:color w:val="auto"/>
                <w:sz w:val="21"/>
                <w:szCs w:val="24"/>
                <w:u w:val="single" w:color="auto"/>
              </w:rPr>
              <w:t>1000kg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1" w:type="dxa"/>
            <w:vAlign w:val="center"/>
          </w:tcPr>
          <w:p>
            <w:pPr>
              <w:pStyle w:val="2977"/>
              <w:widowControl w:val="0"/>
              <w:bidi w:val="0"/>
              <w:jc w:val="center"/>
              <w:rPr>
                <w:rFonts w:hint="eastAsia" w:eastAsia="宋体"/>
                <w:color w:val="auto"/>
                <w:u w:val="single" w:color="auto"/>
                <w:lang w:val="en-US" w:eastAsia="zh-CN"/>
              </w:rPr>
            </w:pPr>
            <w:r>
              <w:rPr>
                <w:rFonts w:hint="eastAsia"/>
                <w:color w:val="auto"/>
                <w:u w:val="single" w:color="auto"/>
                <w:lang w:val="en-US" w:eastAsia="zh-CN"/>
              </w:rPr>
              <w:t>3</w:t>
            </w:r>
          </w:p>
        </w:tc>
        <w:tc>
          <w:tcPr>
            <w:tcW w:w="2251" w:type="dxa"/>
            <w:vAlign w:val="center"/>
          </w:tcPr>
          <w:p>
            <w:pPr>
              <w:pStyle w:val="2977"/>
              <w:widowControl w:val="0"/>
              <w:bidi w:val="0"/>
              <w:jc w:val="center"/>
              <w:rPr>
                <w:rFonts w:hint="eastAsia"/>
                <w:color w:val="auto"/>
                <w:u w:val="single" w:color="auto"/>
              </w:rPr>
            </w:pPr>
            <w:r>
              <w:rPr>
                <w:rFonts w:hint="eastAsia" w:ascii="宋体" w:hAnsi="宋体" w:eastAsia="宋体"/>
                <w:color w:val="auto"/>
                <w:sz w:val="21"/>
                <w:szCs w:val="24"/>
                <w:u w:val="single" w:color="auto"/>
              </w:rPr>
              <w:t>围油栏</w:t>
            </w:r>
          </w:p>
        </w:tc>
        <w:tc>
          <w:tcPr>
            <w:tcW w:w="4390" w:type="dxa"/>
            <w:vAlign w:val="center"/>
          </w:tcPr>
          <w:p>
            <w:pPr>
              <w:pStyle w:val="2977"/>
              <w:widowControl w:val="0"/>
              <w:bidi w:val="0"/>
              <w:jc w:val="center"/>
              <w:rPr>
                <w:rFonts w:hint="eastAsia"/>
                <w:color w:val="auto"/>
                <w:u w:val="single" w:color="auto"/>
              </w:rPr>
            </w:pPr>
            <w:r>
              <w:rPr>
                <w:rFonts w:hint="eastAsia" w:ascii="TimesNewRomanPSMT" w:hAnsi="TimesNewRomanPSMT" w:eastAsia="TimesNewRomanPSMT"/>
                <w:color w:val="auto"/>
                <w:sz w:val="21"/>
                <w:szCs w:val="24"/>
                <w:u w:val="single" w:color="auto"/>
              </w:rPr>
              <w:t>1000m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1" w:type="dxa"/>
            <w:vAlign w:val="center"/>
          </w:tcPr>
          <w:p>
            <w:pPr>
              <w:pStyle w:val="2977"/>
              <w:widowControl w:val="0"/>
              <w:bidi w:val="0"/>
              <w:jc w:val="center"/>
              <w:rPr>
                <w:rFonts w:hint="eastAsia" w:eastAsia="宋体"/>
                <w:color w:val="auto"/>
                <w:u w:val="single" w:color="auto"/>
                <w:lang w:val="en-US" w:eastAsia="zh-CN"/>
              </w:rPr>
            </w:pPr>
            <w:r>
              <w:rPr>
                <w:rFonts w:hint="eastAsia"/>
                <w:color w:val="auto"/>
                <w:u w:val="single" w:color="auto"/>
                <w:lang w:val="en-US" w:eastAsia="zh-CN"/>
              </w:rPr>
              <w:t>4</w:t>
            </w:r>
          </w:p>
        </w:tc>
        <w:tc>
          <w:tcPr>
            <w:tcW w:w="2251" w:type="dxa"/>
            <w:vAlign w:val="center"/>
          </w:tcPr>
          <w:p>
            <w:pPr>
              <w:pStyle w:val="2977"/>
              <w:widowControl w:val="0"/>
              <w:bidi w:val="0"/>
              <w:jc w:val="center"/>
              <w:rPr>
                <w:rFonts w:hint="eastAsia"/>
                <w:color w:val="auto"/>
                <w:u w:val="single" w:color="auto"/>
              </w:rPr>
            </w:pPr>
            <w:r>
              <w:rPr>
                <w:rFonts w:hint="eastAsia" w:ascii="宋体" w:hAnsi="宋体" w:eastAsia="宋体"/>
                <w:color w:val="auto"/>
                <w:sz w:val="21"/>
                <w:szCs w:val="24"/>
                <w:u w:val="single" w:color="auto"/>
              </w:rPr>
              <w:t>吸油绳</w:t>
            </w:r>
          </w:p>
        </w:tc>
        <w:tc>
          <w:tcPr>
            <w:tcW w:w="4390" w:type="dxa"/>
            <w:vAlign w:val="center"/>
          </w:tcPr>
          <w:p>
            <w:pPr>
              <w:pStyle w:val="2977"/>
              <w:widowControl w:val="0"/>
              <w:bidi w:val="0"/>
              <w:jc w:val="center"/>
              <w:rPr>
                <w:rFonts w:hint="eastAsia"/>
                <w:color w:val="auto"/>
                <w:u w:val="single" w:color="auto"/>
              </w:rPr>
            </w:pPr>
            <w:r>
              <w:rPr>
                <w:rFonts w:hint="eastAsia" w:ascii="TimesNewRomanPSMT" w:hAnsi="TimesNewRomanPSMT" w:eastAsia="TimesNewRomanPSMT"/>
                <w:color w:val="auto"/>
                <w:sz w:val="21"/>
                <w:szCs w:val="24"/>
                <w:u w:val="single" w:color="auto"/>
              </w:rPr>
              <w:t>1000m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1" w:type="dxa"/>
            <w:vAlign w:val="center"/>
          </w:tcPr>
          <w:p>
            <w:pPr>
              <w:pStyle w:val="2977"/>
              <w:widowControl w:val="0"/>
              <w:bidi w:val="0"/>
              <w:jc w:val="center"/>
              <w:rPr>
                <w:rFonts w:hint="eastAsia" w:eastAsia="宋体"/>
                <w:color w:val="auto"/>
                <w:u w:val="single" w:color="auto"/>
                <w:lang w:val="en-US" w:eastAsia="zh-CN"/>
              </w:rPr>
            </w:pPr>
            <w:r>
              <w:rPr>
                <w:rFonts w:hint="eastAsia"/>
                <w:color w:val="auto"/>
                <w:u w:val="single" w:color="auto"/>
                <w:lang w:val="en-US" w:eastAsia="zh-CN"/>
              </w:rPr>
              <w:t>5</w:t>
            </w:r>
          </w:p>
        </w:tc>
        <w:tc>
          <w:tcPr>
            <w:tcW w:w="2251" w:type="dxa"/>
            <w:vAlign w:val="center"/>
          </w:tcPr>
          <w:p>
            <w:pPr>
              <w:bidi w:val="0"/>
              <w:jc w:val="center"/>
              <w:rPr>
                <w:rFonts w:hint="eastAsia"/>
                <w:color w:val="auto"/>
                <w:u w:val="single" w:color="auto"/>
              </w:rPr>
            </w:pPr>
            <w:r>
              <w:rPr>
                <w:rFonts w:hint="eastAsia" w:ascii="宋体" w:hAnsi="宋体" w:eastAsia="宋体"/>
                <w:color w:val="auto"/>
                <w:sz w:val="21"/>
                <w:szCs w:val="24"/>
                <w:u w:val="single" w:color="auto"/>
              </w:rPr>
              <w:t>消油剂</w:t>
            </w:r>
          </w:p>
        </w:tc>
        <w:tc>
          <w:tcPr>
            <w:tcW w:w="4390" w:type="dxa"/>
            <w:vAlign w:val="center"/>
          </w:tcPr>
          <w:p>
            <w:pPr>
              <w:bidi w:val="0"/>
              <w:jc w:val="center"/>
              <w:rPr>
                <w:rFonts w:hint="eastAsia"/>
                <w:color w:val="auto"/>
                <w:u w:val="single" w:color="auto"/>
              </w:rPr>
            </w:pPr>
            <w:r>
              <w:rPr>
                <w:rFonts w:hint="eastAsia" w:ascii="TimesNewRomanPSMT" w:hAnsi="TimesNewRomanPSMT" w:eastAsia="TimesNewRomanPSMT"/>
                <w:color w:val="auto"/>
                <w:sz w:val="21"/>
                <w:szCs w:val="24"/>
                <w:u w:val="single" w:color="auto"/>
              </w:rPr>
              <w:t>100kg</w:t>
            </w:r>
          </w:p>
        </w:tc>
      </w:tr>
    </w:tbl>
    <w:p>
      <w:pPr>
        <w:pStyle w:val="2975"/>
        <w:bidi w:val="0"/>
        <w:rPr>
          <w:rFonts w:hint="eastAsia"/>
          <w:color w:val="auto"/>
          <w:u w:val="single" w:color="auto"/>
        </w:rPr>
      </w:pPr>
      <w:bookmarkStart w:id="319" w:name="_Toc28241"/>
      <w:r>
        <w:rPr>
          <w:rFonts w:hint="eastAsia" w:ascii="Times New Roman" w:hAnsi="Times New Roman" w:eastAsia="宋体" w:cs="Times New Roman"/>
          <w:color w:val="auto"/>
          <w:u w:val="single" w:color="auto"/>
          <w:lang w:val="en-US" w:eastAsia="zh-CN"/>
        </w:rPr>
        <w:t>5.3</w:t>
      </w:r>
      <w:r>
        <w:rPr>
          <w:rFonts w:hint="eastAsia"/>
          <w:color w:val="auto"/>
          <w:u w:val="single" w:color="auto"/>
        </w:rPr>
        <w:t>.7 环境风险评价结论</w:t>
      </w:r>
      <w:bookmarkEnd w:id="319"/>
    </w:p>
    <w:p>
      <w:pPr>
        <w:pStyle w:val="2974"/>
        <w:rPr>
          <w:color w:val="FF0000"/>
          <w:u w:val="single" w:color="auto"/>
        </w:rPr>
      </w:pPr>
      <w:r>
        <w:rPr>
          <w:rFonts w:hint="eastAsia"/>
          <w:color w:val="auto"/>
          <w:u w:val="single" w:color="auto"/>
        </w:rPr>
        <w:t>通过对本项目风险识别，认为本项目在建设过程中均存在的风险影响，经对项目处理系统进行分析，泄漏、起火、爆炸事故属低概率的风险事故，综合计算得出本项目环境风险水平可接受。因此，在建设单位制定严格的生产运行管理、加强职工的安全生产教育、提高风险意识，严格落实相关风险防范措施和安全应急措施，</w:t>
      </w:r>
      <w:r>
        <w:rPr>
          <w:rFonts w:hint="eastAsia"/>
          <w:color w:val="auto"/>
          <w:u w:val="single" w:color="auto"/>
          <w:lang w:val="en-US" w:eastAsia="zh-CN"/>
        </w:rPr>
        <w:t>编制环境</w:t>
      </w:r>
      <w:r>
        <w:rPr>
          <w:rFonts w:hint="eastAsia"/>
          <w:color w:val="auto"/>
          <w:u w:val="single" w:color="auto"/>
        </w:rPr>
        <w:t>风险应急预案</w:t>
      </w:r>
      <w:r>
        <w:rPr>
          <w:rFonts w:hint="eastAsia"/>
          <w:color w:val="auto"/>
          <w:u w:val="single" w:color="auto"/>
          <w:lang w:val="en-US" w:eastAsia="zh-CN"/>
        </w:rPr>
        <w:t>并进行备案的</w:t>
      </w:r>
      <w:r>
        <w:rPr>
          <w:rFonts w:hint="eastAsia"/>
          <w:color w:val="auto"/>
          <w:u w:val="single" w:color="auto"/>
        </w:rPr>
        <w:t>基础上，项目环境风险影响可接受。</w:t>
      </w:r>
    </w:p>
    <w:p>
      <w:pPr>
        <w:autoSpaceDE/>
        <w:autoSpaceDN/>
        <w:adjustRightInd w:val="0"/>
        <w:snapToGrid w:val="0"/>
        <w:spacing w:line="360" w:lineRule="auto"/>
        <w:jc w:val="both"/>
        <w:outlineLvl w:val="2"/>
        <w:rPr>
          <w:rFonts w:ascii="Times New Roman" w:hAnsi="Times New Roman" w:cs="Times New Roman"/>
          <w:b/>
          <w:sz w:val="28"/>
          <w:szCs w:val="24"/>
        </w:rPr>
      </w:pPr>
    </w:p>
    <w:p>
      <w:pPr>
        <w:autoSpaceDE/>
        <w:autoSpaceDN/>
        <w:adjustRightInd w:val="0"/>
        <w:snapToGrid w:val="0"/>
        <w:spacing w:line="360" w:lineRule="auto"/>
        <w:jc w:val="both"/>
        <w:outlineLvl w:val="2"/>
        <w:rPr>
          <w:rFonts w:ascii="Times New Roman" w:hAnsi="Times New Roman" w:cs="Times New Roman"/>
          <w:b/>
          <w:sz w:val="28"/>
          <w:szCs w:val="24"/>
        </w:rPr>
      </w:pPr>
    </w:p>
    <w:bookmarkEnd w:id="312"/>
    <w:bookmarkEnd w:id="313"/>
    <w:p>
      <w:pPr>
        <w:autoSpaceDE/>
        <w:autoSpaceDN/>
        <w:adjustRightInd w:val="0"/>
        <w:snapToGrid w:val="0"/>
        <w:spacing w:line="360" w:lineRule="auto"/>
        <w:ind w:firstLine="480" w:firstLineChars="200"/>
        <w:jc w:val="both"/>
        <w:rPr>
          <w:rFonts w:ascii="Times New Roman" w:hAnsi="Times New Roman" w:cs="Times New Roman"/>
          <w:sz w:val="24"/>
        </w:rPr>
      </w:pPr>
    </w:p>
    <w:p>
      <w:pPr>
        <w:autoSpaceDE/>
        <w:autoSpaceDN/>
        <w:adjustRightInd w:val="0"/>
        <w:snapToGrid w:val="0"/>
        <w:spacing w:line="360" w:lineRule="auto"/>
        <w:ind w:firstLine="480" w:firstLineChars="200"/>
        <w:jc w:val="both"/>
        <w:rPr>
          <w:rFonts w:ascii="Times New Roman" w:hAnsi="Times New Roman" w:cs="Times New Roman"/>
          <w:sz w:val="24"/>
        </w:rPr>
        <w:sectPr>
          <w:type w:val="nextColumn"/>
          <w:pgSz w:w="11910" w:h="16840"/>
          <w:pgMar w:top="1378" w:right="1542" w:bottom="1378" w:left="1559" w:header="877" w:footer="1077" w:gutter="0"/>
          <w:pgBorders>
            <w:top w:val="none" w:sz="0" w:space="0"/>
            <w:left w:val="none" w:sz="0" w:space="0"/>
            <w:bottom w:val="none" w:sz="0" w:space="0"/>
            <w:right w:val="none" w:sz="0" w:space="0"/>
          </w:pgBorders>
          <w:pgNumType w:fmt="decimal"/>
          <w:cols w:space="720" w:num="1"/>
          <w:docGrid w:linePitch="299" w:charSpace="0"/>
        </w:sectPr>
      </w:pPr>
    </w:p>
    <w:p>
      <w:pPr>
        <w:pStyle w:val="4"/>
        <w:autoSpaceDE/>
        <w:autoSpaceDN/>
        <w:adjustRightInd w:val="0"/>
        <w:snapToGrid w:val="0"/>
        <w:spacing w:before="0" w:line="360" w:lineRule="auto"/>
        <w:ind w:right="0"/>
        <w:jc w:val="left"/>
        <w:rPr>
          <w:rFonts w:ascii="Times New Roman" w:hAnsi="Times New Roman" w:cs="Times New Roman" w:eastAsiaTheme="minorEastAsia"/>
          <w:sz w:val="32"/>
        </w:rPr>
      </w:pPr>
      <w:bookmarkStart w:id="320" w:name="_Toc26731"/>
      <w:r>
        <w:rPr>
          <w:rFonts w:ascii="Times New Roman" w:hAnsi="Times New Roman" w:cs="Times New Roman" w:eastAsiaTheme="minorEastAsia"/>
          <w:sz w:val="32"/>
        </w:rPr>
        <w:t>6.环境保护措施及其可行性分析</w:t>
      </w:r>
      <w:bookmarkEnd w:id="320"/>
    </w:p>
    <w:p>
      <w:pPr>
        <w:pStyle w:val="5"/>
        <w:tabs>
          <w:tab w:val="left" w:pos="766"/>
        </w:tabs>
        <w:autoSpaceDE/>
        <w:autoSpaceDN/>
        <w:adjustRightInd w:val="0"/>
        <w:snapToGrid w:val="0"/>
        <w:spacing w:before="0" w:line="360" w:lineRule="auto"/>
        <w:ind w:left="0" w:firstLine="0"/>
        <w:jc w:val="both"/>
        <w:rPr>
          <w:rFonts w:ascii="Times New Roman" w:hAnsi="Times New Roman" w:cs="Times New Roman"/>
          <w:snapToGrid w:val="0"/>
        </w:rPr>
      </w:pPr>
      <w:bookmarkStart w:id="321" w:name="_bookmark40"/>
      <w:bookmarkEnd w:id="321"/>
      <w:bookmarkStart w:id="322" w:name="_Toc21916"/>
      <w:r>
        <w:rPr>
          <w:rFonts w:ascii="Times New Roman" w:hAnsi="Times New Roman" w:cs="Times New Roman"/>
          <w:snapToGrid w:val="0"/>
        </w:rPr>
        <w:t>6.1 施工期环境保护措施</w:t>
      </w:r>
      <w:bookmarkEnd w:id="322"/>
    </w:p>
    <w:p>
      <w:pPr>
        <w:autoSpaceDE/>
        <w:autoSpaceDN/>
        <w:adjustRightInd w:val="0"/>
        <w:snapToGrid w:val="0"/>
        <w:spacing w:line="360" w:lineRule="auto"/>
        <w:jc w:val="both"/>
        <w:outlineLvl w:val="2"/>
        <w:rPr>
          <w:rFonts w:ascii="Times New Roman" w:hAnsi="Times New Roman" w:cs="Times New Roman"/>
          <w:b/>
          <w:sz w:val="28"/>
          <w:szCs w:val="24"/>
        </w:rPr>
      </w:pPr>
      <w:bookmarkStart w:id="323" w:name="_Toc32256"/>
      <w:bookmarkStart w:id="324" w:name="_Toc82593189"/>
      <w:bookmarkStart w:id="325" w:name="_Toc69284648"/>
      <w:bookmarkStart w:id="326" w:name="_Toc66206116"/>
      <w:r>
        <w:rPr>
          <w:rFonts w:ascii="Times New Roman" w:hAnsi="Times New Roman" w:cs="Times New Roman"/>
          <w:b/>
          <w:sz w:val="28"/>
          <w:szCs w:val="24"/>
        </w:rPr>
        <w:t>6.1.1大气污染防治措施</w:t>
      </w:r>
      <w:bookmarkEnd w:id="323"/>
      <w:bookmarkEnd w:id="324"/>
      <w:bookmarkEnd w:id="325"/>
      <w:bookmarkEnd w:id="326"/>
    </w:p>
    <w:p>
      <w:pPr>
        <w:adjustRightInd w:val="0"/>
        <w:snapToGrid w:val="0"/>
        <w:spacing w:line="360" w:lineRule="auto"/>
        <w:ind w:firstLine="480" w:firstLineChars="200"/>
        <w:jc w:val="both"/>
        <w:rPr>
          <w:rFonts w:ascii="Times New Roman" w:hAnsi="Times New Roman" w:cs="Times New Roman"/>
          <w:snapToGrid w:val="0"/>
          <w:sz w:val="24"/>
        </w:rPr>
      </w:pPr>
      <w:r>
        <w:rPr>
          <w:rFonts w:ascii="Times New Roman" w:hAnsi="Times New Roman" w:cs="Times New Roman"/>
          <w:snapToGrid w:val="0"/>
          <w:sz w:val="24"/>
        </w:rPr>
        <w:t>工程施工期产生的废气污染物主要为施工扬尘、施工机械和运输车辆产生的尾气、清淤恶臭气体。</w:t>
      </w:r>
    </w:p>
    <w:p>
      <w:pPr>
        <w:adjustRightInd w:val="0"/>
        <w:snapToGrid w:val="0"/>
        <w:spacing w:line="360" w:lineRule="auto"/>
        <w:ind w:firstLine="480" w:firstLineChars="200"/>
        <w:jc w:val="both"/>
        <w:rPr>
          <w:rFonts w:ascii="Times New Roman" w:hAnsi="Times New Roman" w:cs="Times New Roman"/>
          <w:snapToGrid w:val="0"/>
          <w:sz w:val="24"/>
        </w:rPr>
      </w:pPr>
      <w:r>
        <w:rPr>
          <w:rFonts w:ascii="Times New Roman" w:hAnsi="Times New Roman" w:cs="Times New Roman"/>
          <w:snapToGrid w:val="0"/>
          <w:sz w:val="24"/>
        </w:rPr>
        <w:t>（1）扬尘防治措施</w:t>
      </w:r>
    </w:p>
    <w:p>
      <w:pPr>
        <w:adjustRightInd w:val="0"/>
        <w:snapToGrid w:val="0"/>
        <w:spacing w:line="360" w:lineRule="auto"/>
        <w:ind w:firstLine="480" w:firstLineChars="200"/>
        <w:jc w:val="both"/>
        <w:rPr>
          <w:rFonts w:ascii="Times New Roman" w:hAnsi="Times New Roman" w:cs="Times New Roman"/>
          <w:snapToGrid w:val="0"/>
          <w:sz w:val="24"/>
        </w:rPr>
      </w:pPr>
      <w:r>
        <w:rPr>
          <w:rFonts w:hint="eastAsia"/>
          <w:snapToGrid w:val="0"/>
          <w:sz w:val="24"/>
        </w:rPr>
        <w:t>①</w:t>
      </w:r>
      <w:r>
        <w:rPr>
          <w:rFonts w:ascii="Times New Roman" w:hAnsi="Times New Roman" w:cs="Times New Roman"/>
          <w:snapToGrid w:val="0"/>
          <w:sz w:val="24"/>
        </w:rPr>
        <w:t>施工中的挖填方作业应采用</w:t>
      </w:r>
      <w:bookmarkStart w:id="327" w:name="_Hlk66872665"/>
      <w:r>
        <w:rPr>
          <w:rFonts w:ascii="Times New Roman" w:hAnsi="Times New Roman" w:cs="Times New Roman"/>
          <w:snapToGrid w:val="0"/>
          <w:sz w:val="24"/>
        </w:rPr>
        <w:t>湿法作业</w:t>
      </w:r>
      <w:bookmarkEnd w:id="327"/>
      <w:r>
        <w:rPr>
          <w:rFonts w:ascii="Times New Roman" w:hAnsi="Times New Roman" w:cs="Times New Roman"/>
          <w:snapToGrid w:val="0"/>
          <w:sz w:val="24"/>
        </w:rPr>
        <w:t>抑制扬尘，开挖土方应集中堆放，缩小粉尘影响范围，及时回填，减少粉尘影响时间。</w:t>
      </w:r>
    </w:p>
    <w:p>
      <w:pPr>
        <w:adjustRightInd w:val="0"/>
        <w:snapToGrid w:val="0"/>
        <w:spacing w:line="360" w:lineRule="auto"/>
        <w:ind w:firstLine="480" w:firstLineChars="200"/>
        <w:jc w:val="both"/>
        <w:rPr>
          <w:rFonts w:ascii="Times New Roman" w:hAnsi="Times New Roman" w:cs="Times New Roman"/>
          <w:snapToGrid w:val="0"/>
          <w:sz w:val="24"/>
        </w:rPr>
      </w:pPr>
      <w:r>
        <w:rPr>
          <w:rFonts w:hint="eastAsia"/>
          <w:snapToGrid w:val="0"/>
          <w:sz w:val="24"/>
        </w:rPr>
        <w:t>②</w:t>
      </w:r>
      <w:r>
        <w:rPr>
          <w:rFonts w:ascii="Times New Roman" w:hAnsi="Times New Roman" w:cs="Times New Roman"/>
          <w:snapToGrid w:val="0"/>
          <w:sz w:val="24"/>
        </w:rPr>
        <w:t>加强运输车辆的管理，</w:t>
      </w:r>
      <w:bookmarkStart w:id="328" w:name="_Hlk66872715"/>
      <w:r>
        <w:rPr>
          <w:rFonts w:ascii="Times New Roman" w:hAnsi="Times New Roman" w:cs="Times New Roman"/>
          <w:snapToGrid w:val="0"/>
          <w:sz w:val="24"/>
        </w:rPr>
        <w:t>合理安排施工车辆行驶路线</w:t>
      </w:r>
      <w:bookmarkEnd w:id="328"/>
      <w:r>
        <w:rPr>
          <w:rFonts w:ascii="Times New Roman" w:hAnsi="Times New Roman" w:cs="Times New Roman"/>
          <w:snapToGrid w:val="0"/>
          <w:sz w:val="24"/>
        </w:rPr>
        <w:t>，尽量避开居民集中区，路经居民区集中区域应尽量减缓行驶车速。</w:t>
      </w:r>
    </w:p>
    <w:p>
      <w:pPr>
        <w:adjustRightInd w:val="0"/>
        <w:snapToGrid w:val="0"/>
        <w:spacing w:line="360" w:lineRule="auto"/>
        <w:ind w:firstLine="480" w:firstLineChars="200"/>
        <w:jc w:val="both"/>
        <w:rPr>
          <w:rFonts w:ascii="Times New Roman" w:hAnsi="Times New Roman" w:cs="Times New Roman"/>
          <w:snapToGrid w:val="0"/>
          <w:sz w:val="24"/>
        </w:rPr>
      </w:pPr>
      <w:r>
        <w:rPr>
          <w:rFonts w:hint="eastAsia"/>
          <w:snapToGrid w:val="0"/>
          <w:sz w:val="24"/>
        </w:rPr>
        <w:t>③</w:t>
      </w:r>
      <w:r>
        <w:rPr>
          <w:rFonts w:ascii="Times New Roman" w:hAnsi="Times New Roman" w:cs="Times New Roman"/>
          <w:snapToGrid w:val="0"/>
          <w:sz w:val="24"/>
        </w:rPr>
        <w:t>施工单位应按照当地相关规划，加强施工区的规划管理，建筑材料的堆场处应定点定位，并</w:t>
      </w:r>
      <w:bookmarkStart w:id="329" w:name="_Hlk66872726"/>
      <w:r>
        <w:rPr>
          <w:rFonts w:ascii="Times New Roman" w:hAnsi="Times New Roman" w:cs="Times New Roman"/>
          <w:snapToGrid w:val="0"/>
          <w:sz w:val="24"/>
        </w:rPr>
        <w:t>采取适当的围挡、遮盖防尘措施</w:t>
      </w:r>
      <w:bookmarkEnd w:id="329"/>
      <w:r>
        <w:rPr>
          <w:rFonts w:ascii="Times New Roman" w:hAnsi="Times New Roman" w:cs="Times New Roman"/>
          <w:snapToGrid w:val="0"/>
          <w:sz w:val="24"/>
        </w:rPr>
        <w:t>，砂石尽量放于棚内，在迎风面用篷布或其它材料遮挡，减少扬尘污染，水泥和石灰建筑材料采用罐车散装，建筑材料轻装轻卸，装卸工程可采取必要的喷淋压尘等措施。</w:t>
      </w:r>
    </w:p>
    <w:p>
      <w:pPr>
        <w:adjustRightInd w:val="0"/>
        <w:snapToGrid w:val="0"/>
        <w:spacing w:line="360" w:lineRule="auto"/>
        <w:ind w:firstLine="480" w:firstLineChars="200"/>
        <w:jc w:val="both"/>
        <w:rPr>
          <w:rFonts w:ascii="Times New Roman" w:hAnsi="Times New Roman" w:cs="Times New Roman"/>
          <w:snapToGrid w:val="0"/>
          <w:sz w:val="24"/>
        </w:rPr>
      </w:pPr>
      <w:r>
        <w:rPr>
          <w:rFonts w:hint="eastAsia"/>
          <w:snapToGrid w:val="0"/>
          <w:sz w:val="24"/>
        </w:rPr>
        <w:t>④</w:t>
      </w:r>
      <w:r>
        <w:rPr>
          <w:rFonts w:ascii="Times New Roman" w:hAnsi="Times New Roman" w:cs="Times New Roman"/>
          <w:snapToGrid w:val="0"/>
          <w:sz w:val="24"/>
        </w:rPr>
        <w:t>施工区干道车辆实行限速行驶，土方、砂石、淤泥等在运输过程中应加盖封闭并适量装车，以防运输过程中撒落引起二次扬尘；施工场地对外出口设置洗车槽，施工道路应硬化。</w:t>
      </w:r>
    </w:p>
    <w:p>
      <w:pPr>
        <w:adjustRightInd w:val="0"/>
        <w:snapToGrid w:val="0"/>
        <w:spacing w:line="360" w:lineRule="auto"/>
        <w:ind w:firstLine="480" w:firstLineChars="200"/>
        <w:jc w:val="both"/>
        <w:rPr>
          <w:rFonts w:ascii="Times New Roman" w:hAnsi="Times New Roman" w:cs="Times New Roman"/>
          <w:snapToGrid w:val="0"/>
          <w:sz w:val="24"/>
        </w:rPr>
      </w:pPr>
      <w:r>
        <w:rPr>
          <w:rFonts w:hint="eastAsia"/>
          <w:snapToGrid w:val="0"/>
          <w:sz w:val="24"/>
        </w:rPr>
        <w:t>⑤</w:t>
      </w:r>
      <w:r>
        <w:rPr>
          <w:rFonts w:ascii="Times New Roman" w:hAnsi="Times New Roman" w:cs="Times New Roman"/>
          <w:snapToGrid w:val="0"/>
          <w:sz w:val="24"/>
        </w:rPr>
        <w:t>加强施工管理，贯彻边施工、边防护的原则，施工现场在敏感区域段设围栏，减少施工扬尘的扩散及景观影响，同时对敏感点分布的施工过程中尘土进行定期清理，每日定期洒水。</w:t>
      </w:r>
    </w:p>
    <w:p>
      <w:pPr>
        <w:adjustRightInd w:val="0"/>
        <w:snapToGrid w:val="0"/>
        <w:spacing w:line="360" w:lineRule="auto"/>
        <w:ind w:firstLine="480" w:firstLineChars="200"/>
        <w:jc w:val="both"/>
        <w:rPr>
          <w:rFonts w:ascii="Times New Roman" w:hAnsi="Times New Roman" w:cs="Times New Roman"/>
          <w:snapToGrid w:val="0"/>
          <w:sz w:val="24"/>
        </w:rPr>
      </w:pPr>
      <w:r>
        <w:rPr>
          <w:rFonts w:hint="eastAsia"/>
          <w:snapToGrid w:val="0"/>
          <w:sz w:val="24"/>
        </w:rPr>
        <w:t>⑥</w:t>
      </w:r>
      <w:r>
        <w:rPr>
          <w:rFonts w:ascii="Times New Roman" w:hAnsi="Times New Roman" w:cs="Times New Roman"/>
          <w:snapToGrid w:val="0"/>
          <w:sz w:val="24"/>
        </w:rPr>
        <w:t>临时储存物料处四周设置挡风墙（网），大风时，用篷布覆盖，以减少扬尘。土方、水泥和石灰等散装物料临时存放和装卸过程中，应采取防风遮挡措施或降尘措施。</w:t>
      </w:r>
    </w:p>
    <w:p>
      <w:pPr>
        <w:adjustRightInd w:val="0"/>
        <w:snapToGrid w:val="0"/>
        <w:spacing w:line="360" w:lineRule="auto"/>
        <w:ind w:firstLine="480" w:firstLineChars="200"/>
        <w:jc w:val="both"/>
        <w:rPr>
          <w:rFonts w:ascii="Times New Roman" w:hAnsi="Times New Roman" w:cs="Times New Roman"/>
          <w:snapToGrid w:val="0"/>
          <w:sz w:val="24"/>
        </w:rPr>
      </w:pPr>
      <w:r>
        <w:rPr>
          <w:rFonts w:ascii="Times New Roman" w:hAnsi="Times New Roman" w:cs="Times New Roman"/>
          <w:snapToGrid w:val="0"/>
          <w:sz w:val="24"/>
        </w:rPr>
        <w:t>（2）施工机械和运输车辆产生的尾气污染防治措施</w:t>
      </w:r>
    </w:p>
    <w:p>
      <w:pPr>
        <w:adjustRightInd w:val="0"/>
        <w:snapToGrid w:val="0"/>
        <w:spacing w:line="360" w:lineRule="auto"/>
        <w:ind w:firstLine="480" w:firstLineChars="200"/>
        <w:jc w:val="both"/>
        <w:rPr>
          <w:rFonts w:ascii="Times New Roman" w:hAnsi="Times New Roman" w:cs="Times New Roman"/>
          <w:snapToGrid w:val="0"/>
          <w:sz w:val="24"/>
        </w:rPr>
      </w:pPr>
      <w:r>
        <w:rPr>
          <w:rFonts w:ascii="Times New Roman" w:hAnsi="Times New Roman" w:cs="Times New Roman"/>
          <w:snapToGrid w:val="0"/>
          <w:sz w:val="24"/>
        </w:rPr>
        <w:t>施工机械及运输车辆在施工过程中会产生一定量的废气，主要是CO、NO</w:t>
      </w:r>
      <w:r>
        <w:rPr>
          <w:rFonts w:ascii="Times New Roman" w:hAnsi="Times New Roman" w:cs="Times New Roman"/>
          <w:snapToGrid w:val="0"/>
          <w:sz w:val="24"/>
          <w:vertAlign w:val="subscript"/>
        </w:rPr>
        <w:t>X</w:t>
      </w:r>
      <w:r>
        <w:rPr>
          <w:rFonts w:ascii="Times New Roman" w:hAnsi="Times New Roman" w:cs="Times New Roman"/>
          <w:snapToGrid w:val="0"/>
          <w:sz w:val="24"/>
        </w:rPr>
        <w:t>、 HC等大气污染物。施工过程中尽量</w:t>
      </w:r>
      <w:bookmarkStart w:id="330" w:name="_Hlk66873366"/>
      <w:r>
        <w:rPr>
          <w:rFonts w:ascii="Times New Roman" w:hAnsi="Times New Roman" w:cs="Times New Roman"/>
          <w:snapToGrid w:val="0"/>
          <w:sz w:val="24"/>
        </w:rPr>
        <w:t>选用低能耗、低污染排放的施工机械和车辆</w:t>
      </w:r>
      <w:bookmarkEnd w:id="330"/>
      <w:r>
        <w:rPr>
          <w:rFonts w:ascii="Times New Roman" w:hAnsi="Times New Roman" w:cs="Times New Roman"/>
          <w:snapToGrid w:val="0"/>
          <w:sz w:val="24"/>
        </w:rPr>
        <w:t>，对于废气排放超标的车辆，应安装尾气净化装置；</w:t>
      </w:r>
      <w:bookmarkStart w:id="331" w:name="_Hlk66873355"/>
      <w:r>
        <w:rPr>
          <w:rFonts w:ascii="Times New Roman" w:hAnsi="Times New Roman" w:cs="Times New Roman"/>
          <w:snapToGrid w:val="0"/>
          <w:sz w:val="24"/>
        </w:rPr>
        <w:t>加强机械和车辆的管理和维护</w:t>
      </w:r>
      <w:bookmarkEnd w:id="331"/>
      <w:r>
        <w:rPr>
          <w:rFonts w:ascii="Times New Roman" w:hAnsi="Times New Roman" w:cs="Times New Roman"/>
          <w:snapToGrid w:val="0"/>
          <w:sz w:val="24"/>
        </w:rPr>
        <w:t>，减少因机械和车辆状况不佳造成的空气污染；合理布置运输车辆行驶路线，配合有关部门搞好施工期间周围道路的交通组织，保证行驶速度，减少怠速时间，以减少机动车尾气的排放；对车辆的尾气排放进行监督管理，严格执行有关汽车排污监管办法、汽车排放监测制度；不得使用劣质燃料。</w:t>
      </w:r>
    </w:p>
    <w:p>
      <w:pPr>
        <w:adjustRightInd w:val="0"/>
        <w:snapToGrid w:val="0"/>
        <w:spacing w:line="360" w:lineRule="auto"/>
        <w:ind w:firstLine="480" w:firstLineChars="200"/>
        <w:jc w:val="both"/>
        <w:rPr>
          <w:rFonts w:ascii="Times New Roman" w:hAnsi="Times New Roman" w:cs="Times New Roman"/>
          <w:snapToGrid w:val="0"/>
          <w:sz w:val="24"/>
        </w:rPr>
      </w:pPr>
      <w:r>
        <w:rPr>
          <w:rFonts w:ascii="Times New Roman" w:hAnsi="Times New Roman" w:cs="Times New Roman"/>
          <w:snapToGrid w:val="0"/>
          <w:sz w:val="24"/>
        </w:rPr>
        <w:t>由于施工区域相对广阔，而施工机械和运输车辆尾气排放相对较小，区域平均风速大，有利于施工机械和运输车辆尾气的污染物稀释扩散，因此施工机械和运输车辆所产生污染在空气中经自然扩散和稀释后，对评价区域的空气环境质量影响不大。</w:t>
      </w:r>
    </w:p>
    <w:p>
      <w:pPr>
        <w:adjustRightInd w:val="0"/>
        <w:snapToGrid w:val="0"/>
        <w:spacing w:line="360" w:lineRule="auto"/>
        <w:ind w:firstLine="480" w:firstLineChars="200"/>
        <w:jc w:val="both"/>
        <w:rPr>
          <w:rFonts w:ascii="Times New Roman" w:hAnsi="Times New Roman" w:cs="Times New Roman"/>
          <w:snapToGrid w:val="0"/>
          <w:sz w:val="24"/>
        </w:rPr>
      </w:pPr>
      <w:r>
        <w:rPr>
          <w:rFonts w:ascii="Times New Roman" w:hAnsi="Times New Roman" w:cs="Times New Roman"/>
          <w:snapToGrid w:val="0"/>
          <w:sz w:val="24"/>
        </w:rPr>
        <w:t>（3）清淤恶臭气体防治措施</w:t>
      </w:r>
    </w:p>
    <w:p>
      <w:pPr>
        <w:adjustRightInd w:val="0"/>
        <w:snapToGrid w:val="0"/>
        <w:spacing w:line="360" w:lineRule="auto"/>
        <w:ind w:firstLine="480" w:firstLineChars="200"/>
        <w:jc w:val="both"/>
        <w:rPr>
          <w:rFonts w:ascii="Times New Roman" w:hAnsi="Times New Roman" w:cs="Times New Roman"/>
          <w:snapToGrid w:val="0"/>
          <w:sz w:val="24"/>
        </w:rPr>
      </w:pPr>
      <w:r>
        <w:rPr>
          <w:rFonts w:hint="eastAsia"/>
          <w:snapToGrid w:val="0"/>
          <w:sz w:val="24"/>
        </w:rPr>
        <w:t>①</w:t>
      </w:r>
      <w:r>
        <w:rPr>
          <w:rFonts w:ascii="Times New Roman" w:hAnsi="Times New Roman" w:cs="Times New Roman"/>
          <w:snapToGrid w:val="0"/>
          <w:sz w:val="24"/>
        </w:rPr>
        <w:t>底泥过程中，为减少臭气的排放，在附近分布有集中居民点的施工场地周围</w:t>
      </w:r>
      <w:bookmarkStart w:id="332" w:name="_Hlk66873419"/>
      <w:r>
        <w:rPr>
          <w:rFonts w:ascii="Times New Roman" w:hAnsi="Times New Roman" w:cs="Times New Roman"/>
          <w:snapToGrid w:val="0"/>
          <w:sz w:val="24"/>
        </w:rPr>
        <w:t>建设围挡</w:t>
      </w:r>
      <w:bookmarkEnd w:id="332"/>
      <w:r>
        <w:rPr>
          <w:rFonts w:ascii="Times New Roman" w:hAnsi="Times New Roman" w:cs="Times New Roman"/>
          <w:snapToGrid w:val="0"/>
          <w:sz w:val="24"/>
        </w:rPr>
        <w:t>，避免臭气直接扩散到岸边；</w:t>
      </w:r>
    </w:p>
    <w:p>
      <w:pPr>
        <w:adjustRightInd w:val="0"/>
        <w:snapToGrid w:val="0"/>
        <w:spacing w:line="360" w:lineRule="auto"/>
        <w:ind w:firstLine="480" w:firstLineChars="200"/>
        <w:jc w:val="both"/>
        <w:rPr>
          <w:rFonts w:ascii="Times New Roman" w:hAnsi="Times New Roman" w:cs="Times New Roman"/>
          <w:snapToGrid w:val="0"/>
          <w:sz w:val="24"/>
        </w:rPr>
      </w:pPr>
      <w:r>
        <w:rPr>
          <w:rFonts w:hint="eastAsia"/>
          <w:snapToGrid w:val="0"/>
          <w:sz w:val="24"/>
        </w:rPr>
        <w:t>②</w:t>
      </w:r>
      <w:r>
        <w:rPr>
          <w:rFonts w:ascii="Times New Roman" w:hAnsi="Times New Roman" w:cs="Times New Roman"/>
          <w:snapToGrid w:val="0"/>
          <w:sz w:val="24"/>
        </w:rPr>
        <w:t>清淤的季节建议选在冬季，清淤的气味不易发散，而且冬季居民的窗户关闭，可以减轻臭气对周围居民的影响。若在其它季节清淤，清淤的气味易发散，施工单位应提前告知附近的居民关闭窗户，最大限度减轻臭气对周围居民的影响。</w:t>
      </w:r>
    </w:p>
    <w:p>
      <w:pPr>
        <w:pStyle w:val="123"/>
        <w:adjustRightInd w:val="0"/>
        <w:snapToGrid w:val="0"/>
        <w:spacing w:line="360" w:lineRule="auto"/>
        <w:ind w:left="360" w:firstLine="0"/>
        <w:jc w:val="both"/>
        <w:rPr>
          <w:rFonts w:ascii="Times New Roman" w:hAnsi="Times New Roman" w:cs="Times New Roman"/>
          <w:snapToGrid w:val="0"/>
          <w:sz w:val="24"/>
        </w:rPr>
      </w:pPr>
      <w:r>
        <w:rPr>
          <w:rFonts w:ascii="Times New Roman" w:hAnsi="Times New Roman" w:cs="Times New Roman"/>
          <w:snapToGrid w:val="0"/>
          <w:sz w:val="24"/>
        </w:rPr>
        <w:fldChar w:fldCharType="begin"/>
      </w:r>
      <w:r>
        <w:rPr>
          <w:rFonts w:ascii="Times New Roman" w:hAnsi="Times New Roman" w:cs="Times New Roman"/>
          <w:snapToGrid w:val="0"/>
          <w:sz w:val="24"/>
        </w:rPr>
        <w:instrText xml:space="preserve"> </w:instrText>
      </w:r>
      <w:r>
        <w:rPr>
          <w:rFonts w:hint="eastAsia" w:ascii="Times New Roman" w:hAnsi="Times New Roman" w:cs="Times New Roman"/>
          <w:snapToGrid w:val="0"/>
          <w:sz w:val="24"/>
        </w:rPr>
        <w:instrText xml:space="preserve">= 3 \* GB3</w:instrText>
      </w:r>
      <w:r>
        <w:rPr>
          <w:rFonts w:ascii="Times New Roman" w:hAnsi="Times New Roman" w:cs="Times New Roman"/>
          <w:snapToGrid w:val="0"/>
          <w:sz w:val="24"/>
        </w:rPr>
        <w:instrText xml:space="preserve"> </w:instrText>
      </w:r>
      <w:r>
        <w:rPr>
          <w:rFonts w:ascii="Times New Roman" w:hAnsi="Times New Roman" w:cs="Times New Roman"/>
          <w:snapToGrid w:val="0"/>
          <w:sz w:val="24"/>
        </w:rPr>
        <w:fldChar w:fldCharType="separate"/>
      </w:r>
      <w:r>
        <w:rPr>
          <w:rFonts w:hint="eastAsia" w:ascii="Times New Roman" w:hAnsi="Times New Roman" w:cs="Times New Roman"/>
          <w:snapToGrid w:val="0"/>
          <w:sz w:val="24"/>
        </w:rPr>
        <w:t>③</w:t>
      </w:r>
      <w:r>
        <w:rPr>
          <w:rFonts w:ascii="Times New Roman" w:hAnsi="Times New Roman" w:cs="Times New Roman"/>
          <w:snapToGrid w:val="0"/>
          <w:sz w:val="24"/>
        </w:rPr>
        <w:fldChar w:fldCharType="end"/>
      </w:r>
      <w:r>
        <w:rPr>
          <w:rFonts w:ascii="Times New Roman" w:hAnsi="Times New Roman" w:cs="Times New Roman"/>
          <w:snapToGrid w:val="0"/>
          <w:sz w:val="24"/>
        </w:rPr>
        <w:t>对施工工人采取保护措施，如配戴防护口罩、面具等；</w:t>
      </w:r>
    </w:p>
    <w:p>
      <w:pPr>
        <w:pStyle w:val="123"/>
        <w:adjustRightInd w:val="0"/>
        <w:snapToGrid w:val="0"/>
        <w:spacing w:line="360" w:lineRule="auto"/>
        <w:ind w:left="360" w:firstLine="0"/>
        <w:jc w:val="both"/>
        <w:rPr>
          <w:rFonts w:ascii="Times New Roman" w:hAnsi="Times New Roman" w:cs="Times New Roman"/>
          <w:snapToGrid w:val="0"/>
          <w:sz w:val="24"/>
        </w:rPr>
      </w:pPr>
      <w:r>
        <w:rPr>
          <w:rFonts w:ascii="Times New Roman" w:hAnsi="Times New Roman" w:cs="Times New Roman"/>
          <w:snapToGrid w:val="0"/>
          <w:sz w:val="24"/>
        </w:rPr>
        <w:fldChar w:fldCharType="begin"/>
      </w:r>
      <w:r>
        <w:rPr>
          <w:rFonts w:ascii="Times New Roman" w:hAnsi="Times New Roman" w:cs="Times New Roman"/>
          <w:snapToGrid w:val="0"/>
          <w:sz w:val="24"/>
        </w:rPr>
        <w:instrText xml:space="preserve"> </w:instrText>
      </w:r>
      <w:r>
        <w:rPr>
          <w:rFonts w:hint="eastAsia" w:ascii="Times New Roman" w:hAnsi="Times New Roman" w:cs="Times New Roman"/>
          <w:snapToGrid w:val="0"/>
          <w:sz w:val="24"/>
        </w:rPr>
        <w:instrText xml:space="preserve">= 4 \* GB3</w:instrText>
      </w:r>
      <w:r>
        <w:rPr>
          <w:rFonts w:ascii="Times New Roman" w:hAnsi="Times New Roman" w:cs="Times New Roman"/>
          <w:snapToGrid w:val="0"/>
          <w:sz w:val="24"/>
        </w:rPr>
        <w:instrText xml:space="preserve"> </w:instrText>
      </w:r>
      <w:r>
        <w:rPr>
          <w:rFonts w:ascii="Times New Roman" w:hAnsi="Times New Roman" w:cs="Times New Roman"/>
          <w:snapToGrid w:val="0"/>
          <w:sz w:val="24"/>
        </w:rPr>
        <w:fldChar w:fldCharType="separate"/>
      </w:r>
      <w:r>
        <w:rPr>
          <w:rFonts w:hint="eastAsia" w:ascii="Times New Roman" w:hAnsi="Times New Roman" w:cs="Times New Roman"/>
          <w:snapToGrid w:val="0"/>
          <w:sz w:val="24"/>
        </w:rPr>
        <w:t>④</w:t>
      </w:r>
      <w:r>
        <w:rPr>
          <w:rFonts w:ascii="Times New Roman" w:hAnsi="Times New Roman" w:cs="Times New Roman"/>
          <w:snapToGrid w:val="0"/>
          <w:sz w:val="24"/>
        </w:rPr>
        <w:fldChar w:fldCharType="end"/>
      </w:r>
      <w:r>
        <w:rPr>
          <w:rFonts w:ascii="Times New Roman" w:hAnsi="Times New Roman" w:cs="Times New Roman"/>
          <w:snapToGrid w:val="0"/>
          <w:sz w:val="24"/>
        </w:rPr>
        <w:t>淤泥在岸坡进行晾晒自然干化，必要时采取喷洒除臭药剂措施建设恶臭对周围环境的影响。</w:t>
      </w:r>
    </w:p>
    <w:p>
      <w:pPr>
        <w:autoSpaceDE/>
        <w:autoSpaceDN/>
        <w:adjustRightInd w:val="0"/>
        <w:snapToGrid w:val="0"/>
        <w:spacing w:line="360" w:lineRule="auto"/>
        <w:jc w:val="both"/>
        <w:outlineLvl w:val="2"/>
        <w:rPr>
          <w:rFonts w:ascii="Times New Roman" w:hAnsi="Times New Roman" w:cs="Times New Roman"/>
          <w:b/>
          <w:sz w:val="28"/>
          <w:szCs w:val="24"/>
        </w:rPr>
      </w:pPr>
      <w:bookmarkStart w:id="333" w:name="_Toc69284649"/>
      <w:bookmarkStart w:id="334" w:name="_Toc28064"/>
      <w:bookmarkStart w:id="335" w:name="_Toc66206117"/>
      <w:bookmarkStart w:id="336" w:name="_Toc82593190"/>
      <w:r>
        <w:rPr>
          <w:rFonts w:ascii="Times New Roman" w:hAnsi="Times New Roman" w:cs="Times New Roman"/>
          <w:b/>
          <w:sz w:val="28"/>
          <w:szCs w:val="24"/>
        </w:rPr>
        <w:t>6.1.2水污染防治措施</w:t>
      </w:r>
      <w:bookmarkEnd w:id="333"/>
      <w:bookmarkEnd w:id="334"/>
      <w:bookmarkEnd w:id="335"/>
      <w:bookmarkEnd w:id="336"/>
    </w:p>
    <w:p>
      <w:pPr>
        <w:adjustRightInd w:val="0"/>
        <w:snapToGrid w:val="0"/>
        <w:spacing w:line="360" w:lineRule="auto"/>
        <w:ind w:firstLine="480" w:firstLineChars="200"/>
        <w:jc w:val="both"/>
        <w:rPr>
          <w:rFonts w:ascii="Times New Roman" w:hAnsi="Times New Roman" w:cs="Times New Roman"/>
          <w:snapToGrid w:val="0"/>
          <w:sz w:val="24"/>
        </w:rPr>
      </w:pPr>
      <w:r>
        <w:rPr>
          <w:rFonts w:ascii="Times New Roman" w:hAnsi="Times New Roman" w:cs="Times New Roman"/>
          <w:snapToGrid w:val="0"/>
          <w:sz w:val="24"/>
        </w:rPr>
        <w:t>项目施工期废水包括施工废水、施工人员生活废水等。</w:t>
      </w:r>
    </w:p>
    <w:p>
      <w:pPr>
        <w:adjustRightInd w:val="0"/>
        <w:snapToGrid w:val="0"/>
        <w:spacing w:line="360" w:lineRule="auto"/>
        <w:ind w:firstLine="480" w:firstLineChars="200"/>
        <w:jc w:val="both"/>
        <w:rPr>
          <w:rFonts w:ascii="Times New Roman" w:hAnsi="Times New Roman" w:cs="Times New Roman"/>
          <w:snapToGrid w:val="0"/>
          <w:sz w:val="24"/>
        </w:rPr>
      </w:pPr>
      <w:r>
        <w:rPr>
          <w:rFonts w:ascii="Times New Roman" w:hAnsi="Times New Roman" w:cs="Times New Roman"/>
          <w:snapToGrid w:val="0"/>
          <w:sz w:val="24"/>
        </w:rPr>
        <w:t>（1）施工废水</w:t>
      </w:r>
    </w:p>
    <w:p>
      <w:pPr>
        <w:adjustRightInd w:val="0"/>
        <w:snapToGrid w:val="0"/>
        <w:spacing w:line="360" w:lineRule="auto"/>
        <w:ind w:firstLine="480" w:firstLineChars="200"/>
        <w:jc w:val="both"/>
        <w:rPr>
          <w:rFonts w:ascii="Times New Roman" w:hAnsi="Times New Roman" w:cs="Times New Roman"/>
          <w:snapToGrid w:val="0"/>
          <w:sz w:val="24"/>
        </w:rPr>
      </w:pPr>
      <w:r>
        <w:rPr>
          <w:rFonts w:ascii="Times New Roman" w:hAnsi="Times New Roman" w:cs="Times New Roman"/>
          <w:snapToGrid w:val="0"/>
          <w:sz w:val="24"/>
        </w:rPr>
        <w:t>项目施工废水包括混凝土浇筑废水、场地及设备冲洗水等。主要含泥砂，pH值呈弱碱性，并带有少量油污。</w:t>
      </w:r>
    </w:p>
    <w:p>
      <w:pPr>
        <w:adjustRightInd w:val="0"/>
        <w:snapToGrid w:val="0"/>
        <w:spacing w:line="360" w:lineRule="auto"/>
        <w:ind w:firstLine="480" w:firstLineChars="200"/>
        <w:jc w:val="both"/>
        <w:rPr>
          <w:rFonts w:ascii="Times New Roman" w:hAnsi="Times New Roman" w:cs="Times New Roman"/>
          <w:snapToGrid w:val="0"/>
          <w:sz w:val="24"/>
        </w:rPr>
      </w:pPr>
      <w:bookmarkStart w:id="337" w:name="_Hlk66873607"/>
      <w:r>
        <w:rPr>
          <w:rFonts w:ascii="Times New Roman" w:hAnsi="Times New Roman" w:cs="Times New Roman"/>
          <w:snapToGrid w:val="0"/>
          <w:sz w:val="24"/>
        </w:rPr>
        <w:t>混凝土浇筑废水难以收集，靠自然蒸发和无组织排放</w:t>
      </w:r>
      <w:bookmarkEnd w:id="337"/>
      <w:r>
        <w:rPr>
          <w:rFonts w:ascii="Times New Roman" w:hAnsi="Times New Roman" w:cs="Times New Roman"/>
          <w:snapToGrid w:val="0"/>
          <w:sz w:val="24"/>
        </w:rPr>
        <w:t>。</w:t>
      </w:r>
    </w:p>
    <w:p>
      <w:pPr>
        <w:adjustRightInd w:val="0"/>
        <w:snapToGrid w:val="0"/>
        <w:spacing w:line="360" w:lineRule="auto"/>
        <w:ind w:firstLine="480" w:firstLineChars="200"/>
        <w:jc w:val="both"/>
        <w:rPr>
          <w:rFonts w:ascii="Times New Roman" w:hAnsi="Times New Roman" w:cs="Times New Roman"/>
          <w:snapToGrid w:val="0"/>
          <w:sz w:val="24"/>
        </w:rPr>
      </w:pPr>
      <w:r>
        <w:rPr>
          <w:rFonts w:ascii="Times New Roman" w:hAnsi="Times New Roman" w:cs="Times New Roman"/>
          <w:snapToGrid w:val="0"/>
          <w:sz w:val="24"/>
        </w:rPr>
        <w:t>设备冲洗水主要污染物为石油类和SS，其中石油类浓度约为50mg/L，SS最大浓度约为2000mg/L。若废水直接就地排放，会在地表形成一层干结的黑色油污，导致土壤理化性质改变、肥力降低，不利于占地恢复；另外，含油废水散发机油气味，还将对施工作业区和周边环境造成影响。因此，对</w:t>
      </w:r>
      <w:bookmarkStart w:id="338" w:name="_Hlk66873623"/>
      <w:r>
        <w:rPr>
          <w:rFonts w:ascii="Times New Roman" w:hAnsi="Times New Roman" w:cs="Times New Roman"/>
          <w:snapToGrid w:val="0"/>
          <w:sz w:val="24"/>
        </w:rPr>
        <w:t>冲洗废水等含油废水进行沉淀隔油处理后回用于机械和车辆冲洗，不外排</w:t>
      </w:r>
      <w:bookmarkEnd w:id="338"/>
      <w:r>
        <w:rPr>
          <w:rFonts w:ascii="Times New Roman" w:hAnsi="Times New Roman" w:cs="Times New Roman"/>
          <w:snapToGrid w:val="0"/>
          <w:sz w:val="24"/>
        </w:rPr>
        <w:t>；隔油池产生的少量浮油集中收集后外运交由有资质单位处理，避免对周边水体造成影响。</w:t>
      </w:r>
    </w:p>
    <w:p>
      <w:pPr>
        <w:autoSpaceDE/>
        <w:autoSpaceDN/>
        <w:adjustRightInd w:val="0"/>
        <w:snapToGrid w:val="0"/>
        <w:spacing w:line="360" w:lineRule="auto"/>
        <w:ind w:firstLine="480" w:firstLineChars="200"/>
        <w:jc w:val="both"/>
        <w:rPr>
          <w:rFonts w:ascii="Times New Roman" w:hAnsi="Times New Roman" w:cs="Times New Roman"/>
          <w:snapToGrid w:val="0"/>
          <w:sz w:val="24"/>
          <w:szCs w:val="24"/>
        </w:rPr>
      </w:pPr>
      <w:r>
        <w:rPr>
          <w:rFonts w:ascii="Times New Roman" w:hAnsi="Times New Roman" w:cs="Times New Roman"/>
          <w:snapToGrid w:val="0"/>
          <w:sz w:val="24"/>
          <w:szCs w:val="24"/>
        </w:rPr>
        <w:t>（</w:t>
      </w:r>
      <w:r>
        <w:rPr>
          <w:rFonts w:hint="eastAsia" w:ascii="Times New Roman" w:hAnsi="Times New Roman" w:cs="Times New Roman"/>
          <w:snapToGrid w:val="0"/>
          <w:sz w:val="24"/>
          <w:szCs w:val="24"/>
        </w:rPr>
        <w:t>2</w:t>
      </w:r>
      <w:r>
        <w:rPr>
          <w:rFonts w:ascii="Times New Roman" w:hAnsi="Times New Roman" w:cs="Times New Roman"/>
          <w:snapToGrid w:val="0"/>
          <w:sz w:val="24"/>
          <w:szCs w:val="24"/>
        </w:rPr>
        <w:t>）施工人员生活废水</w:t>
      </w:r>
    </w:p>
    <w:p>
      <w:pPr>
        <w:autoSpaceDE/>
        <w:autoSpaceDN/>
        <w:adjustRightInd w:val="0"/>
        <w:snapToGrid w:val="0"/>
        <w:spacing w:line="360" w:lineRule="auto"/>
        <w:ind w:firstLine="480" w:firstLineChars="200"/>
        <w:jc w:val="both"/>
        <w:rPr>
          <w:rFonts w:ascii="Times New Roman" w:hAnsi="Times New Roman" w:cs="Times New Roman"/>
          <w:snapToGrid w:val="0"/>
          <w:sz w:val="24"/>
          <w:szCs w:val="24"/>
        </w:rPr>
      </w:pPr>
      <w:r>
        <w:rPr>
          <w:rFonts w:ascii="Times New Roman" w:hAnsi="Times New Roman" w:cs="Times New Roman"/>
          <w:snapToGrid w:val="0"/>
          <w:sz w:val="24"/>
          <w:szCs w:val="24"/>
        </w:rPr>
        <w:t>施工期施工人员生活污水产生于盥洗间、厕所冲洗等，参考同类工程生活污水的排放浓度，生活污水中COD、BOD</w:t>
      </w:r>
      <w:r>
        <w:rPr>
          <w:rFonts w:ascii="Times New Roman" w:hAnsi="Times New Roman" w:cs="Times New Roman"/>
          <w:snapToGrid w:val="0"/>
          <w:sz w:val="24"/>
          <w:szCs w:val="24"/>
          <w:vertAlign w:val="subscript"/>
        </w:rPr>
        <w:t>5</w:t>
      </w:r>
      <w:r>
        <w:rPr>
          <w:rFonts w:ascii="Times New Roman" w:hAnsi="Times New Roman" w:cs="Times New Roman"/>
          <w:snapToGrid w:val="0"/>
          <w:sz w:val="24"/>
          <w:szCs w:val="24"/>
        </w:rPr>
        <w:t>、NH</w:t>
      </w:r>
      <w:r>
        <w:rPr>
          <w:rFonts w:ascii="Times New Roman" w:hAnsi="Times New Roman" w:cs="Times New Roman"/>
          <w:snapToGrid w:val="0"/>
          <w:sz w:val="24"/>
          <w:szCs w:val="24"/>
          <w:vertAlign w:val="subscript"/>
        </w:rPr>
        <w:t>3</w:t>
      </w:r>
      <w:r>
        <w:rPr>
          <w:rFonts w:ascii="Times New Roman" w:hAnsi="Times New Roman" w:cs="Times New Roman"/>
          <w:snapToGrid w:val="0"/>
          <w:sz w:val="24"/>
          <w:szCs w:val="24"/>
        </w:rPr>
        <w:t>-N和SS的浓度值约为250mg/L、150mg/L、20mg/L和220mg/L。本工程施工期</w:t>
      </w:r>
      <w:bookmarkStart w:id="339" w:name="_Hlk66873676"/>
      <w:r>
        <w:rPr>
          <w:rFonts w:ascii="Times New Roman" w:hAnsi="Times New Roman" w:cs="Times New Roman"/>
          <w:snapToGrid w:val="0"/>
          <w:sz w:val="24"/>
          <w:szCs w:val="24"/>
        </w:rPr>
        <w:t>生活污水</w:t>
      </w:r>
      <w:r>
        <w:rPr>
          <w:rFonts w:hint="eastAsia" w:ascii="Times New Roman" w:hAnsi="Times New Roman" w:cs="Times New Roman"/>
          <w:snapToGrid w:val="0"/>
          <w:sz w:val="24"/>
          <w:szCs w:val="24"/>
          <w:lang w:eastAsia="zh-CN"/>
        </w:rPr>
        <w:t>依托居民</w:t>
      </w:r>
      <w:r>
        <w:rPr>
          <w:rFonts w:ascii="Times New Roman" w:hAnsi="Times New Roman" w:cs="Times New Roman"/>
          <w:snapToGrid w:val="0"/>
          <w:sz w:val="24"/>
          <w:szCs w:val="24"/>
        </w:rPr>
        <w:t>化粪池处理</w:t>
      </w:r>
      <w:bookmarkEnd w:id="339"/>
      <w:r>
        <w:rPr>
          <w:rFonts w:ascii="Times New Roman" w:hAnsi="Times New Roman" w:cs="Times New Roman"/>
          <w:snapToGrid w:val="0"/>
          <w:sz w:val="24"/>
          <w:szCs w:val="24"/>
        </w:rPr>
        <w:t>，作为农肥综合利用，不外排，不会对周边水体造成影响。</w:t>
      </w:r>
    </w:p>
    <w:p>
      <w:pPr>
        <w:pStyle w:val="2"/>
        <w:numPr>
          <w:ilvl w:val="0"/>
          <w:numId w:val="0"/>
        </w:numPr>
        <w:spacing w:line="360" w:lineRule="auto"/>
        <w:ind w:leftChars="0" w:firstLine="480" w:firstLineChars="200"/>
        <w:rPr>
          <w:rFonts w:hint="eastAsia" w:ascii="Times New Roman" w:hAnsi="Times New Roman" w:cs="Times New Roman"/>
          <w:snapToGrid w:val="0"/>
          <w:color w:val="auto"/>
          <w:sz w:val="24"/>
          <w:szCs w:val="24"/>
          <w:lang w:eastAsia="zh-CN"/>
        </w:rPr>
      </w:pPr>
      <w:r>
        <w:rPr>
          <w:rFonts w:hint="eastAsia" w:ascii="Times New Roman" w:hAnsi="Times New Roman" w:cs="Times New Roman"/>
          <w:snapToGrid w:val="0"/>
          <w:color w:val="auto"/>
          <w:sz w:val="24"/>
          <w:szCs w:val="24"/>
          <w:lang w:eastAsia="zh-CN"/>
        </w:rPr>
        <w:t>（</w:t>
      </w:r>
      <w:r>
        <w:rPr>
          <w:rFonts w:hint="eastAsia" w:ascii="Times New Roman" w:hAnsi="Times New Roman" w:cs="Times New Roman"/>
          <w:snapToGrid w:val="0"/>
          <w:color w:val="auto"/>
          <w:sz w:val="24"/>
          <w:szCs w:val="24"/>
          <w:lang w:val="en-US" w:eastAsia="zh-CN"/>
        </w:rPr>
        <w:t>3</w:t>
      </w:r>
      <w:r>
        <w:rPr>
          <w:rFonts w:hint="eastAsia" w:ascii="Times New Roman" w:hAnsi="Times New Roman" w:cs="Times New Roman"/>
          <w:snapToGrid w:val="0"/>
          <w:color w:val="auto"/>
          <w:sz w:val="24"/>
          <w:szCs w:val="24"/>
          <w:lang w:eastAsia="zh-CN"/>
        </w:rPr>
        <w:t>）饮用水水源保护区的措施</w:t>
      </w:r>
    </w:p>
    <w:p>
      <w:pPr>
        <w:pStyle w:val="2"/>
        <w:autoSpaceDE/>
        <w:autoSpaceDN/>
        <w:adjustRightInd w:val="0"/>
        <w:snapToGrid w:val="0"/>
        <w:spacing w:before="0" w:line="360" w:lineRule="auto"/>
        <w:ind w:left="0" w:firstLine="480" w:firstLineChars="200"/>
        <w:jc w:val="both"/>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rPr>
        <w:t>涉水工程施工会扰动水体产生悬浮物，导致水体悬浮物浓度增加，对鱼类及水生生物造成不利影响。清淤过程将导致水生环境发生较大改变，可能会直接影响到水生生物的生存、繁殖和分布，保护措施不当可造成部分水生生物死亡，生物量和净生产量下降，生物多样性减少，好氧浮游生物、鱼类、底栖动物可能会因环境的恶化而死亡，从而造成整个水生生态系统一系列的变化，影响局部水文条件和水生生态系统的稳定性</w:t>
      </w:r>
      <w:r>
        <w:rPr>
          <w:rFonts w:hint="eastAsia" w:ascii="Times New Roman" w:hAnsi="Times New Roman" w:cs="Times New Roman"/>
          <w:color w:val="auto"/>
          <w:u w:val="none"/>
          <w:lang w:eastAsia="zh-CN"/>
        </w:rPr>
        <w:t>。</w:t>
      </w:r>
    </w:p>
    <w:p>
      <w:pPr>
        <w:pStyle w:val="2"/>
        <w:numPr>
          <w:ilvl w:val="0"/>
          <w:numId w:val="0"/>
        </w:numPr>
        <w:spacing w:line="360" w:lineRule="auto"/>
        <w:ind w:leftChars="0" w:firstLine="480" w:firstLineChars="200"/>
        <w:rPr>
          <w:rFonts w:hint="eastAsia" w:ascii="Times New Roman" w:hAnsi="Times New Roman" w:cs="Times New Roman"/>
          <w:snapToGrid w:val="0"/>
          <w:color w:val="auto"/>
          <w:sz w:val="24"/>
          <w:szCs w:val="24"/>
          <w:lang w:eastAsia="zh-CN"/>
        </w:rPr>
      </w:pPr>
      <w:r>
        <w:rPr>
          <w:rFonts w:hint="eastAsia" w:ascii="Times New Roman" w:hAnsi="Times New Roman" w:cs="Times New Roman"/>
          <w:color w:val="auto"/>
          <w:u w:val="none"/>
        </w:rPr>
        <w:t>根据施工组织设计，项目选择在枯水期施工，尽量减少对</w:t>
      </w:r>
      <w:r>
        <w:rPr>
          <w:rFonts w:hint="eastAsia" w:ascii="Times New Roman" w:hAnsi="Times New Roman" w:cs="Times New Roman"/>
          <w:color w:val="auto"/>
          <w:u w:val="none"/>
          <w:lang w:eastAsia="zh-CN"/>
        </w:rPr>
        <w:t>祁水及</w:t>
      </w:r>
      <w:r>
        <w:rPr>
          <w:rFonts w:hint="eastAsia" w:ascii="Times New Roman" w:hAnsi="Times New Roman" w:cs="Times New Roman"/>
          <w:color w:val="auto"/>
          <w:u w:val="none"/>
        </w:rPr>
        <w:t>饮用水水源保护区水质的扰动，降低项目施工对水质的影响。另一方面，项目施工期间，建设单位需事先与</w:t>
      </w:r>
      <w:r>
        <w:rPr>
          <w:rFonts w:hint="eastAsia" w:ascii="Times New Roman" w:hAnsi="Times New Roman" w:cs="Times New Roman"/>
          <w:color w:val="auto"/>
          <w:u w:val="none"/>
          <w:lang w:eastAsia="zh-CN"/>
        </w:rPr>
        <w:t>下游相应</w:t>
      </w:r>
      <w:r>
        <w:rPr>
          <w:rFonts w:hint="eastAsia" w:ascii="Times New Roman" w:hAnsi="Times New Roman" w:cs="Times New Roman"/>
          <w:color w:val="auto"/>
          <w:u w:val="none"/>
        </w:rPr>
        <w:t>自来水厂沟通协调好，选择用水低峰时段施工，施工期需加强对饮用水水源保护区及取水口上、下游的水质监测工作，建设单位应与地方政府、水厂及相关管理部门建立施工水质管理应急联动机制，发现水体污染应及时采取停工等有效措施，并启动取水应急预案，自来水厂可加强水质净化处理，加大沉淀和深度处理力度，保证水厂正常供水和供水水质正常</w:t>
      </w:r>
      <w:r>
        <w:rPr>
          <w:rFonts w:hint="eastAsia" w:ascii="Times New Roman" w:hAnsi="Times New Roman" w:cs="Times New Roman"/>
          <w:color w:val="auto"/>
          <w:u w:val="none"/>
          <w:lang w:eastAsia="zh-CN"/>
        </w:rPr>
        <w:t>。</w:t>
      </w:r>
    </w:p>
    <w:p>
      <w:pPr>
        <w:autoSpaceDE/>
        <w:autoSpaceDN/>
        <w:adjustRightInd w:val="0"/>
        <w:snapToGrid w:val="0"/>
        <w:spacing w:line="360" w:lineRule="auto"/>
        <w:jc w:val="both"/>
        <w:outlineLvl w:val="2"/>
        <w:rPr>
          <w:rFonts w:ascii="Times New Roman" w:hAnsi="Times New Roman" w:cs="Times New Roman"/>
          <w:b/>
          <w:sz w:val="28"/>
          <w:szCs w:val="24"/>
        </w:rPr>
      </w:pPr>
      <w:bookmarkStart w:id="340" w:name="_Toc31304"/>
      <w:bookmarkStart w:id="341" w:name="_Toc82593191"/>
      <w:bookmarkStart w:id="342" w:name="_Toc66206118"/>
      <w:bookmarkStart w:id="343" w:name="_Toc69284650"/>
      <w:r>
        <w:rPr>
          <w:rFonts w:ascii="Times New Roman" w:hAnsi="Times New Roman" w:cs="Times New Roman"/>
          <w:b/>
          <w:sz w:val="28"/>
          <w:szCs w:val="24"/>
        </w:rPr>
        <w:t>6.1.3地下水污染防治措施</w:t>
      </w:r>
      <w:bookmarkEnd w:id="340"/>
      <w:bookmarkEnd w:id="341"/>
      <w:bookmarkEnd w:id="342"/>
      <w:bookmarkEnd w:id="343"/>
    </w:p>
    <w:p>
      <w:pPr>
        <w:adjustRightInd w:val="0"/>
        <w:snapToGrid w:val="0"/>
        <w:spacing w:line="360" w:lineRule="auto"/>
        <w:ind w:firstLine="480" w:firstLineChars="200"/>
        <w:jc w:val="both"/>
        <w:rPr>
          <w:rFonts w:ascii="Times New Roman" w:hAnsi="Times New Roman" w:cs="Times New Roman"/>
          <w:snapToGrid w:val="0"/>
          <w:sz w:val="24"/>
        </w:rPr>
      </w:pPr>
      <w:r>
        <w:rPr>
          <w:rFonts w:ascii="Times New Roman" w:hAnsi="Times New Roman" w:cs="Times New Roman"/>
          <w:snapToGrid w:val="0"/>
          <w:sz w:val="24"/>
        </w:rPr>
        <w:t>（</w:t>
      </w:r>
      <w:r>
        <w:rPr>
          <w:rFonts w:hint="eastAsia" w:ascii="Times New Roman" w:hAnsi="Times New Roman" w:cs="Times New Roman"/>
          <w:snapToGrid w:val="0"/>
          <w:sz w:val="24"/>
        </w:rPr>
        <w:t>1</w:t>
      </w:r>
      <w:r>
        <w:rPr>
          <w:rFonts w:ascii="Times New Roman" w:hAnsi="Times New Roman" w:cs="Times New Roman"/>
          <w:snapToGrid w:val="0"/>
          <w:sz w:val="24"/>
        </w:rPr>
        <w:t>）在施工过程中加强对机械设备的检修，以防止设备漏油现象的发生；施工机械设备的维修应在专业厂家进行，防止施工现场地表油类污染，以减小初期雨水的油类污染物负荷。</w:t>
      </w:r>
    </w:p>
    <w:p>
      <w:pPr>
        <w:adjustRightInd w:val="0"/>
        <w:snapToGrid w:val="0"/>
        <w:spacing w:line="360" w:lineRule="auto"/>
        <w:ind w:firstLine="480" w:firstLineChars="200"/>
        <w:jc w:val="both"/>
        <w:rPr>
          <w:rFonts w:ascii="Times New Roman" w:hAnsi="Times New Roman" w:cs="Times New Roman"/>
          <w:snapToGrid w:val="0"/>
          <w:sz w:val="24"/>
        </w:rPr>
      </w:pPr>
      <w:r>
        <w:rPr>
          <w:rFonts w:ascii="Times New Roman" w:hAnsi="Times New Roman" w:cs="Times New Roman"/>
          <w:snapToGrid w:val="0"/>
          <w:sz w:val="24"/>
        </w:rPr>
        <w:t>（</w:t>
      </w:r>
      <w:r>
        <w:rPr>
          <w:rFonts w:hint="eastAsia" w:ascii="Times New Roman" w:hAnsi="Times New Roman" w:cs="Times New Roman"/>
          <w:snapToGrid w:val="0"/>
          <w:sz w:val="24"/>
        </w:rPr>
        <w:t>2</w:t>
      </w:r>
      <w:r>
        <w:rPr>
          <w:rFonts w:ascii="Times New Roman" w:hAnsi="Times New Roman" w:cs="Times New Roman"/>
          <w:snapToGrid w:val="0"/>
          <w:sz w:val="24"/>
        </w:rPr>
        <w:t>）</w:t>
      </w:r>
      <w:r>
        <w:rPr>
          <w:rFonts w:ascii="Times New Roman" w:hAnsi="Times New Roman" w:cs="Times New Roman"/>
          <w:snapToGrid w:val="0"/>
          <w:sz w:val="24"/>
        </w:rPr>
        <w:tab/>
      </w:r>
      <w:r>
        <w:rPr>
          <w:rFonts w:ascii="Times New Roman" w:hAnsi="Times New Roman" w:cs="Times New Roman"/>
          <w:snapToGrid w:val="0"/>
          <w:sz w:val="24"/>
        </w:rPr>
        <w:t>采取措施控制地表降尘积累，以减小降水前地表积累的污染负荷。</w:t>
      </w:r>
    </w:p>
    <w:p>
      <w:pPr>
        <w:autoSpaceDE/>
        <w:autoSpaceDN/>
        <w:adjustRightInd w:val="0"/>
        <w:snapToGrid w:val="0"/>
        <w:spacing w:line="360" w:lineRule="auto"/>
        <w:jc w:val="both"/>
        <w:outlineLvl w:val="2"/>
        <w:rPr>
          <w:rFonts w:ascii="Times New Roman" w:hAnsi="Times New Roman" w:cs="Times New Roman"/>
          <w:b/>
          <w:sz w:val="28"/>
          <w:szCs w:val="24"/>
        </w:rPr>
      </w:pPr>
      <w:bookmarkStart w:id="344" w:name="_Toc66206119"/>
      <w:bookmarkStart w:id="345" w:name="_Toc82593192"/>
      <w:bookmarkStart w:id="346" w:name="_Toc16357"/>
      <w:bookmarkStart w:id="347" w:name="_Toc69284651"/>
      <w:r>
        <w:rPr>
          <w:rFonts w:ascii="Times New Roman" w:hAnsi="Times New Roman" w:cs="Times New Roman"/>
          <w:b/>
          <w:sz w:val="28"/>
          <w:szCs w:val="24"/>
        </w:rPr>
        <w:t>6.1.4噪声污染防治措施</w:t>
      </w:r>
      <w:bookmarkEnd w:id="344"/>
      <w:bookmarkEnd w:id="345"/>
      <w:bookmarkEnd w:id="346"/>
      <w:bookmarkEnd w:id="347"/>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为了减少施工噪声对声环境的影响，建设单位应采取以下防治措施：</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（1）应严格执行《中华人民共和国噪声污染防治法》和《建筑施工场界环境噪声排放标准》（GB12523-2011），</w:t>
      </w:r>
      <w:bookmarkStart w:id="348" w:name="_Hlk66874330"/>
      <w:r>
        <w:rPr>
          <w:rFonts w:ascii="Times New Roman" w:hAnsi="Times New Roman" w:cs="Times New Roman"/>
          <w:snapToGrid w:val="0"/>
        </w:rPr>
        <w:t>采用低噪声施工机械和先进工艺进行施工</w:t>
      </w:r>
      <w:bookmarkEnd w:id="348"/>
      <w:r>
        <w:rPr>
          <w:rFonts w:ascii="Times New Roman" w:hAnsi="Times New Roman" w:cs="Times New Roman"/>
          <w:snapToGrid w:val="0"/>
        </w:rPr>
        <w:t>，施工机械设备要加强保养和维护，保持良好的工况。日常必须加强对施工人员的管理，减少人为原因产生的高噪声。</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（2）</w:t>
      </w:r>
      <w:bookmarkStart w:id="349" w:name="_Hlk66874359"/>
      <w:r>
        <w:rPr>
          <w:rFonts w:ascii="Times New Roman" w:hAnsi="Times New Roman" w:cs="Times New Roman"/>
          <w:snapToGrid w:val="0"/>
        </w:rPr>
        <w:t>合理施工布局。</w:t>
      </w:r>
      <w:bookmarkEnd w:id="349"/>
      <w:r>
        <w:rPr>
          <w:rFonts w:ascii="Times New Roman" w:hAnsi="Times New Roman" w:cs="Times New Roman"/>
          <w:snapToGrid w:val="0"/>
        </w:rPr>
        <w:t>施工场地布置时高噪声设备应尽量远离声环境敏感点，并应在高噪声设备周围和施工场界设隔声屏障或设置可移动的声屏障，以缓解噪声影响。</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（3）</w:t>
      </w:r>
      <w:bookmarkStart w:id="350" w:name="_Hlk66874369"/>
      <w:r>
        <w:rPr>
          <w:rFonts w:ascii="Times New Roman" w:hAnsi="Times New Roman" w:cs="Times New Roman"/>
          <w:snapToGrid w:val="0"/>
        </w:rPr>
        <w:t>合理安排施工计划和施工机械设备组合以及施工时间</w:t>
      </w:r>
      <w:bookmarkEnd w:id="350"/>
      <w:r>
        <w:rPr>
          <w:rFonts w:ascii="Times New Roman" w:hAnsi="Times New Roman" w:cs="Times New Roman"/>
          <w:snapToGrid w:val="0"/>
        </w:rPr>
        <w:t>，禁止高噪声机械在夜间、中午居民休息的时间进行作业。必须在夜间、午间进行施工的，施工前应贴出告示，争取获得公众支持。注意文明施工，避免发出不必要的噪声。</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（4）控制声源，选择低噪声的机械设备，加强现场运输管理，对施工车辆造成的噪声影响要加强管理，</w:t>
      </w:r>
      <w:bookmarkStart w:id="351" w:name="_Hlk66874391"/>
      <w:r>
        <w:rPr>
          <w:rFonts w:ascii="Times New Roman" w:hAnsi="Times New Roman" w:cs="Times New Roman"/>
          <w:snapToGrid w:val="0"/>
        </w:rPr>
        <w:t>运输车辆尽量采用较低声级的喇叭，并在所经过的道路禁止鸣笛</w:t>
      </w:r>
      <w:bookmarkEnd w:id="351"/>
      <w:r>
        <w:rPr>
          <w:rFonts w:ascii="Times New Roman" w:hAnsi="Times New Roman" w:cs="Times New Roman"/>
          <w:snapToGrid w:val="0"/>
        </w:rPr>
        <w:t>，以免影响沿途居民的正常生活。</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w:t>
      </w:r>
      <w:r>
        <w:rPr>
          <w:rFonts w:hint="eastAsia" w:ascii="Times New Roman" w:hAnsi="Times New Roman" w:cs="Times New Roman"/>
          <w:snapToGrid w:val="0"/>
        </w:rPr>
        <w:t>5</w:t>
      </w:r>
      <w:r>
        <w:rPr>
          <w:rFonts w:ascii="Times New Roman" w:hAnsi="Times New Roman" w:cs="Times New Roman"/>
          <w:snapToGrid w:val="0"/>
        </w:rPr>
        <w:t>）减少运输过程的交通噪声：选用符合相关标准的施工车辆，禁止不符合国家噪声排放标准的运输车辆进入工区，尽量避开噪声敏感区，尽量减少交通堵塞，尽量减少夜间运输量，限制车速，对运输、施工车辆定期维修、养护，减少或杜绝鸣笛。加强施工期间道路交通的管理，保持道路畅通也是减缓施工期交通噪声影响的重要手段。</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采取以上措施后，可减少项目噪声对周边环境及敏感点的影响。</w:t>
      </w:r>
    </w:p>
    <w:p>
      <w:pPr>
        <w:autoSpaceDE/>
        <w:autoSpaceDN/>
        <w:adjustRightInd w:val="0"/>
        <w:snapToGrid w:val="0"/>
        <w:spacing w:line="360" w:lineRule="auto"/>
        <w:jc w:val="both"/>
        <w:outlineLvl w:val="2"/>
        <w:rPr>
          <w:rFonts w:ascii="Times New Roman" w:hAnsi="Times New Roman" w:cs="Times New Roman"/>
          <w:b/>
          <w:sz w:val="28"/>
          <w:szCs w:val="24"/>
        </w:rPr>
      </w:pPr>
      <w:bookmarkStart w:id="352" w:name="_Toc66206120"/>
      <w:bookmarkStart w:id="353" w:name="_Toc29126"/>
      <w:bookmarkStart w:id="354" w:name="_Toc69284652"/>
      <w:bookmarkStart w:id="355" w:name="_Toc82593193"/>
      <w:r>
        <w:rPr>
          <w:rFonts w:ascii="Times New Roman" w:hAnsi="Times New Roman" w:cs="Times New Roman"/>
          <w:b/>
          <w:sz w:val="28"/>
          <w:szCs w:val="24"/>
        </w:rPr>
        <w:t>6.1.5固体废物污染防治措施</w:t>
      </w:r>
      <w:bookmarkEnd w:id="352"/>
      <w:bookmarkEnd w:id="353"/>
      <w:bookmarkEnd w:id="354"/>
      <w:bookmarkEnd w:id="355"/>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施工期的固体废物主要有清表固废、清淤底泥、建筑垃圾、施工人员生活垃圾及废包装材料。</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（1）清表固废</w:t>
      </w:r>
    </w:p>
    <w:p>
      <w:pPr>
        <w:pStyle w:val="2"/>
        <w:autoSpaceDE/>
        <w:autoSpaceDN/>
        <w:adjustRightInd w:val="0"/>
        <w:snapToGrid w:val="0"/>
        <w:spacing w:before="0" w:line="360" w:lineRule="auto"/>
        <w:ind w:left="0" w:firstLine="480" w:firstLineChars="200"/>
        <w:jc w:val="both"/>
        <w:rPr>
          <w:rFonts w:ascii="Times New Roman" w:hAnsi="Times New Roman" w:cs="Times New Roman"/>
          <w:highlight w:val="yellow"/>
        </w:rPr>
      </w:pPr>
      <w:r>
        <w:rPr>
          <w:rFonts w:ascii="Times New Roman" w:hAnsi="Times New Roman" w:cs="Times New Roman"/>
        </w:rPr>
        <w:t>根据工程量分析表，</w:t>
      </w:r>
      <w:r>
        <w:rPr>
          <w:rFonts w:hint="eastAsia" w:ascii="Times New Roman" w:hAnsi="Times New Roman" w:cs="Times New Roman"/>
          <w:lang w:eastAsia="zh-CN"/>
        </w:rPr>
        <w:t>清表固废量约为1000</w:t>
      </w:r>
      <w:r>
        <w:rPr>
          <w:rFonts w:ascii="Times New Roman" w:hAnsi="Times New Roman" w:cs="Times New Roman"/>
        </w:rPr>
        <w:t>m</w:t>
      </w:r>
      <w:r>
        <w:rPr>
          <w:rFonts w:hint="eastAsia" w:ascii="Times New Roman" w:hAnsi="Times New Roman" w:cs="Times New Roman"/>
          <w:vertAlign w:val="superscript"/>
          <w:lang w:val="en-US" w:eastAsia="zh-CN"/>
        </w:rPr>
        <w:t>3</w:t>
      </w:r>
      <w:r>
        <w:rPr>
          <w:rFonts w:ascii="Times New Roman" w:hAnsi="Times New Roman" w:cs="Times New Roman"/>
        </w:rPr>
        <w:t>，主要为表层杂草和垃圾等，可送随生活垃圾一同处置。</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（2）清淤底泥</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根据工程量分析表，根据工程量分析表，清淤产生量为</w:t>
      </w:r>
      <w:r>
        <w:rPr>
          <w:rFonts w:hint="eastAsia" w:ascii="Times New Roman" w:hAnsi="Times New Roman" w:cs="Times New Roman"/>
          <w:lang w:val="en-US" w:eastAsia="zh-CN"/>
        </w:rPr>
        <w:t>6293</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，其中</w:t>
      </w:r>
      <w:r>
        <w:rPr>
          <w:rFonts w:hint="eastAsia" w:ascii="Times New Roman" w:hAnsi="Times New Roman" w:cs="Times New Roman"/>
          <w:lang w:eastAsia="zh-CN"/>
        </w:rPr>
        <w:t>河滨湿地</w:t>
      </w:r>
      <w:r>
        <w:rPr>
          <w:rFonts w:ascii="Times New Roman" w:hAnsi="Times New Roman" w:cs="Times New Roman"/>
        </w:rPr>
        <w:t>清淤量为</w:t>
      </w:r>
      <w:r>
        <w:rPr>
          <w:rFonts w:hint="eastAsia" w:ascii="Times New Roman" w:hAnsi="Times New Roman" w:cs="Times New Roman"/>
          <w:lang w:val="en-US" w:eastAsia="zh-CN"/>
        </w:rPr>
        <w:t>4625</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w:t>
      </w:r>
      <w:r>
        <w:rPr>
          <w:rFonts w:hint="eastAsia" w:ascii="Times New Roman" w:hAnsi="Times New Roman" w:cs="Times New Roman"/>
          <w:lang w:eastAsia="zh-CN"/>
        </w:rPr>
        <w:t>河口</w:t>
      </w:r>
      <w:r>
        <w:rPr>
          <w:rFonts w:ascii="Times New Roman" w:hAnsi="Times New Roman" w:cs="Times New Roman"/>
        </w:rPr>
        <w:t>湿地清淤量为</w:t>
      </w:r>
      <w:r>
        <w:rPr>
          <w:rFonts w:hint="eastAsia" w:ascii="Times New Roman" w:hAnsi="Times New Roman" w:cs="Times New Roman"/>
          <w:lang w:val="en-US" w:eastAsia="zh-CN"/>
        </w:rPr>
        <w:t>1668</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，根据</w:t>
      </w:r>
      <w:r>
        <w:rPr>
          <w:rFonts w:hint="eastAsia" w:ascii="Times New Roman" w:hAnsi="Times New Roman" w:cs="Times New Roman"/>
          <w:lang w:eastAsia="zh-CN"/>
        </w:rPr>
        <w:t>初步设计</w:t>
      </w:r>
      <w:r>
        <w:rPr>
          <w:rFonts w:ascii="Times New Roman" w:hAnsi="Times New Roman" w:cs="Times New Roman"/>
        </w:rPr>
        <w:t>，</w:t>
      </w:r>
      <w:r>
        <w:rPr>
          <w:rFonts w:hint="eastAsia" w:ascii="Times New Roman" w:hAnsi="Times New Roman" w:cs="Times New Roman"/>
          <w:lang w:eastAsia="zh-CN"/>
        </w:rPr>
        <w:t>淤泥</w:t>
      </w:r>
      <w:r>
        <w:rPr>
          <w:rFonts w:ascii="Times New Roman" w:hAnsi="Times New Roman" w:cs="Times New Roman"/>
        </w:rPr>
        <w:t>通过岸坡晾晒自然干化</w:t>
      </w:r>
      <w:r>
        <w:rPr>
          <w:rFonts w:hint="eastAsia" w:ascii="Times New Roman" w:hAnsi="Times New Roman" w:cs="Times New Roman"/>
          <w:lang w:eastAsia="zh-CN"/>
        </w:rPr>
        <w:t>后</w:t>
      </w:r>
      <w:r>
        <w:rPr>
          <w:rFonts w:ascii="Times New Roman" w:hAnsi="Times New Roman" w:cs="Times New Roman"/>
        </w:rPr>
        <w:t>用于岸坡平整。</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（3）建筑垃圾</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本项目在施工过程中产生的建筑垃圾包括砂石、碎砖、废木料、废金属、废钢筋等杂物。钢筋、钢板、木材等下脚料可回收的进行分类回收，交废品回收站处理；混凝土废料、含砖、石、砂的弃渣等送至</w:t>
      </w:r>
      <w:r>
        <w:rPr>
          <w:rFonts w:hint="eastAsia" w:ascii="Times New Roman" w:hAnsi="Times New Roman" w:cs="Times New Roman"/>
          <w:lang w:eastAsia="zh-CN"/>
        </w:rPr>
        <w:t>弃渣场</w:t>
      </w:r>
      <w:r>
        <w:rPr>
          <w:rFonts w:ascii="Times New Roman" w:hAnsi="Times New Roman" w:cs="Times New Roman"/>
        </w:rPr>
        <w:t>。</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（4）施工人员</w:t>
      </w:r>
      <w:bookmarkStart w:id="356" w:name="_Hlk66874543"/>
      <w:r>
        <w:rPr>
          <w:rFonts w:ascii="Times New Roman" w:hAnsi="Times New Roman" w:cs="Times New Roman"/>
        </w:rPr>
        <w:t>生活垃圾及废包装材料</w:t>
      </w:r>
    </w:p>
    <w:bookmarkEnd w:id="356"/>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本项目大部分为当地民工，只有少部分管理人员租赁靠近项目场地的临时住房，排放的生活垃圾很少，生活垃圾</w:t>
      </w:r>
      <w:bookmarkStart w:id="357" w:name="_Hlk66874553"/>
      <w:r>
        <w:rPr>
          <w:rFonts w:ascii="Times New Roman" w:hAnsi="Times New Roman" w:cs="Times New Roman"/>
        </w:rPr>
        <w:t>收集后交由当地环卫部门处置</w:t>
      </w:r>
      <w:bookmarkEnd w:id="357"/>
      <w:r>
        <w:rPr>
          <w:rFonts w:ascii="Times New Roman" w:hAnsi="Times New Roman" w:cs="Times New Roman"/>
        </w:rPr>
        <w:t>。</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废包装材料经收集后交当地环卫部门统一处理。</w:t>
      </w:r>
    </w:p>
    <w:p>
      <w:pPr>
        <w:autoSpaceDE/>
        <w:autoSpaceDN/>
        <w:adjustRightInd w:val="0"/>
        <w:snapToGrid w:val="0"/>
        <w:spacing w:line="360" w:lineRule="auto"/>
        <w:jc w:val="both"/>
        <w:outlineLvl w:val="2"/>
        <w:rPr>
          <w:rFonts w:ascii="Times New Roman" w:hAnsi="Times New Roman" w:cs="Times New Roman"/>
          <w:b/>
          <w:sz w:val="28"/>
          <w:szCs w:val="24"/>
        </w:rPr>
      </w:pPr>
      <w:bookmarkStart w:id="358" w:name="_Toc17322"/>
      <w:bookmarkStart w:id="359" w:name="_Toc82593194"/>
      <w:bookmarkStart w:id="360" w:name="_Toc69284653"/>
      <w:bookmarkStart w:id="361" w:name="_Toc66206121"/>
      <w:bookmarkStart w:id="362" w:name="_Hlk55820264"/>
      <w:r>
        <w:rPr>
          <w:rFonts w:ascii="Times New Roman" w:hAnsi="Times New Roman" w:cs="Times New Roman"/>
          <w:b/>
          <w:sz w:val="28"/>
          <w:szCs w:val="24"/>
        </w:rPr>
        <w:t>6.1.6生态环境保护措施</w:t>
      </w:r>
      <w:bookmarkEnd w:id="358"/>
      <w:bookmarkEnd w:id="359"/>
      <w:bookmarkEnd w:id="360"/>
      <w:bookmarkEnd w:id="361"/>
    </w:p>
    <w:bookmarkEnd w:id="362"/>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bookmarkStart w:id="363" w:name="_bookmark41"/>
      <w:bookmarkEnd w:id="363"/>
      <w:bookmarkStart w:id="364" w:name="_Hlk55820568"/>
      <w:r>
        <w:rPr>
          <w:rFonts w:ascii="Times New Roman" w:hAnsi="Times New Roman" w:cs="Times New Roman"/>
          <w:snapToGrid w:val="0"/>
        </w:rPr>
        <w:t>（1）陆生生态保护措施</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hint="eastAsia"/>
          <w:snapToGrid w:val="0"/>
        </w:rPr>
        <w:t>①</w:t>
      </w:r>
      <w:bookmarkStart w:id="365" w:name="_Hlk66874600"/>
      <w:r>
        <w:rPr>
          <w:rFonts w:ascii="Times New Roman" w:hAnsi="Times New Roman" w:cs="Times New Roman"/>
          <w:snapToGrid w:val="0"/>
        </w:rPr>
        <w:t>保护地表上层和植被</w:t>
      </w:r>
      <w:bookmarkEnd w:id="365"/>
      <w:r>
        <w:rPr>
          <w:rFonts w:ascii="Times New Roman" w:hAnsi="Times New Roman" w:cs="Times New Roman"/>
          <w:snapToGrid w:val="0"/>
        </w:rPr>
        <w:t>。涉及陆地开挖的区域，施工前期将地表 0-20cm 有肥力土层进行剥离、临时储存并加以防护，以便随后用于区域内的生态环境整治工程。要求工程监理人员应加强此项作业的监理工作，因为此项工作是保护用地范围内生物多样性和项目绿化范围内植树种草提高成活率的重要因素之一。</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hint="eastAsia"/>
          <w:snapToGrid w:val="0"/>
        </w:rPr>
        <w:t>②</w:t>
      </w:r>
      <w:r>
        <w:rPr>
          <w:rFonts w:ascii="Times New Roman" w:hAnsi="Times New Roman" w:cs="Times New Roman"/>
          <w:snapToGrid w:val="0"/>
        </w:rPr>
        <w:t>在施工建设过程中的填挖土方，会产生水土流失，而在底泥晾晒、堆放过程中，若遇上雨天，也会产生水土流失。为防止严重的水土流失，可采取</w:t>
      </w:r>
      <w:bookmarkStart w:id="366" w:name="_Hlk66874621"/>
      <w:r>
        <w:rPr>
          <w:rFonts w:ascii="Times New Roman" w:hAnsi="Times New Roman" w:cs="Times New Roman"/>
          <w:snapToGrid w:val="0"/>
        </w:rPr>
        <w:t>建立挡土等</w:t>
      </w:r>
      <w:bookmarkEnd w:id="366"/>
      <w:r>
        <w:rPr>
          <w:rFonts w:ascii="Times New Roman" w:hAnsi="Times New Roman" w:cs="Times New Roman"/>
          <w:snapToGrid w:val="0"/>
        </w:rPr>
        <w:t>措施工程与植被相结合的复式挡土墙，</w:t>
      </w:r>
      <w:bookmarkStart w:id="367" w:name="_Hlk66874635"/>
      <w:r>
        <w:rPr>
          <w:rFonts w:ascii="Times New Roman" w:hAnsi="Times New Roman" w:cs="Times New Roman"/>
          <w:snapToGrid w:val="0"/>
        </w:rPr>
        <w:t>挖排水沟或截水沟、进行绿化等</w:t>
      </w:r>
      <w:bookmarkEnd w:id="367"/>
      <w:r>
        <w:rPr>
          <w:rFonts w:ascii="Times New Roman" w:hAnsi="Times New Roman" w:cs="Times New Roman"/>
          <w:snapToGrid w:val="0"/>
        </w:rPr>
        <w:t>措施，防止雨水冲蚀泥土，防止泥土外溢，同时加强对施工场地平整过程中的弃土（渣）的管理，建设</w:t>
      </w:r>
      <w:bookmarkStart w:id="368" w:name="_Hlk66874652"/>
      <w:r>
        <w:rPr>
          <w:rFonts w:ascii="Times New Roman" w:hAnsi="Times New Roman" w:cs="Times New Roman"/>
          <w:snapToGrid w:val="0"/>
        </w:rPr>
        <w:t>施工尽量安排于旱季进行</w:t>
      </w:r>
      <w:bookmarkEnd w:id="368"/>
      <w:r>
        <w:rPr>
          <w:rFonts w:ascii="Times New Roman" w:hAnsi="Times New Roman" w:cs="Times New Roman"/>
          <w:snapToGrid w:val="0"/>
        </w:rPr>
        <w:t>，以避免水土流失的发生，从而尽可能降低对生态环境的潜在影响。</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hint="eastAsia"/>
          <w:snapToGrid w:val="0"/>
        </w:rPr>
        <w:t>③</w:t>
      </w:r>
      <w:r>
        <w:rPr>
          <w:rFonts w:ascii="Times New Roman" w:hAnsi="Times New Roman" w:cs="Times New Roman"/>
          <w:snapToGrid w:val="0"/>
        </w:rPr>
        <w:t>施工期将导致一些地表裸露，改变土壤结构，使沿线地区的生态结构和功能发生变化，进而影响生态系统的稳定性。因此，应加强施工人员的环保意识的宣教工作，禁止施工人员破坏设计用地以外的植被。</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（2）水生生态保护措施</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hint="eastAsia"/>
          <w:snapToGrid w:val="0"/>
        </w:rPr>
        <w:t>①</w:t>
      </w:r>
      <w:r>
        <w:rPr>
          <w:rFonts w:ascii="Times New Roman" w:hAnsi="Times New Roman" w:cs="Times New Roman"/>
          <w:snapToGrid w:val="0"/>
        </w:rPr>
        <w:t>控制水域污染</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施工过程中应采取有效的措施，</w:t>
      </w:r>
      <w:bookmarkStart w:id="369" w:name="_Hlk66874676"/>
      <w:r>
        <w:rPr>
          <w:rFonts w:ascii="Times New Roman" w:hAnsi="Times New Roman" w:cs="Times New Roman"/>
          <w:snapToGrid w:val="0"/>
        </w:rPr>
        <w:t>严格控制生活垃圾、生活污水和生产废弃物的收集处理，避免其污染水体</w:t>
      </w:r>
      <w:bookmarkEnd w:id="369"/>
      <w:r>
        <w:rPr>
          <w:rFonts w:ascii="Times New Roman" w:hAnsi="Times New Roman" w:cs="Times New Roman"/>
          <w:snapToGrid w:val="0"/>
        </w:rPr>
        <w:t>。</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hint="eastAsia"/>
          <w:snapToGrid w:val="0"/>
        </w:rPr>
        <w:t>②</w:t>
      </w:r>
      <w:bookmarkStart w:id="370" w:name="_Hlk66874693"/>
      <w:r>
        <w:rPr>
          <w:rFonts w:ascii="Times New Roman" w:hAnsi="Times New Roman" w:cs="Times New Roman"/>
          <w:snapToGrid w:val="0"/>
        </w:rPr>
        <w:t>优化施工过程</w:t>
      </w:r>
    </w:p>
    <w:bookmarkEnd w:id="370"/>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底泥过程进一步优化施工进度和施工工序，合理安排施工时段，施工期应避开鱼类特别保护期，即每年4月1日至6月30日。为避免施工期间直接对河流、</w:t>
      </w:r>
      <w:r>
        <w:rPr>
          <w:rFonts w:hint="eastAsia" w:ascii="Times New Roman" w:hAnsi="Times New Roman" w:cs="Times New Roman"/>
          <w:snapToGrid w:val="0"/>
          <w:lang w:eastAsia="zh-CN"/>
        </w:rPr>
        <w:t>河流</w:t>
      </w:r>
      <w:r>
        <w:rPr>
          <w:rFonts w:ascii="Times New Roman" w:hAnsi="Times New Roman" w:cs="Times New Roman"/>
          <w:snapToGrid w:val="0"/>
        </w:rPr>
        <w:t>内的水生生物造成伤害，施工单位应优化施工方案，减少清淤工作面及影响面。应避免昼夜连续作业，陆域施工时应将高噪声设备做好消声隔声设施。</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hint="eastAsia"/>
          <w:snapToGrid w:val="0"/>
        </w:rPr>
        <w:t>③</w:t>
      </w:r>
      <w:bookmarkStart w:id="371" w:name="_Hlk66874702"/>
      <w:r>
        <w:rPr>
          <w:rFonts w:ascii="Times New Roman" w:hAnsi="Times New Roman" w:cs="Times New Roman"/>
          <w:snapToGrid w:val="0"/>
        </w:rPr>
        <w:t>加强生态环境保护的宣传和管理力度</w:t>
      </w:r>
      <w:bookmarkEnd w:id="371"/>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施工期间，以公告、宣传单、板报和会议等形式，加强对施工人员的环境保护宣传教育和保护野生动物常识的宣传，提高施工人员的环境保护意识，使其在施工中能自觉保护生态环境及水生物种，并遵守相关的生态保护规定；制定水生生物保护规定，严禁在施工湖区进行捕鱼或从事其它有碍生态环境保护的活动，一旦发现水生生物种类，应及时进行保护。</w:t>
      </w:r>
    </w:p>
    <w:p>
      <w:pPr>
        <w:autoSpaceDE/>
        <w:autoSpaceDN/>
        <w:adjustRightInd w:val="0"/>
        <w:snapToGrid w:val="0"/>
        <w:spacing w:line="360" w:lineRule="auto"/>
        <w:jc w:val="both"/>
        <w:outlineLvl w:val="2"/>
        <w:rPr>
          <w:rFonts w:ascii="Times New Roman" w:hAnsi="Times New Roman" w:cs="Times New Roman"/>
          <w:b/>
          <w:sz w:val="28"/>
          <w:szCs w:val="24"/>
        </w:rPr>
      </w:pPr>
      <w:bookmarkStart w:id="372" w:name="_Toc82593196"/>
      <w:bookmarkStart w:id="373" w:name="_Toc2134"/>
      <w:r>
        <w:rPr>
          <w:rFonts w:ascii="Times New Roman" w:hAnsi="Times New Roman" w:cs="Times New Roman"/>
          <w:b/>
          <w:sz w:val="28"/>
          <w:szCs w:val="24"/>
        </w:rPr>
        <w:t>6.1.</w:t>
      </w:r>
      <w:r>
        <w:rPr>
          <w:rFonts w:hint="eastAsia" w:ascii="Times New Roman" w:hAnsi="Times New Roman" w:cs="Times New Roman"/>
          <w:b/>
          <w:sz w:val="28"/>
          <w:szCs w:val="24"/>
        </w:rPr>
        <w:t>7</w:t>
      </w:r>
      <w:r>
        <w:rPr>
          <w:rFonts w:ascii="Times New Roman" w:hAnsi="Times New Roman" w:cs="Times New Roman"/>
          <w:b/>
          <w:sz w:val="28"/>
          <w:szCs w:val="24"/>
        </w:rPr>
        <w:t>社会环境影响减缓措施</w:t>
      </w:r>
      <w:bookmarkEnd w:id="372"/>
      <w:bookmarkEnd w:id="373"/>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本工程施工对社会环境的不利影响主要为施工临时占地、交通堵塞等影响。通过采取以下减缓措施进行控制：</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（1）在拟建场地设宣传专栏进行宣传，设立告示牌，使工程区域居民进一步了解项目建设的重要意义，更加支持项目建设，取得对项目建设带来的暂时干扰的理解和体谅。</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2）施工现场的入口设置广告牌，写明工程承包商、施工监理单位以及当地环保局的热线电话号码和联系人的姓名，以便群众受到施工带来的噪声、大气污染、交通以及其它不利影响时与有关部门进行联系，并得到解决。</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Pr>
          <w:rFonts w:ascii="Times New Roman" w:hAnsi="Times New Roman" w:cs="Times New Roman"/>
        </w:rPr>
        <w:t>合理安排施工时序，避免重复开挖和施工。</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rPr>
        <w:t>（4）</w:t>
      </w:r>
      <w:r>
        <w:rPr>
          <w:rFonts w:ascii="Times New Roman" w:hAnsi="Times New Roman" w:cs="Times New Roman"/>
        </w:rPr>
        <w:tab/>
      </w:r>
      <w:r>
        <w:rPr>
          <w:rFonts w:ascii="Times New Roman" w:hAnsi="Times New Roman" w:cs="Times New Roman"/>
        </w:rPr>
        <w:t>施工临时占地保护和恢复：应严格控制施工期临时占地范围，严禁随意扩大。对施工场地要及时整平，对部分施工便道已形成的表层固化层应给予清除并集中处理，送至附近设置的堆放场地。场地整平或清理后将事先保存好的表层进行植被恢复。</w:t>
      </w:r>
    </w:p>
    <w:bookmarkEnd w:id="364"/>
    <w:p>
      <w:pPr>
        <w:pStyle w:val="5"/>
        <w:tabs>
          <w:tab w:val="left" w:pos="766"/>
        </w:tabs>
        <w:autoSpaceDE/>
        <w:autoSpaceDN/>
        <w:adjustRightInd w:val="0"/>
        <w:snapToGrid w:val="0"/>
        <w:spacing w:before="0" w:line="360" w:lineRule="auto"/>
        <w:ind w:left="0" w:firstLine="0"/>
        <w:jc w:val="both"/>
        <w:rPr>
          <w:rFonts w:ascii="Times New Roman" w:hAnsi="Times New Roman" w:cs="Times New Roman"/>
          <w:snapToGrid w:val="0"/>
        </w:rPr>
      </w:pPr>
      <w:bookmarkStart w:id="374" w:name="_bookmark42"/>
      <w:bookmarkEnd w:id="374"/>
      <w:bookmarkStart w:id="375" w:name="_Toc30840"/>
      <w:r>
        <w:rPr>
          <w:rFonts w:ascii="Times New Roman" w:hAnsi="Times New Roman" w:cs="Times New Roman"/>
          <w:snapToGrid w:val="0"/>
        </w:rPr>
        <w:t>6.2 营运期环境保护措施</w:t>
      </w:r>
      <w:bookmarkEnd w:id="375"/>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snapToGrid w:val="0"/>
        </w:rPr>
        <w:t>本项目属于</w:t>
      </w:r>
      <w:r>
        <w:rPr>
          <w:rFonts w:hint="eastAsia" w:ascii="Times New Roman" w:hAnsi="Times New Roman" w:cs="Times New Roman"/>
          <w:snapToGrid w:val="0"/>
          <w:lang w:eastAsia="zh-CN"/>
        </w:rPr>
        <w:t>河湖整治</w:t>
      </w:r>
      <w:r>
        <w:rPr>
          <w:rFonts w:ascii="Times New Roman" w:hAnsi="Times New Roman" w:cs="Times New Roman"/>
          <w:snapToGrid w:val="0"/>
        </w:rPr>
        <w:t>项目</w:t>
      </w:r>
      <w:r>
        <w:rPr>
          <w:rFonts w:ascii="Times New Roman" w:hAnsi="Times New Roman" w:cs="Times New Roman"/>
        </w:rPr>
        <w:t>，主要工程内容为</w:t>
      </w:r>
      <w:r>
        <w:rPr>
          <w:rFonts w:hint="eastAsia" w:ascii="Times New Roman" w:hAnsi="Times New Roman" w:cs="Times New Roman"/>
          <w:lang w:eastAsia="zh-CN"/>
        </w:rPr>
        <w:t>生态缓冲带、人工湿地</w:t>
      </w:r>
      <w:r>
        <w:rPr>
          <w:rFonts w:ascii="Times New Roman" w:hAnsi="Times New Roman" w:cs="Times New Roman"/>
        </w:rPr>
        <w:t>等，运营期没有废气、废水、噪声的污染物排放。</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rPr>
        <w:t>营运期主要生态环境影响属有利影响，通过</w:t>
      </w:r>
      <w:r>
        <w:rPr>
          <w:rFonts w:hint="eastAsia" w:ascii="Times New Roman" w:hAnsi="Times New Roman" w:cs="Times New Roman"/>
          <w:lang w:eastAsia="zh-CN"/>
        </w:rPr>
        <w:t>河流</w:t>
      </w:r>
      <w:r>
        <w:rPr>
          <w:rFonts w:ascii="Times New Roman" w:hAnsi="Times New Roman" w:cs="Times New Roman"/>
        </w:rPr>
        <w:t>生态修复及景观再造，可提高</w:t>
      </w:r>
      <w:r>
        <w:rPr>
          <w:rFonts w:hint="eastAsia" w:ascii="Times New Roman" w:hAnsi="Times New Roman" w:cs="Times New Roman"/>
          <w:lang w:eastAsia="zh-CN"/>
        </w:rPr>
        <w:t>河流</w:t>
      </w:r>
      <w:r>
        <w:rPr>
          <w:rFonts w:ascii="Times New Roman" w:hAnsi="Times New Roman" w:cs="Times New Roman"/>
        </w:rPr>
        <w:t>自身水质净化功能、水生生态系统功能及美化周边环境，</w:t>
      </w:r>
      <w:r>
        <w:rPr>
          <w:rFonts w:hint="eastAsia" w:ascii="Times New Roman" w:hAnsi="Times New Roman" w:cs="Times New Roman"/>
          <w:lang w:eastAsia="zh-CN"/>
        </w:rPr>
        <w:t>改善区域人居环境，提升饮用水源保护区水质</w:t>
      </w:r>
      <w:r>
        <w:rPr>
          <w:rFonts w:ascii="Times New Roman" w:hAnsi="Times New Roman" w:cs="Times New Roman"/>
        </w:rPr>
        <w:t>。</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p>
    <w:p>
      <w:pPr>
        <w:pStyle w:val="2"/>
        <w:autoSpaceDE/>
        <w:autoSpaceDN/>
        <w:adjustRightInd w:val="0"/>
        <w:snapToGrid w:val="0"/>
        <w:spacing w:before="0" w:line="360" w:lineRule="auto"/>
        <w:jc w:val="both"/>
        <w:rPr>
          <w:rFonts w:ascii="Times New Roman" w:hAnsi="Times New Roman" w:cs="Times New Roman"/>
          <w:snapToGrid w:val="0"/>
        </w:rPr>
        <w:sectPr>
          <w:type w:val="nextColumn"/>
          <w:pgSz w:w="11910" w:h="16840"/>
          <w:pgMar w:top="1378" w:right="1542" w:bottom="1378" w:left="1559" w:header="877" w:footer="1077" w:gutter="0"/>
          <w:pgBorders>
            <w:top w:val="none" w:sz="0" w:space="0"/>
            <w:left w:val="none" w:sz="0" w:space="0"/>
            <w:bottom w:val="none" w:sz="0" w:space="0"/>
            <w:right w:val="none" w:sz="0" w:space="0"/>
          </w:pgBorders>
          <w:pgNumType w:fmt="decimal"/>
          <w:cols w:space="720" w:num="1"/>
          <w:docGrid w:linePitch="299" w:charSpace="0"/>
        </w:sectPr>
      </w:pPr>
    </w:p>
    <w:p>
      <w:pPr>
        <w:pStyle w:val="4"/>
        <w:autoSpaceDE/>
        <w:autoSpaceDN/>
        <w:adjustRightInd w:val="0"/>
        <w:snapToGrid w:val="0"/>
        <w:spacing w:before="0" w:line="360" w:lineRule="auto"/>
        <w:ind w:right="0"/>
        <w:jc w:val="left"/>
        <w:rPr>
          <w:rFonts w:ascii="Times New Roman" w:hAnsi="Times New Roman" w:cs="Times New Roman" w:eastAsiaTheme="minorEastAsia"/>
          <w:sz w:val="32"/>
        </w:rPr>
      </w:pPr>
      <w:bookmarkStart w:id="376" w:name="_Toc26135"/>
      <w:r>
        <w:rPr>
          <w:rFonts w:ascii="Times New Roman" w:hAnsi="Times New Roman" w:cs="Times New Roman" w:eastAsiaTheme="minorEastAsia"/>
          <w:sz w:val="32"/>
        </w:rPr>
        <w:t>7.环境影响经济损益分析</w:t>
      </w:r>
      <w:bookmarkEnd w:id="376"/>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环境经济损益分析是对本项目的环境影响作出经济评价，重点是对有长期影响的主要环境因子作出经济损益分析。对建设项目进行环境经济分析有两个目的，一是要揭示建设项目所引起的环境影响，协调项目建设与环境目标一致的问题。二是要科学地评价建设项目所产生的经济效益与社会效益。包括对环境不利的有利因子的分析，在效益分析中，考虑直接效益（经济效益）和间接效益（社会效益、环境效益）。</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根据项目特征，对环境产生不利或有利影响的主要因子为施工期噪声、生态影响、水污染和大气污染。因此，在建设项目的环境影响评价工作中，除首先应注意那些由于污染对环境造成的影响之外，还应同时开展社会经济效益分析，把提高社会经济效益作为环境影响的一个出发点，把环境资源作为一种经济实体来对待，选择合理的开发方式，开发力度和环境保护措施，一方面尽可能使建设项目获得显著的经济效益，另一方面付出的环境代价要小。结合本项目的实际情况，应注意采用相应的环境保护措施和切实可行的污染治理措施，使建设项目的经济效益、环境效益和社会效益三者得到有机的统一，做到经济建设的可持续发展。</w:t>
      </w:r>
    </w:p>
    <w:p>
      <w:pPr>
        <w:pStyle w:val="5"/>
        <w:tabs>
          <w:tab w:val="left" w:pos="766"/>
        </w:tabs>
        <w:autoSpaceDE/>
        <w:autoSpaceDN/>
        <w:adjustRightInd w:val="0"/>
        <w:snapToGrid w:val="0"/>
        <w:spacing w:before="0" w:line="360" w:lineRule="auto"/>
        <w:ind w:left="0" w:firstLine="0"/>
        <w:jc w:val="both"/>
        <w:rPr>
          <w:rFonts w:ascii="Times New Roman" w:hAnsi="Times New Roman" w:cs="Times New Roman"/>
          <w:snapToGrid w:val="0"/>
        </w:rPr>
      </w:pPr>
      <w:bookmarkStart w:id="377" w:name="_bookmark49"/>
      <w:bookmarkEnd w:id="377"/>
      <w:bookmarkStart w:id="378" w:name="_Toc14806"/>
      <w:r>
        <w:rPr>
          <w:rFonts w:ascii="Times New Roman" w:hAnsi="Times New Roman" w:cs="Times New Roman"/>
          <w:snapToGrid w:val="0"/>
        </w:rPr>
        <w:t>7.1环境保护投资估算</w:t>
      </w:r>
      <w:bookmarkEnd w:id="378"/>
    </w:p>
    <w:p>
      <w:pPr>
        <w:pStyle w:val="2"/>
        <w:autoSpaceDE/>
        <w:autoSpaceDN/>
        <w:adjustRightInd w:val="0"/>
        <w:snapToGrid w:val="0"/>
        <w:spacing w:before="0" w:line="360" w:lineRule="auto"/>
        <w:ind w:left="0" w:firstLine="480" w:firstLineChars="200"/>
        <w:jc w:val="both"/>
        <w:rPr>
          <w:rFonts w:ascii="Times New Roman" w:hAnsi="Times New Roman" w:cs="Times New Roman"/>
          <w:color w:val="auto"/>
        </w:rPr>
      </w:pPr>
      <w:r>
        <w:rPr>
          <w:rFonts w:ascii="Times New Roman" w:hAnsi="Times New Roman" w:cs="Times New Roman"/>
          <w:color w:val="auto"/>
        </w:rPr>
        <w:t>本工程总投资</w:t>
      </w:r>
      <w:r>
        <w:rPr>
          <w:rFonts w:hint="eastAsia" w:ascii="Times New Roman" w:hAnsi="Times New Roman" w:cs="Times New Roman"/>
          <w:color w:val="auto"/>
          <w:lang w:val="en-US" w:eastAsia="zh-CN"/>
        </w:rPr>
        <w:t>8704.98</w:t>
      </w:r>
      <w:r>
        <w:rPr>
          <w:rFonts w:ascii="Times New Roman" w:hAnsi="Times New Roman" w:cs="Times New Roman"/>
          <w:color w:val="auto"/>
        </w:rPr>
        <w:t>万元</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含已实施的入河农村生活污水治理工程及生态植草沟工程</w:t>
      </w:r>
      <w:r>
        <w:rPr>
          <w:rFonts w:hint="eastAsia" w:ascii="Times New Roman" w:hAnsi="Times New Roman" w:cs="Times New Roman"/>
          <w:color w:val="auto"/>
          <w:lang w:eastAsia="zh-CN"/>
        </w:rPr>
        <w:t>）</w:t>
      </w:r>
      <w:r>
        <w:rPr>
          <w:rFonts w:ascii="Times New Roman" w:hAnsi="Times New Roman" w:cs="Times New Roman"/>
          <w:color w:val="auto"/>
        </w:rPr>
        <w:t>，</w:t>
      </w:r>
      <w:r>
        <w:rPr>
          <w:rFonts w:hint="eastAsia" w:ascii="Times New Roman" w:hAnsi="Times New Roman" w:cs="Times New Roman"/>
          <w:color w:val="auto"/>
          <w:lang w:val="en-US" w:eastAsia="zh-CN"/>
        </w:rPr>
        <w:t>项目本身为生态环境修复工程，投资全部为环保投资，因此</w:t>
      </w:r>
      <w:r>
        <w:rPr>
          <w:rFonts w:ascii="Times New Roman" w:hAnsi="Times New Roman" w:cs="Times New Roman"/>
          <w:color w:val="auto"/>
        </w:rPr>
        <w:t>其中环保投资占总投资的</w:t>
      </w:r>
      <w:r>
        <w:rPr>
          <w:rFonts w:hint="eastAsia" w:ascii="Times New Roman" w:hAnsi="Times New Roman" w:cs="Times New Roman"/>
          <w:color w:val="auto"/>
          <w:lang w:val="en-US" w:eastAsia="zh-CN"/>
        </w:rPr>
        <w:t>100</w:t>
      </w:r>
      <w:r>
        <w:rPr>
          <w:rFonts w:hint="eastAsia" w:ascii="Times New Roman" w:hAnsi="Times New Roman" w:cs="Times New Roman"/>
          <w:color w:val="auto"/>
          <w:lang w:eastAsia="zh-CN"/>
        </w:rPr>
        <w:t>%</w:t>
      </w:r>
      <w:r>
        <w:rPr>
          <w:rFonts w:ascii="Times New Roman" w:hAnsi="Times New Roman" w:cs="Times New Roman"/>
          <w:color w:val="auto"/>
        </w:rPr>
        <w:t>。</w:t>
      </w:r>
      <w:r>
        <w:rPr>
          <w:rFonts w:hint="eastAsia" w:ascii="Times New Roman" w:hAnsi="Times New Roman" w:cs="Times New Roman"/>
          <w:color w:val="auto"/>
          <w:lang w:val="en-US" w:eastAsia="zh-CN"/>
        </w:rPr>
        <w:t>施工过程中污染防治治理投资67.3万元，具体</w:t>
      </w:r>
      <w:r>
        <w:rPr>
          <w:rFonts w:ascii="Times New Roman" w:hAnsi="Times New Roman" w:cs="Times New Roman"/>
          <w:color w:val="auto"/>
        </w:rPr>
        <w:t>见下表。</w:t>
      </w:r>
    </w:p>
    <w:p>
      <w:pPr>
        <w:tabs>
          <w:tab w:val="left" w:pos="4164"/>
        </w:tabs>
        <w:autoSpaceDE/>
        <w:autoSpaceDN/>
        <w:adjustRightInd w:val="0"/>
        <w:snapToGrid w:val="0"/>
        <w:jc w:val="center"/>
        <w:rPr>
          <w:rFonts w:ascii="Times New Roman" w:hAnsi="Times New Roman" w:cs="Times New Roman"/>
          <w:b/>
          <w:snapToGrid w:val="0"/>
          <w:sz w:val="24"/>
          <w:szCs w:val="24"/>
          <w:u w:val="none"/>
        </w:rPr>
      </w:pPr>
      <w:r>
        <w:rPr>
          <w:rFonts w:ascii="Times New Roman" w:hAnsi="Times New Roman" w:cs="Times New Roman"/>
          <w:b/>
          <w:snapToGrid w:val="0"/>
          <w:sz w:val="24"/>
          <w:szCs w:val="24"/>
          <w:u w:val="none"/>
        </w:rPr>
        <w:t>表7.1-1  环保投资一览表</w:t>
      </w:r>
    </w:p>
    <w:tbl>
      <w:tblPr>
        <w:tblStyle w:val="8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994"/>
        <w:gridCol w:w="1669"/>
        <w:gridCol w:w="51"/>
        <w:gridCol w:w="13"/>
        <w:gridCol w:w="3688"/>
        <w:gridCol w:w="1800"/>
        <w:gridCol w:w="81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51" w:type="pct"/>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序号</w:t>
            </w:r>
          </w:p>
        </w:tc>
        <w:tc>
          <w:tcPr>
            <w:tcW w:w="953" w:type="pct"/>
            <w:gridSpan w:val="2"/>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污染类型</w:t>
            </w:r>
          </w:p>
        </w:tc>
        <w:tc>
          <w:tcPr>
            <w:tcW w:w="2050" w:type="pct"/>
            <w:gridSpan w:val="2"/>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防治措施</w:t>
            </w:r>
          </w:p>
        </w:tc>
        <w:tc>
          <w:tcPr>
            <w:tcW w:w="997" w:type="pct"/>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预计投资(万元)</w:t>
            </w:r>
          </w:p>
        </w:tc>
        <w:tc>
          <w:tcPr>
            <w:tcW w:w="449" w:type="pct"/>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51" w:type="pct"/>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一、</w:t>
            </w:r>
          </w:p>
        </w:tc>
        <w:tc>
          <w:tcPr>
            <w:tcW w:w="4449" w:type="pct"/>
            <w:gridSpan w:val="6"/>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施工期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51" w:type="pct"/>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（一）</w:t>
            </w:r>
          </w:p>
        </w:tc>
        <w:tc>
          <w:tcPr>
            <w:tcW w:w="4449" w:type="pct"/>
            <w:gridSpan w:val="6"/>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环境污染治理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17" w:hRule="atLeast"/>
        </w:trPr>
        <w:tc>
          <w:tcPr>
            <w:tcW w:w="551" w:type="pct"/>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1</w:t>
            </w:r>
          </w:p>
        </w:tc>
        <w:tc>
          <w:tcPr>
            <w:tcW w:w="925" w:type="pct"/>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废水</w:t>
            </w:r>
          </w:p>
        </w:tc>
        <w:tc>
          <w:tcPr>
            <w:tcW w:w="2078" w:type="pct"/>
            <w:gridSpan w:val="3"/>
            <w:vAlign w:val="center"/>
          </w:tcPr>
          <w:p>
            <w:pPr>
              <w:pStyle w:val="2968"/>
              <w:jc w:val="both"/>
              <w:rPr>
                <w:rFonts w:hint="default" w:eastAsia="宋体" w:cs="Times New Roman"/>
                <w:color w:val="000000" w:themeColor="text1"/>
                <w:u w:val="none"/>
                <w:lang w:val="en-US" w:eastAsia="zh-CN"/>
                <w14:textFill>
                  <w14:solidFill>
                    <w14:schemeClr w14:val="tx1"/>
                  </w14:solidFill>
                </w14:textFill>
              </w:rPr>
            </w:pPr>
            <w:r>
              <w:rPr>
                <w:rFonts w:cs="Times New Roman"/>
                <w:color w:val="000000" w:themeColor="text1"/>
                <w:u w:val="none"/>
                <w14:textFill>
                  <w14:solidFill>
                    <w14:schemeClr w14:val="tx1"/>
                  </w14:solidFill>
                </w14:textFill>
              </w:rPr>
              <w:t>生活污水</w:t>
            </w:r>
            <w:r>
              <w:rPr>
                <w:rFonts w:hint="eastAsia" w:cs="Times New Roman"/>
                <w:color w:val="000000" w:themeColor="text1"/>
                <w:u w:val="none"/>
                <w:lang w:eastAsia="zh-CN"/>
                <w14:textFill>
                  <w14:solidFill>
                    <w14:schemeClr w14:val="tx1"/>
                  </w14:solidFill>
                </w14:textFill>
              </w:rPr>
              <w:t>依托居民</w:t>
            </w:r>
            <w:r>
              <w:rPr>
                <w:rFonts w:cs="Times New Roman"/>
                <w:color w:val="000000" w:themeColor="text1"/>
                <w:u w:val="none"/>
                <w14:textFill>
                  <w14:solidFill>
                    <w14:schemeClr w14:val="tx1"/>
                  </w14:solidFill>
                </w14:textFill>
              </w:rPr>
              <w:t>化粪池处理，用于周围农田施肥；施工废水经隔油池、沉淀池处理回用</w:t>
            </w:r>
          </w:p>
        </w:tc>
        <w:tc>
          <w:tcPr>
            <w:tcW w:w="997" w:type="pct"/>
            <w:vAlign w:val="center"/>
          </w:tcPr>
          <w:p>
            <w:pPr>
              <w:pStyle w:val="2968"/>
              <w:rPr>
                <w:rFonts w:hint="default" w:eastAsia="宋体" w:cs="Times New Roman"/>
                <w:color w:val="000000" w:themeColor="text1"/>
                <w:u w:val="none"/>
                <w:lang w:val="en-US" w:eastAsia="zh-CN"/>
                <w14:textFill>
                  <w14:solidFill>
                    <w14:schemeClr w14:val="tx1"/>
                  </w14:solidFill>
                </w14:textFill>
              </w:rPr>
            </w:pPr>
            <w:r>
              <w:rPr>
                <w:rFonts w:hint="eastAsia" w:cs="Times New Roman"/>
                <w:color w:val="000000" w:themeColor="text1"/>
                <w:u w:val="none"/>
                <w:lang w:val="en-US" w:eastAsia="zh-CN"/>
                <w14:textFill>
                  <w14:solidFill>
                    <w14:schemeClr w14:val="tx1"/>
                  </w14:solidFill>
                </w14:textFill>
              </w:rPr>
              <w:t>3</w:t>
            </w:r>
            <w:r>
              <w:rPr>
                <w:rFonts w:hint="eastAsia" w:cs="Times New Roman"/>
                <w:color w:val="000000" w:themeColor="text1"/>
                <w:u w:val="none"/>
                <w14:textFill>
                  <w14:solidFill>
                    <w14:schemeClr w14:val="tx1"/>
                  </w14:solidFill>
                </w14:textFill>
              </w:rPr>
              <w:t>5</w:t>
            </w:r>
            <w:r>
              <w:rPr>
                <w:rFonts w:hint="eastAsia" w:cs="Times New Roman"/>
                <w:color w:val="000000" w:themeColor="text1"/>
                <w:u w:val="none"/>
                <w:lang w:val="en-US" w:eastAsia="zh-CN"/>
                <w14:textFill>
                  <w14:solidFill>
                    <w14:schemeClr w14:val="tx1"/>
                  </w14:solidFill>
                </w14:textFill>
              </w:rPr>
              <w:t>.0</w:t>
            </w:r>
          </w:p>
        </w:tc>
        <w:tc>
          <w:tcPr>
            <w:tcW w:w="449" w:type="pct"/>
            <w:vAlign w:val="center"/>
          </w:tcPr>
          <w:p>
            <w:pPr>
              <w:pStyle w:val="2968"/>
              <w:rPr>
                <w:rFonts w:cs="Times New Roman"/>
                <w:color w:val="000000" w:themeColor="text1"/>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551" w:type="pct"/>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2</w:t>
            </w:r>
          </w:p>
        </w:tc>
        <w:tc>
          <w:tcPr>
            <w:tcW w:w="925" w:type="pct"/>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废气</w:t>
            </w:r>
          </w:p>
        </w:tc>
        <w:tc>
          <w:tcPr>
            <w:tcW w:w="2078" w:type="pct"/>
            <w:gridSpan w:val="3"/>
            <w:vAlign w:val="center"/>
          </w:tcPr>
          <w:p>
            <w:pPr>
              <w:pStyle w:val="2968"/>
              <w:jc w:val="both"/>
              <w:rPr>
                <w:rFonts w:cs="Times New Roman"/>
                <w:color w:val="000000" w:themeColor="text1"/>
                <w:u w:val="none"/>
                <w14:textFill>
                  <w14:solidFill>
                    <w14:schemeClr w14:val="tx1"/>
                  </w14:solidFill>
                </w14:textFill>
              </w:rPr>
            </w:pPr>
            <w:r>
              <w:rPr>
                <w:rFonts w:hint="eastAsia" w:cs="Times New Roman"/>
                <w:color w:val="000000" w:themeColor="text1"/>
                <w:u w:val="none"/>
                <w14:textFill>
                  <w14:solidFill>
                    <w14:schemeClr w14:val="tx1"/>
                  </w14:solidFill>
                </w14:textFill>
              </w:rPr>
              <w:t>洒水抑尘，湿法作业，开挖土方集中堆放；用篷布遮挡物料；运输车辆进行冲洗；区域、岸坡晾晒区域设置围挡，并喷洒除臭剂</w:t>
            </w:r>
          </w:p>
        </w:tc>
        <w:tc>
          <w:tcPr>
            <w:tcW w:w="997" w:type="pct"/>
            <w:vAlign w:val="center"/>
          </w:tcPr>
          <w:p>
            <w:pPr>
              <w:pStyle w:val="2968"/>
              <w:rPr>
                <w:rFonts w:cs="Times New Roman"/>
                <w:color w:val="000000" w:themeColor="text1"/>
                <w:u w:val="none"/>
                <w14:textFill>
                  <w14:solidFill>
                    <w14:schemeClr w14:val="tx1"/>
                  </w14:solidFill>
                </w14:textFill>
              </w:rPr>
            </w:pPr>
            <w:r>
              <w:rPr>
                <w:rFonts w:hint="eastAsia" w:cs="Times New Roman"/>
                <w:color w:val="000000" w:themeColor="text1"/>
                <w:u w:val="none"/>
                <w:lang w:val="en-US" w:eastAsia="zh-CN"/>
                <w14:textFill>
                  <w14:solidFill>
                    <w14:schemeClr w14:val="tx1"/>
                  </w14:solidFill>
                </w14:textFill>
              </w:rPr>
              <w:t>20</w:t>
            </w:r>
            <w:r>
              <w:rPr>
                <w:rFonts w:hint="eastAsia" w:cs="Times New Roman"/>
                <w:color w:val="000000" w:themeColor="text1"/>
                <w:u w:val="none"/>
                <w14:textFill>
                  <w14:solidFill>
                    <w14:schemeClr w14:val="tx1"/>
                  </w14:solidFill>
                </w14:textFill>
              </w:rPr>
              <w:t>.0</w:t>
            </w:r>
          </w:p>
        </w:tc>
        <w:tc>
          <w:tcPr>
            <w:tcW w:w="449" w:type="pct"/>
            <w:vAlign w:val="center"/>
          </w:tcPr>
          <w:p>
            <w:pPr>
              <w:pStyle w:val="2968"/>
              <w:rPr>
                <w:rFonts w:cs="Times New Roman"/>
                <w:color w:val="000000" w:themeColor="text1"/>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95" w:hRule="atLeast"/>
        </w:trPr>
        <w:tc>
          <w:tcPr>
            <w:tcW w:w="551" w:type="pct"/>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3</w:t>
            </w:r>
          </w:p>
        </w:tc>
        <w:tc>
          <w:tcPr>
            <w:tcW w:w="925" w:type="pct"/>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噪声</w:t>
            </w:r>
          </w:p>
        </w:tc>
        <w:tc>
          <w:tcPr>
            <w:tcW w:w="2078" w:type="pct"/>
            <w:gridSpan w:val="3"/>
            <w:vAlign w:val="center"/>
          </w:tcPr>
          <w:p>
            <w:pPr>
              <w:pStyle w:val="2968"/>
              <w:jc w:val="both"/>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采用低噪声设备、高噪声设备隔声降噪等</w:t>
            </w:r>
          </w:p>
        </w:tc>
        <w:tc>
          <w:tcPr>
            <w:tcW w:w="997" w:type="pct"/>
            <w:vAlign w:val="center"/>
          </w:tcPr>
          <w:p>
            <w:pPr>
              <w:pStyle w:val="2968"/>
              <w:rPr>
                <w:rFonts w:cs="Times New Roman"/>
                <w:color w:val="000000" w:themeColor="text1"/>
                <w:u w:val="none"/>
                <w14:textFill>
                  <w14:solidFill>
                    <w14:schemeClr w14:val="tx1"/>
                  </w14:solidFill>
                </w14:textFill>
              </w:rPr>
            </w:pPr>
            <w:r>
              <w:rPr>
                <w:rFonts w:hint="eastAsia" w:cs="Times New Roman"/>
                <w:color w:val="000000" w:themeColor="text1"/>
                <w:u w:val="none"/>
                <w:lang w:val="en-US" w:eastAsia="zh-CN"/>
                <w14:textFill>
                  <w14:solidFill>
                    <w14:schemeClr w14:val="tx1"/>
                  </w14:solidFill>
                </w14:textFill>
              </w:rPr>
              <w:t>2</w:t>
            </w:r>
            <w:r>
              <w:rPr>
                <w:rFonts w:cs="Times New Roman"/>
                <w:color w:val="000000" w:themeColor="text1"/>
                <w:u w:val="none"/>
                <w14:textFill>
                  <w14:solidFill>
                    <w14:schemeClr w14:val="tx1"/>
                  </w14:solidFill>
                </w14:textFill>
              </w:rPr>
              <w:t>.</w:t>
            </w:r>
            <w:r>
              <w:rPr>
                <w:rFonts w:hint="eastAsia" w:cs="Times New Roman"/>
                <w:color w:val="000000" w:themeColor="text1"/>
                <w:u w:val="none"/>
                <w14:textFill>
                  <w14:solidFill>
                    <w14:schemeClr w14:val="tx1"/>
                  </w14:solidFill>
                </w14:textFill>
              </w:rPr>
              <w:t>5</w:t>
            </w:r>
          </w:p>
        </w:tc>
        <w:tc>
          <w:tcPr>
            <w:tcW w:w="449" w:type="pct"/>
            <w:vAlign w:val="center"/>
          </w:tcPr>
          <w:p>
            <w:pPr>
              <w:pStyle w:val="2968"/>
              <w:rPr>
                <w:rFonts w:cs="Times New Roman"/>
                <w:color w:val="000000" w:themeColor="text1"/>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551" w:type="pct"/>
            <w:vMerge w:val="restart"/>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4</w:t>
            </w:r>
          </w:p>
        </w:tc>
        <w:tc>
          <w:tcPr>
            <w:tcW w:w="925" w:type="pct"/>
            <w:vMerge w:val="restart"/>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固体废物</w:t>
            </w:r>
          </w:p>
        </w:tc>
        <w:tc>
          <w:tcPr>
            <w:tcW w:w="2078" w:type="pct"/>
            <w:gridSpan w:val="3"/>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清表固废、生活垃圾收集与清运</w:t>
            </w:r>
          </w:p>
        </w:tc>
        <w:tc>
          <w:tcPr>
            <w:tcW w:w="997" w:type="pct"/>
            <w:vAlign w:val="center"/>
          </w:tcPr>
          <w:p>
            <w:pPr>
              <w:pStyle w:val="2968"/>
              <w:rPr>
                <w:rFonts w:cs="Times New Roman"/>
                <w:color w:val="000000" w:themeColor="text1"/>
                <w:u w:val="none"/>
                <w14:textFill>
                  <w14:solidFill>
                    <w14:schemeClr w14:val="tx1"/>
                  </w14:solidFill>
                </w14:textFill>
              </w:rPr>
            </w:pPr>
            <w:r>
              <w:rPr>
                <w:rFonts w:hint="eastAsia" w:cs="Times New Roman"/>
                <w:color w:val="000000" w:themeColor="text1"/>
                <w:u w:val="none"/>
                <w14:textFill>
                  <w14:solidFill>
                    <w14:schemeClr w14:val="tx1"/>
                  </w14:solidFill>
                </w14:textFill>
              </w:rPr>
              <w:t>3</w:t>
            </w:r>
          </w:p>
        </w:tc>
        <w:tc>
          <w:tcPr>
            <w:tcW w:w="449" w:type="pct"/>
            <w:vAlign w:val="center"/>
          </w:tcPr>
          <w:p>
            <w:pPr>
              <w:pStyle w:val="2968"/>
              <w:rPr>
                <w:rFonts w:cs="Times New Roman"/>
                <w:color w:val="000000" w:themeColor="text1"/>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51" w:type="pct"/>
            <w:vMerge w:val="continue"/>
            <w:vAlign w:val="center"/>
          </w:tcPr>
          <w:p>
            <w:pPr>
              <w:pStyle w:val="2968"/>
              <w:rPr>
                <w:rFonts w:cs="Times New Roman"/>
                <w:color w:val="000000" w:themeColor="text1"/>
                <w:u w:val="none"/>
                <w14:textFill>
                  <w14:solidFill>
                    <w14:schemeClr w14:val="tx1"/>
                  </w14:solidFill>
                </w14:textFill>
              </w:rPr>
            </w:pPr>
          </w:p>
        </w:tc>
        <w:tc>
          <w:tcPr>
            <w:tcW w:w="925" w:type="pct"/>
            <w:vMerge w:val="continue"/>
            <w:vAlign w:val="center"/>
          </w:tcPr>
          <w:p>
            <w:pPr>
              <w:pStyle w:val="2968"/>
              <w:rPr>
                <w:rFonts w:cs="Times New Roman"/>
                <w:color w:val="000000" w:themeColor="text1"/>
                <w:u w:val="none"/>
                <w14:textFill>
                  <w14:solidFill>
                    <w14:schemeClr w14:val="tx1"/>
                  </w14:solidFill>
                </w14:textFill>
              </w:rPr>
            </w:pPr>
          </w:p>
        </w:tc>
        <w:tc>
          <w:tcPr>
            <w:tcW w:w="2078" w:type="pct"/>
            <w:gridSpan w:val="3"/>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清淤底泥在岸坡自然干化，喷洒除臭剂，用于</w:t>
            </w:r>
            <w:r>
              <w:rPr>
                <w:rFonts w:hint="eastAsia" w:cs="Times New Roman"/>
                <w:color w:val="000000" w:themeColor="text1"/>
                <w:u w:val="none"/>
                <w14:textFill>
                  <w14:solidFill>
                    <w14:schemeClr w14:val="tx1"/>
                  </w14:solidFill>
                </w14:textFill>
              </w:rPr>
              <w:t>岸坡平整、滚水坝修筑、湿地整形等</w:t>
            </w:r>
          </w:p>
        </w:tc>
        <w:tc>
          <w:tcPr>
            <w:tcW w:w="997" w:type="pct"/>
            <w:vAlign w:val="center"/>
          </w:tcPr>
          <w:p>
            <w:pPr>
              <w:pStyle w:val="2968"/>
              <w:rPr>
                <w:rFonts w:cs="Times New Roman"/>
                <w:color w:val="000000" w:themeColor="text1"/>
                <w:u w:val="none"/>
                <w14:textFill>
                  <w14:solidFill>
                    <w14:schemeClr w14:val="tx1"/>
                  </w14:solidFill>
                </w14:textFill>
              </w:rPr>
            </w:pPr>
            <w:r>
              <w:rPr>
                <w:rFonts w:hint="eastAsia" w:cs="Times New Roman"/>
                <w:color w:val="000000" w:themeColor="text1"/>
                <w:u w:val="none"/>
                <w:lang w:val="en-US" w:eastAsia="zh-CN"/>
                <w14:textFill>
                  <w14:solidFill>
                    <w14:schemeClr w14:val="tx1"/>
                  </w14:solidFill>
                </w14:textFill>
              </w:rPr>
              <w:t>5</w:t>
            </w:r>
            <w:r>
              <w:rPr>
                <w:rFonts w:hint="eastAsia" w:cs="Times New Roman"/>
                <w:color w:val="000000" w:themeColor="text1"/>
                <w:u w:val="none"/>
                <w14:textFill>
                  <w14:solidFill>
                    <w14:schemeClr w14:val="tx1"/>
                  </w14:solidFill>
                </w14:textFill>
              </w:rPr>
              <w:t>.5</w:t>
            </w:r>
          </w:p>
        </w:tc>
        <w:tc>
          <w:tcPr>
            <w:tcW w:w="449" w:type="pct"/>
            <w:vAlign w:val="center"/>
          </w:tcPr>
          <w:p>
            <w:pPr>
              <w:pStyle w:val="2968"/>
              <w:rPr>
                <w:rFonts w:cs="Times New Roman"/>
                <w:color w:val="000000" w:themeColor="text1"/>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51" w:type="pct"/>
            <w:vMerge w:val="continue"/>
            <w:vAlign w:val="center"/>
          </w:tcPr>
          <w:p>
            <w:pPr>
              <w:pStyle w:val="2968"/>
              <w:rPr>
                <w:rFonts w:cs="Times New Roman"/>
                <w:color w:val="000000" w:themeColor="text1"/>
                <w:u w:val="none"/>
                <w14:textFill>
                  <w14:solidFill>
                    <w14:schemeClr w14:val="tx1"/>
                  </w14:solidFill>
                </w14:textFill>
              </w:rPr>
            </w:pPr>
          </w:p>
        </w:tc>
        <w:tc>
          <w:tcPr>
            <w:tcW w:w="925" w:type="pct"/>
            <w:vMerge w:val="continue"/>
            <w:vAlign w:val="center"/>
          </w:tcPr>
          <w:p>
            <w:pPr>
              <w:pStyle w:val="2968"/>
              <w:rPr>
                <w:rFonts w:cs="Times New Roman"/>
                <w:color w:val="000000" w:themeColor="text1"/>
                <w:u w:val="none"/>
                <w14:textFill>
                  <w14:solidFill>
                    <w14:schemeClr w14:val="tx1"/>
                  </w14:solidFill>
                </w14:textFill>
              </w:rPr>
            </w:pPr>
          </w:p>
        </w:tc>
        <w:tc>
          <w:tcPr>
            <w:tcW w:w="2078" w:type="pct"/>
            <w:gridSpan w:val="3"/>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建筑垃圾运送到指定场所</w:t>
            </w:r>
          </w:p>
        </w:tc>
        <w:tc>
          <w:tcPr>
            <w:tcW w:w="997" w:type="pct"/>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0.3</w:t>
            </w:r>
          </w:p>
        </w:tc>
        <w:tc>
          <w:tcPr>
            <w:tcW w:w="449" w:type="pct"/>
            <w:vAlign w:val="center"/>
          </w:tcPr>
          <w:p>
            <w:pPr>
              <w:pStyle w:val="2968"/>
              <w:rPr>
                <w:rFonts w:cs="Times New Roman"/>
                <w:color w:val="000000" w:themeColor="text1"/>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51" w:type="pct"/>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（二）</w:t>
            </w:r>
          </w:p>
        </w:tc>
        <w:tc>
          <w:tcPr>
            <w:tcW w:w="4449" w:type="pct"/>
            <w:gridSpan w:val="6"/>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生态环境保护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695" w:hRule="atLeast"/>
        </w:trPr>
        <w:tc>
          <w:tcPr>
            <w:tcW w:w="551" w:type="pct"/>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1</w:t>
            </w:r>
          </w:p>
        </w:tc>
        <w:tc>
          <w:tcPr>
            <w:tcW w:w="953" w:type="pct"/>
            <w:gridSpan w:val="2"/>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保护措施</w:t>
            </w:r>
          </w:p>
        </w:tc>
        <w:tc>
          <w:tcPr>
            <w:tcW w:w="2050" w:type="pct"/>
            <w:gridSpan w:val="2"/>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本工程属于环境整治项目，本身就是保护环境，因此主要的生态保护措施为宣传、教育等</w:t>
            </w:r>
          </w:p>
        </w:tc>
        <w:tc>
          <w:tcPr>
            <w:tcW w:w="997" w:type="pct"/>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1.0</w:t>
            </w:r>
          </w:p>
        </w:tc>
        <w:tc>
          <w:tcPr>
            <w:tcW w:w="449" w:type="pct"/>
            <w:vAlign w:val="center"/>
          </w:tcPr>
          <w:p>
            <w:pPr>
              <w:pStyle w:val="2968"/>
              <w:rPr>
                <w:rFonts w:cs="Times New Roman"/>
                <w:color w:val="000000" w:themeColor="text1"/>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51" w:type="pct"/>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合计</w:t>
            </w:r>
          </w:p>
        </w:tc>
        <w:tc>
          <w:tcPr>
            <w:tcW w:w="960" w:type="pct"/>
            <w:gridSpan w:val="3"/>
            <w:vAlign w:val="center"/>
          </w:tcPr>
          <w:p>
            <w:pPr>
              <w:pStyle w:val="2968"/>
              <w:rPr>
                <w:rFonts w:cs="Times New Roman"/>
                <w:color w:val="000000" w:themeColor="text1"/>
                <w:u w:val="none"/>
                <w14:textFill>
                  <w14:solidFill>
                    <w14:schemeClr w14:val="tx1"/>
                  </w14:solidFill>
                </w14:textFill>
              </w:rPr>
            </w:pPr>
          </w:p>
        </w:tc>
        <w:tc>
          <w:tcPr>
            <w:tcW w:w="2043" w:type="pct"/>
            <w:vAlign w:val="center"/>
          </w:tcPr>
          <w:p>
            <w:pPr>
              <w:pStyle w:val="2968"/>
              <w:rPr>
                <w:rFonts w:cs="Times New Roman"/>
                <w:color w:val="000000" w:themeColor="text1"/>
                <w:u w:val="none"/>
                <w14:textFill>
                  <w14:solidFill>
                    <w14:schemeClr w14:val="tx1"/>
                  </w14:solidFill>
                </w14:textFill>
              </w:rPr>
            </w:pPr>
          </w:p>
        </w:tc>
        <w:tc>
          <w:tcPr>
            <w:tcW w:w="997" w:type="pct"/>
            <w:vAlign w:val="center"/>
          </w:tcPr>
          <w:p>
            <w:pPr>
              <w:pStyle w:val="2968"/>
              <w:rPr>
                <w:rFonts w:cs="Times New Roman"/>
                <w:color w:val="000000" w:themeColor="text1"/>
                <w:u w:val="none"/>
                <w14:textFill>
                  <w14:solidFill>
                    <w14:schemeClr w14:val="tx1"/>
                  </w14:solidFill>
                </w14:textFill>
              </w:rPr>
            </w:pPr>
            <w:r>
              <w:rPr>
                <w:rFonts w:hint="eastAsia" w:cs="Times New Roman"/>
                <w:color w:val="000000" w:themeColor="text1"/>
                <w:u w:val="none"/>
                <w:lang w:val="en-US" w:eastAsia="zh-CN"/>
                <w14:textFill>
                  <w14:solidFill>
                    <w14:schemeClr w14:val="tx1"/>
                  </w14:solidFill>
                </w14:textFill>
              </w:rPr>
              <w:t>67</w:t>
            </w:r>
            <w:r>
              <w:rPr>
                <w:rFonts w:hint="eastAsia" w:cs="Times New Roman"/>
                <w:color w:val="000000" w:themeColor="text1"/>
                <w:u w:val="none"/>
                <w14:textFill>
                  <w14:solidFill>
                    <w14:schemeClr w14:val="tx1"/>
                  </w14:solidFill>
                </w14:textFill>
              </w:rPr>
              <w:t>.3</w:t>
            </w:r>
          </w:p>
        </w:tc>
        <w:tc>
          <w:tcPr>
            <w:tcW w:w="449" w:type="pct"/>
            <w:vAlign w:val="center"/>
          </w:tcPr>
          <w:p>
            <w:pPr>
              <w:pStyle w:val="2968"/>
              <w:rPr>
                <w:rFonts w:cs="Times New Roman"/>
                <w:color w:val="000000" w:themeColor="text1"/>
                <w:u w:val="none"/>
                <w14:textFill>
                  <w14:solidFill>
                    <w14:schemeClr w14:val="tx1"/>
                  </w14:solidFill>
                </w14:textFill>
              </w:rPr>
            </w:pPr>
            <w:r>
              <w:rPr>
                <w:rFonts w:cs="Times New Roman"/>
                <w:color w:val="000000" w:themeColor="text1"/>
                <w:u w:val="none"/>
                <w14:textFill>
                  <w14:solidFill>
                    <w14:schemeClr w14:val="tx1"/>
                  </w14:solidFill>
                </w14:textFill>
              </w:rPr>
              <w:t>/</w:t>
            </w:r>
          </w:p>
        </w:tc>
      </w:tr>
    </w:tbl>
    <w:p>
      <w:pPr>
        <w:pStyle w:val="5"/>
        <w:tabs>
          <w:tab w:val="left" w:pos="766"/>
        </w:tabs>
        <w:autoSpaceDE/>
        <w:autoSpaceDN/>
        <w:adjustRightInd w:val="0"/>
        <w:snapToGrid w:val="0"/>
        <w:spacing w:before="0" w:line="360" w:lineRule="auto"/>
        <w:ind w:left="0" w:firstLine="0"/>
        <w:jc w:val="both"/>
        <w:rPr>
          <w:rFonts w:ascii="Times New Roman" w:hAnsi="Times New Roman" w:cs="Times New Roman"/>
          <w:snapToGrid w:val="0"/>
        </w:rPr>
      </w:pPr>
      <w:bookmarkStart w:id="379" w:name="_bookmark50"/>
      <w:bookmarkEnd w:id="379"/>
      <w:bookmarkStart w:id="380" w:name="_Toc9391"/>
      <w:r>
        <w:rPr>
          <w:rFonts w:ascii="Times New Roman" w:hAnsi="Times New Roman" w:cs="Times New Roman"/>
          <w:snapToGrid w:val="0"/>
        </w:rPr>
        <w:t>7.2社会效益</w:t>
      </w:r>
      <w:bookmarkEnd w:id="380"/>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color w:val="auto"/>
          <w:u w:val="single"/>
        </w:rPr>
      </w:pPr>
      <w:r>
        <w:rPr>
          <w:rFonts w:hint="eastAsia" w:ascii="Times New Roman" w:hAnsi="Times New Roman" w:cs="Times New Roman"/>
          <w:color w:val="auto"/>
          <w:u w:val="single"/>
        </w:rPr>
        <w:t>项目实施可有效促进区域生态环境的良性循环，实现区域社会经济的可持续发展。优化区域经济发展投资环境，增加税收和财政收入。可解决一批突出的热点、难点环境问题，完善环境基础设施建设，改善水环境质量，改善人民的生活环境和当地的投资环境，吸引资金，加速发展，从而提高人民的生活质量。提高居民的环境保护与生态文明意识程度，促进社会安定团结，促进经济可持续发展。</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color w:val="auto"/>
          <w:u w:val="single"/>
        </w:rPr>
      </w:pPr>
      <w:r>
        <w:rPr>
          <w:rFonts w:hint="eastAsia" w:ascii="Times New Roman" w:hAnsi="Times New Roman" w:cs="Times New Roman"/>
          <w:color w:val="auto"/>
          <w:u w:val="single"/>
        </w:rPr>
        <w:t>（1）项目实施过程中，无论在工程建设期，还是运营管理期间，建议尽量使用农民劳务工，增加地方农民劳务收入。环境改善将多方位增加就业机会，增加当地农民收入，促进经济增长。</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color w:val="auto"/>
          <w:u w:val="single"/>
        </w:rPr>
      </w:pPr>
      <w:r>
        <w:rPr>
          <w:rFonts w:hint="eastAsia" w:ascii="Times New Roman" w:hAnsi="Times New Roman" w:cs="Times New Roman"/>
          <w:color w:val="auto"/>
          <w:u w:val="single"/>
        </w:rPr>
        <w:t>（2）经过本项目工程治理实施，流域范围内的饮用水水源区得到更有力的保护，为区域经济的持续发展与人民的身体健康提供了最基本保障。</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color w:val="auto"/>
          <w:u w:val="single"/>
        </w:rPr>
      </w:pPr>
      <w:r>
        <w:rPr>
          <w:rFonts w:hint="eastAsia" w:ascii="Times New Roman" w:hAnsi="Times New Roman" w:cs="Times New Roman"/>
          <w:color w:val="auto"/>
          <w:u w:val="single"/>
        </w:rPr>
        <w:t>（3）经过本项目工程治理实施，</w:t>
      </w:r>
      <w:r>
        <w:rPr>
          <w:rFonts w:hint="eastAsia" w:ascii="Times New Roman" w:hAnsi="Times New Roman" w:cs="Times New Roman"/>
          <w:color w:val="auto"/>
          <w:u w:val="single"/>
          <w:lang w:eastAsia="zh-CN"/>
        </w:rPr>
        <w:t>祁水</w:t>
      </w:r>
      <w:r>
        <w:rPr>
          <w:rFonts w:hint="eastAsia" w:ascii="Times New Roman" w:hAnsi="Times New Roman" w:cs="Times New Roman"/>
          <w:color w:val="auto"/>
          <w:u w:val="single"/>
        </w:rPr>
        <w:t>流域的生态环境能得到较大程度的改善，居民生活环境也得到提高。宜人的自然生态环境可以改善居民的活动空间，提高居民的生活品质。</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color w:val="auto"/>
          <w:u w:val="single"/>
        </w:rPr>
      </w:pPr>
      <w:r>
        <w:rPr>
          <w:rFonts w:hint="eastAsia" w:ascii="Times New Roman" w:hAnsi="Times New Roman" w:cs="Times New Roman"/>
          <w:color w:val="auto"/>
          <w:u w:val="single"/>
        </w:rPr>
        <w:t>（4）提高居民的环境保护意识，项目实施过程就是一次深刻、生动的环境保护宣传过程，通过具体措施之增强，将使流域环境保护产生质的飞跃，保护环境、节约资源将成为居民的自觉行为。环保意识的增强，将使人们生活的方方面面发生潜移默化的改变，以人与自然的和谐促进人与人的和谐，用环境的美学价值提升人们的整体素质，缓解社会矛盾，促进社会和谐。</w:t>
      </w:r>
    </w:p>
    <w:p>
      <w:pPr>
        <w:autoSpaceDE/>
        <w:autoSpaceDN/>
        <w:adjustRightInd w:val="0"/>
        <w:snapToGrid w:val="0"/>
        <w:spacing w:line="360" w:lineRule="auto"/>
        <w:jc w:val="both"/>
        <w:outlineLvl w:val="2"/>
        <w:rPr>
          <w:rFonts w:ascii="Times New Roman" w:hAnsi="Times New Roman" w:cs="Times New Roman"/>
          <w:b/>
          <w:color w:val="auto"/>
          <w:sz w:val="28"/>
          <w:szCs w:val="24"/>
          <w:u w:val="single"/>
        </w:rPr>
      </w:pPr>
      <w:bookmarkStart w:id="381" w:name="_bookmark51"/>
      <w:bookmarkEnd w:id="381"/>
      <w:bookmarkStart w:id="382" w:name="_Toc15894"/>
      <w:bookmarkStart w:id="383" w:name="_Toc66206134"/>
      <w:bookmarkStart w:id="384" w:name="_Toc69284666"/>
      <w:bookmarkStart w:id="385" w:name="_Toc82593209"/>
      <w:r>
        <w:rPr>
          <w:rFonts w:ascii="Times New Roman" w:hAnsi="Times New Roman" w:cs="Times New Roman"/>
          <w:b/>
          <w:color w:val="auto"/>
          <w:sz w:val="28"/>
          <w:szCs w:val="24"/>
          <w:u w:val="single"/>
        </w:rPr>
        <w:t>7.3.1</w:t>
      </w:r>
      <w:r>
        <w:rPr>
          <w:rFonts w:hint="eastAsia" w:ascii="Times New Roman" w:hAnsi="Times New Roman" w:cs="Times New Roman"/>
          <w:b/>
          <w:color w:val="auto"/>
          <w:sz w:val="28"/>
          <w:szCs w:val="24"/>
          <w:u w:val="single"/>
          <w:lang w:eastAsia="zh-CN"/>
        </w:rPr>
        <w:t>环境</w:t>
      </w:r>
      <w:r>
        <w:rPr>
          <w:rFonts w:ascii="Times New Roman" w:hAnsi="Times New Roman" w:cs="Times New Roman"/>
          <w:b/>
          <w:color w:val="auto"/>
          <w:sz w:val="28"/>
          <w:szCs w:val="24"/>
          <w:u w:val="single"/>
        </w:rPr>
        <w:t>正效益</w:t>
      </w:r>
      <w:bookmarkEnd w:id="382"/>
      <w:bookmarkEnd w:id="383"/>
      <w:bookmarkEnd w:id="384"/>
      <w:bookmarkEnd w:id="385"/>
    </w:p>
    <w:p>
      <w:pPr>
        <w:adjustRightInd w:val="0"/>
        <w:spacing w:line="360" w:lineRule="auto"/>
        <w:ind w:firstLine="480" w:firstLineChars="200"/>
        <w:rPr>
          <w:rFonts w:hint="default" w:ascii="Times New Roman" w:hAnsi="Times New Roman" w:eastAsia="宋体" w:cs="Times New Roman"/>
          <w:b/>
          <w:bCs/>
          <w:color w:val="auto"/>
          <w:sz w:val="24"/>
          <w:highlight w:val="none"/>
          <w:u w:val="single"/>
        </w:rPr>
      </w:pPr>
      <w:r>
        <w:rPr>
          <w:rFonts w:hint="default" w:ascii="Times New Roman" w:hAnsi="Times New Roman" w:eastAsia="宋体" w:cs="Times New Roman"/>
          <w:color w:val="auto"/>
          <w:sz w:val="24"/>
          <w:highlight w:val="none"/>
          <w:u w:val="single"/>
        </w:rPr>
        <w:t xml:space="preserve">通过人工湿地水质净化能够有效去除入河支流及入河口的内源污染，同时通过建设河滨缓冲带、水体生态保护修复系统能有效的对水体中的氮、磷等物质进行拦截、吸附、沉积和吸收利用，达到削减水体污染负荷的目的。通过对内源污染的去除与水体污染的修复，可大大削减河流水体中的氮、磷的总量。本项目污染物消减量可达到：COD </w:t>
      </w:r>
      <w:r>
        <w:rPr>
          <w:rFonts w:hint="eastAsia" w:ascii="Times New Roman" w:hAnsi="Times New Roman" w:cs="Times New Roman"/>
          <w:color w:val="auto"/>
          <w:sz w:val="24"/>
          <w:highlight w:val="none"/>
          <w:u w:val="single"/>
          <w:lang w:val="en-US" w:eastAsia="zh-CN"/>
        </w:rPr>
        <w:t>62.415</w:t>
      </w:r>
      <w:r>
        <w:rPr>
          <w:rFonts w:hint="default" w:ascii="Times New Roman" w:hAnsi="Times New Roman" w:eastAsia="宋体" w:cs="Times New Roman"/>
          <w:color w:val="auto"/>
          <w:sz w:val="24"/>
          <w:highlight w:val="none"/>
          <w:u w:val="single"/>
        </w:rPr>
        <w:t xml:space="preserve"> t/a ；NH</w:t>
      </w:r>
      <w:r>
        <w:rPr>
          <w:rFonts w:hint="default" w:ascii="Times New Roman" w:hAnsi="Times New Roman" w:eastAsia="宋体" w:cs="Times New Roman"/>
          <w:color w:val="auto"/>
          <w:sz w:val="24"/>
          <w:highlight w:val="none"/>
          <w:u w:val="single"/>
          <w:vertAlign w:val="subscript"/>
        </w:rPr>
        <w:t>3</w:t>
      </w:r>
      <w:r>
        <w:rPr>
          <w:rFonts w:hint="default" w:ascii="Times New Roman" w:hAnsi="Times New Roman" w:eastAsia="宋体" w:cs="Times New Roman"/>
          <w:color w:val="auto"/>
          <w:sz w:val="24"/>
          <w:highlight w:val="none"/>
          <w:u w:val="single"/>
        </w:rPr>
        <w:t xml:space="preserve">-N </w:t>
      </w:r>
      <w:r>
        <w:rPr>
          <w:rFonts w:hint="eastAsia" w:ascii="Times New Roman" w:hAnsi="Times New Roman" w:cs="Times New Roman"/>
          <w:color w:val="auto"/>
          <w:sz w:val="24"/>
          <w:highlight w:val="none"/>
          <w:u w:val="single"/>
          <w:lang w:val="en-US" w:eastAsia="zh-CN"/>
        </w:rPr>
        <w:t>6.32</w:t>
      </w:r>
      <w:r>
        <w:rPr>
          <w:rFonts w:hint="default" w:ascii="Times New Roman" w:hAnsi="Times New Roman" w:eastAsia="宋体" w:cs="Times New Roman"/>
          <w:color w:val="auto"/>
          <w:sz w:val="24"/>
          <w:highlight w:val="none"/>
          <w:u w:val="single"/>
        </w:rPr>
        <w:t xml:space="preserve"> t/a；TN </w:t>
      </w:r>
      <w:r>
        <w:rPr>
          <w:rFonts w:hint="eastAsia" w:ascii="Times New Roman" w:hAnsi="Times New Roman" w:cs="Times New Roman"/>
          <w:color w:val="auto"/>
          <w:sz w:val="24"/>
          <w:highlight w:val="none"/>
          <w:u w:val="single"/>
          <w:lang w:val="en-US" w:eastAsia="zh-CN"/>
        </w:rPr>
        <w:t>18.475</w:t>
      </w:r>
      <w:r>
        <w:rPr>
          <w:rFonts w:hint="default" w:ascii="Times New Roman" w:hAnsi="Times New Roman" w:eastAsia="宋体" w:cs="Times New Roman"/>
          <w:color w:val="auto"/>
          <w:sz w:val="24"/>
          <w:highlight w:val="none"/>
          <w:u w:val="single"/>
        </w:rPr>
        <w:t xml:space="preserve"> t/a；TP </w:t>
      </w:r>
      <w:r>
        <w:rPr>
          <w:rFonts w:hint="eastAsia" w:ascii="Times New Roman" w:hAnsi="Times New Roman" w:cs="Times New Roman"/>
          <w:color w:val="auto"/>
          <w:sz w:val="24"/>
          <w:highlight w:val="none"/>
          <w:u w:val="single"/>
          <w:lang w:val="en-US" w:eastAsia="zh-CN"/>
        </w:rPr>
        <w:t>3.53</w:t>
      </w:r>
      <w:r>
        <w:rPr>
          <w:rFonts w:hint="default" w:ascii="Times New Roman" w:hAnsi="Times New Roman" w:eastAsia="宋体" w:cs="Times New Roman"/>
          <w:color w:val="auto"/>
          <w:sz w:val="24"/>
          <w:highlight w:val="none"/>
          <w:u w:val="single"/>
        </w:rPr>
        <w:t xml:space="preserve"> t/a。</w:t>
      </w:r>
    </w:p>
    <w:p>
      <w:pPr>
        <w:autoSpaceDE/>
        <w:autoSpaceDN/>
        <w:adjustRightInd w:val="0"/>
        <w:snapToGrid w:val="0"/>
        <w:spacing w:line="360" w:lineRule="auto"/>
        <w:jc w:val="both"/>
        <w:outlineLvl w:val="2"/>
        <w:rPr>
          <w:rFonts w:ascii="Times New Roman" w:hAnsi="Times New Roman" w:cs="Times New Roman"/>
          <w:b/>
          <w:color w:val="000000" w:themeColor="text1"/>
          <w:sz w:val="28"/>
          <w:szCs w:val="24"/>
          <w14:textFill>
            <w14:solidFill>
              <w14:schemeClr w14:val="tx1"/>
            </w14:solidFill>
          </w14:textFill>
        </w:rPr>
      </w:pPr>
      <w:bookmarkStart w:id="386" w:name="_Toc32639"/>
      <w:bookmarkStart w:id="387" w:name="_Toc82593210"/>
      <w:bookmarkStart w:id="388" w:name="_Toc69284667"/>
      <w:bookmarkStart w:id="389" w:name="_Toc66206135"/>
      <w:r>
        <w:rPr>
          <w:rFonts w:ascii="Times New Roman" w:hAnsi="Times New Roman" w:cs="Times New Roman"/>
          <w:b/>
          <w:color w:val="000000" w:themeColor="text1"/>
          <w:sz w:val="28"/>
          <w:szCs w:val="24"/>
          <w14:textFill>
            <w14:solidFill>
              <w14:schemeClr w14:val="tx1"/>
            </w14:solidFill>
          </w14:textFill>
        </w:rPr>
        <w:t>7.3.2负效益</w:t>
      </w:r>
      <w:bookmarkEnd w:id="386"/>
      <w:bookmarkEnd w:id="387"/>
      <w:bookmarkEnd w:id="388"/>
      <w:bookmarkEnd w:id="389"/>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（1）水体污染损失分析</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施工场地会对周围水环境构成一定的影响。从工程分析可知，在采取有效防治措施后，项目施工期废水排放对水环境的影响较小。因此，项目施工造成的水体污染损失不明显。 </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（2）大气污染损失分析</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本项目产生的废气以底泥臭气和施工扬尘为主，从工程分析来看，施工过程产生的废气影响对象主要是施工人员，其次是施工场地周边的居民。通过采取污染防治措施，这些影响会大大降低。此外，施工期结束后，这些影响也将随之消除。因此，总体上看，施工过程排放废气引起的污染损失不大。 </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（3）噪声污染损失分析</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通过选择噪声较小设备，并在施工期间采取隔挡和消声措施，合理安排施工时间，禁止夜间施工，对周围居民点的影响可以控制在标准允许范围之内。因此，噪声引起的污染损失也不明显。</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（4）生态环境影响损失分析</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的建设不可避免地将造成一定的水土流失，从而使环境生态效益遭受损失。项目在规划设计阶段已考虑水土流失的防治、生态环境的保护，将在建设期末恢复植被，对裸露的地面进行绿化，使被破坏的生态得以恢复。</w:t>
      </w:r>
    </w:p>
    <w:p>
      <w:pPr>
        <w:pStyle w:val="5"/>
        <w:tabs>
          <w:tab w:val="left" w:pos="766"/>
        </w:tabs>
        <w:autoSpaceDE/>
        <w:autoSpaceDN/>
        <w:adjustRightInd w:val="0"/>
        <w:snapToGrid w:val="0"/>
        <w:spacing w:before="0" w:line="360" w:lineRule="auto"/>
        <w:ind w:left="0" w:firstLine="0"/>
        <w:jc w:val="both"/>
        <w:rPr>
          <w:rFonts w:ascii="Times New Roman" w:hAnsi="Times New Roman" w:cs="Times New Roman"/>
          <w:snapToGrid w:val="0"/>
          <w:color w:val="000000" w:themeColor="text1"/>
          <w14:textFill>
            <w14:solidFill>
              <w14:schemeClr w14:val="tx1"/>
            </w14:solidFill>
          </w14:textFill>
        </w:rPr>
      </w:pPr>
      <w:bookmarkStart w:id="390" w:name="_bookmark53"/>
      <w:bookmarkEnd w:id="390"/>
      <w:bookmarkStart w:id="391" w:name="_Toc22"/>
      <w:bookmarkStart w:id="392" w:name="_Toc107572181"/>
      <w:r>
        <w:rPr>
          <w:rFonts w:ascii="Times New Roman" w:hAnsi="Times New Roman" w:cs="Times New Roman"/>
          <w:snapToGrid w:val="0"/>
          <w:color w:val="000000" w:themeColor="text1"/>
          <w14:textFill>
            <w14:solidFill>
              <w14:schemeClr w14:val="tx1"/>
            </w14:solidFill>
          </w14:textFill>
        </w:rPr>
        <w:t>7.4环境损益分析结论</w:t>
      </w:r>
      <w:bookmarkEnd w:id="391"/>
      <w:bookmarkEnd w:id="392"/>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color w:val="000000" w:themeColor="text1"/>
          <w14:textFill>
            <w14:solidFill>
              <w14:schemeClr w14:val="tx1"/>
            </w14:solidFill>
          </w14:textFill>
        </w:rPr>
        <w:t>总体来说，项目的建设带来的正面效益和有利影响是主要的，其生态景观的有形效应和无形效应将是长期的，对环境可能带来的不利影响和负效应，可以通过多种有效治理措施给予消除和减轻，将影响程度降到最小。</w:t>
      </w:r>
    </w:p>
    <w:p>
      <w:pPr>
        <w:pStyle w:val="2"/>
        <w:autoSpaceDE/>
        <w:autoSpaceDN/>
        <w:adjustRightInd w:val="0"/>
        <w:snapToGrid w:val="0"/>
        <w:spacing w:before="0" w:line="360" w:lineRule="auto"/>
        <w:ind w:left="0"/>
        <w:jc w:val="both"/>
        <w:rPr>
          <w:rFonts w:ascii="Times New Roman" w:hAnsi="Times New Roman" w:cs="Times New Roman"/>
        </w:rPr>
        <w:sectPr>
          <w:type w:val="nextColumn"/>
          <w:pgSz w:w="11910" w:h="16840"/>
          <w:pgMar w:top="1378" w:right="1542" w:bottom="1378" w:left="1559" w:header="877" w:footer="1077" w:gutter="0"/>
          <w:pgBorders>
            <w:top w:val="none" w:sz="0" w:space="0"/>
            <w:left w:val="none" w:sz="0" w:space="0"/>
            <w:bottom w:val="none" w:sz="0" w:space="0"/>
            <w:right w:val="none" w:sz="0" w:space="0"/>
          </w:pgBorders>
          <w:pgNumType w:fmt="decimal"/>
          <w:cols w:space="720" w:num="1"/>
          <w:docGrid w:linePitch="299" w:charSpace="0"/>
        </w:sectPr>
      </w:pPr>
    </w:p>
    <w:p>
      <w:pPr>
        <w:pStyle w:val="4"/>
        <w:autoSpaceDE/>
        <w:autoSpaceDN/>
        <w:adjustRightInd w:val="0"/>
        <w:snapToGrid w:val="0"/>
        <w:spacing w:before="0" w:line="360" w:lineRule="auto"/>
        <w:ind w:right="0"/>
        <w:jc w:val="left"/>
        <w:rPr>
          <w:rFonts w:ascii="Times New Roman" w:hAnsi="Times New Roman" w:cs="Times New Roman" w:eastAsiaTheme="minorEastAsia"/>
          <w:sz w:val="32"/>
        </w:rPr>
      </w:pPr>
      <w:bookmarkStart w:id="393" w:name="_Toc9934"/>
      <w:r>
        <w:rPr>
          <w:rFonts w:ascii="Times New Roman" w:hAnsi="Times New Roman" w:cs="Times New Roman" w:eastAsiaTheme="minorEastAsia"/>
          <w:sz w:val="32"/>
        </w:rPr>
        <w:t>8.环境管理与监测计划</w:t>
      </w:r>
      <w:bookmarkEnd w:id="393"/>
    </w:p>
    <w:p>
      <w:pPr>
        <w:pStyle w:val="5"/>
        <w:tabs>
          <w:tab w:val="left" w:pos="766"/>
        </w:tabs>
        <w:autoSpaceDE/>
        <w:autoSpaceDN/>
        <w:adjustRightInd w:val="0"/>
        <w:snapToGrid w:val="0"/>
        <w:spacing w:before="0" w:line="360" w:lineRule="auto"/>
        <w:ind w:left="0" w:firstLine="0"/>
        <w:jc w:val="both"/>
        <w:rPr>
          <w:rFonts w:ascii="Times New Roman" w:hAnsi="Times New Roman" w:cs="Times New Roman"/>
          <w:snapToGrid w:val="0"/>
        </w:rPr>
      </w:pPr>
      <w:bookmarkStart w:id="394" w:name="_bookmark55"/>
      <w:bookmarkEnd w:id="394"/>
      <w:bookmarkStart w:id="395" w:name="_Toc5215"/>
      <w:r>
        <w:rPr>
          <w:rFonts w:ascii="Times New Roman" w:hAnsi="Times New Roman" w:cs="Times New Roman"/>
          <w:snapToGrid w:val="0"/>
        </w:rPr>
        <w:t>8.1环境管理</w:t>
      </w:r>
      <w:bookmarkEnd w:id="395"/>
    </w:p>
    <w:p>
      <w:pPr>
        <w:autoSpaceDE/>
        <w:autoSpaceDN/>
        <w:adjustRightInd w:val="0"/>
        <w:snapToGrid w:val="0"/>
        <w:spacing w:line="360" w:lineRule="auto"/>
        <w:jc w:val="both"/>
        <w:outlineLvl w:val="2"/>
        <w:rPr>
          <w:rFonts w:ascii="Times New Roman" w:hAnsi="Times New Roman" w:cs="Times New Roman"/>
          <w:b/>
          <w:sz w:val="28"/>
          <w:szCs w:val="24"/>
        </w:rPr>
      </w:pPr>
      <w:bookmarkStart w:id="396" w:name="_Toc66206139"/>
      <w:bookmarkStart w:id="397" w:name="_Toc69284671"/>
      <w:bookmarkStart w:id="398" w:name="_Toc21746"/>
      <w:bookmarkStart w:id="399" w:name="_Toc82593214"/>
      <w:r>
        <w:rPr>
          <w:rFonts w:ascii="Times New Roman" w:hAnsi="Times New Roman" w:cs="Times New Roman"/>
          <w:b/>
          <w:sz w:val="28"/>
          <w:szCs w:val="24"/>
        </w:rPr>
        <w:t>8.1.1管理目的</w:t>
      </w:r>
      <w:bookmarkEnd w:id="396"/>
      <w:bookmarkEnd w:id="397"/>
      <w:bookmarkEnd w:id="398"/>
      <w:bookmarkEnd w:id="399"/>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保证本工程各项环境保护措施得以顺利实施，减免工程兴建对环境的不利影响，保证工程区环保工作长期开展，维护景观生态稳定性，保持生态环境良性发展，实现水资源开发与环境保护协调发展。</w:t>
      </w:r>
    </w:p>
    <w:p>
      <w:pPr>
        <w:autoSpaceDE/>
        <w:autoSpaceDN/>
        <w:adjustRightInd w:val="0"/>
        <w:snapToGrid w:val="0"/>
        <w:spacing w:line="360" w:lineRule="auto"/>
        <w:jc w:val="both"/>
        <w:outlineLvl w:val="2"/>
        <w:rPr>
          <w:rFonts w:ascii="Times New Roman" w:hAnsi="Times New Roman" w:cs="Times New Roman"/>
          <w:b/>
          <w:sz w:val="28"/>
          <w:szCs w:val="24"/>
        </w:rPr>
      </w:pPr>
      <w:bookmarkStart w:id="400" w:name="_Toc69284672"/>
      <w:bookmarkStart w:id="401" w:name="_Toc11289"/>
      <w:bookmarkStart w:id="402" w:name="_Toc82593215"/>
      <w:bookmarkStart w:id="403" w:name="_Toc66206140"/>
      <w:r>
        <w:rPr>
          <w:rFonts w:ascii="Times New Roman" w:hAnsi="Times New Roman" w:cs="Times New Roman"/>
          <w:b/>
          <w:sz w:val="28"/>
          <w:szCs w:val="24"/>
        </w:rPr>
        <w:t>8.1.2环境管理体系</w:t>
      </w:r>
      <w:bookmarkEnd w:id="400"/>
      <w:bookmarkEnd w:id="401"/>
      <w:bookmarkEnd w:id="402"/>
      <w:bookmarkEnd w:id="403"/>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ascii="Times New Roman" w:hAnsi="Times New Roman" w:cs="Times New Roman"/>
          <w:lang w:eastAsia="zh-CN"/>
        </w:rPr>
        <w:t>祁水祁东县治理工程（祁水三期）</w:t>
      </w:r>
      <w:r>
        <w:rPr>
          <w:rFonts w:ascii="Times New Roman" w:hAnsi="Times New Roman" w:cs="Times New Roman"/>
        </w:rPr>
        <w:t>的环境保护工作由</w:t>
      </w:r>
      <w:r>
        <w:rPr>
          <w:rFonts w:hint="eastAsia" w:ascii="Times New Roman" w:hAnsi="Times New Roman" w:cs="Times New Roman"/>
          <w:lang w:eastAsia="zh-CN"/>
        </w:rPr>
        <w:t>祁东县水利水电管理站</w:t>
      </w:r>
      <w:r>
        <w:rPr>
          <w:rFonts w:ascii="Times New Roman" w:hAnsi="Times New Roman" w:cs="Times New Roman"/>
        </w:rPr>
        <w:t>负责管理，具体负责贯彻执行国家和湖南省各项环保方针、政策、法规和地方环境保护管理规定。建议设立环境监理机构，配置环保专业人员，专门负责本工程施工期的环境保护管理工作。环境管理机构体系见下表。</w:t>
      </w:r>
    </w:p>
    <w:p>
      <w:pPr>
        <w:pStyle w:val="2"/>
        <w:autoSpaceDE/>
        <w:autoSpaceDN/>
        <w:adjustRightInd w:val="0"/>
        <w:snapToGrid w:val="0"/>
        <w:spacing w:before="0" w:line="360" w:lineRule="auto"/>
        <w:ind w:left="0"/>
        <w:jc w:val="center"/>
        <w:rPr>
          <w:rFonts w:ascii="Times New Roman" w:hAnsi="Times New Roman" w:cs="Times New Roman"/>
          <w:b/>
        </w:rPr>
      </w:pPr>
      <w:r>
        <w:rPr>
          <w:rFonts w:ascii="Times New Roman" w:hAnsi="Times New Roman" w:cs="Times New Roman"/>
          <w:b/>
        </w:rPr>
        <w:t xml:space="preserve">表8.1-1 </w:t>
      </w:r>
      <w:r>
        <w:rPr>
          <w:rFonts w:hint="eastAsia" w:ascii="Times New Roman" w:hAnsi="Times New Roman" w:cs="Times New Roman"/>
          <w:b/>
        </w:rPr>
        <w:t xml:space="preserve"> </w:t>
      </w:r>
      <w:r>
        <w:rPr>
          <w:rFonts w:ascii="Times New Roman" w:hAnsi="Times New Roman" w:cs="Times New Roman"/>
          <w:b/>
        </w:rPr>
        <w:t>环境管理体系及程序示意表</w:t>
      </w:r>
    </w:p>
    <w:tbl>
      <w:tblPr>
        <w:tblStyle w:val="90"/>
        <w:tblW w:w="5000" w:type="pct"/>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742"/>
        <w:gridCol w:w="2032"/>
        <w:gridCol w:w="1641"/>
        <w:gridCol w:w="1805"/>
        <w:gridCol w:w="1805"/>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jc w:val="center"/>
        </w:trPr>
        <w:tc>
          <w:tcPr>
            <w:tcW w:w="965"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项目阶段</w:t>
            </w:r>
          </w:p>
        </w:tc>
        <w:tc>
          <w:tcPr>
            <w:tcW w:w="1126"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环境保护内容</w:t>
            </w:r>
          </w:p>
        </w:tc>
        <w:tc>
          <w:tcPr>
            <w:tcW w:w="909"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环境保护措施执行单位</w:t>
            </w:r>
          </w:p>
        </w:tc>
        <w:tc>
          <w:tcPr>
            <w:tcW w:w="1000"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环境保护管理部门</w:t>
            </w:r>
          </w:p>
        </w:tc>
        <w:tc>
          <w:tcPr>
            <w:tcW w:w="1000"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环境保护监督部门</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jc w:val="center"/>
        </w:trPr>
        <w:tc>
          <w:tcPr>
            <w:tcW w:w="965"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工程可行性研究阶段</w:t>
            </w:r>
          </w:p>
        </w:tc>
        <w:tc>
          <w:tcPr>
            <w:tcW w:w="1126"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环境影响评价</w:t>
            </w:r>
          </w:p>
        </w:tc>
        <w:tc>
          <w:tcPr>
            <w:tcW w:w="909"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评价单位</w:t>
            </w:r>
          </w:p>
        </w:tc>
        <w:tc>
          <w:tcPr>
            <w:tcW w:w="1000" w:type="pct"/>
            <w:vAlign w:val="center"/>
          </w:tcPr>
          <w:p>
            <w:pPr>
              <w:pStyle w:val="2"/>
              <w:autoSpaceDE/>
              <w:autoSpaceDN/>
              <w:adjustRightInd w:val="0"/>
              <w:snapToGrid w:val="0"/>
              <w:spacing w:before="0"/>
              <w:ind w:left="0"/>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祁东县水利水电管理站</w:t>
            </w:r>
          </w:p>
        </w:tc>
        <w:tc>
          <w:tcPr>
            <w:tcW w:w="1000"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hint="eastAsia" w:ascii="Times New Roman" w:hAnsi="Times New Roman" w:cs="Times New Roman"/>
                <w:sz w:val="21"/>
                <w:lang w:eastAsia="zh-CN"/>
              </w:rPr>
              <w:t>衡阳市</w:t>
            </w:r>
            <w:r>
              <w:rPr>
                <w:rFonts w:ascii="Times New Roman" w:hAnsi="Times New Roman" w:cs="Times New Roman"/>
                <w:sz w:val="21"/>
              </w:rPr>
              <w:t>生态环境局</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jc w:val="center"/>
        </w:trPr>
        <w:tc>
          <w:tcPr>
            <w:tcW w:w="965"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设计期</w:t>
            </w:r>
          </w:p>
        </w:tc>
        <w:tc>
          <w:tcPr>
            <w:tcW w:w="1126"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环境工程设计</w:t>
            </w:r>
          </w:p>
        </w:tc>
        <w:tc>
          <w:tcPr>
            <w:tcW w:w="909"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设计单位</w:t>
            </w:r>
          </w:p>
        </w:tc>
        <w:tc>
          <w:tcPr>
            <w:tcW w:w="1000" w:type="pct"/>
            <w:vAlign w:val="center"/>
          </w:tcPr>
          <w:p>
            <w:pPr>
              <w:pStyle w:val="2"/>
              <w:autoSpaceDE/>
              <w:autoSpaceDN/>
              <w:adjustRightInd w:val="0"/>
              <w:snapToGrid w:val="0"/>
              <w:spacing w:before="0"/>
              <w:ind w:left="0"/>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祁东县水利水电管理站</w:t>
            </w:r>
          </w:p>
        </w:tc>
        <w:tc>
          <w:tcPr>
            <w:tcW w:w="1000"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hint="eastAsia" w:ascii="Times New Roman" w:hAnsi="Times New Roman" w:cs="Times New Roman"/>
                <w:sz w:val="21"/>
                <w:lang w:eastAsia="zh-CN"/>
              </w:rPr>
              <w:t>衡阳市</w:t>
            </w:r>
            <w:r>
              <w:rPr>
                <w:rFonts w:ascii="Times New Roman" w:hAnsi="Times New Roman" w:cs="Times New Roman"/>
                <w:sz w:val="21"/>
              </w:rPr>
              <w:t>生态环境局</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jc w:val="center"/>
        </w:trPr>
        <w:tc>
          <w:tcPr>
            <w:tcW w:w="965"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施工期</w:t>
            </w:r>
          </w:p>
        </w:tc>
        <w:tc>
          <w:tcPr>
            <w:tcW w:w="1126"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施工环保措施处理突发性环境问题</w:t>
            </w:r>
          </w:p>
        </w:tc>
        <w:tc>
          <w:tcPr>
            <w:tcW w:w="909"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承包商</w:t>
            </w:r>
          </w:p>
        </w:tc>
        <w:tc>
          <w:tcPr>
            <w:tcW w:w="1000" w:type="pct"/>
            <w:vAlign w:val="center"/>
          </w:tcPr>
          <w:p>
            <w:pPr>
              <w:pStyle w:val="2"/>
              <w:autoSpaceDE/>
              <w:autoSpaceDN/>
              <w:adjustRightInd w:val="0"/>
              <w:snapToGrid w:val="0"/>
              <w:spacing w:before="0"/>
              <w:ind w:left="0"/>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祁东县水利水电管理站</w:t>
            </w:r>
          </w:p>
        </w:tc>
        <w:tc>
          <w:tcPr>
            <w:tcW w:w="1000"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hint="eastAsia" w:ascii="Times New Roman" w:hAnsi="Times New Roman" w:cs="Times New Roman"/>
                <w:sz w:val="21"/>
                <w:lang w:eastAsia="zh-CN"/>
              </w:rPr>
              <w:t>衡阳市</w:t>
            </w:r>
            <w:r>
              <w:rPr>
                <w:rFonts w:ascii="Times New Roman" w:hAnsi="Times New Roman" w:cs="Times New Roman"/>
                <w:sz w:val="21"/>
              </w:rPr>
              <w:t>生态环境局</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jc w:val="center"/>
        </w:trPr>
        <w:tc>
          <w:tcPr>
            <w:tcW w:w="965"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运营期</w:t>
            </w:r>
          </w:p>
        </w:tc>
        <w:tc>
          <w:tcPr>
            <w:tcW w:w="1126"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环境监测及管理</w:t>
            </w:r>
          </w:p>
        </w:tc>
        <w:tc>
          <w:tcPr>
            <w:tcW w:w="909"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委托监测单位</w:t>
            </w:r>
          </w:p>
        </w:tc>
        <w:tc>
          <w:tcPr>
            <w:tcW w:w="1000" w:type="pct"/>
            <w:vAlign w:val="center"/>
          </w:tcPr>
          <w:p>
            <w:pPr>
              <w:pStyle w:val="2"/>
              <w:autoSpaceDE/>
              <w:autoSpaceDN/>
              <w:adjustRightInd w:val="0"/>
              <w:snapToGrid w:val="0"/>
              <w:spacing w:before="0"/>
              <w:ind w:left="0"/>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祁东县水利水电管理站</w:t>
            </w:r>
          </w:p>
        </w:tc>
        <w:tc>
          <w:tcPr>
            <w:tcW w:w="1000"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hint="eastAsia" w:ascii="Times New Roman" w:hAnsi="Times New Roman" w:cs="Times New Roman"/>
                <w:sz w:val="21"/>
                <w:lang w:eastAsia="zh-CN"/>
              </w:rPr>
              <w:t>衡阳市</w:t>
            </w:r>
            <w:r>
              <w:rPr>
                <w:rFonts w:ascii="Times New Roman" w:hAnsi="Times New Roman" w:cs="Times New Roman"/>
                <w:sz w:val="21"/>
              </w:rPr>
              <w:t>生态环境局</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jc w:val="center"/>
        </w:trPr>
        <w:tc>
          <w:tcPr>
            <w:tcW w:w="965"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竣工验收期</w:t>
            </w:r>
          </w:p>
        </w:tc>
        <w:tc>
          <w:tcPr>
            <w:tcW w:w="1126"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ascii="Times New Roman" w:hAnsi="Times New Roman" w:cs="Times New Roman"/>
                <w:sz w:val="21"/>
              </w:rPr>
              <w:t>竣工验收调查报告</w:t>
            </w:r>
          </w:p>
        </w:tc>
        <w:tc>
          <w:tcPr>
            <w:tcW w:w="909" w:type="pct"/>
            <w:vAlign w:val="center"/>
          </w:tcPr>
          <w:p>
            <w:pPr>
              <w:pStyle w:val="2"/>
              <w:autoSpaceDE/>
              <w:autoSpaceDN/>
              <w:adjustRightInd w:val="0"/>
              <w:snapToGrid w:val="0"/>
              <w:spacing w:before="0"/>
              <w:ind w:left="0"/>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祁东县水利水电管理站</w:t>
            </w:r>
          </w:p>
        </w:tc>
        <w:tc>
          <w:tcPr>
            <w:tcW w:w="1000" w:type="pct"/>
            <w:vAlign w:val="center"/>
          </w:tcPr>
          <w:p>
            <w:pPr>
              <w:pStyle w:val="2"/>
              <w:autoSpaceDE/>
              <w:autoSpaceDN/>
              <w:adjustRightInd w:val="0"/>
              <w:snapToGrid w:val="0"/>
              <w:spacing w:before="0"/>
              <w:ind w:left="0"/>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祁东县水利水电管理站</w:t>
            </w:r>
          </w:p>
        </w:tc>
        <w:tc>
          <w:tcPr>
            <w:tcW w:w="1000" w:type="pct"/>
            <w:vAlign w:val="center"/>
          </w:tcPr>
          <w:p>
            <w:pPr>
              <w:pStyle w:val="2"/>
              <w:autoSpaceDE/>
              <w:autoSpaceDN/>
              <w:adjustRightInd w:val="0"/>
              <w:snapToGrid w:val="0"/>
              <w:spacing w:before="0"/>
              <w:ind w:left="0"/>
              <w:jc w:val="center"/>
              <w:rPr>
                <w:rFonts w:ascii="Times New Roman" w:hAnsi="Times New Roman" w:cs="Times New Roman"/>
                <w:sz w:val="21"/>
              </w:rPr>
            </w:pPr>
            <w:r>
              <w:rPr>
                <w:rFonts w:hint="eastAsia" w:ascii="Times New Roman" w:hAnsi="Times New Roman" w:cs="Times New Roman"/>
                <w:sz w:val="21"/>
                <w:lang w:eastAsia="zh-CN"/>
              </w:rPr>
              <w:t>衡阳市</w:t>
            </w:r>
            <w:r>
              <w:rPr>
                <w:rFonts w:ascii="Times New Roman" w:hAnsi="Times New Roman" w:cs="Times New Roman"/>
                <w:sz w:val="21"/>
              </w:rPr>
              <w:t>生态环境局</w:t>
            </w:r>
          </w:p>
        </w:tc>
      </w:tr>
    </w:tbl>
    <w:p>
      <w:pPr>
        <w:autoSpaceDE/>
        <w:autoSpaceDN/>
        <w:adjustRightInd w:val="0"/>
        <w:snapToGrid w:val="0"/>
        <w:spacing w:line="360" w:lineRule="auto"/>
        <w:jc w:val="both"/>
        <w:outlineLvl w:val="2"/>
        <w:rPr>
          <w:rFonts w:ascii="Times New Roman" w:hAnsi="Times New Roman" w:cs="Times New Roman"/>
          <w:b/>
          <w:sz w:val="28"/>
          <w:szCs w:val="24"/>
        </w:rPr>
      </w:pPr>
      <w:bookmarkStart w:id="404" w:name="_Toc69284673"/>
      <w:bookmarkStart w:id="405" w:name="_Toc32244"/>
      <w:bookmarkStart w:id="406" w:name="_Toc66206141"/>
      <w:bookmarkStart w:id="407" w:name="_Toc82593216"/>
      <w:r>
        <w:rPr>
          <w:rFonts w:ascii="Times New Roman" w:hAnsi="Times New Roman" w:cs="Times New Roman"/>
          <w:b/>
          <w:sz w:val="28"/>
          <w:szCs w:val="24"/>
        </w:rPr>
        <w:t>8.1.3环境管理职责</w:t>
      </w:r>
      <w:bookmarkEnd w:id="404"/>
      <w:bookmarkEnd w:id="405"/>
      <w:bookmarkEnd w:id="406"/>
      <w:bookmarkEnd w:id="407"/>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（1）贯彻执行国家、省内各项环境保护方针、政策和法规；</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2）负责编制本工程在施工期的环境保护规划及行动计划，督促初步设计单位依据报告书及其批复要求，在编制初步设计的同时，同步完成环境保护工程设计，并将相关投资纳入工程概算，监督报告书中提出的各项环境保护措施的落实情况；</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（3）负责制定运营期环境保护工作制度，组织制定和实施污染事故的应急计划和处理计划，进行环保统计工作；</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（4）组织环境监测计划的实施；</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（5）负责本部门的环保科研、培训、资料收集和先进技术推广工作，提高工作人员的环保意识和素质；</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（6）负责环保设备的使用和维护，确保各项环境保护设施的良好运行。</w:t>
      </w:r>
    </w:p>
    <w:p>
      <w:pPr>
        <w:autoSpaceDE/>
        <w:autoSpaceDN/>
        <w:adjustRightInd w:val="0"/>
        <w:snapToGrid w:val="0"/>
        <w:spacing w:line="360" w:lineRule="auto"/>
        <w:jc w:val="both"/>
        <w:outlineLvl w:val="2"/>
        <w:rPr>
          <w:rFonts w:ascii="Times New Roman" w:hAnsi="Times New Roman" w:cs="Times New Roman"/>
          <w:b/>
          <w:sz w:val="28"/>
          <w:szCs w:val="24"/>
        </w:rPr>
      </w:pPr>
      <w:bookmarkStart w:id="408" w:name="_Toc23712"/>
      <w:bookmarkStart w:id="409" w:name="_Toc69284674"/>
      <w:bookmarkStart w:id="410" w:name="_Toc66206142"/>
      <w:bookmarkStart w:id="411" w:name="_Toc82593217"/>
      <w:r>
        <w:rPr>
          <w:rFonts w:ascii="Times New Roman" w:hAnsi="Times New Roman" w:cs="Times New Roman"/>
          <w:b/>
          <w:sz w:val="28"/>
          <w:szCs w:val="24"/>
        </w:rPr>
        <w:t>8.1.4环境管理内容</w:t>
      </w:r>
      <w:bookmarkEnd w:id="408"/>
      <w:bookmarkEnd w:id="409"/>
      <w:bookmarkEnd w:id="410"/>
      <w:bookmarkEnd w:id="411"/>
    </w:p>
    <w:p>
      <w:pPr>
        <w:autoSpaceDE/>
        <w:autoSpaceDN/>
        <w:adjustRightInd w:val="0"/>
        <w:snapToGrid w:val="0"/>
        <w:spacing w:line="360" w:lineRule="auto"/>
        <w:jc w:val="both"/>
        <w:outlineLvl w:val="3"/>
        <w:rPr>
          <w:rFonts w:ascii="Times New Roman" w:hAnsi="Times New Roman" w:cs="Times New Roman"/>
          <w:b/>
          <w:sz w:val="24"/>
          <w:szCs w:val="24"/>
        </w:rPr>
      </w:pPr>
      <w:r>
        <w:rPr>
          <w:rFonts w:ascii="Times New Roman" w:hAnsi="Times New Roman" w:cs="Times New Roman"/>
          <w:b/>
          <w:sz w:val="24"/>
          <w:szCs w:val="24"/>
        </w:rPr>
        <w:t>8.1.4.1施工期环境管理</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rPr>
        <w:t>①</w:t>
      </w:r>
      <w:r>
        <w:rPr>
          <w:rFonts w:ascii="Times New Roman" w:hAnsi="Times New Roman" w:cs="Times New Roman"/>
        </w:rPr>
        <w:t>根据国家环保政策、标准、环境监测要求和环评报告及批复，制定各子项目施工期环保管理规章制度、各种污染物排放控制指标。</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rPr>
        <w:t>②</w:t>
      </w:r>
      <w:r>
        <w:rPr>
          <w:rFonts w:ascii="Times New Roman" w:hAnsi="Times New Roman" w:cs="Times New Roman"/>
        </w:rPr>
        <w:t>负责监督各子项目内所有施工期环保设施的日常运行管理，保障各环保设施的正常运行，并对环保设施的改进提出积极的建议。</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rPr>
        <w:t>③</w:t>
      </w:r>
      <w:r>
        <w:rPr>
          <w:rFonts w:ascii="Times New Roman" w:hAnsi="Times New Roman" w:cs="Times New Roman"/>
        </w:rPr>
        <w:t>按环评要求督促施工单位对产生的扬尘，应采取相应的围挡和洒水、以及大风天气停止施工等措施，及时清除固废，避免二次扬尘。</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rPr>
        <w:t>④</w:t>
      </w:r>
      <w:r>
        <w:rPr>
          <w:rFonts w:ascii="Times New Roman" w:hAnsi="Times New Roman" w:cs="Times New Roman"/>
        </w:rPr>
        <w:t>按环评要求督促施工单位落实生活污水和施工废水排放去向，严禁施工废水乱排。</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rPr>
        <w:t>⑤</w:t>
      </w:r>
      <w:r>
        <w:rPr>
          <w:rFonts w:ascii="Times New Roman" w:hAnsi="Times New Roman" w:cs="Times New Roman"/>
        </w:rPr>
        <w:tab/>
      </w:r>
      <w:r>
        <w:rPr>
          <w:rFonts w:ascii="Times New Roman" w:hAnsi="Times New Roman" w:cs="Times New Roman"/>
        </w:rPr>
        <w:t>按环评要求督促施工单位妥善落实施工期固废处置去向，严禁固废乱堆乱放。</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rPr>
        <w:t>⑥</w:t>
      </w:r>
      <w:r>
        <w:rPr>
          <w:rFonts w:ascii="Times New Roman" w:hAnsi="Times New Roman" w:cs="Times New Roman"/>
        </w:rPr>
        <w:tab/>
      </w:r>
      <w:r>
        <w:rPr>
          <w:rFonts w:ascii="Times New Roman" w:hAnsi="Times New Roman" w:cs="Times New Roman"/>
        </w:rPr>
        <w:t>按环评要求督促施工单位落实施工期噪声防治措施，应合理布置施工场地的机械和设备，合理有序调度，避免施工期噪声扰民。</w:t>
      </w:r>
    </w:p>
    <w:p>
      <w:pPr>
        <w:autoSpaceDE/>
        <w:autoSpaceDN/>
        <w:adjustRightInd w:val="0"/>
        <w:snapToGrid w:val="0"/>
        <w:spacing w:line="360" w:lineRule="auto"/>
        <w:jc w:val="both"/>
        <w:outlineLvl w:val="3"/>
        <w:rPr>
          <w:rFonts w:ascii="Times New Roman" w:hAnsi="Times New Roman" w:cs="Times New Roman"/>
          <w:b/>
          <w:sz w:val="24"/>
          <w:szCs w:val="24"/>
        </w:rPr>
      </w:pPr>
      <w:r>
        <w:rPr>
          <w:rFonts w:ascii="Times New Roman" w:hAnsi="Times New Roman" w:cs="Times New Roman"/>
          <w:b/>
          <w:sz w:val="24"/>
          <w:szCs w:val="24"/>
        </w:rPr>
        <w:t>8.1.4.2营运期环境管理</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snapToGrid w:val="0"/>
        </w:rPr>
        <w:t>本项目属于</w:t>
      </w:r>
      <w:r>
        <w:rPr>
          <w:rFonts w:hint="eastAsia" w:ascii="Times New Roman" w:hAnsi="Times New Roman" w:cs="Times New Roman"/>
          <w:snapToGrid w:val="0"/>
          <w:lang w:eastAsia="zh-CN"/>
        </w:rPr>
        <w:t>河湖整治</w:t>
      </w:r>
      <w:r>
        <w:rPr>
          <w:rFonts w:ascii="Times New Roman" w:hAnsi="Times New Roman" w:cs="Times New Roman"/>
          <w:snapToGrid w:val="0"/>
        </w:rPr>
        <w:t>项目</w:t>
      </w:r>
      <w:r>
        <w:rPr>
          <w:rFonts w:ascii="Times New Roman" w:hAnsi="Times New Roman" w:cs="Times New Roman"/>
        </w:rPr>
        <w:t>，主要工程内容为</w:t>
      </w:r>
      <w:r>
        <w:rPr>
          <w:rFonts w:hint="eastAsia" w:ascii="Times New Roman" w:hAnsi="Times New Roman" w:cs="Times New Roman"/>
          <w:lang w:eastAsia="zh-CN"/>
        </w:rPr>
        <w:t>生态缓冲带、人工湿地</w:t>
      </w:r>
      <w:r>
        <w:rPr>
          <w:rFonts w:ascii="Times New Roman" w:hAnsi="Times New Roman" w:cs="Times New Roman"/>
        </w:rPr>
        <w:t>等，运营期没有废气、废水、噪声的污染物排放。</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营运期主要生态环境影响属有利影响，通过</w:t>
      </w:r>
      <w:r>
        <w:rPr>
          <w:rFonts w:hint="eastAsia" w:ascii="Times New Roman" w:hAnsi="Times New Roman" w:cs="Times New Roman"/>
          <w:lang w:eastAsia="zh-CN"/>
        </w:rPr>
        <w:t>河流</w:t>
      </w:r>
      <w:r>
        <w:rPr>
          <w:rFonts w:ascii="Times New Roman" w:hAnsi="Times New Roman" w:cs="Times New Roman"/>
        </w:rPr>
        <w:t>生态修复及景观再造，可提高</w:t>
      </w:r>
      <w:r>
        <w:rPr>
          <w:rFonts w:hint="eastAsia" w:ascii="Times New Roman" w:hAnsi="Times New Roman" w:cs="Times New Roman"/>
          <w:lang w:eastAsia="zh-CN"/>
        </w:rPr>
        <w:t>河流</w:t>
      </w:r>
      <w:r>
        <w:rPr>
          <w:rFonts w:ascii="Times New Roman" w:hAnsi="Times New Roman" w:cs="Times New Roman"/>
        </w:rPr>
        <w:t>自身水质净化功能、水生生态系统功能及美化周边环境，</w:t>
      </w:r>
      <w:r>
        <w:rPr>
          <w:rFonts w:hint="eastAsia" w:ascii="Times New Roman" w:hAnsi="Times New Roman" w:cs="Times New Roman"/>
          <w:lang w:eastAsia="zh-CN"/>
        </w:rPr>
        <w:t>改善区域人居环境，提升饮用水源保护区水质</w:t>
      </w:r>
      <w:r>
        <w:rPr>
          <w:rFonts w:ascii="Times New Roman" w:hAnsi="Times New Roman" w:cs="Times New Roman"/>
        </w:rPr>
        <w:t>。</w:t>
      </w:r>
    </w:p>
    <w:p>
      <w:pPr>
        <w:pStyle w:val="5"/>
        <w:tabs>
          <w:tab w:val="left" w:pos="766"/>
        </w:tabs>
        <w:autoSpaceDE/>
        <w:autoSpaceDN/>
        <w:adjustRightInd w:val="0"/>
        <w:snapToGrid w:val="0"/>
        <w:spacing w:before="0" w:line="360" w:lineRule="auto"/>
        <w:ind w:left="0" w:firstLine="0"/>
        <w:jc w:val="both"/>
        <w:rPr>
          <w:rFonts w:ascii="Times New Roman" w:hAnsi="Times New Roman" w:cs="Times New Roman"/>
          <w:snapToGrid w:val="0"/>
        </w:rPr>
      </w:pPr>
      <w:bookmarkStart w:id="412" w:name="_Toc30036"/>
      <w:r>
        <w:rPr>
          <w:rFonts w:ascii="Times New Roman" w:hAnsi="Times New Roman" w:cs="Times New Roman"/>
          <w:snapToGrid w:val="0"/>
        </w:rPr>
        <w:t>8.2环境监理</w:t>
      </w:r>
      <w:bookmarkEnd w:id="412"/>
    </w:p>
    <w:p>
      <w:pPr>
        <w:autoSpaceDE/>
        <w:autoSpaceDN/>
        <w:adjustRightInd w:val="0"/>
        <w:snapToGrid w:val="0"/>
        <w:spacing w:line="360" w:lineRule="auto"/>
        <w:jc w:val="both"/>
        <w:outlineLvl w:val="2"/>
        <w:rPr>
          <w:rFonts w:ascii="Times New Roman" w:hAnsi="Times New Roman" w:cs="Times New Roman"/>
          <w:b/>
          <w:sz w:val="28"/>
          <w:szCs w:val="24"/>
        </w:rPr>
      </w:pPr>
      <w:bookmarkStart w:id="413" w:name="_Toc69284676"/>
      <w:bookmarkStart w:id="414" w:name="_Toc14529"/>
      <w:bookmarkStart w:id="415" w:name="_Toc82593219"/>
      <w:bookmarkStart w:id="416" w:name="_Toc66206144"/>
      <w:r>
        <w:rPr>
          <w:rFonts w:ascii="Times New Roman" w:hAnsi="Times New Roman" w:cs="Times New Roman"/>
          <w:b/>
          <w:sz w:val="28"/>
          <w:szCs w:val="24"/>
        </w:rPr>
        <w:t>8.2.1目的和任务</w:t>
      </w:r>
      <w:bookmarkEnd w:id="413"/>
      <w:bookmarkEnd w:id="414"/>
      <w:bookmarkEnd w:id="415"/>
      <w:bookmarkEnd w:id="416"/>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环境监理是对目前建设项目环境管理制度的完善和补充，是“环境影响评价”制度和“三同时”制度的具体化。它是在项目环境影响评价中根据项目可能出现的环境影响和周围环境要求，提出项目实施过程和项目实施后运行过程中的环境监测、影响审查的具体要求和控制环境污染的操作程序，确保工程在施工期和施工结束后的环保措施得到落实。</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 xml:space="preserve">环境监理是工程监理的重要组成部分，应贯穿工程建设全过程。环境监理工作的主要目的是落实环境影响报告书中所提出的各项环保措施，将工程施工活动产生的不利影响降低到最低程度。 </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 xml:space="preserve">环境监理工程师受业主的委托，在工程建设过程中，对工程环境保护工作进行监督、检查、管理，其任务包括： </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 xml:space="preserve">（1）质量控制：按照国家或地方环境标准和招标文件中的环境保护条款，在工程施工期间，通过现场监督等工作，监理施工单位履行合同环境条款，防止或减轻生态破坏和水土流失，保护人群健康，将工程对地表水环境、环境空气、噪声的污染控制在环境标准允许范围内，并及时处理工程施工中出现的环境问题。 </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 xml:space="preserve">（2）信息管理：及时了解和收集掌握施工区各类信息，并对信息进行分类，反馈、处理和储存管理，便于监理决策和协调工程各参建方的环境保护工作，及时掌握工程区环境状况，解决施工过程中造成的环境纠纷，对施工单位的环境月报、季报进行审核，提出审查、修改意见。 </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（3）组织协调：配合当地环保部门，对环境工程建设质量、施工进度、投资的合理使用、环保设施运行等进行监督管理，确保各项措施落实到实处，发挥实效。</w:t>
      </w:r>
    </w:p>
    <w:p>
      <w:pPr>
        <w:autoSpaceDE/>
        <w:autoSpaceDN/>
        <w:adjustRightInd w:val="0"/>
        <w:snapToGrid w:val="0"/>
        <w:spacing w:line="360" w:lineRule="auto"/>
        <w:jc w:val="both"/>
        <w:outlineLvl w:val="2"/>
        <w:rPr>
          <w:rFonts w:ascii="Times New Roman" w:hAnsi="Times New Roman" w:cs="Times New Roman"/>
          <w:b/>
          <w:sz w:val="28"/>
          <w:szCs w:val="24"/>
        </w:rPr>
      </w:pPr>
      <w:bookmarkStart w:id="417" w:name="_Toc715"/>
      <w:bookmarkStart w:id="418" w:name="_Toc82593220"/>
      <w:r>
        <w:rPr>
          <w:rFonts w:ascii="Times New Roman" w:hAnsi="Times New Roman" w:cs="Times New Roman"/>
          <w:b/>
          <w:sz w:val="28"/>
          <w:szCs w:val="24"/>
        </w:rPr>
        <w:t>8.2.2范围及职责</w:t>
      </w:r>
      <w:bookmarkEnd w:id="417"/>
      <w:bookmarkEnd w:id="418"/>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（1）环境监理范围</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rPr>
        <w:t>①</w:t>
      </w:r>
      <w:r>
        <w:rPr>
          <w:rFonts w:ascii="Times New Roman" w:hAnsi="Times New Roman" w:cs="Times New Roman"/>
        </w:rPr>
        <w:tab/>
      </w:r>
      <w:r>
        <w:rPr>
          <w:rFonts w:ascii="Times New Roman" w:hAnsi="Times New Roman" w:cs="Times New Roman"/>
        </w:rPr>
        <w:t>临时施工生产区：主要包括机械汽车停放场、临时施工区及其周边等区域；</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rPr>
        <w:t>②</w:t>
      </w:r>
      <w:r>
        <w:rPr>
          <w:rFonts w:ascii="Times New Roman" w:hAnsi="Times New Roman" w:cs="Times New Roman"/>
        </w:rPr>
        <w:tab/>
      </w:r>
      <w:r>
        <w:rPr>
          <w:rFonts w:ascii="Times New Roman" w:hAnsi="Times New Roman" w:cs="Times New Roman"/>
        </w:rPr>
        <w:t>施工营地：包括施工区及其周边区域；</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rPr>
        <w:t>③</w:t>
      </w:r>
      <w:r>
        <w:rPr>
          <w:rFonts w:ascii="Times New Roman" w:hAnsi="Times New Roman" w:cs="Times New Roman"/>
        </w:rPr>
        <w:tab/>
      </w:r>
      <w:r>
        <w:rPr>
          <w:rFonts w:ascii="Times New Roman" w:hAnsi="Times New Roman" w:cs="Times New Roman"/>
        </w:rPr>
        <w:t>施工现场及周边区域。</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（2）岗位职责</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rPr>
        <w:t>①</w:t>
      </w:r>
      <w:r>
        <w:rPr>
          <w:rFonts w:ascii="Times New Roman" w:hAnsi="Times New Roman" w:cs="Times New Roman"/>
        </w:rPr>
        <w:t>贯彻国家和地方环境保护法律、法规、政策和规章，依法对监理范围内施工单位执行环境保护法规的情况进行现场监督、检查和处理。</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rPr>
        <w:t>②</w:t>
      </w:r>
      <w:r>
        <w:rPr>
          <w:rFonts w:ascii="Times New Roman" w:hAnsi="Times New Roman" w:cs="Times New Roman"/>
        </w:rPr>
        <w:tab/>
      </w:r>
      <w:r>
        <w:rPr>
          <w:rFonts w:ascii="Times New Roman" w:hAnsi="Times New Roman" w:cs="Times New Roman"/>
        </w:rPr>
        <w:t xml:space="preserve">从招投标入手，参加投标单位资格审查，审查投标单位对环境条款的效应。 </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rPr>
        <w:t>③</w:t>
      </w:r>
      <w:r>
        <w:rPr>
          <w:rFonts w:ascii="Times New Roman" w:hAnsi="Times New Roman" w:cs="Times New Roman"/>
        </w:rPr>
        <w:tab/>
      </w:r>
      <w:r>
        <w:rPr>
          <w:rFonts w:ascii="Times New Roman" w:hAnsi="Times New Roman" w:cs="Times New Roman"/>
        </w:rPr>
        <w:t>审查施工单位施工组织设计、施工技术方案和施工进度计划能否满足本工程环境保护要求，必要时提出修改意见。</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rPr>
        <w:t>④</w:t>
      </w:r>
      <w:r>
        <w:rPr>
          <w:rFonts w:ascii="Times New Roman" w:hAnsi="Times New Roman" w:cs="Times New Roman"/>
        </w:rPr>
        <w:t xml:space="preserve">工程质量认可需包括环境质量认可，工程的验收凡与环境保护有关的内容需有环境监理工程师参加，并签字认可。 </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rPr>
        <w:t>⑤</w:t>
      </w:r>
      <w:r>
        <w:rPr>
          <w:rFonts w:ascii="Times New Roman" w:hAnsi="Times New Roman" w:cs="Times New Roman"/>
        </w:rPr>
        <w:t xml:space="preserve">进行环境保护的宣传、教育和环境科学技术有普及工作，增强活力施工人员的环境保护意识。 </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rPr>
        <w:t>⑥</w:t>
      </w:r>
      <w:r>
        <w:rPr>
          <w:rFonts w:ascii="Times New Roman" w:hAnsi="Times New Roman" w:cs="Times New Roman"/>
        </w:rPr>
        <w:t>对施工迹地的恢复，依据环境保护要求进行监督、检查和验收。</w:t>
      </w:r>
    </w:p>
    <w:p>
      <w:pPr>
        <w:autoSpaceDE/>
        <w:autoSpaceDN/>
        <w:adjustRightInd w:val="0"/>
        <w:snapToGrid w:val="0"/>
        <w:spacing w:line="360" w:lineRule="auto"/>
        <w:jc w:val="both"/>
        <w:outlineLvl w:val="2"/>
        <w:rPr>
          <w:rFonts w:ascii="Times New Roman" w:hAnsi="Times New Roman" w:cs="Times New Roman"/>
          <w:b/>
          <w:sz w:val="28"/>
          <w:szCs w:val="24"/>
        </w:rPr>
      </w:pPr>
      <w:bookmarkStart w:id="419" w:name="_Toc69284677"/>
      <w:bookmarkStart w:id="420" w:name="_Toc28908"/>
      <w:bookmarkStart w:id="421" w:name="_Toc82593221"/>
      <w:bookmarkStart w:id="422" w:name="_Toc66206145"/>
      <w:r>
        <w:rPr>
          <w:rFonts w:ascii="Times New Roman" w:hAnsi="Times New Roman" w:cs="Times New Roman"/>
          <w:b/>
          <w:sz w:val="28"/>
          <w:szCs w:val="24"/>
        </w:rPr>
        <w:t>8.2.3环境监理内容</w:t>
      </w:r>
      <w:bookmarkEnd w:id="419"/>
      <w:bookmarkEnd w:id="420"/>
      <w:bookmarkEnd w:id="421"/>
      <w:bookmarkEnd w:id="422"/>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工程监理中纳入环境监理职责，按工程质量和环保质量双重要求对项目进行全面质量管理。结合环评中提出的各项环保措施，对本项目提出以下环境监理要求，环境监理内容包括：</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（1）水质保护</w:t>
      </w:r>
    </w:p>
    <w:p>
      <w:pPr>
        <w:pStyle w:val="2"/>
        <w:autoSpaceDE/>
        <w:autoSpaceDN/>
        <w:adjustRightInd w:val="0"/>
        <w:snapToGrid w:val="0"/>
        <w:spacing w:before="0" w:line="360" w:lineRule="auto"/>
        <w:ind w:left="0" w:firstLine="480" w:firstLineChars="200"/>
        <w:jc w:val="both"/>
        <w:rPr>
          <w:rFonts w:hint="eastAsia" w:ascii="Times New Roman" w:hAnsi="Times New Roman" w:eastAsia="宋体" w:cs="Times New Roman"/>
          <w:lang w:eastAsia="zh-CN"/>
        </w:rPr>
      </w:pPr>
      <w:r>
        <w:rPr>
          <w:rFonts w:ascii="Times New Roman" w:hAnsi="Times New Roman" w:cs="Times New Roman"/>
        </w:rPr>
        <w:t>检查废水收集处理情况，检查施工区污水处理设施运行情况，确保施工结束后立即将种类施工机械撤出相应区段。</w:t>
      </w:r>
      <w:r>
        <w:rPr>
          <w:rFonts w:hint="eastAsia" w:ascii="Times New Roman" w:hAnsi="Times New Roman" w:cs="Times New Roman"/>
          <w:lang w:eastAsia="zh-CN"/>
        </w:rPr>
        <w:t>施工期定期检测饮用水源保护区水质。</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（2）大气环境保护</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监督施工单位袋运沙石、建筑垃圾等散装货物的车辆，是否覆盖封闭，防止运输扬尘污染，对施工过程产生的扬尘，要求采取定期洒水措施，督促施工单位保证施工布置区、施工场地的整洁等。</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（3）噪声防护</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监督施工单位在施工过程中加强机械设备的维修和保养，减少运行噪声，对于居民较为集中的施工段，要求施工单位合理安排施工时间。</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（4）固体废物处理</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 xml:space="preserve">检查施工区生活垃圾的处理情况，监督施工单位处置好多余的材料，确保现场移交时清洁整齐。 </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（5）生态环境</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施工区域内是否设置警示牌，其数量是否符合环保措施中所要求的数量；在施工过程中加强施工机械不能越界施工的监督管理，并杜绝施工人员猎鸟捕鱼；并在工作中参与协调林业、水利、环保等部门处理相关环境问题；监督检查施工迹地是否采取相应的水土保持措施；加强区内污染源治理，避免水质污染造成的水生生态破坏。</w:t>
      </w:r>
    </w:p>
    <w:p>
      <w:pPr>
        <w:pStyle w:val="5"/>
        <w:tabs>
          <w:tab w:val="left" w:pos="766"/>
        </w:tabs>
        <w:autoSpaceDE/>
        <w:autoSpaceDN/>
        <w:adjustRightInd w:val="0"/>
        <w:snapToGrid w:val="0"/>
        <w:spacing w:before="0" w:line="360" w:lineRule="auto"/>
        <w:ind w:left="0" w:firstLine="0"/>
        <w:jc w:val="both"/>
        <w:rPr>
          <w:rFonts w:ascii="Times New Roman" w:hAnsi="Times New Roman" w:cs="Times New Roman"/>
          <w:snapToGrid w:val="0"/>
        </w:rPr>
      </w:pPr>
      <w:bookmarkStart w:id="423" w:name="_Toc26175"/>
      <w:r>
        <w:rPr>
          <w:rFonts w:ascii="Times New Roman" w:hAnsi="Times New Roman" w:cs="Times New Roman"/>
          <w:snapToGrid w:val="0"/>
        </w:rPr>
        <w:t>8.3环境监测</w:t>
      </w:r>
      <w:bookmarkEnd w:id="423"/>
    </w:p>
    <w:p>
      <w:pPr>
        <w:autoSpaceDE/>
        <w:autoSpaceDN/>
        <w:adjustRightInd w:val="0"/>
        <w:snapToGrid w:val="0"/>
        <w:spacing w:line="360" w:lineRule="auto"/>
        <w:jc w:val="both"/>
        <w:outlineLvl w:val="2"/>
        <w:rPr>
          <w:rFonts w:ascii="Times New Roman" w:hAnsi="Times New Roman" w:cs="Times New Roman"/>
          <w:b/>
          <w:sz w:val="28"/>
          <w:szCs w:val="24"/>
        </w:rPr>
      </w:pPr>
      <w:bookmarkStart w:id="424" w:name="_Toc66206147"/>
      <w:bookmarkStart w:id="425" w:name="_Toc6615"/>
      <w:bookmarkStart w:id="426" w:name="_Toc69284679"/>
      <w:bookmarkStart w:id="427" w:name="_Toc82593223"/>
      <w:r>
        <w:rPr>
          <w:rFonts w:ascii="Times New Roman" w:hAnsi="Times New Roman" w:cs="Times New Roman"/>
          <w:b/>
          <w:sz w:val="28"/>
          <w:szCs w:val="24"/>
        </w:rPr>
        <w:t>8.3.1监测目的</w:t>
      </w:r>
      <w:bookmarkEnd w:id="424"/>
      <w:bookmarkEnd w:id="425"/>
      <w:bookmarkEnd w:id="426"/>
      <w:bookmarkEnd w:id="427"/>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根据本工程特点，结合工程区环境现状，提出环境监测规划，其目的是：</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（1）掌握各施工区环境的动态变化，为施工期和运行期污染控制、环境管理及相关环境保护工作提供依据；</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（2）及时掌握环保措施的实施效果，根据监测数据调整环保措施，预防突发性事故对环境的危害；</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（3）验证环境影响评价结果的正确性和准确性；</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（4）为工程建设、监督管理和工程竣工验收提供依据，为区域可持续发展提供依据。</w:t>
      </w:r>
    </w:p>
    <w:p>
      <w:pPr>
        <w:autoSpaceDE/>
        <w:autoSpaceDN/>
        <w:adjustRightInd w:val="0"/>
        <w:snapToGrid w:val="0"/>
        <w:spacing w:line="360" w:lineRule="auto"/>
        <w:jc w:val="both"/>
        <w:outlineLvl w:val="2"/>
        <w:rPr>
          <w:rFonts w:ascii="Times New Roman" w:hAnsi="Times New Roman" w:cs="Times New Roman"/>
          <w:b/>
          <w:sz w:val="28"/>
          <w:szCs w:val="24"/>
        </w:rPr>
      </w:pPr>
      <w:bookmarkStart w:id="428" w:name="_Toc82593224"/>
      <w:bookmarkStart w:id="429" w:name="_Toc3145"/>
      <w:bookmarkStart w:id="430" w:name="_Toc66206148"/>
      <w:bookmarkStart w:id="431" w:name="_Toc69284680"/>
      <w:r>
        <w:rPr>
          <w:rFonts w:ascii="Times New Roman" w:hAnsi="Times New Roman" w:cs="Times New Roman"/>
          <w:b/>
          <w:sz w:val="28"/>
          <w:szCs w:val="24"/>
        </w:rPr>
        <w:t>8.3.2监测原则</w:t>
      </w:r>
      <w:bookmarkEnd w:id="428"/>
      <w:bookmarkEnd w:id="429"/>
      <w:bookmarkEnd w:id="430"/>
      <w:bookmarkEnd w:id="431"/>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（1）与工程建设紧密结合原则</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监测范围及对象、重点应结合工程施工、运行特点以及敏感点分布情况，及时反映工程施工、运行对敏感点的影响，以及环境变化对工程施工、运行的影响。</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（2）针对性和代表性原则</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根据环境现状和影响预测评价结果，选择对环境影响大、有控制性和代表性的及对区域或流域影响起控制作用的主要因子进行监测，力求监测方案有针对性和代表性。</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（3）经济型和可操作性原则</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按照相关专业技术规范，监测项目、频次、时段和方法以满足主要任务为前提，尽量利用附近已有监测机构、监测断面（点），所布置监测断面（点）可操作性强，力求以较少的投入获得较完整的环境监测数据。</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（4）统一规划、分布实施原则</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环境监测系统应从总体考虑、统一规划，根据工程建设不同阶段的重点和要求，分期、分步建立，并逐步实施和完善。</w:t>
      </w:r>
    </w:p>
    <w:p>
      <w:pPr>
        <w:autoSpaceDE/>
        <w:autoSpaceDN/>
        <w:adjustRightInd w:val="0"/>
        <w:snapToGrid w:val="0"/>
        <w:spacing w:line="360" w:lineRule="auto"/>
        <w:jc w:val="both"/>
        <w:outlineLvl w:val="2"/>
        <w:rPr>
          <w:rFonts w:ascii="Times New Roman" w:hAnsi="Times New Roman" w:cs="Times New Roman"/>
          <w:b/>
          <w:sz w:val="28"/>
          <w:szCs w:val="24"/>
        </w:rPr>
      </w:pPr>
      <w:bookmarkStart w:id="432" w:name="_Toc69284681"/>
      <w:bookmarkStart w:id="433" w:name="_Toc82593225"/>
      <w:bookmarkStart w:id="434" w:name="_Toc66206149"/>
      <w:bookmarkStart w:id="435" w:name="_Toc30062"/>
      <w:r>
        <w:rPr>
          <w:rFonts w:ascii="Times New Roman" w:hAnsi="Times New Roman" w:cs="Times New Roman"/>
          <w:b/>
          <w:sz w:val="28"/>
          <w:szCs w:val="24"/>
        </w:rPr>
        <w:t>8.3.3监测计划</w:t>
      </w:r>
      <w:bookmarkEnd w:id="432"/>
      <w:bookmarkEnd w:id="433"/>
      <w:bookmarkEnd w:id="434"/>
      <w:bookmarkEnd w:id="435"/>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根据本工程特点及工程区环境特点，依据环境影响评价相关规范要求，提出本工程施工期、营运期环境监测计划，对地表水、大气、噪声等因子进行监测和调查。</w:t>
      </w:r>
    </w:p>
    <w:p>
      <w:pPr>
        <w:autoSpaceDE/>
        <w:autoSpaceDN/>
        <w:adjustRightInd w:val="0"/>
        <w:snapToGrid w:val="0"/>
        <w:spacing w:line="360" w:lineRule="auto"/>
        <w:jc w:val="both"/>
        <w:outlineLvl w:val="3"/>
        <w:rPr>
          <w:rFonts w:ascii="Times New Roman" w:hAnsi="Times New Roman" w:cs="Times New Roman"/>
          <w:b/>
          <w:sz w:val="24"/>
          <w:szCs w:val="24"/>
        </w:rPr>
      </w:pPr>
      <w:r>
        <w:rPr>
          <w:rFonts w:ascii="Times New Roman" w:hAnsi="Times New Roman" w:cs="Times New Roman"/>
          <w:b/>
          <w:sz w:val="24"/>
          <w:szCs w:val="24"/>
        </w:rPr>
        <w:t>8.3.3.1施工期环境监测</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auto"/>
          <w:u w:val="single"/>
        </w:rPr>
      </w:pPr>
      <w:r>
        <w:rPr>
          <w:rFonts w:ascii="Times New Roman" w:hAnsi="Times New Roman" w:cs="Times New Roman"/>
          <w:color w:val="auto"/>
          <w:u w:val="single"/>
        </w:rPr>
        <w:t>本项目的环境监测可委托有相应环境监测资质的单位进行。工程施工期监测内容见下表。</w:t>
      </w:r>
    </w:p>
    <w:p>
      <w:pPr>
        <w:pStyle w:val="2"/>
        <w:autoSpaceDE/>
        <w:autoSpaceDN/>
        <w:adjustRightInd w:val="0"/>
        <w:snapToGrid w:val="0"/>
        <w:spacing w:before="0" w:line="360" w:lineRule="auto"/>
        <w:ind w:left="0"/>
        <w:jc w:val="center"/>
        <w:rPr>
          <w:rFonts w:ascii="Times New Roman" w:hAnsi="Times New Roman" w:cs="Times New Roman"/>
          <w:b/>
          <w:color w:val="auto"/>
          <w:u w:val="single"/>
        </w:rPr>
      </w:pPr>
      <w:r>
        <w:rPr>
          <w:rFonts w:ascii="Times New Roman" w:hAnsi="Times New Roman" w:cs="Times New Roman"/>
          <w:b/>
          <w:color w:val="auto"/>
          <w:u w:val="single"/>
        </w:rPr>
        <w:t xml:space="preserve">表8.3-1 </w:t>
      </w:r>
      <w:r>
        <w:rPr>
          <w:rFonts w:hint="eastAsia" w:ascii="Times New Roman" w:hAnsi="Times New Roman" w:cs="Times New Roman"/>
          <w:b/>
          <w:color w:val="auto"/>
          <w:u w:val="single"/>
        </w:rPr>
        <w:t xml:space="preserve"> </w:t>
      </w:r>
      <w:r>
        <w:rPr>
          <w:rFonts w:ascii="Times New Roman" w:hAnsi="Times New Roman" w:cs="Times New Roman"/>
          <w:b/>
          <w:color w:val="auto"/>
          <w:u w:val="single"/>
        </w:rPr>
        <w:t>施工期环境监测计划</w:t>
      </w:r>
    </w:p>
    <w:tbl>
      <w:tblPr>
        <w:tblStyle w:val="90"/>
        <w:tblW w:w="5000" w:type="pct"/>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159"/>
        <w:gridCol w:w="1890"/>
        <w:gridCol w:w="4505"/>
        <w:gridCol w:w="1471"/>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642" w:type="pct"/>
            <w:vAlign w:val="center"/>
          </w:tcPr>
          <w:p>
            <w:pPr>
              <w:pStyle w:val="2"/>
              <w:autoSpaceDE/>
              <w:autoSpaceDN/>
              <w:adjustRightInd w:val="0"/>
              <w:snapToGrid w:val="0"/>
              <w:spacing w:before="0"/>
              <w:ind w:left="0"/>
              <w:jc w:val="center"/>
              <w:rPr>
                <w:rFonts w:ascii="Times New Roman" w:hAnsi="Times New Roman" w:cs="Times New Roman"/>
                <w:color w:val="auto"/>
                <w:sz w:val="21"/>
                <w:u w:val="none"/>
              </w:rPr>
            </w:pPr>
            <w:r>
              <w:rPr>
                <w:rFonts w:ascii="Times New Roman" w:hAnsi="Times New Roman" w:cs="Times New Roman"/>
                <w:color w:val="auto"/>
                <w:sz w:val="21"/>
                <w:u w:val="none"/>
              </w:rPr>
              <w:t>分类</w:t>
            </w:r>
          </w:p>
        </w:tc>
        <w:tc>
          <w:tcPr>
            <w:tcW w:w="1047" w:type="pct"/>
            <w:vAlign w:val="center"/>
          </w:tcPr>
          <w:p>
            <w:pPr>
              <w:pStyle w:val="2"/>
              <w:autoSpaceDE/>
              <w:autoSpaceDN/>
              <w:adjustRightInd w:val="0"/>
              <w:snapToGrid w:val="0"/>
              <w:spacing w:before="0"/>
              <w:ind w:left="0"/>
              <w:jc w:val="center"/>
              <w:rPr>
                <w:rFonts w:ascii="Times New Roman" w:hAnsi="Times New Roman" w:cs="Times New Roman"/>
                <w:color w:val="auto"/>
                <w:sz w:val="21"/>
                <w:u w:val="none"/>
              </w:rPr>
            </w:pPr>
            <w:r>
              <w:rPr>
                <w:rFonts w:ascii="Times New Roman" w:hAnsi="Times New Roman" w:cs="Times New Roman"/>
                <w:color w:val="auto"/>
                <w:sz w:val="21"/>
                <w:u w:val="none"/>
              </w:rPr>
              <w:t>监测频率</w:t>
            </w:r>
          </w:p>
        </w:tc>
        <w:tc>
          <w:tcPr>
            <w:tcW w:w="2496" w:type="pct"/>
            <w:vAlign w:val="center"/>
          </w:tcPr>
          <w:p>
            <w:pPr>
              <w:pStyle w:val="2"/>
              <w:autoSpaceDE/>
              <w:autoSpaceDN/>
              <w:adjustRightInd w:val="0"/>
              <w:snapToGrid w:val="0"/>
              <w:spacing w:before="0"/>
              <w:ind w:left="0"/>
              <w:jc w:val="center"/>
              <w:rPr>
                <w:rFonts w:ascii="Times New Roman" w:hAnsi="Times New Roman" w:cs="Times New Roman"/>
                <w:color w:val="auto"/>
                <w:sz w:val="21"/>
                <w:u w:val="none"/>
              </w:rPr>
            </w:pPr>
            <w:r>
              <w:rPr>
                <w:rFonts w:ascii="Times New Roman" w:hAnsi="Times New Roman" w:cs="Times New Roman"/>
                <w:color w:val="auto"/>
                <w:sz w:val="21"/>
                <w:u w:val="none"/>
              </w:rPr>
              <w:t>监测地点</w:t>
            </w:r>
          </w:p>
        </w:tc>
        <w:tc>
          <w:tcPr>
            <w:tcW w:w="815" w:type="pct"/>
            <w:vAlign w:val="center"/>
          </w:tcPr>
          <w:p>
            <w:pPr>
              <w:pStyle w:val="2"/>
              <w:autoSpaceDE/>
              <w:autoSpaceDN/>
              <w:adjustRightInd w:val="0"/>
              <w:snapToGrid w:val="0"/>
              <w:spacing w:before="0"/>
              <w:ind w:left="0"/>
              <w:jc w:val="center"/>
              <w:rPr>
                <w:rFonts w:ascii="Times New Roman" w:hAnsi="Times New Roman" w:cs="Times New Roman"/>
                <w:color w:val="auto"/>
                <w:sz w:val="21"/>
                <w:u w:val="none"/>
              </w:rPr>
            </w:pPr>
            <w:r>
              <w:rPr>
                <w:rFonts w:ascii="Times New Roman" w:hAnsi="Times New Roman" w:cs="Times New Roman"/>
                <w:color w:val="auto"/>
                <w:sz w:val="21"/>
                <w:u w:val="none"/>
              </w:rPr>
              <w:t>监测项目</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642" w:type="pct"/>
            <w:vMerge w:val="restart"/>
            <w:vAlign w:val="center"/>
          </w:tcPr>
          <w:p>
            <w:pPr>
              <w:pStyle w:val="2"/>
              <w:adjustRightInd w:val="0"/>
              <w:snapToGrid w:val="0"/>
              <w:spacing w:before="0"/>
              <w:ind w:left="0"/>
              <w:jc w:val="center"/>
              <w:rPr>
                <w:rFonts w:ascii="Times New Roman" w:hAnsi="Times New Roman" w:cs="Times New Roman"/>
                <w:color w:val="auto"/>
                <w:sz w:val="21"/>
                <w:u w:val="none"/>
              </w:rPr>
            </w:pPr>
            <w:r>
              <w:rPr>
                <w:rFonts w:ascii="Times New Roman" w:hAnsi="Times New Roman" w:cs="Times New Roman"/>
                <w:color w:val="auto"/>
                <w:sz w:val="21"/>
                <w:u w:val="none"/>
              </w:rPr>
              <w:t>环境空气</w:t>
            </w:r>
          </w:p>
        </w:tc>
        <w:tc>
          <w:tcPr>
            <w:tcW w:w="1047" w:type="pct"/>
            <w:vAlign w:val="center"/>
          </w:tcPr>
          <w:p>
            <w:pPr>
              <w:pStyle w:val="2"/>
              <w:autoSpaceDE/>
              <w:autoSpaceDN/>
              <w:adjustRightInd w:val="0"/>
              <w:snapToGrid w:val="0"/>
              <w:spacing w:before="0"/>
              <w:ind w:left="0"/>
              <w:jc w:val="center"/>
              <w:rPr>
                <w:rFonts w:ascii="Times New Roman" w:hAnsi="Times New Roman" w:cs="Times New Roman"/>
                <w:color w:val="auto"/>
                <w:sz w:val="21"/>
                <w:u w:val="none"/>
              </w:rPr>
            </w:pPr>
            <w:r>
              <w:rPr>
                <w:rFonts w:ascii="Times New Roman" w:hAnsi="Times New Roman" w:cs="Times New Roman"/>
                <w:color w:val="auto"/>
                <w:sz w:val="21"/>
                <w:u w:val="none"/>
              </w:rPr>
              <w:t>施工高峰期连续 3 天，每天不少于 4 次</w:t>
            </w:r>
          </w:p>
        </w:tc>
        <w:tc>
          <w:tcPr>
            <w:tcW w:w="2496" w:type="pct"/>
            <w:vAlign w:val="center"/>
          </w:tcPr>
          <w:p>
            <w:pPr>
              <w:pStyle w:val="2"/>
              <w:autoSpaceDE/>
              <w:autoSpaceDN/>
              <w:adjustRightInd w:val="0"/>
              <w:snapToGrid w:val="0"/>
              <w:spacing w:before="0"/>
              <w:ind w:left="0"/>
              <w:jc w:val="center"/>
              <w:rPr>
                <w:rFonts w:ascii="Times New Roman" w:hAnsi="Times New Roman" w:cs="Times New Roman"/>
                <w:color w:val="auto"/>
                <w:sz w:val="21"/>
                <w:u w:val="none"/>
              </w:rPr>
            </w:pPr>
            <w:r>
              <w:rPr>
                <w:rFonts w:ascii="Times New Roman" w:hAnsi="Times New Roman" w:cs="Times New Roman"/>
                <w:color w:val="auto"/>
                <w:sz w:val="21"/>
                <w:u w:val="none"/>
              </w:rPr>
              <w:t>施工繁忙地段或大型施工机械作</w:t>
            </w:r>
          </w:p>
          <w:p>
            <w:pPr>
              <w:pStyle w:val="2"/>
              <w:autoSpaceDE/>
              <w:autoSpaceDN/>
              <w:adjustRightInd w:val="0"/>
              <w:snapToGrid w:val="0"/>
              <w:spacing w:before="0"/>
              <w:ind w:left="0"/>
              <w:jc w:val="center"/>
              <w:rPr>
                <w:rFonts w:ascii="Times New Roman" w:hAnsi="Times New Roman" w:cs="Times New Roman"/>
                <w:color w:val="auto"/>
                <w:sz w:val="21"/>
                <w:u w:val="none"/>
              </w:rPr>
            </w:pPr>
            <w:r>
              <w:rPr>
                <w:rFonts w:ascii="Times New Roman" w:hAnsi="Times New Roman" w:cs="Times New Roman"/>
                <w:color w:val="auto"/>
                <w:sz w:val="21"/>
                <w:u w:val="none"/>
              </w:rPr>
              <w:t>业场地边缘 5m、50m、100m 处；施工场地临近的学校、医院、居民区等敏感点处</w:t>
            </w:r>
          </w:p>
        </w:tc>
        <w:tc>
          <w:tcPr>
            <w:tcW w:w="815" w:type="pct"/>
            <w:vAlign w:val="center"/>
          </w:tcPr>
          <w:p>
            <w:pPr>
              <w:pStyle w:val="2"/>
              <w:autoSpaceDE/>
              <w:autoSpaceDN/>
              <w:adjustRightInd w:val="0"/>
              <w:snapToGrid w:val="0"/>
              <w:spacing w:before="0"/>
              <w:ind w:left="0"/>
              <w:jc w:val="center"/>
              <w:rPr>
                <w:rFonts w:ascii="Times New Roman" w:hAnsi="Times New Roman" w:cs="Times New Roman"/>
                <w:color w:val="auto"/>
                <w:sz w:val="21"/>
                <w:u w:val="none"/>
              </w:rPr>
            </w:pPr>
            <w:r>
              <w:rPr>
                <w:rFonts w:ascii="Times New Roman" w:hAnsi="Times New Roman" w:cs="Times New Roman"/>
                <w:color w:val="auto"/>
                <w:sz w:val="21"/>
                <w:u w:val="none"/>
              </w:rPr>
              <w:t>颗粒物</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642" w:type="pct"/>
            <w:vMerge w:val="continue"/>
            <w:vAlign w:val="center"/>
          </w:tcPr>
          <w:p>
            <w:pPr>
              <w:pStyle w:val="2"/>
              <w:autoSpaceDE/>
              <w:autoSpaceDN/>
              <w:adjustRightInd w:val="0"/>
              <w:snapToGrid w:val="0"/>
              <w:spacing w:before="0"/>
              <w:ind w:left="0"/>
              <w:jc w:val="center"/>
              <w:rPr>
                <w:rFonts w:ascii="Times New Roman" w:hAnsi="Times New Roman" w:cs="Times New Roman"/>
                <w:color w:val="auto"/>
                <w:sz w:val="21"/>
                <w:u w:val="none"/>
              </w:rPr>
            </w:pPr>
          </w:p>
        </w:tc>
        <w:tc>
          <w:tcPr>
            <w:tcW w:w="1047" w:type="pct"/>
            <w:vAlign w:val="center"/>
          </w:tcPr>
          <w:p>
            <w:pPr>
              <w:pStyle w:val="2"/>
              <w:autoSpaceDE/>
              <w:autoSpaceDN/>
              <w:adjustRightInd w:val="0"/>
              <w:snapToGrid w:val="0"/>
              <w:spacing w:before="0"/>
              <w:ind w:left="0"/>
              <w:jc w:val="center"/>
              <w:rPr>
                <w:rFonts w:ascii="Times New Roman" w:hAnsi="Times New Roman" w:cs="Times New Roman"/>
                <w:color w:val="auto"/>
                <w:sz w:val="21"/>
                <w:u w:val="none"/>
              </w:rPr>
            </w:pPr>
            <w:r>
              <w:rPr>
                <w:rFonts w:ascii="Times New Roman" w:hAnsi="Times New Roman" w:cs="Times New Roman"/>
                <w:color w:val="auto"/>
                <w:sz w:val="21"/>
                <w:u w:val="none"/>
              </w:rPr>
              <w:t>根据情况（如感觉有臭味）不定期监测</w:t>
            </w:r>
          </w:p>
        </w:tc>
        <w:tc>
          <w:tcPr>
            <w:tcW w:w="2496" w:type="pct"/>
            <w:vAlign w:val="center"/>
          </w:tcPr>
          <w:p>
            <w:pPr>
              <w:pStyle w:val="2"/>
              <w:autoSpaceDE/>
              <w:autoSpaceDN/>
              <w:adjustRightInd w:val="0"/>
              <w:snapToGrid w:val="0"/>
              <w:spacing w:before="0"/>
              <w:ind w:left="0"/>
              <w:jc w:val="center"/>
              <w:rPr>
                <w:rFonts w:ascii="Times New Roman" w:hAnsi="Times New Roman" w:cs="Times New Roman"/>
                <w:color w:val="auto"/>
                <w:sz w:val="21"/>
                <w:u w:val="none"/>
              </w:rPr>
            </w:pPr>
            <w:r>
              <w:rPr>
                <w:rFonts w:ascii="Times New Roman" w:hAnsi="Times New Roman" w:cs="Times New Roman"/>
                <w:color w:val="auto"/>
                <w:sz w:val="21"/>
                <w:u w:val="none"/>
              </w:rPr>
              <w:t>岸坡晾晒区域下风向</w:t>
            </w:r>
          </w:p>
        </w:tc>
        <w:tc>
          <w:tcPr>
            <w:tcW w:w="815" w:type="pct"/>
            <w:vAlign w:val="center"/>
          </w:tcPr>
          <w:p>
            <w:pPr>
              <w:pStyle w:val="2"/>
              <w:autoSpaceDE/>
              <w:autoSpaceDN/>
              <w:adjustRightInd w:val="0"/>
              <w:snapToGrid w:val="0"/>
              <w:spacing w:before="0"/>
              <w:ind w:left="0"/>
              <w:jc w:val="center"/>
              <w:rPr>
                <w:rFonts w:ascii="Times New Roman" w:hAnsi="Times New Roman" w:cs="Times New Roman"/>
                <w:color w:val="auto"/>
                <w:sz w:val="21"/>
                <w:u w:val="none"/>
              </w:rPr>
            </w:pPr>
            <w:r>
              <w:rPr>
                <w:rFonts w:hint="eastAsia" w:ascii="Times New Roman" w:hAnsi="Times New Roman" w:cs="Times New Roman"/>
                <w:color w:val="auto"/>
                <w:sz w:val="21"/>
                <w:u w:val="none"/>
              </w:rPr>
              <w:t>H</w:t>
            </w:r>
            <w:r>
              <w:rPr>
                <w:rFonts w:hint="eastAsia" w:ascii="Times New Roman" w:hAnsi="Times New Roman" w:cs="Times New Roman"/>
                <w:color w:val="auto"/>
                <w:sz w:val="21"/>
                <w:u w:val="none"/>
                <w:vertAlign w:val="subscript"/>
              </w:rPr>
              <w:t>2</w:t>
            </w:r>
            <w:r>
              <w:rPr>
                <w:rFonts w:hint="eastAsia" w:ascii="Times New Roman" w:hAnsi="Times New Roman" w:cs="Times New Roman"/>
                <w:color w:val="auto"/>
                <w:sz w:val="21"/>
                <w:u w:val="none"/>
              </w:rPr>
              <w:t>S、NH</w:t>
            </w:r>
            <w:r>
              <w:rPr>
                <w:rFonts w:hint="eastAsia" w:ascii="Times New Roman" w:hAnsi="Times New Roman" w:cs="Times New Roman"/>
                <w:color w:val="auto"/>
                <w:sz w:val="21"/>
                <w:u w:val="none"/>
                <w:vertAlign w:val="subscript"/>
              </w:rPr>
              <w:t>3</w:t>
            </w:r>
            <w:r>
              <w:rPr>
                <w:rFonts w:hint="eastAsia" w:ascii="Times New Roman" w:hAnsi="Times New Roman" w:cs="Times New Roman"/>
                <w:color w:val="auto"/>
                <w:sz w:val="21"/>
                <w:u w:val="none"/>
              </w:rPr>
              <w:t>、</w:t>
            </w:r>
            <w:r>
              <w:rPr>
                <w:rFonts w:ascii="Times New Roman" w:hAnsi="Times New Roman" w:cs="Times New Roman"/>
                <w:color w:val="auto"/>
                <w:sz w:val="21"/>
                <w:u w:val="none"/>
              </w:rPr>
              <w:t>恶臭</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642" w:type="pct"/>
            <w:vAlign w:val="center"/>
          </w:tcPr>
          <w:p>
            <w:pPr>
              <w:pStyle w:val="2"/>
              <w:autoSpaceDE/>
              <w:autoSpaceDN/>
              <w:adjustRightInd w:val="0"/>
              <w:snapToGrid w:val="0"/>
              <w:spacing w:before="0"/>
              <w:ind w:left="0"/>
              <w:jc w:val="center"/>
              <w:rPr>
                <w:rFonts w:ascii="Times New Roman" w:hAnsi="Times New Roman" w:cs="Times New Roman"/>
                <w:color w:val="auto"/>
                <w:sz w:val="21"/>
                <w:u w:val="none"/>
              </w:rPr>
            </w:pPr>
            <w:r>
              <w:rPr>
                <w:rFonts w:ascii="Times New Roman" w:hAnsi="Times New Roman" w:cs="Times New Roman"/>
                <w:color w:val="auto"/>
                <w:sz w:val="21"/>
                <w:u w:val="none"/>
              </w:rPr>
              <w:t>环境噪声</w:t>
            </w:r>
          </w:p>
        </w:tc>
        <w:tc>
          <w:tcPr>
            <w:tcW w:w="1047" w:type="pct"/>
            <w:vAlign w:val="center"/>
          </w:tcPr>
          <w:p>
            <w:pPr>
              <w:pStyle w:val="2"/>
              <w:autoSpaceDE/>
              <w:autoSpaceDN/>
              <w:adjustRightInd w:val="0"/>
              <w:snapToGrid w:val="0"/>
              <w:spacing w:before="0"/>
              <w:ind w:left="0"/>
              <w:jc w:val="center"/>
              <w:rPr>
                <w:rFonts w:ascii="Times New Roman" w:hAnsi="Times New Roman" w:cs="Times New Roman"/>
                <w:color w:val="auto"/>
                <w:sz w:val="21"/>
                <w:u w:val="none"/>
              </w:rPr>
            </w:pPr>
            <w:r>
              <w:rPr>
                <w:rFonts w:ascii="Times New Roman" w:hAnsi="Times New Roman" w:cs="Times New Roman"/>
                <w:color w:val="auto"/>
                <w:sz w:val="21"/>
                <w:u w:val="none"/>
              </w:rPr>
              <w:t>施工高峰期连续监测（昼夜）</w:t>
            </w:r>
          </w:p>
        </w:tc>
        <w:tc>
          <w:tcPr>
            <w:tcW w:w="2496" w:type="pct"/>
            <w:vAlign w:val="center"/>
          </w:tcPr>
          <w:p>
            <w:pPr>
              <w:pStyle w:val="2"/>
              <w:autoSpaceDE/>
              <w:autoSpaceDN/>
              <w:adjustRightInd w:val="0"/>
              <w:snapToGrid w:val="0"/>
              <w:spacing w:before="0"/>
              <w:ind w:left="0"/>
              <w:jc w:val="center"/>
              <w:rPr>
                <w:rFonts w:ascii="Times New Roman" w:hAnsi="Times New Roman" w:cs="Times New Roman"/>
                <w:color w:val="auto"/>
                <w:sz w:val="21"/>
                <w:u w:val="none"/>
              </w:rPr>
            </w:pPr>
            <w:r>
              <w:rPr>
                <w:rFonts w:ascii="Times New Roman" w:hAnsi="Times New Roman" w:cs="Times New Roman"/>
                <w:color w:val="auto"/>
                <w:sz w:val="21"/>
                <w:u w:val="none"/>
              </w:rPr>
              <w:t>施工繁忙地段或大型施工机械作业场地边缘 5m、50m、100m 处；施工场地临近的敏感点处</w:t>
            </w:r>
          </w:p>
        </w:tc>
        <w:tc>
          <w:tcPr>
            <w:tcW w:w="815" w:type="pct"/>
            <w:vAlign w:val="center"/>
          </w:tcPr>
          <w:p>
            <w:pPr>
              <w:pStyle w:val="2"/>
              <w:autoSpaceDE/>
              <w:autoSpaceDN/>
              <w:adjustRightInd w:val="0"/>
              <w:snapToGrid w:val="0"/>
              <w:spacing w:before="0"/>
              <w:ind w:left="0"/>
              <w:jc w:val="center"/>
              <w:rPr>
                <w:rFonts w:ascii="Times New Roman" w:hAnsi="Times New Roman" w:cs="Times New Roman"/>
                <w:color w:val="auto"/>
                <w:sz w:val="21"/>
                <w:u w:val="none"/>
              </w:rPr>
            </w:pPr>
            <w:r>
              <w:rPr>
                <w:rFonts w:ascii="Times New Roman" w:hAnsi="Times New Roman" w:cs="Times New Roman"/>
                <w:color w:val="auto"/>
                <w:sz w:val="21"/>
                <w:u w:val="none"/>
              </w:rPr>
              <w:t>等效连续声级Leq（A）</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642" w:type="pct"/>
            <w:vAlign w:val="center"/>
          </w:tcPr>
          <w:p>
            <w:pPr>
              <w:pStyle w:val="2"/>
              <w:autoSpaceDE/>
              <w:autoSpaceDN/>
              <w:adjustRightInd w:val="0"/>
              <w:snapToGrid w:val="0"/>
              <w:spacing w:before="0"/>
              <w:ind w:left="0"/>
              <w:jc w:val="center"/>
              <w:rPr>
                <w:rFonts w:hint="eastAsia" w:ascii="Times New Roman" w:hAnsi="Times New Roman" w:eastAsia="宋体" w:cs="Times New Roman"/>
                <w:color w:val="auto"/>
                <w:sz w:val="21"/>
                <w:u w:val="none"/>
                <w:lang w:eastAsia="zh-CN"/>
              </w:rPr>
            </w:pPr>
            <w:r>
              <w:rPr>
                <w:rFonts w:hint="eastAsia" w:ascii="Times New Roman" w:hAnsi="Times New Roman" w:cs="Times New Roman"/>
                <w:color w:val="auto"/>
                <w:sz w:val="21"/>
                <w:u w:val="none"/>
                <w:lang w:eastAsia="zh-CN"/>
              </w:rPr>
              <w:t>水环境</w:t>
            </w:r>
          </w:p>
        </w:tc>
        <w:tc>
          <w:tcPr>
            <w:tcW w:w="1047" w:type="pct"/>
            <w:vAlign w:val="center"/>
          </w:tcPr>
          <w:p>
            <w:pPr>
              <w:pStyle w:val="2"/>
              <w:autoSpaceDE/>
              <w:autoSpaceDN/>
              <w:adjustRightInd w:val="0"/>
              <w:snapToGrid w:val="0"/>
              <w:spacing w:before="0"/>
              <w:ind w:left="0"/>
              <w:jc w:val="center"/>
              <w:rPr>
                <w:rFonts w:hint="eastAsia" w:ascii="Times New Roman" w:hAnsi="Times New Roman" w:eastAsia="宋体" w:cs="Times New Roman"/>
                <w:color w:val="auto"/>
                <w:sz w:val="21"/>
                <w:u w:val="none"/>
                <w:lang w:eastAsia="zh-CN"/>
              </w:rPr>
            </w:pPr>
            <w:r>
              <w:rPr>
                <w:rFonts w:hint="eastAsia" w:ascii="Times New Roman" w:hAnsi="Times New Roman" w:cs="Times New Roman"/>
                <w:color w:val="auto"/>
                <w:sz w:val="21"/>
                <w:u w:val="none"/>
                <w:lang w:eastAsia="zh-CN"/>
              </w:rPr>
              <w:t>在饮用水源保护区内涉水作业时，每</w:t>
            </w:r>
            <w:r>
              <w:rPr>
                <w:rFonts w:hint="eastAsia" w:ascii="Times New Roman" w:hAnsi="Times New Roman" w:cs="Times New Roman"/>
                <w:color w:val="auto"/>
                <w:sz w:val="21"/>
                <w:u w:val="none"/>
                <w:lang w:val="en-US" w:eastAsia="zh-CN"/>
              </w:rPr>
              <w:t>周</w:t>
            </w:r>
            <w:r>
              <w:rPr>
                <w:rFonts w:hint="eastAsia" w:ascii="Times New Roman" w:hAnsi="Times New Roman" w:cs="Times New Roman"/>
                <w:color w:val="auto"/>
                <w:sz w:val="21"/>
                <w:u w:val="none"/>
                <w:lang w:eastAsia="zh-CN"/>
              </w:rPr>
              <w:t>一次；在饮用水源保护区外涉水作业时每</w:t>
            </w:r>
            <w:r>
              <w:rPr>
                <w:rFonts w:hint="eastAsia" w:ascii="Times New Roman" w:hAnsi="Times New Roman" w:cs="Times New Roman"/>
                <w:color w:val="auto"/>
                <w:sz w:val="21"/>
                <w:u w:val="none"/>
                <w:lang w:val="en-US" w:eastAsia="zh-CN"/>
              </w:rPr>
              <w:t>月</w:t>
            </w:r>
            <w:r>
              <w:rPr>
                <w:rFonts w:hint="eastAsia" w:ascii="Times New Roman" w:hAnsi="Times New Roman" w:cs="Times New Roman"/>
                <w:color w:val="auto"/>
                <w:sz w:val="21"/>
                <w:u w:val="none"/>
                <w:lang w:eastAsia="zh-CN"/>
              </w:rPr>
              <w:t>一次</w:t>
            </w:r>
          </w:p>
        </w:tc>
        <w:tc>
          <w:tcPr>
            <w:tcW w:w="2496" w:type="pct"/>
            <w:vAlign w:val="center"/>
          </w:tcPr>
          <w:p>
            <w:pPr>
              <w:pStyle w:val="2"/>
              <w:autoSpaceDE/>
              <w:autoSpaceDN/>
              <w:adjustRightInd w:val="0"/>
              <w:snapToGrid w:val="0"/>
              <w:spacing w:before="0"/>
              <w:ind w:left="0"/>
              <w:jc w:val="center"/>
              <w:rPr>
                <w:rFonts w:hint="eastAsia" w:ascii="Times New Roman" w:hAnsi="Times New Roman" w:eastAsia="宋体" w:cs="Times New Roman"/>
                <w:color w:val="auto"/>
                <w:sz w:val="21"/>
                <w:u w:val="none"/>
                <w:lang w:eastAsia="zh-CN"/>
              </w:rPr>
            </w:pPr>
            <w:r>
              <w:rPr>
                <w:rFonts w:hint="eastAsia" w:ascii="Times New Roman" w:hAnsi="Times New Roman" w:cs="Times New Roman"/>
                <w:color w:val="auto"/>
                <w:sz w:val="21"/>
                <w:u w:val="none"/>
                <w:lang w:eastAsia="zh-CN"/>
              </w:rPr>
              <w:t>涉水作业相应的饮用水源保护区及下游最近饮用水源保护区取水口上、下游</w:t>
            </w:r>
          </w:p>
        </w:tc>
        <w:tc>
          <w:tcPr>
            <w:tcW w:w="815" w:type="pct"/>
            <w:vAlign w:val="center"/>
          </w:tcPr>
          <w:p>
            <w:pPr>
              <w:pStyle w:val="2"/>
              <w:autoSpaceDE/>
              <w:autoSpaceDN/>
              <w:adjustRightInd w:val="0"/>
              <w:snapToGrid w:val="0"/>
              <w:spacing w:before="0"/>
              <w:ind w:left="0"/>
              <w:jc w:val="center"/>
              <w:rPr>
                <w:rFonts w:hint="default" w:ascii="Times New Roman" w:hAnsi="Times New Roman" w:eastAsia="宋体" w:cs="Times New Roman"/>
                <w:color w:val="auto"/>
                <w:sz w:val="21"/>
                <w:u w:val="none"/>
                <w:lang w:val="en-US" w:eastAsia="zh-CN"/>
              </w:rPr>
            </w:pPr>
            <w:r>
              <w:rPr>
                <w:rFonts w:hint="eastAsia" w:ascii="Times New Roman" w:hAnsi="Times New Roman" w:cs="Times New Roman"/>
                <w:color w:val="auto"/>
                <w:sz w:val="21"/>
                <w:u w:val="none"/>
                <w:lang w:val="en-US" w:eastAsia="zh-CN"/>
              </w:rPr>
              <w:t>COD、BOD</w:t>
            </w:r>
            <w:r>
              <w:rPr>
                <w:rFonts w:hint="eastAsia" w:ascii="Times New Roman" w:hAnsi="Times New Roman" w:cs="Times New Roman"/>
                <w:color w:val="auto"/>
                <w:sz w:val="21"/>
                <w:u w:val="none"/>
                <w:vertAlign w:val="subscript"/>
                <w:lang w:val="en-US" w:eastAsia="zh-CN"/>
              </w:rPr>
              <w:t>5</w:t>
            </w:r>
            <w:r>
              <w:rPr>
                <w:rFonts w:hint="eastAsia" w:ascii="Times New Roman" w:hAnsi="Times New Roman" w:cs="Times New Roman"/>
                <w:color w:val="auto"/>
                <w:sz w:val="21"/>
                <w:u w:val="none"/>
                <w:lang w:val="en-US" w:eastAsia="zh-CN"/>
              </w:rPr>
              <w:t>、氨氮、总磷、总氮、SS、石油类、粪大肠菌群</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642" w:type="pct"/>
            <w:vAlign w:val="center"/>
          </w:tcPr>
          <w:p>
            <w:pPr>
              <w:pStyle w:val="2"/>
              <w:autoSpaceDE/>
              <w:autoSpaceDN/>
              <w:adjustRightInd w:val="0"/>
              <w:snapToGrid w:val="0"/>
              <w:spacing w:before="0"/>
              <w:ind w:left="0"/>
              <w:jc w:val="center"/>
              <w:rPr>
                <w:rFonts w:hint="default" w:ascii="Times New Roman" w:hAnsi="Times New Roman" w:cs="Times New Roman"/>
                <w:color w:val="auto"/>
                <w:sz w:val="21"/>
                <w:u w:val="none"/>
                <w:lang w:val="en-US" w:eastAsia="zh-CN"/>
              </w:rPr>
            </w:pPr>
            <w:r>
              <w:rPr>
                <w:rFonts w:hint="eastAsia" w:ascii="Times New Roman" w:hAnsi="Times New Roman" w:cs="Times New Roman"/>
                <w:color w:val="auto"/>
                <w:sz w:val="21"/>
                <w:u w:val="none"/>
                <w:lang w:val="en-US" w:eastAsia="zh-CN"/>
              </w:rPr>
              <w:t>陆生生态</w:t>
            </w:r>
          </w:p>
        </w:tc>
        <w:tc>
          <w:tcPr>
            <w:tcW w:w="1047" w:type="pct"/>
            <w:vAlign w:val="center"/>
          </w:tcPr>
          <w:p>
            <w:pPr>
              <w:pStyle w:val="2"/>
              <w:autoSpaceDE/>
              <w:autoSpaceDN/>
              <w:adjustRightInd w:val="0"/>
              <w:snapToGrid w:val="0"/>
              <w:spacing w:before="0"/>
              <w:ind w:left="0"/>
              <w:jc w:val="center"/>
              <w:rPr>
                <w:rFonts w:hint="eastAsia" w:ascii="Times New Roman" w:hAnsi="Times New Roman" w:cs="Times New Roman"/>
                <w:color w:val="auto"/>
                <w:sz w:val="21"/>
                <w:u w:val="none"/>
                <w:lang w:eastAsia="zh-CN"/>
              </w:rPr>
            </w:pPr>
            <w:r>
              <w:rPr>
                <w:rFonts w:hint="eastAsia" w:ascii="Times New Roman" w:hAnsi="Times New Roman" w:cs="Times New Roman"/>
                <w:color w:val="auto"/>
                <w:sz w:val="21"/>
                <w:u w:val="none"/>
                <w:lang w:eastAsia="zh-CN"/>
              </w:rPr>
              <w:t>每</w:t>
            </w:r>
            <w:r>
              <w:rPr>
                <w:rFonts w:hint="eastAsia" w:ascii="Times New Roman" w:hAnsi="Times New Roman" w:cs="Times New Roman"/>
                <w:color w:val="auto"/>
                <w:sz w:val="21"/>
                <w:u w:val="none"/>
                <w:lang w:val="en-US" w:eastAsia="zh-CN"/>
              </w:rPr>
              <w:t>月</w:t>
            </w:r>
            <w:r>
              <w:rPr>
                <w:rFonts w:hint="eastAsia" w:ascii="Times New Roman" w:hAnsi="Times New Roman" w:cs="Times New Roman"/>
                <w:color w:val="auto"/>
                <w:sz w:val="21"/>
                <w:u w:val="none"/>
                <w:lang w:eastAsia="zh-CN"/>
              </w:rPr>
              <w:t>一次</w:t>
            </w:r>
          </w:p>
        </w:tc>
        <w:tc>
          <w:tcPr>
            <w:tcW w:w="2496" w:type="pct"/>
            <w:vAlign w:val="center"/>
          </w:tcPr>
          <w:p>
            <w:pPr>
              <w:pStyle w:val="2"/>
              <w:autoSpaceDE/>
              <w:autoSpaceDN/>
              <w:adjustRightInd w:val="0"/>
              <w:snapToGrid w:val="0"/>
              <w:spacing w:before="0"/>
              <w:ind w:left="0"/>
              <w:jc w:val="center"/>
              <w:rPr>
                <w:rFonts w:hint="default" w:ascii="Times New Roman" w:hAnsi="Times New Roman" w:cs="Times New Roman"/>
                <w:color w:val="auto"/>
                <w:sz w:val="21"/>
                <w:u w:val="none"/>
                <w:lang w:val="en-US" w:eastAsia="zh-CN"/>
              </w:rPr>
            </w:pPr>
            <w:r>
              <w:rPr>
                <w:rFonts w:hint="eastAsia" w:ascii="Times New Roman" w:hAnsi="Times New Roman" w:cs="Times New Roman"/>
                <w:color w:val="auto"/>
                <w:sz w:val="21"/>
                <w:u w:val="none"/>
                <w:lang w:val="en-US" w:eastAsia="zh-CN"/>
              </w:rPr>
              <w:t>项目施工区域及临时占地</w:t>
            </w:r>
          </w:p>
        </w:tc>
        <w:tc>
          <w:tcPr>
            <w:tcW w:w="815" w:type="pct"/>
            <w:vAlign w:val="center"/>
          </w:tcPr>
          <w:p>
            <w:pPr>
              <w:pStyle w:val="2"/>
              <w:autoSpaceDE/>
              <w:autoSpaceDN/>
              <w:adjustRightInd w:val="0"/>
              <w:snapToGrid w:val="0"/>
              <w:spacing w:before="0"/>
              <w:ind w:left="0"/>
              <w:jc w:val="center"/>
              <w:rPr>
                <w:rFonts w:hint="default" w:ascii="Times New Roman" w:hAnsi="Times New Roman" w:cs="Times New Roman"/>
                <w:color w:val="auto"/>
                <w:sz w:val="21"/>
                <w:u w:val="none"/>
                <w:lang w:val="en-US" w:eastAsia="zh-CN"/>
              </w:rPr>
            </w:pPr>
            <w:r>
              <w:rPr>
                <w:rFonts w:hint="eastAsia" w:ascii="Times New Roman" w:hAnsi="Times New Roman" w:cs="Times New Roman"/>
                <w:color w:val="auto"/>
                <w:sz w:val="21"/>
                <w:u w:val="none"/>
                <w:lang w:val="en-US" w:eastAsia="zh-CN"/>
              </w:rPr>
              <w:t>生物多样性等</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642" w:type="pct"/>
            <w:vAlign w:val="center"/>
          </w:tcPr>
          <w:p>
            <w:pPr>
              <w:pStyle w:val="2"/>
              <w:autoSpaceDE/>
              <w:autoSpaceDN/>
              <w:adjustRightInd w:val="0"/>
              <w:snapToGrid w:val="0"/>
              <w:spacing w:before="0"/>
              <w:ind w:left="0"/>
              <w:jc w:val="center"/>
              <w:rPr>
                <w:rFonts w:hint="default" w:ascii="Times New Roman" w:hAnsi="Times New Roman" w:cs="Times New Roman"/>
                <w:color w:val="auto"/>
                <w:sz w:val="21"/>
                <w:u w:val="none"/>
                <w:lang w:val="en-US" w:eastAsia="zh-CN"/>
              </w:rPr>
            </w:pPr>
            <w:r>
              <w:rPr>
                <w:rFonts w:hint="eastAsia" w:ascii="Times New Roman" w:hAnsi="Times New Roman" w:cs="Times New Roman"/>
                <w:color w:val="auto"/>
                <w:sz w:val="21"/>
                <w:u w:val="none"/>
                <w:lang w:val="en-US" w:eastAsia="zh-CN"/>
              </w:rPr>
              <w:t>水生生态</w:t>
            </w:r>
          </w:p>
        </w:tc>
        <w:tc>
          <w:tcPr>
            <w:tcW w:w="1047" w:type="pct"/>
            <w:vAlign w:val="center"/>
          </w:tcPr>
          <w:p>
            <w:pPr>
              <w:pStyle w:val="2"/>
              <w:autoSpaceDE/>
              <w:autoSpaceDN/>
              <w:adjustRightInd w:val="0"/>
              <w:snapToGrid w:val="0"/>
              <w:spacing w:before="0"/>
              <w:ind w:left="0"/>
              <w:jc w:val="center"/>
              <w:rPr>
                <w:rFonts w:hint="eastAsia" w:ascii="Times New Roman" w:hAnsi="Times New Roman" w:cs="Times New Roman"/>
                <w:color w:val="auto"/>
                <w:sz w:val="21"/>
                <w:u w:val="none"/>
                <w:lang w:eastAsia="zh-CN"/>
              </w:rPr>
            </w:pPr>
            <w:r>
              <w:rPr>
                <w:rFonts w:hint="eastAsia" w:ascii="Times New Roman" w:hAnsi="Times New Roman" w:cs="Times New Roman"/>
                <w:color w:val="auto"/>
                <w:sz w:val="21"/>
                <w:u w:val="none"/>
                <w:lang w:eastAsia="zh-CN"/>
              </w:rPr>
              <w:t>每</w:t>
            </w:r>
            <w:r>
              <w:rPr>
                <w:rFonts w:hint="eastAsia" w:ascii="Times New Roman" w:hAnsi="Times New Roman" w:cs="Times New Roman"/>
                <w:color w:val="auto"/>
                <w:sz w:val="21"/>
                <w:u w:val="none"/>
                <w:lang w:val="en-US" w:eastAsia="zh-CN"/>
              </w:rPr>
              <w:t>月</w:t>
            </w:r>
            <w:r>
              <w:rPr>
                <w:rFonts w:hint="eastAsia" w:ascii="Times New Roman" w:hAnsi="Times New Roman" w:cs="Times New Roman"/>
                <w:color w:val="auto"/>
                <w:sz w:val="21"/>
                <w:u w:val="none"/>
                <w:lang w:eastAsia="zh-CN"/>
              </w:rPr>
              <w:t>一次</w:t>
            </w:r>
          </w:p>
        </w:tc>
        <w:tc>
          <w:tcPr>
            <w:tcW w:w="2496" w:type="pct"/>
            <w:vAlign w:val="center"/>
          </w:tcPr>
          <w:p>
            <w:pPr>
              <w:pStyle w:val="2"/>
              <w:autoSpaceDE/>
              <w:autoSpaceDN/>
              <w:adjustRightInd w:val="0"/>
              <w:snapToGrid w:val="0"/>
              <w:spacing w:before="0"/>
              <w:ind w:left="0"/>
              <w:jc w:val="center"/>
              <w:rPr>
                <w:rFonts w:hint="default" w:ascii="Times New Roman" w:hAnsi="Times New Roman" w:cs="Times New Roman"/>
                <w:color w:val="auto"/>
                <w:sz w:val="21"/>
                <w:u w:val="none"/>
                <w:lang w:val="en-US" w:eastAsia="zh-CN"/>
              </w:rPr>
            </w:pPr>
            <w:r>
              <w:rPr>
                <w:rFonts w:hint="eastAsia" w:ascii="Times New Roman" w:hAnsi="Times New Roman" w:cs="Times New Roman"/>
                <w:color w:val="auto"/>
                <w:sz w:val="21"/>
                <w:u w:val="none"/>
                <w:lang w:val="en-US" w:eastAsia="zh-CN"/>
              </w:rPr>
              <w:t>祁水项目段上游、中游及下游</w:t>
            </w:r>
          </w:p>
        </w:tc>
        <w:tc>
          <w:tcPr>
            <w:tcW w:w="815" w:type="pct"/>
            <w:vAlign w:val="center"/>
          </w:tcPr>
          <w:p>
            <w:pPr>
              <w:pStyle w:val="2"/>
              <w:autoSpaceDE/>
              <w:autoSpaceDN/>
              <w:adjustRightInd w:val="0"/>
              <w:snapToGrid w:val="0"/>
              <w:spacing w:before="0"/>
              <w:ind w:left="0"/>
              <w:jc w:val="center"/>
              <w:rPr>
                <w:rFonts w:hint="default" w:ascii="Times New Roman" w:hAnsi="Times New Roman" w:cs="Times New Roman"/>
                <w:color w:val="auto"/>
                <w:sz w:val="21"/>
                <w:u w:val="none"/>
                <w:lang w:val="en-US" w:eastAsia="zh-CN"/>
              </w:rPr>
            </w:pPr>
            <w:r>
              <w:rPr>
                <w:rFonts w:hint="eastAsia" w:ascii="Times New Roman" w:hAnsi="Times New Roman" w:cs="Times New Roman"/>
                <w:color w:val="auto"/>
                <w:sz w:val="21"/>
                <w:u w:val="none"/>
                <w:lang w:val="en-US" w:eastAsia="zh-CN"/>
              </w:rPr>
              <w:t>生物多样性等</w:t>
            </w:r>
          </w:p>
        </w:tc>
      </w:tr>
    </w:tbl>
    <w:p>
      <w:pPr>
        <w:autoSpaceDE/>
        <w:autoSpaceDN/>
        <w:adjustRightInd w:val="0"/>
        <w:snapToGrid w:val="0"/>
        <w:spacing w:line="360" w:lineRule="auto"/>
        <w:jc w:val="both"/>
        <w:outlineLvl w:val="3"/>
        <w:rPr>
          <w:rFonts w:ascii="Times New Roman" w:hAnsi="Times New Roman" w:cs="Times New Roman"/>
          <w:b/>
          <w:color w:val="auto"/>
          <w:sz w:val="24"/>
          <w:szCs w:val="24"/>
        </w:rPr>
      </w:pPr>
      <w:r>
        <w:rPr>
          <w:rFonts w:ascii="Times New Roman" w:hAnsi="Times New Roman" w:cs="Times New Roman"/>
          <w:b/>
          <w:color w:val="auto"/>
          <w:sz w:val="24"/>
          <w:szCs w:val="24"/>
        </w:rPr>
        <w:t>8.3.3.2营运期环境监测</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auto"/>
        </w:rPr>
      </w:pPr>
      <w:bookmarkStart w:id="436" w:name="_Hlk66695291"/>
      <w:r>
        <w:rPr>
          <w:rFonts w:ascii="Times New Roman" w:hAnsi="Times New Roman" w:cs="Times New Roman"/>
          <w:color w:val="auto"/>
        </w:rPr>
        <w:t>营运期环境的监测的目的是评估工程实施后的环境效果，通过营运期水质监测，可以判定</w:t>
      </w:r>
      <w:r>
        <w:rPr>
          <w:rFonts w:hint="eastAsia" w:ascii="Times New Roman" w:hAnsi="Times New Roman" w:cs="Times New Roman"/>
          <w:color w:val="auto"/>
          <w:lang w:eastAsia="zh-CN"/>
        </w:rPr>
        <w:t>河流</w:t>
      </w:r>
      <w:r>
        <w:rPr>
          <w:rFonts w:ascii="Times New Roman" w:hAnsi="Times New Roman" w:cs="Times New Roman"/>
          <w:color w:val="auto"/>
        </w:rPr>
        <w:t>水质污染来源及水质情况，它与环境管理和水信息管理是相辅相成的，通过合理的工程管理，可以确保工程目标的实现，通过水信息管理系统，可实现工程效果的动态实时评估。</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auto"/>
        </w:rPr>
      </w:pPr>
      <w:r>
        <w:rPr>
          <w:rFonts w:ascii="Times New Roman" w:hAnsi="Times New Roman" w:cs="Times New Roman"/>
          <w:color w:val="auto"/>
        </w:rPr>
        <w:t>本工程属生态</w:t>
      </w:r>
      <w:r>
        <w:rPr>
          <w:rFonts w:hint="eastAsia" w:ascii="Times New Roman" w:hAnsi="Times New Roman" w:cs="Times New Roman"/>
          <w:color w:val="auto"/>
        </w:rPr>
        <w:t>影响</w:t>
      </w:r>
      <w:r>
        <w:rPr>
          <w:rFonts w:ascii="Times New Roman" w:hAnsi="Times New Roman" w:cs="Times New Roman"/>
          <w:color w:val="auto"/>
        </w:rPr>
        <w:t>类项目，污染影响主要体现在施工期，因此本次评价不设置运营期环境监测计划。</w:t>
      </w:r>
    </w:p>
    <w:bookmarkEnd w:id="436"/>
    <w:p>
      <w:pPr>
        <w:pStyle w:val="5"/>
        <w:tabs>
          <w:tab w:val="left" w:pos="766"/>
        </w:tabs>
        <w:autoSpaceDE/>
        <w:autoSpaceDN/>
        <w:adjustRightInd w:val="0"/>
        <w:snapToGrid w:val="0"/>
        <w:spacing w:before="0" w:line="360" w:lineRule="auto"/>
        <w:ind w:left="0" w:firstLine="0"/>
        <w:jc w:val="both"/>
        <w:rPr>
          <w:rFonts w:ascii="Times New Roman" w:hAnsi="Times New Roman" w:cs="Times New Roman"/>
          <w:snapToGrid w:val="0"/>
          <w:color w:val="auto"/>
        </w:rPr>
      </w:pPr>
      <w:bookmarkStart w:id="437" w:name="_bookmark56"/>
      <w:bookmarkEnd w:id="437"/>
      <w:bookmarkStart w:id="438" w:name="_bookmark57"/>
      <w:bookmarkEnd w:id="438"/>
      <w:bookmarkStart w:id="439" w:name="_Toc0"/>
      <w:r>
        <w:rPr>
          <w:rFonts w:ascii="Times New Roman" w:hAnsi="Times New Roman" w:cs="Times New Roman"/>
          <w:snapToGrid w:val="0"/>
          <w:color w:val="auto"/>
        </w:rPr>
        <w:t>8.4竣工验收</w:t>
      </w:r>
      <w:bookmarkEnd w:id="439"/>
    </w:p>
    <w:p>
      <w:pPr>
        <w:pStyle w:val="2"/>
        <w:autoSpaceDE/>
        <w:autoSpaceDN/>
        <w:adjustRightInd w:val="0"/>
        <w:snapToGrid w:val="0"/>
        <w:spacing w:before="0" w:line="360" w:lineRule="auto"/>
        <w:ind w:left="0" w:firstLine="480" w:firstLineChars="200"/>
        <w:jc w:val="both"/>
        <w:rPr>
          <w:rFonts w:ascii="Times New Roman" w:hAnsi="Times New Roman" w:cs="Times New Roman"/>
          <w:color w:val="auto"/>
        </w:rPr>
      </w:pPr>
      <w:r>
        <w:rPr>
          <w:rFonts w:ascii="Times New Roman" w:hAnsi="Times New Roman" w:cs="Times New Roman"/>
          <w:color w:val="auto"/>
        </w:rPr>
        <w:t>根据《建设项目环境保护管理条例》（国务院令第682号），编制环境影响报告书、环境影响报告表的建设项目竣工后，建设单位应当按照国务院环境保护行政主管部门规定的标准和程序，对配套建设的环境保护设施进行验收，编制验收报告。</w:t>
      </w:r>
    </w:p>
    <w:p>
      <w:pPr>
        <w:pStyle w:val="2"/>
        <w:autoSpaceDE/>
        <w:autoSpaceDN/>
        <w:adjustRightInd w:val="0"/>
        <w:snapToGrid w:val="0"/>
        <w:spacing w:before="0" w:line="360" w:lineRule="auto"/>
        <w:ind w:left="0" w:firstLine="480" w:firstLineChars="200"/>
        <w:jc w:val="both"/>
        <w:rPr>
          <w:rFonts w:ascii="Times New Roman" w:hAnsi="Times New Roman" w:cs="Times New Roman"/>
          <w:color w:val="auto"/>
        </w:rPr>
      </w:pPr>
      <w:r>
        <w:rPr>
          <w:rFonts w:ascii="Times New Roman" w:hAnsi="Times New Roman" w:cs="Times New Roman"/>
          <w:color w:val="auto"/>
        </w:rPr>
        <w:t>根据《建设项目竣工环境保护验收暂行办法》（国环规环评[2017]4号）第四条，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题工程同时投产或者使用，并对验收内容、结论和所公开信息的真实性、准确性和完整性负责，不得在验收过程中弄虚作假。本工程工程竣工后，应进行环境保护验收，验收通过后工程方可运行。本项目环保措施竣工验收一览表见下表。</w:t>
      </w:r>
    </w:p>
    <w:p>
      <w:pPr>
        <w:tabs>
          <w:tab w:val="left" w:pos="1017"/>
        </w:tabs>
        <w:autoSpaceDE/>
        <w:autoSpaceDN/>
        <w:adjustRightInd w:val="0"/>
        <w:snapToGrid w:val="0"/>
        <w:jc w:val="center"/>
        <w:rPr>
          <w:rFonts w:ascii="Times New Roman" w:hAnsi="Times New Roman" w:cs="Times New Roman"/>
          <w:b/>
          <w:color w:val="auto"/>
          <w:sz w:val="24"/>
          <w:szCs w:val="24"/>
          <w:u w:val="none"/>
        </w:rPr>
      </w:pPr>
      <w:r>
        <w:rPr>
          <w:rFonts w:ascii="Times New Roman" w:hAnsi="Times New Roman" w:cs="Times New Roman"/>
          <w:b/>
          <w:color w:val="auto"/>
          <w:sz w:val="24"/>
          <w:szCs w:val="24"/>
          <w:u w:val="none"/>
        </w:rPr>
        <w:t>表8.4-1  项目竣工环境保护验收工作一览表</w:t>
      </w:r>
    </w:p>
    <w:tbl>
      <w:tblPr>
        <w:tblStyle w:val="90"/>
        <w:tblW w:w="5000" w:type="pct"/>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727"/>
        <w:gridCol w:w="832"/>
        <w:gridCol w:w="1348"/>
        <w:gridCol w:w="3781"/>
        <w:gridCol w:w="233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403"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工程阶段</w:t>
            </w:r>
          </w:p>
        </w:tc>
        <w:tc>
          <w:tcPr>
            <w:tcW w:w="1208" w:type="pct"/>
            <w:gridSpan w:val="2"/>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项目</w:t>
            </w:r>
          </w:p>
        </w:tc>
        <w:tc>
          <w:tcPr>
            <w:tcW w:w="2095"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防治措施与工艺</w:t>
            </w:r>
          </w:p>
        </w:tc>
        <w:tc>
          <w:tcPr>
            <w:tcW w:w="1294"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验收标准</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403" w:type="pct"/>
            <w:vMerge w:val="restar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施工期</w:t>
            </w:r>
          </w:p>
        </w:tc>
        <w:tc>
          <w:tcPr>
            <w:tcW w:w="461" w:type="pct"/>
            <w:vMerge w:val="restar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废气</w:t>
            </w:r>
          </w:p>
        </w:tc>
        <w:tc>
          <w:tcPr>
            <w:tcW w:w="747"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施工扬尘</w:t>
            </w:r>
          </w:p>
        </w:tc>
        <w:tc>
          <w:tcPr>
            <w:tcW w:w="2095"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洒水，湿法作业，开挖土方集中堆放；用篷布遮挡物料；运输车辆进行冲洗</w:t>
            </w:r>
          </w:p>
        </w:tc>
        <w:tc>
          <w:tcPr>
            <w:tcW w:w="1294"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GB16297-1996无组织排放监控浓度限值</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403" w:type="pct"/>
            <w:vMerge w:val="continue"/>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p>
        </w:tc>
        <w:tc>
          <w:tcPr>
            <w:tcW w:w="461" w:type="pct"/>
            <w:vMerge w:val="continue"/>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p>
        </w:tc>
        <w:tc>
          <w:tcPr>
            <w:tcW w:w="747"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机械和车辆尾气</w:t>
            </w:r>
          </w:p>
        </w:tc>
        <w:tc>
          <w:tcPr>
            <w:tcW w:w="2095"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加强机械和车辆的管理和维护等</w:t>
            </w:r>
          </w:p>
        </w:tc>
        <w:tc>
          <w:tcPr>
            <w:tcW w:w="1294"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GB16297-1996无组织排放监控浓度限值</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403" w:type="pct"/>
            <w:vMerge w:val="continue"/>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p>
        </w:tc>
        <w:tc>
          <w:tcPr>
            <w:tcW w:w="461" w:type="pct"/>
            <w:vMerge w:val="continue"/>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p>
        </w:tc>
        <w:tc>
          <w:tcPr>
            <w:tcW w:w="747"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清淤恶臭</w:t>
            </w:r>
          </w:p>
        </w:tc>
        <w:tc>
          <w:tcPr>
            <w:tcW w:w="2095"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hint="eastAsia" w:ascii="Times New Roman" w:hAnsi="Times New Roman" w:cs="Times New Roman"/>
                <w:color w:val="auto"/>
                <w:sz w:val="21"/>
                <w:szCs w:val="24"/>
                <w:u w:val="none"/>
              </w:rPr>
              <w:t>区域、岸坡晾晒区域设置围挡，并喷洒除臭剂</w:t>
            </w:r>
          </w:p>
        </w:tc>
        <w:tc>
          <w:tcPr>
            <w:tcW w:w="1294"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《恶臭污染物排放标准》（GB14554-93）2类标准</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403" w:type="pct"/>
            <w:vMerge w:val="continue"/>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p>
        </w:tc>
        <w:tc>
          <w:tcPr>
            <w:tcW w:w="461" w:type="pct"/>
            <w:vMerge w:val="restar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废水</w:t>
            </w:r>
          </w:p>
        </w:tc>
        <w:tc>
          <w:tcPr>
            <w:tcW w:w="747"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施工废水</w:t>
            </w:r>
          </w:p>
        </w:tc>
        <w:tc>
          <w:tcPr>
            <w:tcW w:w="2095"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混凝土浇筑废水自然蒸发和无组织排放；冲洗废水沉淀隔油处理后回用于机械和车辆冲洗</w:t>
            </w:r>
          </w:p>
        </w:tc>
        <w:tc>
          <w:tcPr>
            <w:tcW w:w="1294"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不外排</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403" w:type="pct"/>
            <w:vMerge w:val="continue"/>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p>
        </w:tc>
        <w:tc>
          <w:tcPr>
            <w:tcW w:w="461" w:type="pct"/>
            <w:vMerge w:val="continue"/>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p>
        </w:tc>
        <w:tc>
          <w:tcPr>
            <w:tcW w:w="747"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生活废水</w:t>
            </w:r>
          </w:p>
        </w:tc>
        <w:tc>
          <w:tcPr>
            <w:tcW w:w="2095"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hint="eastAsia" w:ascii="Times New Roman" w:hAnsi="Times New Roman" w:cs="Times New Roman"/>
                <w:color w:val="auto"/>
                <w:sz w:val="21"/>
                <w:szCs w:val="24"/>
                <w:u w:val="none"/>
              </w:rPr>
              <w:t>生活污水经</w:t>
            </w:r>
            <w:r>
              <w:rPr>
                <w:rFonts w:hint="eastAsia" w:ascii="Times New Roman" w:hAnsi="Times New Roman" w:cs="Times New Roman"/>
                <w:color w:val="auto"/>
                <w:sz w:val="21"/>
                <w:szCs w:val="24"/>
                <w:u w:val="none"/>
                <w:lang w:eastAsia="zh-CN"/>
              </w:rPr>
              <w:t>依托居民</w:t>
            </w:r>
            <w:r>
              <w:rPr>
                <w:rFonts w:hint="eastAsia" w:ascii="Times New Roman" w:hAnsi="Times New Roman" w:cs="Times New Roman"/>
                <w:color w:val="auto"/>
                <w:sz w:val="21"/>
                <w:szCs w:val="24"/>
                <w:u w:val="none"/>
              </w:rPr>
              <w:t>化粪池处理，用于周围农田施肥</w:t>
            </w:r>
          </w:p>
        </w:tc>
        <w:tc>
          <w:tcPr>
            <w:tcW w:w="1294"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不外排</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403" w:type="pct"/>
            <w:vMerge w:val="continue"/>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p>
        </w:tc>
        <w:tc>
          <w:tcPr>
            <w:tcW w:w="1208" w:type="pct"/>
            <w:gridSpan w:val="2"/>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施工噪声</w:t>
            </w:r>
          </w:p>
        </w:tc>
        <w:tc>
          <w:tcPr>
            <w:tcW w:w="2095" w:type="pct"/>
            <w:vAlign w:val="center"/>
          </w:tcPr>
          <w:p>
            <w:pPr>
              <w:tabs>
                <w:tab w:val="left" w:pos="1017"/>
              </w:tabs>
              <w:autoSpaceDE/>
              <w:autoSpaceDN/>
              <w:adjustRightInd w:val="0"/>
              <w:snapToGrid w:val="0"/>
              <w:jc w:val="center"/>
              <w:rPr>
                <w:rFonts w:ascii="Times New Roman" w:hAnsi="Times New Roman" w:cs="Times New Roman"/>
                <w:color w:val="auto"/>
                <w:sz w:val="21"/>
                <w:szCs w:val="21"/>
                <w:u w:val="none"/>
              </w:rPr>
            </w:pPr>
            <w:r>
              <w:rPr>
                <w:rFonts w:ascii="Times New Roman" w:hAnsi="Times New Roman" w:cs="Times New Roman"/>
                <w:color w:val="auto"/>
                <w:sz w:val="21"/>
                <w:szCs w:val="21"/>
                <w:u w:val="none"/>
              </w:rPr>
              <w:t>采用低噪声施工机械和先进工艺；</w:t>
            </w:r>
            <w:r>
              <w:rPr>
                <w:rFonts w:ascii="Times New Roman" w:hAnsi="Times New Roman" w:cs="Times New Roman"/>
                <w:snapToGrid w:val="0"/>
                <w:color w:val="auto"/>
                <w:sz w:val="21"/>
                <w:szCs w:val="21"/>
                <w:u w:val="none"/>
              </w:rPr>
              <w:t>合理施工布局；采取适当封闭措施</w:t>
            </w:r>
          </w:p>
        </w:tc>
        <w:tc>
          <w:tcPr>
            <w:tcW w:w="1294"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（GB3096-2008）2类标准</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403" w:type="pct"/>
            <w:vMerge w:val="continue"/>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p>
        </w:tc>
        <w:tc>
          <w:tcPr>
            <w:tcW w:w="461" w:type="pct"/>
            <w:vMerge w:val="restar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固体废物</w:t>
            </w:r>
          </w:p>
        </w:tc>
        <w:tc>
          <w:tcPr>
            <w:tcW w:w="747"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清淤底泥</w:t>
            </w:r>
          </w:p>
        </w:tc>
        <w:tc>
          <w:tcPr>
            <w:tcW w:w="2095"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hint="eastAsia" w:ascii="Times New Roman" w:hAnsi="Times New Roman" w:cs="Times New Roman"/>
                <w:color w:val="auto"/>
                <w:sz w:val="21"/>
                <w:szCs w:val="24"/>
                <w:u w:val="none"/>
              </w:rPr>
              <w:t>用于岸坡平整、湿地整形等</w:t>
            </w:r>
          </w:p>
        </w:tc>
        <w:tc>
          <w:tcPr>
            <w:tcW w:w="1294"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资源化利用</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403" w:type="pct"/>
            <w:vMerge w:val="continue"/>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p>
        </w:tc>
        <w:tc>
          <w:tcPr>
            <w:tcW w:w="461" w:type="pct"/>
            <w:vMerge w:val="continue"/>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p>
        </w:tc>
        <w:tc>
          <w:tcPr>
            <w:tcW w:w="747"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建筑垃圾</w:t>
            </w:r>
          </w:p>
        </w:tc>
        <w:tc>
          <w:tcPr>
            <w:tcW w:w="2095" w:type="pct"/>
            <w:vAlign w:val="center"/>
          </w:tcPr>
          <w:p>
            <w:pPr>
              <w:tabs>
                <w:tab w:val="left" w:pos="1017"/>
              </w:tabs>
              <w:autoSpaceDE/>
              <w:autoSpaceDN/>
              <w:adjustRightInd w:val="0"/>
              <w:snapToGrid w:val="0"/>
              <w:jc w:val="center"/>
              <w:rPr>
                <w:rFonts w:hint="eastAsia" w:ascii="Times New Roman" w:hAnsi="Times New Roman" w:eastAsia="宋体" w:cs="Times New Roman"/>
                <w:color w:val="auto"/>
                <w:sz w:val="21"/>
                <w:szCs w:val="24"/>
                <w:u w:val="none"/>
                <w:lang w:eastAsia="zh-CN"/>
              </w:rPr>
            </w:pPr>
            <w:r>
              <w:rPr>
                <w:rFonts w:ascii="Times New Roman" w:hAnsi="Times New Roman" w:cs="Times New Roman"/>
                <w:color w:val="auto"/>
                <w:sz w:val="21"/>
                <w:szCs w:val="24"/>
                <w:u w:val="none"/>
              </w:rPr>
              <w:t>进行分类回收，其余送至</w:t>
            </w:r>
            <w:r>
              <w:rPr>
                <w:rFonts w:hint="eastAsia" w:ascii="Times New Roman" w:hAnsi="Times New Roman" w:cs="Times New Roman"/>
                <w:color w:val="auto"/>
                <w:sz w:val="21"/>
                <w:szCs w:val="24"/>
                <w:u w:val="none"/>
                <w:lang w:eastAsia="zh-CN"/>
              </w:rPr>
              <w:t>弃渣场</w:t>
            </w:r>
          </w:p>
        </w:tc>
        <w:tc>
          <w:tcPr>
            <w:tcW w:w="1294"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妥善处置</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403" w:type="pct"/>
            <w:vMerge w:val="continue"/>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p>
        </w:tc>
        <w:tc>
          <w:tcPr>
            <w:tcW w:w="461" w:type="pct"/>
            <w:vMerge w:val="continue"/>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p>
        </w:tc>
        <w:tc>
          <w:tcPr>
            <w:tcW w:w="747"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清表固废</w:t>
            </w:r>
          </w:p>
        </w:tc>
        <w:tc>
          <w:tcPr>
            <w:tcW w:w="2095"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hint="eastAsia" w:ascii="Times New Roman" w:hAnsi="Times New Roman" w:cs="Times New Roman"/>
                <w:color w:val="auto"/>
                <w:sz w:val="21"/>
                <w:szCs w:val="24"/>
                <w:u w:val="none"/>
              </w:rPr>
              <w:t>随生活垃圾一同处置</w:t>
            </w:r>
          </w:p>
        </w:tc>
        <w:tc>
          <w:tcPr>
            <w:tcW w:w="1294" w:type="pct"/>
            <w:vMerge w:val="restart"/>
            <w:vAlign w:val="center"/>
          </w:tcPr>
          <w:p>
            <w:pPr>
              <w:tabs>
                <w:tab w:val="left" w:pos="1017"/>
              </w:tabs>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《生活垃圾填埋场污染控制标准》（GB16889-2008）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403" w:type="pct"/>
            <w:vMerge w:val="continue"/>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p>
        </w:tc>
        <w:tc>
          <w:tcPr>
            <w:tcW w:w="461" w:type="pct"/>
            <w:vMerge w:val="continue"/>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p>
        </w:tc>
        <w:tc>
          <w:tcPr>
            <w:tcW w:w="747"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生活垃圾及废包装材料</w:t>
            </w:r>
          </w:p>
        </w:tc>
        <w:tc>
          <w:tcPr>
            <w:tcW w:w="2095"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收集后交由环卫部门处理</w:t>
            </w:r>
          </w:p>
        </w:tc>
        <w:tc>
          <w:tcPr>
            <w:tcW w:w="1294" w:type="pct"/>
            <w:vMerge w:val="continue"/>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PrEx>
        <w:trPr>
          <w:trHeight w:val="340" w:hRule="atLeast"/>
        </w:trPr>
        <w:tc>
          <w:tcPr>
            <w:tcW w:w="403" w:type="pct"/>
            <w:vMerge w:val="continue"/>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p>
        </w:tc>
        <w:tc>
          <w:tcPr>
            <w:tcW w:w="1208" w:type="pct"/>
            <w:gridSpan w:val="2"/>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生态环境</w:t>
            </w:r>
          </w:p>
        </w:tc>
        <w:tc>
          <w:tcPr>
            <w:tcW w:w="2095"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保护地表上层和植被；加强对施工人员的环保教育，禁止施工人员随意破坏植被及动物</w:t>
            </w:r>
          </w:p>
        </w:tc>
        <w:tc>
          <w:tcPr>
            <w:tcW w:w="1294" w:type="pct"/>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施工期水土流失得到有效控制与治理，施工区域生态环境得到有效恢复</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403" w:type="pct"/>
            <w:vAlign w:val="center"/>
          </w:tcPr>
          <w:p>
            <w:pPr>
              <w:tabs>
                <w:tab w:val="left" w:pos="1017"/>
              </w:tabs>
              <w:autoSpaceDE/>
              <w:autoSpaceDN/>
              <w:adjustRightInd w:val="0"/>
              <w:snapToGrid w:val="0"/>
              <w:jc w:val="center"/>
              <w:rPr>
                <w:rFonts w:hint="default" w:ascii="Times New Roman" w:hAnsi="Times New Roman" w:eastAsia="宋体" w:cs="Times New Roman"/>
                <w:color w:val="auto"/>
                <w:sz w:val="21"/>
                <w:szCs w:val="24"/>
                <w:u w:val="none"/>
                <w:lang w:val="en-US" w:eastAsia="zh-CN"/>
              </w:rPr>
            </w:pPr>
            <w:r>
              <w:rPr>
                <w:rFonts w:hint="eastAsia" w:ascii="Times New Roman" w:hAnsi="Times New Roman" w:cs="Times New Roman"/>
                <w:color w:val="auto"/>
                <w:sz w:val="21"/>
                <w:szCs w:val="24"/>
                <w:u w:val="none"/>
                <w:lang w:val="en-US" w:eastAsia="zh-CN"/>
              </w:rPr>
              <w:t>营运期</w:t>
            </w:r>
          </w:p>
        </w:tc>
        <w:tc>
          <w:tcPr>
            <w:tcW w:w="1208" w:type="pct"/>
            <w:gridSpan w:val="2"/>
            <w:vAlign w:val="center"/>
          </w:tcPr>
          <w:p>
            <w:pPr>
              <w:tabs>
                <w:tab w:val="left" w:pos="1017"/>
              </w:tabs>
              <w:autoSpaceDE/>
              <w:autoSpaceDN/>
              <w:adjustRightInd w:val="0"/>
              <w:snapToGrid w:val="0"/>
              <w:jc w:val="center"/>
              <w:rPr>
                <w:rFonts w:ascii="Times New Roman" w:hAnsi="Times New Roman" w:cs="Times New Roman"/>
                <w:color w:val="auto"/>
                <w:sz w:val="21"/>
                <w:szCs w:val="24"/>
                <w:u w:val="none"/>
              </w:rPr>
            </w:pPr>
            <w:r>
              <w:rPr>
                <w:rFonts w:ascii="Times New Roman" w:hAnsi="Times New Roman" w:cs="Times New Roman"/>
                <w:color w:val="auto"/>
                <w:sz w:val="21"/>
                <w:szCs w:val="24"/>
                <w:u w:val="none"/>
              </w:rPr>
              <w:t>生态环境</w:t>
            </w:r>
          </w:p>
        </w:tc>
        <w:tc>
          <w:tcPr>
            <w:tcW w:w="2095" w:type="pct"/>
            <w:vAlign w:val="center"/>
          </w:tcPr>
          <w:p>
            <w:pPr>
              <w:tabs>
                <w:tab w:val="left" w:pos="1017"/>
              </w:tabs>
              <w:autoSpaceDE/>
              <w:autoSpaceDN/>
              <w:adjustRightInd w:val="0"/>
              <w:snapToGrid w:val="0"/>
              <w:jc w:val="center"/>
              <w:rPr>
                <w:rFonts w:hint="default" w:ascii="Times New Roman" w:hAnsi="Times New Roman" w:eastAsia="宋体" w:cs="Times New Roman"/>
                <w:color w:val="auto"/>
                <w:sz w:val="21"/>
                <w:szCs w:val="24"/>
                <w:u w:val="none"/>
                <w:lang w:val="en-US" w:eastAsia="zh-CN"/>
              </w:rPr>
            </w:pPr>
            <w:r>
              <w:rPr>
                <w:rFonts w:hint="eastAsia" w:ascii="Times New Roman" w:hAnsi="Times New Roman" w:cs="Times New Roman"/>
                <w:color w:val="auto"/>
                <w:sz w:val="21"/>
                <w:szCs w:val="24"/>
                <w:u w:val="none"/>
                <w:lang w:val="en-US" w:eastAsia="zh-CN"/>
              </w:rPr>
              <w:t>完成项目中央资金绩效目标表中的工程内容，即本项目的生态修复主要工程内容</w:t>
            </w:r>
          </w:p>
        </w:tc>
        <w:tc>
          <w:tcPr>
            <w:tcW w:w="1294" w:type="pct"/>
            <w:vAlign w:val="center"/>
          </w:tcPr>
          <w:p>
            <w:pPr>
              <w:tabs>
                <w:tab w:val="left" w:pos="1017"/>
              </w:tabs>
              <w:autoSpaceDE/>
              <w:autoSpaceDN/>
              <w:adjustRightInd w:val="0"/>
              <w:snapToGrid w:val="0"/>
              <w:jc w:val="center"/>
              <w:rPr>
                <w:rFonts w:hint="default" w:ascii="Times New Roman" w:hAnsi="Times New Roman" w:eastAsia="宋体" w:cs="Times New Roman"/>
                <w:color w:val="auto"/>
                <w:sz w:val="21"/>
                <w:szCs w:val="24"/>
                <w:u w:val="none"/>
                <w:lang w:val="en-US" w:eastAsia="zh-CN"/>
              </w:rPr>
            </w:pPr>
            <w:r>
              <w:rPr>
                <w:rFonts w:hint="eastAsia" w:ascii="Times New Roman" w:hAnsi="Times New Roman" w:cs="Times New Roman"/>
                <w:color w:val="auto"/>
                <w:sz w:val="21"/>
                <w:szCs w:val="24"/>
                <w:u w:val="none"/>
                <w:lang w:val="en-US" w:eastAsia="zh-CN"/>
              </w:rPr>
              <w:t>通过中央资金项目项目工程验收</w:t>
            </w:r>
          </w:p>
        </w:tc>
      </w:tr>
    </w:tbl>
    <w:p>
      <w:pPr>
        <w:tabs>
          <w:tab w:val="left" w:pos="1017"/>
        </w:tabs>
        <w:autoSpaceDE/>
        <w:autoSpaceDN/>
        <w:adjustRightInd w:val="0"/>
        <w:snapToGrid w:val="0"/>
        <w:jc w:val="center"/>
        <w:rPr>
          <w:rFonts w:ascii="Times New Roman" w:hAnsi="Times New Roman" w:cs="Times New Roman"/>
          <w:sz w:val="24"/>
          <w:szCs w:val="24"/>
        </w:rPr>
      </w:pPr>
    </w:p>
    <w:p>
      <w:pPr>
        <w:autoSpaceDE/>
        <w:autoSpaceDN/>
        <w:adjustRightInd w:val="0"/>
        <w:snapToGrid w:val="0"/>
        <w:jc w:val="both"/>
        <w:rPr>
          <w:rFonts w:ascii="Times New Roman" w:hAnsi="Times New Roman" w:cs="Times New Roman"/>
          <w:sz w:val="21"/>
        </w:rPr>
        <w:sectPr>
          <w:type w:val="nextColumn"/>
          <w:pgSz w:w="11910" w:h="16840"/>
          <w:pgMar w:top="1378" w:right="1542" w:bottom="1378" w:left="1559" w:header="877" w:footer="1020" w:gutter="0"/>
          <w:pgBorders>
            <w:top w:val="none" w:sz="0" w:space="0"/>
            <w:left w:val="none" w:sz="0" w:space="0"/>
            <w:bottom w:val="none" w:sz="0" w:space="0"/>
            <w:right w:val="none" w:sz="0" w:space="0"/>
          </w:pgBorders>
          <w:pgNumType w:fmt="decimal"/>
          <w:cols w:space="720" w:num="1"/>
          <w:docGrid w:linePitch="299" w:charSpace="0"/>
        </w:sectPr>
      </w:pPr>
    </w:p>
    <w:p>
      <w:pPr>
        <w:pStyle w:val="4"/>
        <w:autoSpaceDE/>
        <w:autoSpaceDN/>
        <w:adjustRightInd w:val="0"/>
        <w:snapToGrid w:val="0"/>
        <w:spacing w:before="0" w:line="360" w:lineRule="auto"/>
        <w:ind w:right="0"/>
        <w:jc w:val="both"/>
        <w:rPr>
          <w:rFonts w:ascii="Times New Roman" w:hAnsi="Times New Roman" w:cs="Times New Roman" w:eastAsiaTheme="minorEastAsia"/>
          <w:sz w:val="32"/>
        </w:rPr>
      </w:pPr>
      <w:bookmarkStart w:id="440" w:name="_Toc14334"/>
      <w:r>
        <w:rPr>
          <w:rFonts w:ascii="Times New Roman" w:hAnsi="Times New Roman" w:cs="Times New Roman" w:eastAsiaTheme="minorEastAsia"/>
          <w:sz w:val="32"/>
        </w:rPr>
        <w:t>9.结论与建议</w:t>
      </w:r>
      <w:bookmarkEnd w:id="440"/>
    </w:p>
    <w:p>
      <w:pPr>
        <w:pStyle w:val="5"/>
        <w:tabs>
          <w:tab w:val="left" w:pos="766"/>
        </w:tabs>
        <w:autoSpaceDE/>
        <w:autoSpaceDN/>
        <w:adjustRightInd w:val="0"/>
        <w:snapToGrid w:val="0"/>
        <w:spacing w:before="0" w:line="360" w:lineRule="auto"/>
        <w:ind w:left="0" w:firstLine="0"/>
        <w:jc w:val="both"/>
        <w:rPr>
          <w:rFonts w:ascii="Times New Roman" w:hAnsi="Times New Roman" w:cs="Times New Roman"/>
          <w:snapToGrid w:val="0"/>
        </w:rPr>
      </w:pPr>
      <w:bookmarkStart w:id="441" w:name="_Toc15521"/>
      <w:bookmarkEnd w:id="441"/>
      <w:bookmarkStart w:id="442" w:name="_Toc54001029"/>
      <w:bookmarkEnd w:id="442"/>
      <w:bookmarkStart w:id="443" w:name="_Toc51523182"/>
      <w:bookmarkEnd w:id="443"/>
      <w:bookmarkStart w:id="444" w:name="_Toc687"/>
      <w:bookmarkEnd w:id="444"/>
      <w:bookmarkStart w:id="445" w:name="_Toc9650"/>
      <w:bookmarkEnd w:id="445"/>
      <w:bookmarkStart w:id="446" w:name="_Toc51159827"/>
      <w:bookmarkEnd w:id="446"/>
      <w:bookmarkStart w:id="447" w:name="_Toc51160551"/>
      <w:bookmarkEnd w:id="447"/>
      <w:bookmarkStart w:id="448" w:name="_bookmark67"/>
      <w:bookmarkEnd w:id="448"/>
      <w:bookmarkStart w:id="449" w:name="_Toc14641"/>
      <w:bookmarkEnd w:id="449"/>
      <w:bookmarkStart w:id="450" w:name="_Toc19416"/>
      <w:r>
        <w:rPr>
          <w:rFonts w:ascii="Times New Roman" w:hAnsi="Times New Roman" w:cs="Times New Roman"/>
          <w:snapToGrid w:val="0"/>
        </w:rPr>
        <w:t>9.1结论</w:t>
      </w:r>
      <w:bookmarkEnd w:id="450"/>
    </w:p>
    <w:p>
      <w:pPr>
        <w:autoSpaceDE/>
        <w:autoSpaceDN/>
        <w:adjustRightInd w:val="0"/>
        <w:snapToGrid w:val="0"/>
        <w:spacing w:line="360" w:lineRule="auto"/>
        <w:jc w:val="both"/>
        <w:outlineLvl w:val="2"/>
        <w:rPr>
          <w:rFonts w:ascii="Times New Roman" w:hAnsi="Times New Roman" w:cs="Times New Roman"/>
          <w:b/>
          <w:sz w:val="28"/>
          <w:szCs w:val="24"/>
        </w:rPr>
      </w:pPr>
      <w:bookmarkStart w:id="451" w:name="_Toc82593229"/>
      <w:bookmarkStart w:id="452" w:name="_Toc21501"/>
      <w:bookmarkStart w:id="453" w:name="_Toc69284685"/>
      <w:bookmarkStart w:id="454" w:name="_Toc66206153"/>
      <w:r>
        <w:rPr>
          <w:rFonts w:ascii="Times New Roman" w:hAnsi="Times New Roman" w:cs="Times New Roman"/>
          <w:b/>
          <w:sz w:val="28"/>
          <w:szCs w:val="24"/>
        </w:rPr>
        <w:t>9.1.1项目概况</w:t>
      </w:r>
      <w:bookmarkEnd w:id="451"/>
      <w:bookmarkEnd w:id="452"/>
      <w:bookmarkEnd w:id="453"/>
      <w:bookmarkEnd w:id="454"/>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项目名称：</w:t>
      </w:r>
      <w:r>
        <w:rPr>
          <w:rFonts w:hint="eastAsia" w:ascii="Times New Roman" w:hAnsi="Times New Roman" w:cs="Times New Roman"/>
          <w:lang w:eastAsia="zh-CN"/>
        </w:rPr>
        <w:t>祁水祁东县治理工程（祁水三期）</w:t>
      </w:r>
      <w:r>
        <w:rPr>
          <w:rFonts w:ascii="Times New Roman" w:hAnsi="Times New Roman" w:cs="Times New Roman"/>
        </w:rPr>
        <w:t>；</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建设单位：</w:t>
      </w:r>
      <w:r>
        <w:rPr>
          <w:rFonts w:hint="eastAsia" w:ascii="Times New Roman" w:hAnsi="Times New Roman" w:cs="Times New Roman"/>
          <w:lang w:eastAsia="zh-CN"/>
        </w:rPr>
        <w:t>祁东县水利水电管理站</w:t>
      </w:r>
      <w:r>
        <w:rPr>
          <w:rFonts w:ascii="Times New Roman" w:hAnsi="Times New Roman" w:cs="Times New Roman"/>
        </w:rPr>
        <w:t>；</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项目实施地点：</w:t>
      </w:r>
      <w:r>
        <w:rPr>
          <w:rFonts w:hint="eastAsia" w:ascii="Times New Roman" w:hAnsi="Times New Roman" w:cs="Times New Roman"/>
          <w:snapToGrid w:val="0"/>
          <w:lang w:eastAsia="zh-CN"/>
        </w:rPr>
        <w:t>祁东县四明山乡、太和堂镇、蒋家桥镇、城连圩乡</w:t>
      </w:r>
      <w:r>
        <w:rPr>
          <w:rFonts w:ascii="Times New Roman" w:hAnsi="Times New Roman" w:cs="Times New Roman"/>
          <w:snapToGrid w:val="0"/>
        </w:rPr>
        <w:t>；</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项目性质：新建；</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项目总投资及资金来源：本项目总投资</w:t>
      </w:r>
      <w:r>
        <w:rPr>
          <w:rFonts w:hint="eastAsia" w:ascii="Times New Roman" w:hAnsi="Times New Roman" w:cs="Times New Roman"/>
          <w:lang w:eastAsia="zh-CN"/>
        </w:rPr>
        <w:t>8704.98</w:t>
      </w:r>
      <w:r>
        <w:rPr>
          <w:rFonts w:ascii="Times New Roman" w:hAnsi="Times New Roman" w:cs="Times New Roman"/>
        </w:rPr>
        <w:t>万元，其中使用中央水污染防治专项资金</w:t>
      </w:r>
      <w:r>
        <w:rPr>
          <w:rFonts w:hint="eastAsia" w:ascii="Times New Roman" w:hAnsi="Times New Roman" w:cs="Times New Roman"/>
          <w:lang w:eastAsia="zh-CN"/>
        </w:rPr>
        <w:t>3000万</w:t>
      </w:r>
      <w:r>
        <w:rPr>
          <w:rFonts w:ascii="Times New Roman" w:hAnsi="Times New Roman" w:cs="Times New Roman"/>
        </w:rPr>
        <w:t>元，使用地方配套资金</w:t>
      </w:r>
      <w:r>
        <w:rPr>
          <w:rFonts w:hint="eastAsia" w:ascii="Times New Roman" w:hAnsi="Times New Roman" w:cs="Times New Roman"/>
          <w:lang w:eastAsia="zh-CN"/>
        </w:rPr>
        <w:t>2399.24万</w:t>
      </w:r>
      <w:r>
        <w:rPr>
          <w:rFonts w:ascii="Times New Roman" w:hAnsi="Times New Roman" w:cs="Times New Roman"/>
        </w:rPr>
        <w:t>元。</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项目实施年限：施工期202</w:t>
      </w:r>
      <w:r>
        <w:rPr>
          <w:rFonts w:hint="eastAsia" w:ascii="Times New Roman" w:hAnsi="Times New Roman" w:cs="Times New Roman"/>
          <w:lang w:val="en-US" w:eastAsia="zh-CN"/>
        </w:rPr>
        <w:t>3</w:t>
      </w:r>
      <w:r>
        <w:rPr>
          <w:rFonts w:ascii="Times New Roman" w:hAnsi="Times New Roman" w:cs="Times New Roman"/>
        </w:rPr>
        <w:t>年</w:t>
      </w:r>
      <w:r>
        <w:rPr>
          <w:rFonts w:hint="eastAsia" w:ascii="Times New Roman" w:hAnsi="Times New Roman" w:cs="Times New Roman"/>
          <w:lang w:val="en-US" w:eastAsia="zh-CN"/>
        </w:rPr>
        <w:t>9</w:t>
      </w:r>
      <w:r>
        <w:rPr>
          <w:rFonts w:ascii="Times New Roman" w:hAnsi="Times New Roman" w:cs="Times New Roman"/>
        </w:rPr>
        <w:t>月~202</w:t>
      </w:r>
      <w:r>
        <w:rPr>
          <w:rFonts w:hint="eastAsia" w:ascii="Times New Roman" w:hAnsi="Times New Roman" w:cs="Times New Roman"/>
          <w:lang w:val="en-US" w:eastAsia="zh-CN"/>
        </w:rPr>
        <w:t>4</w:t>
      </w:r>
      <w:r>
        <w:rPr>
          <w:rFonts w:ascii="Times New Roman" w:hAnsi="Times New Roman" w:cs="Times New Roman"/>
        </w:rPr>
        <w:t>年</w:t>
      </w:r>
      <w:r>
        <w:rPr>
          <w:rFonts w:hint="eastAsia" w:ascii="Times New Roman" w:hAnsi="Times New Roman" w:cs="Times New Roman"/>
          <w:lang w:val="en-US" w:eastAsia="zh-CN"/>
        </w:rPr>
        <w:t>11</w:t>
      </w:r>
      <w:r>
        <w:rPr>
          <w:rFonts w:ascii="Times New Roman" w:hAnsi="Times New Roman" w:cs="Times New Roman"/>
        </w:rPr>
        <w:t>月，共</w:t>
      </w:r>
      <w:r>
        <w:rPr>
          <w:rFonts w:hint="eastAsia" w:ascii="Times New Roman" w:hAnsi="Times New Roman" w:cs="Times New Roman"/>
          <w:lang w:val="en-US" w:eastAsia="zh-CN"/>
        </w:rPr>
        <w:t>14</w:t>
      </w:r>
      <w:r>
        <w:rPr>
          <w:rFonts w:ascii="Times New Roman" w:hAnsi="Times New Roman" w:cs="Times New Roman"/>
        </w:rPr>
        <w:t>个月。</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项目建设内容：</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1）护岸工程全长30.017km，其中太和堂段左岸12.546km，太和堂段右岸14.617km，祁水源段右岸2.483km；</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2）河道清淤疏浚：综合清淤疏浚总长度14.619km；</w:t>
      </w:r>
    </w:p>
    <w:p>
      <w:pPr>
        <w:pStyle w:val="2"/>
        <w:autoSpaceDE/>
        <w:autoSpaceDN/>
        <w:adjustRightInd w:val="0"/>
        <w:snapToGrid w:val="0"/>
        <w:spacing w:before="0" w:line="360" w:lineRule="auto"/>
        <w:ind w:left="0" w:firstLine="480" w:firstLineChars="200"/>
        <w:jc w:val="both"/>
        <w:rPr>
          <w:rFonts w:hint="eastAsia" w:ascii="Times New Roman" w:hAnsi="Times New Roman" w:cs="Times New Roman"/>
        </w:rPr>
      </w:pPr>
      <w:r>
        <w:rPr>
          <w:rFonts w:hint="eastAsia" w:ascii="Times New Roman" w:hAnsi="Times New Roman" w:cs="Times New Roman"/>
        </w:rPr>
        <w:t>3）建筑物工程：本次治理范围内共有河坝31处，其中拆除重建1处，改造加固5处；</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ascii="Times New Roman" w:hAnsi="Times New Roman" w:cs="Times New Roman"/>
        </w:rPr>
        <w:t>4）附属建筑物工程：涵管：本次设计护岸段沿线新建涵管162处，其中新建φ1200涵管2处，新建φ1000涵管8处，新建φ500涵管20处，新建φ300涵管12处，新建φ200涵管120处；踏步：本次治理河段范围内共设80处踏步</w:t>
      </w:r>
      <w:r>
        <w:rPr>
          <w:rFonts w:ascii="Times New Roman" w:hAnsi="Times New Roman" w:cs="Times New Roman"/>
        </w:rPr>
        <w:t>。</w:t>
      </w:r>
    </w:p>
    <w:p>
      <w:pPr>
        <w:autoSpaceDE/>
        <w:autoSpaceDN/>
        <w:adjustRightInd w:val="0"/>
        <w:snapToGrid w:val="0"/>
        <w:spacing w:line="360" w:lineRule="auto"/>
        <w:jc w:val="both"/>
        <w:outlineLvl w:val="2"/>
        <w:rPr>
          <w:rFonts w:ascii="Times New Roman" w:hAnsi="Times New Roman" w:cs="Times New Roman"/>
          <w:b/>
          <w:sz w:val="28"/>
          <w:szCs w:val="24"/>
        </w:rPr>
      </w:pPr>
      <w:bookmarkStart w:id="455" w:name="_Toc82593230"/>
      <w:bookmarkStart w:id="456" w:name="_Toc19170"/>
      <w:bookmarkStart w:id="457" w:name="_Toc66206154"/>
      <w:bookmarkStart w:id="458" w:name="_Toc69284686"/>
      <w:r>
        <w:rPr>
          <w:rFonts w:ascii="Times New Roman" w:hAnsi="Times New Roman" w:cs="Times New Roman"/>
          <w:b/>
          <w:sz w:val="28"/>
          <w:szCs w:val="24"/>
        </w:rPr>
        <w:t>9.1.2区域环境质量现状</w:t>
      </w:r>
      <w:bookmarkEnd w:id="455"/>
      <w:bookmarkEnd w:id="456"/>
      <w:bookmarkEnd w:id="457"/>
      <w:bookmarkEnd w:id="458"/>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（1）大气环境：</w:t>
      </w:r>
      <w:r>
        <w:rPr>
          <w:rFonts w:ascii="Times New Roman" w:hAnsi="Times New Roman"/>
        </w:rPr>
        <w:t>202</w:t>
      </w:r>
      <w:r>
        <w:rPr>
          <w:rFonts w:hint="eastAsia" w:ascii="Times New Roman" w:hAnsi="Times New Roman"/>
          <w:lang w:val="en-US" w:eastAsia="zh-CN"/>
        </w:rPr>
        <w:t>3</w:t>
      </w:r>
      <w:r>
        <w:rPr>
          <w:rFonts w:ascii="Times New Roman" w:hAnsi="Times New Roman"/>
        </w:rPr>
        <w:t>年</w:t>
      </w:r>
      <w:r>
        <w:rPr>
          <w:rFonts w:hint="eastAsia" w:ascii="Times New Roman" w:hAnsi="Times New Roman"/>
          <w:lang w:eastAsia="zh-CN"/>
        </w:rPr>
        <w:t>祁东县</w:t>
      </w:r>
      <w:r>
        <w:rPr>
          <w:rFonts w:ascii="Times New Roman" w:hAnsi="Times New Roman"/>
        </w:rPr>
        <w:t>环境空气质量各指标浓度均能满足《环境空气质量标准》（GB3095-2012）中的二级标准限值，故</w:t>
      </w:r>
      <w:r>
        <w:rPr>
          <w:rFonts w:hint="eastAsia" w:ascii="Times New Roman" w:hAnsi="Times New Roman"/>
          <w:lang w:eastAsia="zh-CN"/>
        </w:rPr>
        <w:t>项目</w:t>
      </w:r>
      <w:r>
        <w:rPr>
          <w:rFonts w:ascii="Times New Roman" w:hAnsi="Times New Roman"/>
        </w:rPr>
        <w:t>属于达标区。</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（2）地表水环境：</w:t>
      </w:r>
      <w:r>
        <w:rPr>
          <w:rFonts w:ascii="Times New Roman" w:hAnsi="Times New Roman" w:cs="Times New Roman"/>
        </w:rPr>
        <w:t>从监测结果可以看出，</w:t>
      </w:r>
      <w:r>
        <w:rPr>
          <w:rFonts w:hint="eastAsia" w:ascii="Times New Roman" w:hAnsi="Times New Roman" w:cs="Times New Roman"/>
          <w:lang w:eastAsia="zh-CN"/>
        </w:rPr>
        <w:t>祁水部分时段超出了水质</w:t>
      </w:r>
      <w:r>
        <w:rPr>
          <w:rFonts w:hint="eastAsia" w:ascii="宋体" w:hAnsi="宋体" w:eastAsia="宋体" w:cs="宋体"/>
        </w:rPr>
        <w:t>Ⅱ</w:t>
      </w:r>
      <w:r>
        <w:rPr>
          <w:rFonts w:ascii="Times New Roman" w:hAnsi="Times New Roman" w:cs="Times New Roman"/>
        </w:rPr>
        <w:t>类</w:t>
      </w:r>
      <w:r>
        <w:rPr>
          <w:rFonts w:hint="eastAsia" w:ascii="Times New Roman" w:hAnsi="Times New Roman" w:cs="Times New Roman"/>
          <w:lang w:eastAsia="zh-CN"/>
        </w:rPr>
        <w:t>要求</w:t>
      </w:r>
      <w:r>
        <w:rPr>
          <w:rFonts w:ascii="Times New Roman" w:hAnsi="Times New Roman" w:cs="Times New Roman"/>
        </w:rPr>
        <w:t>，</w:t>
      </w:r>
      <w:r>
        <w:rPr>
          <w:rFonts w:hint="eastAsia" w:ascii="Times New Roman" w:hAnsi="Times New Roman" w:cs="Times New Roman"/>
        </w:rPr>
        <w:t>饮用水安全存在一定的风险</w:t>
      </w:r>
      <w:r>
        <w:rPr>
          <w:rFonts w:hint="eastAsia" w:ascii="Times New Roman" w:hAnsi="Times New Roman" w:cs="Times New Roman"/>
          <w:lang w:eastAsia="zh-CN"/>
        </w:rPr>
        <w:t>。</w:t>
      </w:r>
      <w:r>
        <w:rPr>
          <w:rFonts w:ascii="Times New Roman" w:hAnsi="Times New Roman" w:cs="Times New Roman"/>
        </w:rPr>
        <w:t>本项目为河湖整治项目，项目的实施能有效改善</w:t>
      </w:r>
      <w:r>
        <w:rPr>
          <w:rFonts w:hint="eastAsia" w:ascii="Times New Roman" w:hAnsi="Times New Roman" w:cs="Times New Roman"/>
          <w:lang w:eastAsia="zh-CN"/>
        </w:rPr>
        <w:t>祁水</w:t>
      </w:r>
      <w:r>
        <w:rPr>
          <w:rFonts w:ascii="Times New Roman" w:hAnsi="Times New Roman" w:cs="Times New Roman"/>
        </w:rPr>
        <w:t>水质。</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w:t>
      </w:r>
      <w:r>
        <w:rPr>
          <w:rFonts w:hint="eastAsia" w:ascii="Times New Roman" w:hAnsi="Times New Roman" w:cs="Times New Roman"/>
          <w:snapToGrid w:val="0"/>
        </w:rPr>
        <w:t>3</w:t>
      </w:r>
      <w:r>
        <w:rPr>
          <w:rFonts w:ascii="Times New Roman" w:hAnsi="Times New Roman" w:cs="Times New Roman"/>
          <w:snapToGrid w:val="0"/>
        </w:rPr>
        <w:t>）</w:t>
      </w:r>
      <w:r>
        <w:rPr>
          <w:rFonts w:hint="eastAsia" w:ascii="Times New Roman" w:hAnsi="Times New Roman" w:cs="Times New Roman"/>
          <w:snapToGrid w:val="0"/>
          <w:lang w:eastAsia="zh-CN"/>
        </w:rPr>
        <w:t>地下水</w:t>
      </w:r>
      <w:r>
        <w:rPr>
          <w:rFonts w:ascii="Times New Roman" w:hAnsi="Times New Roman" w:cs="Times New Roman"/>
          <w:snapToGrid w:val="0"/>
        </w:rPr>
        <w:t>环境：各监测点处</w:t>
      </w:r>
      <w:r>
        <w:rPr>
          <w:rFonts w:hint="eastAsia" w:ascii="Times New Roman" w:hAnsi="Times New Roman" w:cs="Times New Roman"/>
          <w:snapToGrid w:val="0"/>
          <w:lang w:eastAsia="zh-CN"/>
        </w:rPr>
        <w:t>监测值满足</w:t>
      </w:r>
      <w:r>
        <w:rPr>
          <w:rFonts w:hint="eastAsia" w:ascii="Times New Roman" w:hAnsi="Times New Roman" w:cs="Times New Roman"/>
          <w:snapToGrid w:val="0"/>
        </w:rPr>
        <w:t>《地下水环境质量标准》GB/T14848-2017表1中Ⅲ类标准限值</w:t>
      </w:r>
      <w:r>
        <w:rPr>
          <w:rFonts w:ascii="Times New Roman" w:hAnsi="Times New Roman" w:cs="Times New Roman"/>
          <w:snapToGrid w:val="0"/>
        </w:rPr>
        <w:t>要求。</w:t>
      </w:r>
    </w:p>
    <w:p>
      <w:pPr>
        <w:pStyle w:val="2"/>
        <w:autoSpaceDE/>
        <w:autoSpaceDN/>
        <w:adjustRightInd w:val="0"/>
        <w:snapToGrid w:val="0"/>
        <w:spacing w:before="0" w:line="360" w:lineRule="auto"/>
        <w:ind w:left="0" w:firstLine="480" w:firstLineChars="200"/>
        <w:jc w:val="both"/>
        <w:rPr>
          <w:rFonts w:ascii="Times New Roman" w:hAnsi="Times New Roman" w:cs="Times New Roman"/>
          <w:snapToGrid w:val="0"/>
        </w:rPr>
      </w:pPr>
      <w:r>
        <w:rPr>
          <w:rFonts w:ascii="Times New Roman" w:hAnsi="Times New Roman" w:cs="Times New Roman"/>
          <w:snapToGrid w:val="0"/>
        </w:rPr>
        <w:t>（</w:t>
      </w:r>
      <w:r>
        <w:rPr>
          <w:rFonts w:hint="eastAsia" w:ascii="Times New Roman" w:hAnsi="Times New Roman" w:cs="Times New Roman"/>
          <w:snapToGrid w:val="0"/>
          <w:lang w:val="en-US" w:eastAsia="zh-CN"/>
        </w:rPr>
        <w:t>4</w:t>
      </w:r>
      <w:r>
        <w:rPr>
          <w:rFonts w:ascii="Times New Roman" w:hAnsi="Times New Roman" w:cs="Times New Roman"/>
          <w:snapToGrid w:val="0"/>
        </w:rPr>
        <w:t>）声环境：各监测点处昼夜噪声监测值均符合《声环境质量标准》（GB3096-2008）2类标准要求。</w:t>
      </w:r>
    </w:p>
    <w:p>
      <w:pPr>
        <w:autoSpaceDE/>
        <w:autoSpaceDN/>
        <w:adjustRightInd w:val="0"/>
        <w:snapToGrid w:val="0"/>
        <w:spacing w:line="360" w:lineRule="auto"/>
        <w:jc w:val="both"/>
        <w:outlineLvl w:val="2"/>
        <w:rPr>
          <w:rFonts w:ascii="Times New Roman" w:hAnsi="Times New Roman" w:cs="Times New Roman"/>
          <w:b/>
          <w:sz w:val="28"/>
          <w:szCs w:val="24"/>
        </w:rPr>
      </w:pPr>
      <w:bookmarkStart w:id="459" w:name="_Toc66206155"/>
      <w:bookmarkStart w:id="460" w:name="_Toc69284687"/>
      <w:bookmarkStart w:id="461" w:name="_Toc82593231"/>
      <w:bookmarkStart w:id="462" w:name="_Toc26853"/>
      <w:r>
        <w:rPr>
          <w:rFonts w:ascii="Times New Roman" w:hAnsi="Times New Roman" w:cs="Times New Roman"/>
          <w:b/>
          <w:sz w:val="28"/>
          <w:szCs w:val="24"/>
        </w:rPr>
        <w:t>9.1.3污染物总量控制</w:t>
      </w:r>
      <w:bookmarkEnd w:id="459"/>
      <w:bookmarkEnd w:id="460"/>
      <w:bookmarkEnd w:id="461"/>
      <w:bookmarkEnd w:id="462"/>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color w:val="000000" w:themeColor="text1"/>
          <w14:textFill>
            <w14:solidFill>
              <w14:schemeClr w14:val="tx1"/>
            </w14:solidFill>
          </w14:textFill>
        </w:rPr>
        <w:t>为实现严格控制污染物的排放量，实施污染物总量控制将有助于节约资源和污染的防治，是控制环境污染实现经济环境协调并持续发展的重要手段。因本工程本身为污染治理工程，且相关污染物排放量较少，故本项目不设置总量控制目标。</w:t>
      </w:r>
    </w:p>
    <w:p>
      <w:pPr>
        <w:autoSpaceDE/>
        <w:autoSpaceDN/>
        <w:adjustRightInd w:val="0"/>
        <w:snapToGrid w:val="0"/>
        <w:spacing w:line="360" w:lineRule="auto"/>
        <w:jc w:val="both"/>
        <w:outlineLvl w:val="2"/>
        <w:rPr>
          <w:rFonts w:ascii="Times New Roman" w:hAnsi="Times New Roman" w:cs="Times New Roman"/>
          <w:b/>
          <w:sz w:val="28"/>
          <w:szCs w:val="24"/>
        </w:rPr>
      </w:pPr>
      <w:bookmarkStart w:id="463" w:name="_Toc66206156"/>
      <w:bookmarkStart w:id="464" w:name="_Toc82593232"/>
      <w:bookmarkStart w:id="465" w:name="_Toc13492"/>
      <w:bookmarkStart w:id="466" w:name="_Toc69284688"/>
      <w:r>
        <w:rPr>
          <w:rFonts w:ascii="Times New Roman" w:hAnsi="Times New Roman" w:cs="Times New Roman"/>
          <w:b/>
          <w:sz w:val="28"/>
          <w:szCs w:val="24"/>
        </w:rPr>
        <w:t>9.1.4环境影响分析结论</w:t>
      </w:r>
      <w:bookmarkEnd w:id="463"/>
      <w:bookmarkEnd w:id="464"/>
      <w:bookmarkEnd w:id="465"/>
      <w:bookmarkEnd w:id="466"/>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（1）施工期环境影响分析</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bookmarkStart w:id="467" w:name="_Hlk55219468"/>
      <w:r>
        <w:rPr>
          <w:rFonts w:hint="eastAsia"/>
        </w:rPr>
        <w:t>①</w:t>
      </w:r>
      <w:r>
        <w:rPr>
          <w:rFonts w:ascii="Times New Roman" w:hAnsi="Times New Roman" w:cs="Times New Roman"/>
        </w:rPr>
        <w:t>大气环境</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施工期产生的废气污染物主要为施工扬尘、施工机械和运输车辆产生的尾气、清淤恶臭气体。</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项目施工采取围挡、洒水、冲洗等一系列降尘措施，扬尘量将减少。燃油施工机械及车辆排放的尾气污染物较少，安有净化装置，对环境空气影响不大。清淤会对周边居民产生一定不利影响。由于工程分段施工，对岸边沿线居民来说，清淤施工时间很短，清淤逸散的恶臭对居民影响不大，随着清淤工程的结束而结束。</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rPr>
        <w:t>②</w:t>
      </w:r>
      <w:r>
        <w:rPr>
          <w:rFonts w:ascii="Times New Roman" w:hAnsi="Times New Roman" w:cs="Times New Roman"/>
          <w:lang w:val="en-US"/>
        </w:rPr>
        <w:t>地表</w:t>
      </w:r>
      <w:r>
        <w:rPr>
          <w:rFonts w:ascii="Times New Roman" w:hAnsi="Times New Roman" w:cs="Times New Roman"/>
        </w:rPr>
        <w:t>水环境</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项目施工期废水包括施工废水、施工人员生活废水等。</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施工废水包括混凝土浇筑废水、场地及设备冲洗水。混凝土浇筑废水难以收集，靠自然蒸发和无组织排放。冲洗废水进行沉淀隔油处理后回用于机械和车辆冲洗，不外排。</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施工期生活污水经化粪池处理后作为农肥综合利用，不外排，不会对周边水体造成影响。</w:t>
      </w:r>
    </w:p>
    <w:p>
      <w:pPr>
        <w:pStyle w:val="2"/>
        <w:autoSpaceDE/>
        <w:autoSpaceDN/>
        <w:adjustRightInd w:val="0"/>
        <w:snapToGrid w:val="0"/>
        <w:spacing w:before="0" w:line="360" w:lineRule="auto"/>
        <w:ind w:left="0" w:firstLine="480" w:firstLineChars="200"/>
        <w:jc w:val="both"/>
        <w:rPr>
          <w:rFonts w:hint="eastAsia" w:ascii="Times New Roman" w:hAnsi="Times New Roman" w:eastAsia="宋体" w:cs="Times New Roman"/>
          <w:lang w:eastAsia="zh-CN"/>
        </w:rPr>
      </w:pPr>
      <w:r>
        <w:rPr>
          <w:rFonts w:hint="eastAsia" w:ascii="Times New Roman" w:hAnsi="Times New Roman" w:cs="Times New Roman"/>
          <w:u w:val="none"/>
        </w:rPr>
        <w:t>项目选择在枯水期施工，</w:t>
      </w:r>
      <w:r>
        <w:rPr>
          <w:rFonts w:hint="eastAsia" w:ascii="Times New Roman" w:hAnsi="Times New Roman" w:cs="Times New Roman"/>
          <w:u w:val="none"/>
          <w:lang w:eastAsia="zh-CN"/>
        </w:rPr>
        <w:t>并合理压缩工期，</w:t>
      </w:r>
      <w:r>
        <w:rPr>
          <w:rFonts w:hint="eastAsia" w:ascii="Times New Roman" w:hAnsi="Times New Roman" w:cs="Times New Roman"/>
          <w:u w:val="none"/>
        </w:rPr>
        <w:t>尽量减少对</w:t>
      </w:r>
      <w:r>
        <w:rPr>
          <w:rFonts w:hint="eastAsia" w:ascii="Times New Roman" w:hAnsi="Times New Roman" w:cs="Times New Roman"/>
          <w:u w:val="none"/>
          <w:lang w:eastAsia="zh-CN"/>
        </w:rPr>
        <w:t>祁水及</w:t>
      </w:r>
      <w:r>
        <w:rPr>
          <w:rFonts w:hint="eastAsia" w:ascii="Times New Roman" w:hAnsi="Times New Roman" w:cs="Times New Roman"/>
          <w:u w:val="none"/>
        </w:rPr>
        <w:t>饮用水水源保护区水质的扰动，降低项目施工对水质的影响。另一方面，项目施工期间，建设单位需事先与</w:t>
      </w:r>
      <w:r>
        <w:rPr>
          <w:rFonts w:hint="eastAsia" w:ascii="Times New Roman" w:hAnsi="Times New Roman" w:cs="Times New Roman"/>
          <w:u w:val="none"/>
          <w:lang w:eastAsia="zh-CN"/>
        </w:rPr>
        <w:t>下游相应</w:t>
      </w:r>
      <w:r>
        <w:rPr>
          <w:rFonts w:hint="eastAsia" w:ascii="Times New Roman" w:hAnsi="Times New Roman" w:cs="Times New Roman"/>
          <w:u w:val="none"/>
        </w:rPr>
        <w:t>自来水厂沟通协调好，选择用水低峰时段施工，施工期需加强对饮用水水源保护区及取水口上、下游的水质监测工作，建设单位应与地方政府、水厂及相关管理部门建立施工水质管理应急联动机制，发现水体污染应及时采取停工等有效措施，并启动取水应急预案，自来水厂可加强水质净化处理，加大沉淀和深度处理力度，保证水厂正常供水和供水水质正常</w:t>
      </w:r>
      <w:r>
        <w:rPr>
          <w:rFonts w:hint="eastAsia" w:ascii="Times New Roman" w:hAnsi="Times New Roman" w:cs="Times New Roman"/>
          <w:u w:val="none"/>
          <w:lang w:eastAsia="zh-CN"/>
        </w:rPr>
        <w:t>。</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rPr>
        <w:t>③</w:t>
      </w:r>
      <w:r>
        <w:rPr>
          <w:rFonts w:ascii="Times New Roman" w:hAnsi="Times New Roman" w:cs="Times New Roman"/>
        </w:rPr>
        <w:t>地下水环境</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施工期废水主要包括生活污水及施工废水。生活污水主要污染物为 COD、 BOD</w:t>
      </w:r>
      <w:r>
        <w:rPr>
          <w:rFonts w:ascii="Times New Roman" w:hAnsi="Times New Roman" w:cs="Times New Roman"/>
          <w:vertAlign w:val="subscript"/>
        </w:rPr>
        <w:t>5</w:t>
      </w:r>
      <w:r>
        <w:rPr>
          <w:rFonts w:ascii="Times New Roman" w:hAnsi="Times New Roman" w:cs="Times New Roman"/>
        </w:rPr>
        <w:t>、SS、NH</w:t>
      </w:r>
      <w:r>
        <w:rPr>
          <w:rFonts w:ascii="Times New Roman" w:hAnsi="Times New Roman" w:cs="Times New Roman"/>
          <w:vertAlign w:val="subscript"/>
        </w:rPr>
        <w:t>3</w:t>
      </w:r>
      <w:r>
        <w:rPr>
          <w:rFonts w:ascii="Times New Roman" w:hAnsi="Times New Roman" w:cs="Times New Roman"/>
        </w:rPr>
        <w:t>-N。施工废水中除了含有少量的石油类和悬浮物外基本没有其他污染物，不含有重金属污染物。施工期对污、废水集中收集并对处理设施做好防渗处理，不会对地下水产生影响。</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rPr>
        <w:t>④</w:t>
      </w:r>
      <w:r>
        <w:rPr>
          <w:rFonts w:ascii="Times New Roman" w:hAnsi="Times New Roman" w:cs="Times New Roman"/>
        </w:rPr>
        <w:t>声环境</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color w:val="000000"/>
          <w:lang w:bidi="ar"/>
        </w:rPr>
        <w:t>本工程施工期噪声分为交通噪声和施工机械噪声，前者间歇性噪声，后者为持续性噪声。本项目施工机械的噪声强度可达70-95dB(A)，由此而产生的噪声对周围区域环境有一定的影响。建设期施工噪声影响是短期的，而且具有局部路段特性。应合理安排施工时间，禁止夜间施工。在此基础上，施工噪声对周围环境的影响较小。通过采取施工期的噪声防控措施，本项目施工期带来的噪声影响可得到控制。施工结束后，项目实施带来的施工噪声影响将消除。</w:t>
      </w:r>
    </w:p>
    <w:p>
      <w:pPr>
        <w:pStyle w:val="2"/>
        <w:numPr>
          <w:ilvl w:val="0"/>
          <w:numId w:val="9"/>
        </w:numPr>
        <w:autoSpaceDE/>
        <w:autoSpaceDN/>
        <w:adjustRightInd w:val="0"/>
        <w:snapToGrid w:val="0"/>
        <w:spacing w:before="0" w:line="360" w:lineRule="auto"/>
        <w:jc w:val="both"/>
        <w:rPr>
          <w:rFonts w:ascii="Times New Roman" w:hAnsi="Times New Roman" w:cs="Times New Roman"/>
        </w:rPr>
      </w:pPr>
      <w:r>
        <w:rPr>
          <w:rFonts w:ascii="Times New Roman" w:hAnsi="Times New Roman" w:cs="Times New Roman"/>
        </w:rPr>
        <w:t>固体废物</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施工期的固体废物主要有清表固废、清淤底泥、建筑垃圾、施工人员生活垃圾及废包装材料。</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ascii="Times New Roman" w:hAnsi="Times New Roman" w:cs="Times New Roman"/>
          <w:lang w:eastAsia="zh-CN"/>
        </w:rPr>
        <w:t>清表固废量约为1000</w:t>
      </w:r>
      <w:r>
        <w:rPr>
          <w:rFonts w:ascii="Times New Roman" w:hAnsi="Times New Roman" w:cs="Times New Roman"/>
        </w:rPr>
        <w:t>m</w:t>
      </w:r>
      <w:r>
        <w:rPr>
          <w:rFonts w:hint="eastAsia" w:ascii="Times New Roman" w:hAnsi="Times New Roman" w:cs="Times New Roman"/>
          <w:vertAlign w:val="superscript"/>
          <w:lang w:val="en-US" w:eastAsia="zh-CN"/>
        </w:rPr>
        <w:t>3</w:t>
      </w:r>
      <w:r>
        <w:rPr>
          <w:rFonts w:ascii="Times New Roman" w:hAnsi="Times New Roman" w:cs="Times New Roman"/>
        </w:rPr>
        <w:t>，主要为表层杂草和垃圾等，可送随生活垃圾一同处置。</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根据工程量分析表，清淤产生量为</w:t>
      </w:r>
      <w:r>
        <w:rPr>
          <w:rFonts w:hint="eastAsia" w:ascii="Times New Roman" w:hAnsi="Times New Roman" w:cs="Times New Roman"/>
          <w:lang w:val="en-US" w:eastAsia="zh-CN"/>
        </w:rPr>
        <w:t>6293</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，其中</w:t>
      </w:r>
      <w:r>
        <w:rPr>
          <w:rFonts w:hint="eastAsia" w:ascii="Times New Roman" w:hAnsi="Times New Roman" w:cs="Times New Roman"/>
          <w:lang w:eastAsia="zh-CN"/>
        </w:rPr>
        <w:t>河滨湿地</w:t>
      </w:r>
      <w:r>
        <w:rPr>
          <w:rFonts w:ascii="Times New Roman" w:hAnsi="Times New Roman" w:cs="Times New Roman"/>
        </w:rPr>
        <w:t>清淤量为</w:t>
      </w:r>
      <w:r>
        <w:rPr>
          <w:rFonts w:hint="eastAsia" w:ascii="Times New Roman" w:hAnsi="Times New Roman" w:cs="Times New Roman"/>
          <w:lang w:val="en-US" w:eastAsia="zh-CN"/>
        </w:rPr>
        <w:t>4625</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w:t>
      </w:r>
      <w:r>
        <w:rPr>
          <w:rFonts w:hint="eastAsia" w:ascii="Times New Roman" w:hAnsi="Times New Roman" w:cs="Times New Roman"/>
          <w:lang w:eastAsia="zh-CN"/>
        </w:rPr>
        <w:t>河口</w:t>
      </w:r>
      <w:r>
        <w:rPr>
          <w:rFonts w:ascii="Times New Roman" w:hAnsi="Times New Roman" w:cs="Times New Roman"/>
        </w:rPr>
        <w:t>湿地清淤量为</w:t>
      </w:r>
      <w:r>
        <w:rPr>
          <w:rFonts w:hint="eastAsia" w:ascii="Times New Roman" w:hAnsi="Times New Roman" w:cs="Times New Roman"/>
          <w:lang w:val="en-US" w:eastAsia="zh-CN"/>
        </w:rPr>
        <w:t>1668</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，根据</w:t>
      </w:r>
      <w:r>
        <w:rPr>
          <w:rFonts w:hint="eastAsia" w:ascii="Times New Roman" w:hAnsi="Times New Roman" w:cs="Times New Roman"/>
          <w:lang w:eastAsia="zh-CN"/>
        </w:rPr>
        <w:t>初步设计</w:t>
      </w:r>
      <w:r>
        <w:rPr>
          <w:rFonts w:ascii="Times New Roman" w:hAnsi="Times New Roman" w:cs="Times New Roman"/>
        </w:rPr>
        <w:t>，</w:t>
      </w:r>
      <w:r>
        <w:rPr>
          <w:rFonts w:hint="eastAsia" w:ascii="Times New Roman" w:hAnsi="Times New Roman" w:cs="Times New Roman"/>
          <w:lang w:eastAsia="zh-CN"/>
        </w:rPr>
        <w:t>淤泥</w:t>
      </w:r>
      <w:r>
        <w:rPr>
          <w:rFonts w:ascii="Times New Roman" w:hAnsi="Times New Roman" w:cs="Times New Roman"/>
        </w:rPr>
        <w:t>通过岸坡晾晒自然干化</w:t>
      </w:r>
      <w:r>
        <w:rPr>
          <w:rFonts w:hint="eastAsia" w:ascii="Times New Roman" w:hAnsi="Times New Roman" w:cs="Times New Roman"/>
          <w:lang w:eastAsia="zh-CN"/>
        </w:rPr>
        <w:t>后</w:t>
      </w:r>
      <w:r>
        <w:rPr>
          <w:rFonts w:ascii="Times New Roman" w:hAnsi="Times New Roman" w:cs="Times New Roman"/>
        </w:rPr>
        <w:t>用于岸坡平整。</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本项目在施工过程中产生的建筑垃圾包括砂石、碎砖、废木料、废金属、废钢筋等杂物。钢筋、钢板、木材等下脚料进行分类回收，交废品回收站处理；混凝土废料、含砖、石、砂的弃渣等送至</w:t>
      </w:r>
      <w:r>
        <w:rPr>
          <w:rFonts w:hint="eastAsia" w:ascii="Times New Roman" w:hAnsi="Times New Roman" w:cs="Times New Roman"/>
          <w:lang w:eastAsia="zh-CN"/>
        </w:rPr>
        <w:t>弃渣场</w:t>
      </w:r>
      <w:r>
        <w:rPr>
          <w:rFonts w:ascii="Times New Roman" w:hAnsi="Times New Roman" w:cs="Times New Roman"/>
        </w:rPr>
        <w:t>。</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施工人员生活垃圾及废包装材料经收集后交由当地环卫部门处置。</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lang w:val="en-US"/>
        </w:rPr>
        <w:t>⑥</w:t>
      </w:r>
      <w:r>
        <w:rPr>
          <w:rFonts w:ascii="Times New Roman" w:hAnsi="Times New Roman" w:cs="Times New Roman"/>
        </w:rPr>
        <w:t>生态环境</w:t>
      </w:r>
    </w:p>
    <w:bookmarkEnd w:id="467"/>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 xml:space="preserve">水生生态影响：项目清淤工程引起的环境变化会直接影响到水生生物的生存、繁殖和分布，造成一部分水生生物死亡，生物量和净生产量下降，生物多样性减少，好氧浮游生物、鱼类、底栖动物会因环境的恶化而死亡，从而造成整个水生生态系统一系列的变化。这些影响基本都是不利的，但同时也是可逆的，而且影响时间较短，在施工结束后，因施工造成的水生生态系统的破坏将会得到恢复。 </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陆生生态影响：项目对周围陆生生物会产生一定的影响，通过采取相应的植被护坡、临时施工用地进行复垦等措施，随着施工的结束，影响将逐渐消失。</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hint="eastAsia"/>
        </w:rPr>
        <w:t>⑦</w:t>
      </w:r>
      <w:r>
        <w:rPr>
          <w:rFonts w:ascii="Times New Roman" w:hAnsi="Times New Roman" w:cs="Times New Roman"/>
        </w:rPr>
        <w:t>社会环境影响</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工程施工会出现临时占地和交通阻塞等不利影响。通过合理安排施工时序、做好宣传等减少影响。</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（2）营运期环境影响分析</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snapToGrid w:val="0"/>
        </w:rPr>
        <w:t>本项目属于</w:t>
      </w:r>
      <w:r>
        <w:rPr>
          <w:rFonts w:hint="eastAsia" w:ascii="Times New Roman" w:hAnsi="Times New Roman" w:cs="Times New Roman"/>
          <w:snapToGrid w:val="0"/>
          <w:lang w:eastAsia="zh-CN"/>
        </w:rPr>
        <w:t>河湖整治</w:t>
      </w:r>
      <w:r>
        <w:rPr>
          <w:rFonts w:ascii="Times New Roman" w:hAnsi="Times New Roman" w:cs="Times New Roman"/>
          <w:snapToGrid w:val="0"/>
        </w:rPr>
        <w:t>项目</w:t>
      </w:r>
      <w:r>
        <w:rPr>
          <w:rFonts w:ascii="Times New Roman" w:hAnsi="Times New Roman" w:cs="Times New Roman"/>
        </w:rPr>
        <w:t>，主要工程内容为</w:t>
      </w:r>
      <w:r>
        <w:rPr>
          <w:rFonts w:hint="eastAsia" w:ascii="Times New Roman" w:hAnsi="Times New Roman" w:cs="Times New Roman"/>
          <w:lang w:eastAsia="zh-CN"/>
        </w:rPr>
        <w:t>生态缓冲带、人工湿地</w:t>
      </w:r>
      <w:r>
        <w:rPr>
          <w:rFonts w:ascii="Times New Roman" w:hAnsi="Times New Roman" w:cs="Times New Roman"/>
        </w:rPr>
        <w:t>等，运营期没有废气、废水、噪声的污染物排放。</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营运期主要生态环境影响属有利影响，通过</w:t>
      </w:r>
      <w:r>
        <w:rPr>
          <w:rFonts w:hint="eastAsia" w:ascii="Times New Roman" w:hAnsi="Times New Roman" w:cs="Times New Roman"/>
          <w:lang w:eastAsia="zh-CN"/>
        </w:rPr>
        <w:t>河流生态修复</w:t>
      </w:r>
      <w:r>
        <w:rPr>
          <w:rFonts w:ascii="Times New Roman" w:hAnsi="Times New Roman" w:cs="Times New Roman"/>
        </w:rPr>
        <w:t>及景观再造，可提高河湖自身水质净化功能、水生生态系统功能及美化周边环境，</w:t>
      </w:r>
      <w:r>
        <w:rPr>
          <w:rFonts w:hint="eastAsia" w:ascii="Times New Roman" w:hAnsi="Times New Roman" w:cs="Times New Roman"/>
          <w:lang w:eastAsia="zh-CN"/>
        </w:rPr>
        <w:t>改善区域人居环境，提升饮用水源保护区水质。</w:t>
      </w:r>
    </w:p>
    <w:p>
      <w:pPr>
        <w:autoSpaceDE/>
        <w:autoSpaceDN/>
        <w:adjustRightInd w:val="0"/>
        <w:snapToGrid w:val="0"/>
        <w:spacing w:line="360" w:lineRule="auto"/>
        <w:jc w:val="both"/>
        <w:outlineLvl w:val="2"/>
        <w:rPr>
          <w:rFonts w:ascii="Times New Roman" w:hAnsi="Times New Roman" w:cs="Times New Roman"/>
          <w:b/>
          <w:sz w:val="28"/>
          <w:szCs w:val="24"/>
        </w:rPr>
      </w:pPr>
      <w:bookmarkStart w:id="468" w:name="_Toc69284689"/>
      <w:bookmarkStart w:id="469" w:name="_Toc82593233"/>
      <w:bookmarkStart w:id="470" w:name="_Toc66206157"/>
      <w:bookmarkStart w:id="471" w:name="_Toc5617"/>
      <w:r>
        <w:rPr>
          <w:rFonts w:ascii="Times New Roman" w:hAnsi="Times New Roman" w:cs="Times New Roman"/>
          <w:b/>
          <w:sz w:val="28"/>
          <w:szCs w:val="24"/>
        </w:rPr>
        <w:t>9.1.5公众参与</w:t>
      </w:r>
      <w:bookmarkEnd w:id="468"/>
      <w:bookmarkEnd w:id="469"/>
      <w:bookmarkEnd w:id="470"/>
      <w:bookmarkEnd w:id="471"/>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color w:val="000000" w:themeColor="text1"/>
          <w14:textFill>
            <w14:solidFill>
              <w14:schemeClr w14:val="tx1"/>
            </w14:solidFill>
          </w14:textFill>
        </w:rPr>
        <w:t>在接受建设单位环评委托后7日内，以网络公示形式进行了第一次公示；在环评报告书编制期间（报告编制完成时）进行了第二次公示，采取网络公示和报纸公示相结合的方式；第二次公示期间，环评单位协助建设单位在项目所在地进行了现场张贴公示、报纸公示。由此分析可知，本评价公众参与调查程序合法，形式有效，调查对象具有代表性，调查结果真实有效。公众参与期间本项目无反馈意见。</w:t>
      </w:r>
    </w:p>
    <w:p>
      <w:pPr>
        <w:autoSpaceDE/>
        <w:autoSpaceDN/>
        <w:adjustRightInd w:val="0"/>
        <w:snapToGrid w:val="0"/>
        <w:spacing w:line="360" w:lineRule="auto"/>
        <w:jc w:val="both"/>
        <w:outlineLvl w:val="2"/>
        <w:rPr>
          <w:rFonts w:ascii="Times New Roman" w:hAnsi="Times New Roman" w:cs="Times New Roman"/>
          <w:b/>
          <w:sz w:val="28"/>
          <w:szCs w:val="24"/>
        </w:rPr>
      </w:pPr>
      <w:bookmarkStart w:id="472" w:name="_Toc16816"/>
      <w:bookmarkStart w:id="473" w:name="_Toc82593234"/>
      <w:bookmarkStart w:id="474" w:name="_Toc66206158"/>
      <w:bookmarkStart w:id="475" w:name="_Toc69284690"/>
      <w:r>
        <w:rPr>
          <w:rFonts w:ascii="Times New Roman" w:hAnsi="Times New Roman" w:cs="Times New Roman"/>
          <w:b/>
          <w:sz w:val="28"/>
          <w:szCs w:val="24"/>
        </w:rPr>
        <w:t>9.1.6环境可行性分析</w:t>
      </w:r>
      <w:bookmarkEnd w:id="472"/>
      <w:bookmarkEnd w:id="473"/>
      <w:bookmarkEnd w:id="474"/>
      <w:bookmarkEnd w:id="475"/>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（1）与产业政策相符性</w:t>
      </w:r>
    </w:p>
    <w:p>
      <w:pPr>
        <w:autoSpaceDE/>
        <w:autoSpaceDN/>
        <w:adjustRightInd w:val="0"/>
        <w:snapToGrid w:val="0"/>
        <w:spacing w:line="360" w:lineRule="auto"/>
        <w:ind w:firstLine="480" w:firstLineChars="200"/>
        <w:jc w:val="both"/>
        <w:rPr>
          <w:rFonts w:ascii="Times New Roman" w:hAnsi="Times New Roman" w:cs="Times New Roman"/>
          <w:snapToGrid w:val="0"/>
          <w:color w:val="000000" w:themeColor="text1"/>
          <w:sz w:val="24"/>
          <w14:textFill>
            <w14:solidFill>
              <w14:schemeClr w14:val="tx1"/>
            </w14:solidFill>
          </w14:textFill>
        </w:rPr>
      </w:pPr>
      <w:r>
        <w:rPr>
          <w:rFonts w:ascii="Times New Roman" w:hAnsi="Times New Roman" w:cs="Times New Roman"/>
          <w:snapToGrid w:val="0"/>
          <w:color w:val="000000" w:themeColor="text1"/>
          <w:sz w:val="24"/>
          <w14:textFill>
            <w14:solidFill>
              <w14:schemeClr w14:val="tx1"/>
            </w14:solidFill>
          </w14:textFill>
        </w:rPr>
        <w:t>本项目为</w:t>
      </w:r>
      <w:r>
        <w:rPr>
          <w:rFonts w:hint="eastAsia" w:ascii="Times New Roman" w:hAnsi="Times New Roman" w:cs="Times New Roman"/>
          <w:snapToGrid w:val="0"/>
          <w:color w:val="000000" w:themeColor="text1"/>
          <w:sz w:val="24"/>
          <w:lang w:eastAsia="zh-CN"/>
          <w14:textFill>
            <w14:solidFill>
              <w14:schemeClr w14:val="tx1"/>
            </w14:solidFill>
          </w14:textFill>
        </w:rPr>
        <w:t>河湖整治</w:t>
      </w:r>
      <w:r>
        <w:rPr>
          <w:rFonts w:ascii="Times New Roman" w:hAnsi="Times New Roman" w:cs="Times New Roman"/>
          <w:snapToGrid w:val="0"/>
          <w:color w:val="000000" w:themeColor="text1"/>
          <w:sz w:val="24"/>
          <w14:textFill>
            <w14:solidFill>
              <w14:schemeClr w14:val="tx1"/>
            </w14:solidFill>
          </w14:textFill>
        </w:rPr>
        <w:t>项目，根据《国民经济行业分类》（GB/T 4754-2017），行业类别属于N7721水污染治理（指对江、河、</w:t>
      </w:r>
      <w:r>
        <w:rPr>
          <w:rFonts w:hint="eastAsia" w:ascii="Times New Roman" w:hAnsi="Times New Roman" w:cs="Times New Roman"/>
          <w:snapToGrid w:val="0"/>
          <w:color w:val="000000" w:themeColor="text1"/>
          <w:sz w:val="24"/>
          <w:lang w:eastAsia="zh-CN"/>
          <w14:textFill>
            <w14:solidFill>
              <w14:schemeClr w14:val="tx1"/>
            </w14:solidFill>
          </w14:textFill>
        </w:rPr>
        <w:t>河流</w:t>
      </w:r>
      <w:r>
        <w:rPr>
          <w:rFonts w:ascii="Times New Roman" w:hAnsi="Times New Roman" w:cs="Times New Roman"/>
          <w:snapToGrid w:val="0"/>
          <w:color w:val="000000" w:themeColor="text1"/>
          <w:sz w:val="24"/>
          <w14:textFill>
            <w14:solidFill>
              <w14:schemeClr w14:val="tx1"/>
            </w14:solidFill>
          </w14:textFill>
        </w:rPr>
        <w:t>、水库及地下水、地表水的污染综合治理活动，不包括排放污水的搜集和治理活动）。</w:t>
      </w:r>
    </w:p>
    <w:p>
      <w:pPr>
        <w:autoSpaceDE/>
        <w:autoSpaceDN/>
        <w:adjustRightInd w:val="0"/>
        <w:snapToGrid w:val="0"/>
        <w:spacing w:line="360" w:lineRule="auto"/>
        <w:ind w:firstLine="480" w:firstLineChars="200"/>
        <w:jc w:val="both"/>
        <w:rPr>
          <w:rFonts w:ascii="Times New Roman" w:hAnsi="Times New Roman" w:cs="Times New Roman"/>
          <w:snapToGrid w:val="0"/>
          <w:sz w:val="24"/>
        </w:rPr>
      </w:pPr>
      <w:r>
        <w:rPr>
          <w:rFonts w:ascii="Times New Roman" w:hAnsi="Times New Roman" w:cs="Times New Roman"/>
          <w:snapToGrid w:val="0"/>
          <w:sz w:val="24"/>
        </w:rPr>
        <w:t>对照《产业结构调整指导目录》（2019年本），水生态修复工程属于鼓励类第二款第19条“水生态系统及地下水保护与修复工程”。因此，</w:t>
      </w:r>
      <w:r>
        <w:rPr>
          <w:rFonts w:ascii="Times New Roman" w:hAnsi="Times New Roman" w:cs="Times New Roman"/>
          <w:snapToGrid w:val="0"/>
          <w:sz w:val="24"/>
          <w:szCs w:val="24"/>
        </w:rPr>
        <w:t>本项目实施符合国家产业政策。</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（2）与相关法规政策相符性</w:t>
      </w:r>
    </w:p>
    <w:p>
      <w:pPr>
        <w:pStyle w:val="2"/>
        <w:autoSpaceDE/>
        <w:autoSpaceDN/>
        <w:adjustRightInd w:val="0"/>
        <w:snapToGrid w:val="0"/>
        <w:spacing w:before="0" w:line="360" w:lineRule="auto"/>
        <w:ind w:left="0" w:firstLine="480" w:firstLineChars="200"/>
        <w:jc w:val="both"/>
        <w:rPr>
          <w:rFonts w:hint="eastAsia" w:ascii="Times New Roman" w:hAnsi="Times New Roman" w:eastAsia="宋体" w:cs="Times New Roman"/>
          <w:snapToGrid w:val="0"/>
          <w:lang w:eastAsia="zh-CN"/>
        </w:rPr>
      </w:pPr>
      <w:r>
        <w:rPr>
          <w:rFonts w:ascii="Times New Roman" w:hAnsi="Times New Roman" w:cs="Times New Roman"/>
          <w:snapToGrid w:val="0"/>
        </w:rPr>
        <w:t>本项目属于</w:t>
      </w:r>
      <w:r>
        <w:rPr>
          <w:rFonts w:hint="eastAsia" w:ascii="Times New Roman" w:hAnsi="Times New Roman" w:cs="Times New Roman"/>
          <w:snapToGrid w:val="0"/>
          <w:lang w:eastAsia="zh-CN"/>
        </w:rPr>
        <w:t>河湖整治</w:t>
      </w:r>
      <w:r>
        <w:rPr>
          <w:rFonts w:ascii="Times New Roman" w:hAnsi="Times New Roman" w:cs="Times New Roman"/>
          <w:snapToGrid w:val="0"/>
        </w:rPr>
        <w:t>项目，主要有</w:t>
      </w:r>
      <w:r>
        <w:rPr>
          <w:rFonts w:hint="eastAsia" w:ascii="Times New Roman" w:hAnsi="Times New Roman" w:cs="Times New Roman"/>
          <w:snapToGrid w:val="0"/>
          <w:lang w:eastAsia="zh-CN"/>
        </w:rPr>
        <w:t>生态缓冲带</w:t>
      </w:r>
      <w:r>
        <w:rPr>
          <w:rFonts w:ascii="Times New Roman" w:hAnsi="Times New Roman" w:cs="Times New Roman"/>
          <w:snapToGrid w:val="0"/>
        </w:rPr>
        <w:t>、人工湿地修复工程，涉及</w:t>
      </w:r>
      <w:r>
        <w:rPr>
          <w:rFonts w:hint="eastAsia" w:ascii="Times New Roman" w:hAnsi="Times New Roman" w:cs="Times New Roman"/>
          <w:snapToGrid w:val="0"/>
          <w:lang w:eastAsia="zh-CN"/>
        </w:rPr>
        <w:t>祁水沿线乡镇饮用水源保护区</w:t>
      </w:r>
      <w:r>
        <w:rPr>
          <w:rFonts w:ascii="Times New Roman" w:hAnsi="Times New Roman" w:cs="Times New Roman"/>
          <w:snapToGrid w:val="0"/>
        </w:rPr>
        <w:t>。项目为</w:t>
      </w:r>
      <w:r>
        <w:rPr>
          <w:rFonts w:hint="eastAsia" w:ascii="Times New Roman" w:hAnsi="Times New Roman" w:cs="Times New Roman"/>
          <w:snapToGrid w:val="0"/>
          <w:lang w:eastAsia="zh-CN"/>
        </w:rPr>
        <w:t>河湖整治</w:t>
      </w:r>
      <w:r>
        <w:rPr>
          <w:rFonts w:ascii="Times New Roman" w:hAnsi="Times New Roman" w:cs="Times New Roman"/>
          <w:snapToGrid w:val="0"/>
        </w:rPr>
        <w:t>，项目的实施</w:t>
      </w:r>
      <w:r>
        <w:rPr>
          <w:rFonts w:hint="eastAsia" w:ascii="Times New Roman" w:hAnsi="Times New Roman" w:cs="Times New Roman"/>
          <w:snapToGrid w:val="0"/>
          <w:lang w:eastAsia="zh-CN"/>
        </w:rPr>
        <w:t>将会</w:t>
      </w:r>
      <w:r>
        <w:rPr>
          <w:rFonts w:ascii="Times New Roman" w:hAnsi="Times New Roman" w:cs="Times New Roman"/>
          <w:snapToGrid w:val="0"/>
        </w:rPr>
        <w:t>改善</w:t>
      </w:r>
      <w:r>
        <w:rPr>
          <w:rFonts w:hint="eastAsia" w:ascii="Times New Roman" w:hAnsi="Times New Roman" w:cs="Times New Roman"/>
          <w:snapToGrid w:val="0"/>
          <w:lang w:eastAsia="zh-CN"/>
        </w:rPr>
        <w:t>祁水沿线乡镇饮用水源保护区</w:t>
      </w:r>
      <w:r>
        <w:rPr>
          <w:rFonts w:ascii="Times New Roman" w:hAnsi="Times New Roman" w:cs="Times New Roman"/>
          <w:snapToGrid w:val="0"/>
        </w:rPr>
        <w:t>的水质环境，提升</w:t>
      </w:r>
      <w:r>
        <w:rPr>
          <w:rFonts w:hint="eastAsia" w:ascii="Times New Roman" w:hAnsi="Times New Roman" w:cs="Times New Roman"/>
          <w:snapToGrid w:val="0"/>
          <w:lang w:eastAsia="zh-CN"/>
        </w:rPr>
        <w:t>流域</w:t>
      </w:r>
      <w:r>
        <w:rPr>
          <w:rFonts w:ascii="Times New Roman" w:hAnsi="Times New Roman" w:cs="Times New Roman"/>
          <w:snapToGrid w:val="0"/>
        </w:rPr>
        <w:t>内生态功能。</w:t>
      </w:r>
      <w:r>
        <w:rPr>
          <w:rFonts w:hint="eastAsia" w:ascii="Times New Roman" w:hAnsi="Times New Roman" w:cs="Times New Roman"/>
          <w:snapToGrid w:val="0"/>
          <w:lang w:eastAsia="zh-CN"/>
        </w:rPr>
        <w:t>符合《中华人民共和国水污染防治法》、《湖南省饮用水水源保护条例》等法律法规要求。</w:t>
      </w:r>
    </w:p>
    <w:p>
      <w:pPr>
        <w:autoSpaceDE/>
        <w:autoSpaceDN/>
        <w:adjustRightInd w:val="0"/>
        <w:snapToGrid w:val="0"/>
        <w:spacing w:line="360" w:lineRule="auto"/>
        <w:jc w:val="both"/>
        <w:outlineLvl w:val="2"/>
        <w:rPr>
          <w:rFonts w:ascii="Times New Roman" w:hAnsi="Times New Roman" w:cs="Times New Roman"/>
          <w:b/>
          <w:sz w:val="28"/>
          <w:szCs w:val="24"/>
        </w:rPr>
      </w:pPr>
      <w:bookmarkStart w:id="476" w:name="_Toc66206160"/>
      <w:bookmarkStart w:id="477" w:name="_Toc69284692"/>
      <w:bookmarkStart w:id="478" w:name="_Toc14273"/>
      <w:bookmarkStart w:id="479" w:name="_Toc82593236"/>
      <w:r>
        <w:rPr>
          <w:rFonts w:ascii="Times New Roman" w:hAnsi="Times New Roman" w:cs="Times New Roman"/>
          <w:b/>
          <w:sz w:val="28"/>
          <w:szCs w:val="24"/>
        </w:rPr>
        <w:t>9.1.</w:t>
      </w:r>
      <w:r>
        <w:rPr>
          <w:rFonts w:hint="eastAsia" w:ascii="Times New Roman" w:hAnsi="Times New Roman" w:cs="Times New Roman"/>
          <w:b/>
          <w:sz w:val="28"/>
          <w:szCs w:val="24"/>
          <w:lang w:val="en-US" w:eastAsia="zh-CN"/>
        </w:rPr>
        <w:t>7</w:t>
      </w:r>
      <w:r>
        <w:rPr>
          <w:rFonts w:ascii="Times New Roman" w:hAnsi="Times New Roman" w:cs="Times New Roman"/>
          <w:b/>
          <w:sz w:val="28"/>
          <w:szCs w:val="24"/>
        </w:rPr>
        <w:t>结论</w:t>
      </w:r>
      <w:bookmarkEnd w:id="476"/>
      <w:bookmarkEnd w:id="477"/>
      <w:bookmarkEnd w:id="478"/>
      <w:bookmarkEnd w:id="479"/>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color w:val="000000" w:themeColor="text1"/>
          <w14:textFill>
            <w14:solidFill>
              <w14:schemeClr w14:val="tx1"/>
            </w14:solidFill>
          </w14:textFill>
        </w:rPr>
        <w:t>项目实施符合国家产业政策，符合相关规划要求。工程建设具有显著的社会和</w:t>
      </w:r>
      <w:r>
        <w:rPr>
          <w:rFonts w:hint="eastAsia" w:ascii="Times New Roman" w:hAnsi="Times New Roman" w:cs="Times New Roman"/>
          <w:color w:val="000000" w:themeColor="text1"/>
          <w:lang w:eastAsia="zh-CN"/>
          <w14:textFill>
            <w14:solidFill>
              <w14:schemeClr w14:val="tx1"/>
            </w14:solidFill>
          </w14:textFill>
        </w:rPr>
        <w:t>生态</w:t>
      </w:r>
      <w:r>
        <w:rPr>
          <w:rFonts w:ascii="Times New Roman" w:hAnsi="Times New Roman" w:cs="Times New Roman"/>
          <w:color w:val="000000" w:themeColor="text1"/>
          <w14:textFill>
            <w14:solidFill>
              <w14:schemeClr w14:val="tx1"/>
            </w14:solidFill>
          </w14:textFill>
        </w:rPr>
        <w:t>效益，工程的不利环境影响主要表现在施工期“三废”及噪声污染、施工扰动地表产生的水土流失影响等方面、施工过程对</w:t>
      </w:r>
      <w:r>
        <w:rPr>
          <w:rFonts w:hint="eastAsia" w:ascii="Times New Roman" w:hAnsi="Times New Roman" w:cs="Times New Roman"/>
          <w:color w:val="000000" w:themeColor="text1"/>
          <w:lang w:eastAsia="zh-CN"/>
          <w14:textFill>
            <w14:solidFill>
              <w14:schemeClr w14:val="tx1"/>
            </w14:solidFill>
          </w14:textFill>
        </w:rPr>
        <w:t>祁水沿线乡镇饮用水源保护区</w:t>
      </w:r>
      <w:r>
        <w:rPr>
          <w:rFonts w:ascii="Times New Roman" w:hAnsi="Times New Roman" w:cs="Times New Roman"/>
          <w:color w:val="000000" w:themeColor="text1"/>
          <w14:textFill>
            <w14:solidFill>
              <w14:schemeClr w14:val="tx1"/>
            </w14:solidFill>
          </w14:textFill>
        </w:rPr>
        <w:t>的不利影响。在落实本环评报告提出的环境保护减缓措施，所产生的不利影响可以得到有效控制，并降至环境能接受的程度。工程的环境效益和社会效益显著，区域公众支持。从环保的角度考虑，项目实施可行。</w:t>
      </w:r>
    </w:p>
    <w:p>
      <w:pPr>
        <w:pStyle w:val="5"/>
        <w:tabs>
          <w:tab w:val="left" w:pos="766"/>
        </w:tabs>
        <w:autoSpaceDE/>
        <w:autoSpaceDN/>
        <w:adjustRightInd w:val="0"/>
        <w:snapToGrid w:val="0"/>
        <w:spacing w:before="0" w:line="360" w:lineRule="auto"/>
        <w:ind w:left="0" w:firstLine="0"/>
        <w:jc w:val="both"/>
        <w:rPr>
          <w:rFonts w:ascii="Times New Roman" w:hAnsi="Times New Roman" w:cs="Times New Roman"/>
          <w:snapToGrid w:val="0"/>
        </w:rPr>
      </w:pPr>
      <w:bookmarkStart w:id="480" w:name="_bookmark68"/>
      <w:bookmarkEnd w:id="480"/>
      <w:bookmarkStart w:id="481" w:name="_Toc29332"/>
      <w:r>
        <w:rPr>
          <w:rFonts w:ascii="Times New Roman" w:hAnsi="Times New Roman" w:cs="Times New Roman"/>
          <w:snapToGrid w:val="0"/>
        </w:rPr>
        <w:t>9.2建议</w:t>
      </w:r>
      <w:bookmarkEnd w:id="481"/>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（1）下阶段应严格按照环境影响报告书的要求，将各项环保要求及措施落到实处，细化各单项环境保护设计，使其更具备可操作性、实践性，能指导环保工程施工。</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（2）环境保护措施能否顺利实施关键在于资金是否及时到位，建设单位应高度重视环保投入，积极筹措资金，做到专款专用。</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（3）加强环境监理、管理工作，自觉接受当地环保等部门的监督。</w:t>
      </w:r>
    </w:p>
    <w:p>
      <w:pPr>
        <w:pStyle w:val="2"/>
        <w:autoSpaceDE/>
        <w:autoSpaceDN/>
        <w:adjustRightInd w:val="0"/>
        <w:snapToGrid w:val="0"/>
        <w:spacing w:before="0" w:line="360" w:lineRule="auto"/>
        <w:ind w:left="0" w:firstLine="480" w:firstLineChars="200"/>
        <w:jc w:val="both"/>
        <w:rPr>
          <w:rFonts w:ascii="Times New Roman" w:hAnsi="Times New Roman" w:cs="Times New Roman"/>
        </w:rPr>
      </w:pPr>
      <w:r>
        <w:rPr>
          <w:rFonts w:ascii="Times New Roman" w:hAnsi="Times New Roman" w:cs="Times New Roman"/>
        </w:rPr>
        <w:t>（4）尽早建立环境管理机构，协调和管理施工期、营运期环境保护工作，责任明确到人，层层签订环境保护责任状，对于造成重大环境污染事件的人依法追究责任。</w:t>
      </w:r>
    </w:p>
    <w:sectPr>
      <w:type w:val="nextColumn"/>
      <w:pgSz w:w="11910" w:h="16840"/>
      <w:pgMar w:top="1378" w:right="1542" w:bottom="1378" w:left="1559" w:header="879" w:footer="1020" w:gutter="0"/>
      <w:pgBorders>
        <w:top w:val="none" w:sz="0" w:space="0"/>
        <w:left w:val="none" w:sz="0" w:space="0"/>
        <w:bottom w:val="none" w:sz="0" w:space="0"/>
        <w:right w:val="none" w:sz="0" w:space="0"/>
      </w:pgBorders>
      <w:pgNumType w:fmt="decimal"/>
      <w:cols w:space="720" w:num="1"/>
      <w:docGrid w:linePitch="299"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 w:date="2024-06-24T13:49:38Z" w:initials="">
    <w:p w14:paraId="71961366">
      <w:pPr>
        <w:pStyle w:val="29"/>
      </w:pPr>
      <w:r>
        <w:annotationRef/>
      </w:r>
    </w:p>
  </w:comment>
  <w:comment w:id="1" w:author="Admin" w:date="2024-06-21T11:07:21Z" w:initials="">
    <w:p w14:paraId="76B54490">
      <w:pPr>
        <w:pStyle w:val="29"/>
      </w:pPr>
      <w:r>
        <w:annotationRef/>
      </w:r>
    </w:p>
  </w:comment>
  <w:comment w:id="2" w:author="Admin" w:date="2024-06-21T14:45:22Z" w:initials="">
    <w:p w14:paraId="424943F8">
      <w:pPr>
        <w:pStyle w:val="29"/>
      </w:pPr>
      <w:r>
        <w:annotationRef/>
      </w:r>
    </w:p>
  </w:comment>
  <w:comment w:id="3" w:author="Admin" w:date="2024-06-21T14:59:22Z" w:initials="">
    <w:p w14:paraId="101A217D">
      <w:pPr>
        <w:pStyle w:val="29"/>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1961366" w15:done="0"/>
  <w15:commentEx w15:paraId="76B54490" w15:done="0"/>
  <w15:commentEx w15:paraId="424943F8" w15:done="0"/>
  <w15:commentEx w15:paraId="101A217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 w:name="Garamond">
    <w:panose1 w:val="02020404030301010803"/>
    <w:charset w:val="00"/>
    <w:family w:val="roman"/>
    <w:pitch w:val="default"/>
    <w:sig w:usb0="00000287" w:usb1="00000000" w:usb2="00000000" w:usb3="00000000" w:csb0="0000009F" w:csb1="DFD7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Microsoft JhengHei">
    <w:panose1 w:val="020B0604030504040204"/>
    <w:charset w:val="88"/>
    <w:family w:val="swiss"/>
    <w:pitch w:val="default"/>
    <w:sig w:usb0="000002A7" w:usb1="28CF4400" w:usb2="00000016" w:usb3="00000000" w:csb0="00100009" w:csb1="00000000"/>
  </w:font>
  <w:font w:name="华文细黑">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新宋体">
    <w:panose1 w:val="02010609030101010101"/>
    <w:charset w:val="86"/>
    <w:family w:val="modern"/>
    <w:pitch w:val="default"/>
    <w:sig w:usb0="00000203" w:usb1="288F0000" w:usb2="00000006" w:usb3="00000000" w:csb0="00040001" w:csb1="00000000"/>
  </w:font>
  <w:font w:name="PMingLiU">
    <w:altName w:val="PMingLiU-ExtB"/>
    <w:panose1 w:val="02020500000000000000"/>
    <w:charset w:val="88"/>
    <w:family w:val="auto"/>
    <w:pitch w:val="default"/>
    <w:sig w:usb0="00000000" w:usb1="00000000" w:usb2="00000016" w:usb3="00000000" w:csb0="00100001" w:csb1="00000000"/>
  </w:font>
  <w:font w:name="Plotte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0000000000000000000"/>
    <w:charset w:val="00"/>
    <w:family w:val="roman"/>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Arial Unicode MS">
    <w:altName w:val="宋体"/>
    <w:panose1 w:val="020B0604020202020204"/>
    <w:charset w:val="86"/>
    <w:family w:val="roman"/>
    <w:pitch w:val="default"/>
    <w:sig w:usb0="00000000" w:usb1="00000000" w:usb2="0000003F" w:usb3="00000000" w:csb0="603F01FF" w:csb1="FFFF0000"/>
  </w:font>
  <w:font w:name="幼圆">
    <w:panose1 w:val="02010509060101010101"/>
    <w:charset w:val="86"/>
    <w:family w:val="modern"/>
    <w:pitch w:val="default"/>
    <w:sig w:usb0="00000001" w:usb1="080E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创艺简老宋">
    <w:altName w:val="宋体"/>
    <w:panose1 w:val="00000000000000000000"/>
    <w:charset w:val="86"/>
    <w:family w:val="roman"/>
    <w:pitch w:val="default"/>
    <w:sig w:usb0="00000000" w:usb1="00000000" w:usb2="00000000" w:usb3="00000000" w:csb0="0000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Impact">
    <w:panose1 w:val="020B0806030902050204"/>
    <w:charset w:val="00"/>
    <w:family w:val="swiss"/>
    <w:pitch w:val="default"/>
    <w:sig w:usb0="00000287" w:usb1="00000000" w:usb2="00000000" w:usb3="00000000" w:csb0="2000009F" w:csb1="DFD70000"/>
  </w:font>
  <w:font w:name="隶书">
    <w:panose1 w:val="0201050906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framePr w:wrap="around" w:vAnchor="text" w:hAnchor="margin" w:xAlign="center" w:y="1"/>
      <w:ind w:firstLine="360"/>
      <w:rPr>
        <w:rStyle w:val="107"/>
      </w:rPr>
    </w:pPr>
    <w:r>
      <w:fldChar w:fldCharType="begin"/>
    </w:r>
    <w:r>
      <w:rPr>
        <w:rStyle w:val="107"/>
      </w:rPr>
      <w:instrText xml:space="preserve">PAGE  </w:instrText>
    </w:r>
    <w:r>
      <w:fldChar w:fldCharType="end"/>
    </w:r>
  </w:p>
  <w:p>
    <w:pPr>
      <w:pStyle w:val="5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49172561"/>
                            <w:docPartObj>
                              <w:docPartGallery w:val="autotext"/>
                            </w:docPartObj>
                          </w:sdtPr>
                          <w:sdtContent>
                            <w:p>
                              <w:pPr>
                                <w:pStyle w:val="56"/>
                                <w:ind w:firstLine="360"/>
                                <w:jc w:val="center"/>
                              </w:pPr>
                              <w:r>
                                <w:fldChar w:fldCharType="begin"/>
                              </w:r>
                              <w:r>
                                <w:instrText xml:space="preserve">PAGE   \* MERGEFORMAT</w:instrText>
                              </w:r>
                              <w:r>
                                <w:fldChar w:fldCharType="separate"/>
                              </w:r>
                              <w:r>
                                <w:rPr>
                                  <w:lang w:val="zh-CN"/>
                                </w:rPr>
                                <w:t>2</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sdt>
                    <w:sdtPr>
                      <w:id w:val="2049172561"/>
                      <w:docPartObj>
                        <w:docPartGallery w:val="autotext"/>
                      </w:docPartObj>
                    </w:sdtPr>
                    <w:sdtContent>
                      <w:p>
                        <w:pPr>
                          <w:pStyle w:val="56"/>
                          <w:ind w:firstLine="360"/>
                          <w:jc w:val="center"/>
                        </w:pPr>
                        <w:r>
                          <w:fldChar w:fldCharType="begin"/>
                        </w:r>
                        <w:r>
                          <w:instrText xml:space="preserve">PAGE   \* MERGEFORMAT</w:instrText>
                        </w:r>
                        <w:r>
                          <w:fldChar w:fldCharType="separate"/>
                        </w:r>
                        <w:r>
                          <w:rPr>
                            <w:lang w:val="zh-CN"/>
                          </w:rPr>
                          <w:t>2</w:t>
                        </w:r>
                        <w:r>
                          <w:fldChar w:fldCharType="end"/>
                        </w:r>
                      </w:p>
                    </w:sdtContent>
                  </w:sdt>
                  <w:p>
                    <w:pPr>
                      <w:pStyle w:val="2"/>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rPr>
        <w:rFonts w:hint="eastAsia"/>
        <w:sz w:val="21"/>
        <w:szCs w:val="21"/>
        <w:lang w:eastAsia="zh-CN"/>
      </w:rPr>
      <w:t>祁水祁东县治理工程（祁水三期）</w:t>
    </w:r>
    <w:r>
      <w:rPr>
        <w:rFonts w:hint="eastAsia"/>
        <w:sz w:val="21"/>
        <w:szCs w:val="21"/>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BC842D"/>
    <w:multiLevelType w:val="singleLevel"/>
    <w:tmpl w:val="96BC842D"/>
    <w:lvl w:ilvl="0" w:tentative="0">
      <w:start w:val="1"/>
      <w:numFmt w:val="decimal"/>
      <w:suff w:val="nothing"/>
      <w:lvlText w:val="（%1）"/>
      <w:lvlJc w:val="left"/>
    </w:lvl>
  </w:abstractNum>
  <w:abstractNum w:abstractNumId="1">
    <w:nsid w:val="DAD3A854"/>
    <w:multiLevelType w:val="multilevel"/>
    <w:tmpl w:val="DAD3A854"/>
    <w:lvl w:ilvl="0" w:tentative="0">
      <w:start w:val="10"/>
      <w:numFmt w:val="decimal"/>
      <w:lvlText w:val="%1"/>
      <w:lvlJc w:val="left"/>
      <w:pPr>
        <w:ind w:left="917" w:hanging="677"/>
      </w:pPr>
      <w:rPr>
        <w:rFonts w:hint="default"/>
        <w:lang w:val="zh-CN" w:eastAsia="zh-CN" w:bidi="zh-CN"/>
      </w:rPr>
    </w:lvl>
    <w:lvl w:ilvl="1" w:tentative="0">
      <w:start w:val="1"/>
      <w:numFmt w:val="decimal"/>
      <w:pStyle w:val="390"/>
      <w:lvlText w:val="%1.%2"/>
      <w:lvlJc w:val="left"/>
      <w:pPr>
        <w:ind w:left="917" w:hanging="677"/>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960" w:hanging="720"/>
      </w:pPr>
      <w:rPr>
        <w:rFonts w:hint="default"/>
        <w:b/>
        <w:bCs/>
        <w:spacing w:val="-1"/>
        <w:w w:val="99"/>
        <w:lang w:val="zh-CN" w:eastAsia="zh-CN" w:bidi="zh-CN"/>
      </w:rPr>
    </w:lvl>
    <w:lvl w:ilvl="3" w:tentative="0">
      <w:start w:val="1"/>
      <w:numFmt w:val="decimal"/>
      <w:lvlText w:val="（%4）"/>
      <w:lvlJc w:val="left"/>
      <w:pPr>
        <w:ind w:left="240" w:hanging="720"/>
      </w:pPr>
      <w:rPr>
        <w:rFonts w:hint="default" w:ascii="宋体" w:hAnsi="宋体" w:eastAsia="宋体" w:cs="宋体"/>
        <w:spacing w:val="-32"/>
        <w:w w:val="100"/>
        <w:sz w:val="22"/>
        <w:szCs w:val="22"/>
        <w:lang w:val="zh-CN" w:eastAsia="zh-CN" w:bidi="zh-CN"/>
      </w:rPr>
    </w:lvl>
    <w:lvl w:ilvl="4" w:tentative="0">
      <w:start w:val="0"/>
      <w:numFmt w:val="bullet"/>
      <w:lvlText w:val="•"/>
      <w:lvlJc w:val="left"/>
      <w:pPr>
        <w:ind w:left="2183" w:hanging="720"/>
      </w:pPr>
      <w:rPr>
        <w:rFonts w:hint="default"/>
        <w:lang w:val="zh-CN" w:eastAsia="zh-CN" w:bidi="zh-CN"/>
      </w:rPr>
    </w:lvl>
    <w:lvl w:ilvl="5" w:tentative="0">
      <w:start w:val="0"/>
      <w:numFmt w:val="bullet"/>
      <w:lvlText w:val="•"/>
      <w:lvlJc w:val="left"/>
      <w:pPr>
        <w:ind w:left="3287" w:hanging="720"/>
      </w:pPr>
      <w:rPr>
        <w:rFonts w:hint="default"/>
        <w:lang w:val="zh-CN" w:eastAsia="zh-CN" w:bidi="zh-CN"/>
      </w:rPr>
    </w:lvl>
    <w:lvl w:ilvl="6" w:tentative="0">
      <w:start w:val="0"/>
      <w:numFmt w:val="bullet"/>
      <w:lvlText w:val="•"/>
      <w:lvlJc w:val="left"/>
      <w:pPr>
        <w:ind w:left="4391" w:hanging="720"/>
      </w:pPr>
      <w:rPr>
        <w:rFonts w:hint="default"/>
        <w:lang w:val="zh-CN" w:eastAsia="zh-CN" w:bidi="zh-CN"/>
      </w:rPr>
    </w:lvl>
    <w:lvl w:ilvl="7" w:tentative="0">
      <w:start w:val="0"/>
      <w:numFmt w:val="bullet"/>
      <w:lvlText w:val="•"/>
      <w:lvlJc w:val="left"/>
      <w:pPr>
        <w:ind w:left="5495" w:hanging="720"/>
      </w:pPr>
      <w:rPr>
        <w:rFonts w:hint="default"/>
        <w:lang w:val="zh-CN" w:eastAsia="zh-CN" w:bidi="zh-CN"/>
      </w:rPr>
    </w:lvl>
    <w:lvl w:ilvl="8" w:tentative="0">
      <w:start w:val="0"/>
      <w:numFmt w:val="bullet"/>
      <w:lvlText w:val="•"/>
      <w:lvlJc w:val="left"/>
      <w:pPr>
        <w:ind w:left="6598" w:hanging="720"/>
      </w:pPr>
      <w:rPr>
        <w:rFonts w:hint="default"/>
        <w:lang w:val="zh-CN" w:eastAsia="zh-CN" w:bidi="zh-CN"/>
      </w:rPr>
    </w:lvl>
  </w:abstractNum>
  <w:abstractNum w:abstractNumId="2">
    <w:nsid w:val="12EADF99"/>
    <w:multiLevelType w:val="multilevel"/>
    <w:tmpl w:val="12EADF99"/>
    <w:lvl w:ilvl="0" w:tentative="0">
      <w:start w:val="7"/>
      <w:numFmt w:val="decimal"/>
      <w:pStyle w:val="237"/>
      <w:lvlText w:val="%1"/>
      <w:lvlJc w:val="left"/>
      <w:pPr>
        <w:ind w:left="766" w:hanging="526"/>
      </w:pPr>
      <w:rPr>
        <w:rFonts w:hint="default"/>
        <w:lang w:val="zh-CN" w:eastAsia="zh-CN" w:bidi="zh-CN"/>
      </w:rPr>
    </w:lvl>
    <w:lvl w:ilvl="1" w:tentative="0">
      <w:start w:val="1"/>
      <w:numFmt w:val="decimal"/>
      <w:lvlText w:val="%1.%2"/>
      <w:lvlJc w:val="left"/>
      <w:pPr>
        <w:ind w:left="766" w:hanging="526"/>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941" w:hanging="701"/>
      </w:pPr>
      <w:rPr>
        <w:rFonts w:hint="default" w:ascii="Times New Roman" w:hAnsi="Times New Roman" w:eastAsia="Times New Roman" w:cs="Times New Roman"/>
        <w:b/>
        <w:bCs/>
        <w:spacing w:val="-3"/>
        <w:w w:val="100"/>
        <w:sz w:val="28"/>
        <w:szCs w:val="28"/>
        <w:lang w:val="zh-CN" w:eastAsia="zh-CN" w:bidi="zh-CN"/>
      </w:rPr>
    </w:lvl>
    <w:lvl w:ilvl="3" w:tentative="0">
      <w:start w:val="1"/>
      <w:numFmt w:val="decimal"/>
      <w:lvlText w:val="（%4）"/>
      <w:lvlJc w:val="left"/>
      <w:pPr>
        <w:ind w:left="1321" w:hanging="601"/>
      </w:pPr>
      <w:rPr>
        <w:rFonts w:hint="default"/>
        <w:w w:val="100"/>
        <w:lang w:val="zh-CN" w:eastAsia="zh-CN" w:bidi="zh-CN"/>
      </w:rPr>
    </w:lvl>
    <w:lvl w:ilvl="4" w:tentative="0">
      <w:start w:val="0"/>
      <w:numFmt w:val="bullet"/>
      <w:lvlText w:val="•"/>
      <w:lvlJc w:val="left"/>
      <w:pPr>
        <w:ind w:left="3191" w:hanging="601"/>
      </w:pPr>
      <w:rPr>
        <w:rFonts w:hint="default"/>
        <w:lang w:val="zh-CN" w:eastAsia="zh-CN" w:bidi="zh-CN"/>
      </w:rPr>
    </w:lvl>
    <w:lvl w:ilvl="5" w:tentative="0">
      <w:start w:val="0"/>
      <w:numFmt w:val="bullet"/>
      <w:pStyle w:val="9"/>
      <w:lvlText w:val="•"/>
      <w:lvlJc w:val="left"/>
      <w:pPr>
        <w:ind w:left="4127" w:hanging="601"/>
      </w:pPr>
      <w:rPr>
        <w:rFonts w:hint="default"/>
        <w:lang w:val="zh-CN" w:eastAsia="zh-CN" w:bidi="zh-CN"/>
      </w:rPr>
    </w:lvl>
    <w:lvl w:ilvl="6" w:tentative="0">
      <w:start w:val="0"/>
      <w:numFmt w:val="bullet"/>
      <w:pStyle w:val="10"/>
      <w:lvlText w:val="•"/>
      <w:lvlJc w:val="left"/>
      <w:pPr>
        <w:ind w:left="5063" w:hanging="601"/>
      </w:pPr>
      <w:rPr>
        <w:rFonts w:hint="default"/>
        <w:lang w:val="zh-CN" w:eastAsia="zh-CN" w:bidi="zh-CN"/>
      </w:rPr>
    </w:lvl>
    <w:lvl w:ilvl="7" w:tentative="0">
      <w:start w:val="0"/>
      <w:numFmt w:val="bullet"/>
      <w:pStyle w:val="11"/>
      <w:lvlText w:val="•"/>
      <w:lvlJc w:val="left"/>
      <w:pPr>
        <w:ind w:left="5999" w:hanging="601"/>
      </w:pPr>
      <w:rPr>
        <w:rFonts w:hint="default"/>
        <w:lang w:val="zh-CN" w:eastAsia="zh-CN" w:bidi="zh-CN"/>
      </w:rPr>
    </w:lvl>
    <w:lvl w:ilvl="8" w:tentative="0">
      <w:start w:val="0"/>
      <w:numFmt w:val="bullet"/>
      <w:pStyle w:val="12"/>
      <w:lvlText w:val="•"/>
      <w:lvlJc w:val="left"/>
      <w:pPr>
        <w:ind w:left="6934" w:hanging="601"/>
      </w:pPr>
      <w:rPr>
        <w:rFonts w:hint="default"/>
        <w:lang w:val="zh-CN" w:eastAsia="zh-CN" w:bidi="zh-CN"/>
      </w:rPr>
    </w:lvl>
  </w:abstractNum>
  <w:abstractNum w:abstractNumId="3">
    <w:nsid w:val="3B8127DF"/>
    <w:multiLevelType w:val="multilevel"/>
    <w:tmpl w:val="3B8127DF"/>
    <w:lvl w:ilvl="0" w:tentative="0">
      <w:start w:val="7"/>
      <w:numFmt w:val="decimal"/>
      <w:pStyle w:val="426"/>
      <w:lvlText w:val="%1"/>
      <w:lvlJc w:val="left"/>
      <w:pPr>
        <w:ind w:left="960" w:hanging="720"/>
      </w:pPr>
      <w:rPr>
        <w:rFonts w:hint="default"/>
        <w:lang w:val="zh-CN" w:eastAsia="zh-CN" w:bidi="zh-CN"/>
      </w:rPr>
    </w:lvl>
    <w:lvl w:ilvl="1" w:tentative="0">
      <w:start w:val="1"/>
      <w:numFmt w:val="decimal"/>
      <w:lvlText w:val="%1.%2"/>
      <w:lvlJc w:val="left"/>
      <w:pPr>
        <w:ind w:left="960" w:hanging="720"/>
      </w:pPr>
      <w:rPr>
        <w:rFonts w:hint="default"/>
        <w:lang w:val="zh-CN" w:eastAsia="zh-CN" w:bidi="zh-CN"/>
      </w:rPr>
    </w:lvl>
    <w:lvl w:ilvl="2" w:tentative="0">
      <w:start w:val="3"/>
      <w:numFmt w:val="decimal"/>
      <w:lvlText w:val="%1.%2.%3"/>
      <w:lvlJc w:val="left"/>
      <w:pPr>
        <w:ind w:left="960" w:hanging="720"/>
      </w:pPr>
      <w:rPr>
        <w:rFonts w:hint="default"/>
        <w:lang w:val="zh-CN" w:eastAsia="zh-CN" w:bidi="zh-CN"/>
      </w:rPr>
    </w:lvl>
    <w:lvl w:ilvl="3" w:tentative="0">
      <w:start w:val="1"/>
      <w:numFmt w:val="decimal"/>
      <w:lvlText w:val="%1.%2.%3.%4"/>
      <w:lvlJc w:val="left"/>
      <w:pPr>
        <w:ind w:left="960" w:hanging="720"/>
      </w:pPr>
      <w:rPr>
        <w:rFonts w:hint="default" w:ascii="Times New Roman" w:hAnsi="Times New Roman" w:eastAsia="Times New Roman" w:cs="Times New Roman"/>
        <w:b/>
        <w:bCs/>
        <w:w w:val="100"/>
        <w:sz w:val="24"/>
        <w:szCs w:val="24"/>
        <w:lang w:val="zh-CN" w:eastAsia="zh-CN" w:bidi="zh-CN"/>
      </w:rPr>
    </w:lvl>
    <w:lvl w:ilvl="4" w:tentative="0">
      <w:start w:val="1"/>
      <w:numFmt w:val="decimal"/>
      <w:lvlText w:val="（%5）"/>
      <w:lvlJc w:val="left"/>
      <w:pPr>
        <w:ind w:left="1321" w:hanging="601"/>
      </w:pPr>
      <w:rPr>
        <w:rFonts w:hint="default" w:ascii="宋体" w:hAnsi="宋体" w:eastAsia="宋体" w:cs="宋体"/>
        <w:w w:val="100"/>
        <w:sz w:val="22"/>
        <w:szCs w:val="22"/>
        <w:lang w:val="zh-CN" w:eastAsia="zh-CN" w:bidi="zh-CN"/>
      </w:rPr>
    </w:lvl>
    <w:lvl w:ilvl="5" w:tentative="0">
      <w:start w:val="0"/>
      <w:numFmt w:val="bullet"/>
      <w:lvlText w:val="•"/>
      <w:lvlJc w:val="left"/>
      <w:pPr>
        <w:ind w:left="4647" w:hanging="601"/>
      </w:pPr>
      <w:rPr>
        <w:rFonts w:hint="default"/>
        <w:lang w:val="zh-CN" w:eastAsia="zh-CN" w:bidi="zh-CN"/>
      </w:rPr>
    </w:lvl>
    <w:lvl w:ilvl="6" w:tentative="0">
      <w:start w:val="0"/>
      <w:numFmt w:val="bullet"/>
      <w:lvlText w:val="•"/>
      <w:lvlJc w:val="left"/>
      <w:pPr>
        <w:ind w:left="5479" w:hanging="601"/>
      </w:pPr>
      <w:rPr>
        <w:rFonts w:hint="default"/>
        <w:lang w:val="zh-CN" w:eastAsia="zh-CN" w:bidi="zh-CN"/>
      </w:rPr>
    </w:lvl>
    <w:lvl w:ilvl="7" w:tentative="0">
      <w:start w:val="0"/>
      <w:numFmt w:val="bullet"/>
      <w:lvlText w:val="•"/>
      <w:lvlJc w:val="left"/>
      <w:pPr>
        <w:ind w:left="6310" w:hanging="601"/>
      </w:pPr>
      <w:rPr>
        <w:rFonts w:hint="default"/>
        <w:lang w:val="zh-CN" w:eastAsia="zh-CN" w:bidi="zh-CN"/>
      </w:rPr>
    </w:lvl>
    <w:lvl w:ilvl="8" w:tentative="0">
      <w:start w:val="0"/>
      <w:numFmt w:val="bullet"/>
      <w:lvlText w:val="•"/>
      <w:lvlJc w:val="left"/>
      <w:pPr>
        <w:ind w:left="7142" w:hanging="601"/>
      </w:pPr>
      <w:rPr>
        <w:rFonts w:hint="default"/>
        <w:lang w:val="zh-CN" w:eastAsia="zh-CN" w:bidi="zh-CN"/>
      </w:rPr>
    </w:lvl>
  </w:abstractNum>
  <w:abstractNum w:abstractNumId="4">
    <w:nsid w:val="573599AB"/>
    <w:multiLevelType w:val="multilevel"/>
    <w:tmpl w:val="573599AB"/>
    <w:lvl w:ilvl="0" w:tentative="0">
      <w:start w:val="1"/>
      <w:numFmt w:val="decimal"/>
      <w:lvlText w:val="%1."/>
      <w:lvlJc w:val="left"/>
      <w:pPr>
        <w:tabs>
          <w:tab w:val="left" w:pos="432"/>
        </w:tabs>
        <w:ind w:left="432" w:hanging="432"/>
      </w:pPr>
      <w:rPr>
        <w:rFonts w:hint="default" w:ascii="宋体" w:hAnsi="宋体" w:eastAsia="宋体" w:cs="楷体"/>
      </w:rPr>
    </w:lvl>
    <w:lvl w:ilvl="1" w:tentative="0">
      <w:start w:val="1"/>
      <w:numFmt w:val="decimal"/>
      <w:pStyle w:val="2971"/>
      <w:isLgl/>
      <w:lvlText w:val="%1.%2."/>
      <w:lvlJc w:val="left"/>
      <w:pPr>
        <w:tabs>
          <w:tab w:val="left" w:pos="575"/>
        </w:tabs>
        <w:ind w:left="575" w:hanging="575"/>
      </w:pPr>
      <w:rPr>
        <w:rFonts w:hint="default" w:ascii="宋体" w:hAnsi="宋体" w:eastAsia="宋体" w:cs="楷体"/>
      </w:rPr>
    </w:lvl>
    <w:lvl w:ilvl="2" w:tentative="0">
      <w:start w:val="1"/>
      <w:numFmt w:val="decimal"/>
      <w:isLgl/>
      <w:lvlText w:val="%1.%2.%3."/>
      <w:lvlJc w:val="left"/>
      <w:pPr>
        <w:tabs>
          <w:tab w:val="left" w:pos="720"/>
        </w:tabs>
        <w:ind w:left="720" w:hanging="720"/>
      </w:pPr>
      <w:rPr>
        <w:rFonts w:hint="default" w:ascii="宋体" w:hAnsi="宋体" w:eastAsia="宋体" w:cs="楷体"/>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1"/>
        </w:tabs>
        <w:ind w:left="1151" w:hanging="1151"/>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3"/>
        </w:tabs>
        <w:ind w:left="1583" w:hanging="1583"/>
      </w:pPr>
      <w:rPr>
        <w:rFonts w:hint="default"/>
      </w:rPr>
    </w:lvl>
  </w:abstractNum>
  <w:abstractNum w:abstractNumId="5">
    <w:nsid w:val="58D53F12"/>
    <w:multiLevelType w:val="multilevel"/>
    <w:tmpl w:val="58D53F12"/>
    <w:lvl w:ilvl="0" w:tentative="0">
      <w:start w:val="1"/>
      <w:numFmt w:val="decimalEnclosedCircle"/>
      <w:pStyle w:val="834"/>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68AF35BF"/>
    <w:multiLevelType w:val="singleLevel"/>
    <w:tmpl w:val="68AF35BF"/>
    <w:lvl w:ilvl="0" w:tentative="0">
      <w:start w:val="3"/>
      <w:numFmt w:val="decimal"/>
      <w:suff w:val="nothing"/>
      <w:lvlText w:val="%1、"/>
      <w:lvlJc w:val="left"/>
    </w:lvl>
  </w:abstractNum>
  <w:abstractNum w:abstractNumId="7">
    <w:nsid w:val="6B6A7D4C"/>
    <w:multiLevelType w:val="multilevel"/>
    <w:tmpl w:val="6B6A7D4C"/>
    <w:lvl w:ilvl="0" w:tentative="0">
      <w:start w:val="6"/>
      <w:numFmt w:val="decimal"/>
      <w:pStyle w:val="224"/>
      <w:lvlText w:val="%1"/>
      <w:lvlJc w:val="left"/>
      <w:pPr>
        <w:ind w:left="766" w:hanging="526"/>
      </w:pPr>
      <w:rPr>
        <w:rFonts w:hint="default"/>
        <w:lang w:val="zh-CN" w:eastAsia="zh-CN" w:bidi="zh-CN"/>
      </w:rPr>
    </w:lvl>
    <w:lvl w:ilvl="1" w:tentative="0">
      <w:start w:val="1"/>
      <w:numFmt w:val="decimal"/>
      <w:pStyle w:val="85"/>
      <w:lvlText w:val="%1.%2"/>
      <w:lvlJc w:val="left"/>
      <w:pPr>
        <w:ind w:left="766" w:hanging="526"/>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pStyle w:val="65"/>
      <w:lvlText w:val="%1.%2.%3"/>
      <w:lvlJc w:val="left"/>
      <w:pPr>
        <w:ind w:left="941" w:hanging="701"/>
      </w:pPr>
      <w:rPr>
        <w:rFonts w:hint="default" w:ascii="Times New Roman" w:hAnsi="Times New Roman" w:eastAsia="Times New Roman" w:cs="Times New Roman"/>
        <w:b/>
        <w:bCs/>
        <w:spacing w:val="-3"/>
        <w:w w:val="100"/>
        <w:sz w:val="28"/>
        <w:szCs w:val="28"/>
        <w:lang w:val="zh-CN" w:eastAsia="zh-CN" w:bidi="zh-CN"/>
      </w:rPr>
    </w:lvl>
    <w:lvl w:ilvl="3" w:tentative="0">
      <w:start w:val="1"/>
      <w:numFmt w:val="decimal"/>
      <w:lvlText w:val="（%4）"/>
      <w:lvlJc w:val="left"/>
      <w:pPr>
        <w:ind w:left="1263" w:hanging="604"/>
      </w:pPr>
      <w:rPr>
        <w:rFonts w:hint="default"/>
        <w:b/>
        <w:bCs/>
        <w:spacing w:val="0"/>
        <w:w w:val="99"/>
        <w:lang w:val="zh-CN" w:eastAsia="zh-CN" w:bidi="zh-CN"/>
      </w:rPr>
    </w:lvl>
    <w:lvl w:ilvl="4" w:tentative="0">
      <w:start w:val="0"/>
      <w:numFmt w:val="bullet"/>
      <w:lvlText w:val="•"/>
      <w:lvlJc w:val="left"/>
      <w:pPr>
        <w:ind w:left="3146" w:hanging="604"/>
      </w:pPr>
      <w:rPr>
        <w:rFonts w:hint="default"/>
        <w:lang w:val="zh-CN" w:eastAsia="zh-CN" w:bidi="zh-CN"/>
      </w:rPr>
    </w:lvl>
    <w:lvl w:ilvl="5" w:tentative="0">
      <w:start w:val="0"/>
      <w:numFmt w:val="bullet"/>
      <w:lvlText w:val="•"/>
      <w:lvlJc w:val="left"/>
      <w:pPr>
        <w:ind w:left="4089" w:hanging="604"/>
      </w:pPr>
      <w:rPr>
        <w:rFonts w:hint="default"/>
        <w:lang w:val="zh-CN" w:eastAsia="zh-CN" w:bidi="zh-CN"/>
      </w:rPr>
    </w:lvl>
    <w:lvl w:ilvl="6" w:tentative="0">
      <w:start w:val="0"/>
      <w:numFmt w:val="bullet"/>
      <w:lvlText w:val="•"/>
      <w:lvlJc w:val="left"/>
      <w:pPr>
        <w:ind w:left="5033" w:hanging="604"/>
      </w:pPr>
      <w:rPr>
        <w:rFonts w:hint="default"/>
        <w:lang w:val="zh-CN" w:eastAsia="zh-CN" w:bidi="zh-CN"/>
      </w:rPr>
    </w:lvl>
    <w:lvl w:ilvl="7" w:tentative="0">
      <w:start w:val="0"/>
      <w:numFmt w:val="bullet"/>
      <w:lvlText w:val="•"/>
      <w:lvlJc w:val="left"/>
      <w:pPr>
        <w:ind w:left="5976" w:hanging="604"/>
      </w:pPr>
      <w:rPr>
        <w:rFonts w:hint="default"/>
        <w:lang w:val="zh-CN" w:eastAsia="zh-CN" w:bidi="zh-CN"/>
      </w:rPr>
    </w:lvl>
    <w:lvl w:ilvl="8" w:tentative="0">
      <w:start w:val="0"/>
      <w:numFmt w:val="bullet"/>
      <w:lvlText w:val="•"/>
      <w:lvlJc w:val="left"/>
      <w:pPr>
        <w:ind w:left="6919" w:hanging="604"/>
      </w:pPr>
      <w:rPr>
        <w:rFonts w:hint="default"/>
        <w:lang w:val="zh-CN" w:eastAsia="zh-CN" w:bidi="zh-CN"/>
      </w:rPr>
    </w:lvl>
  </w:abstractNum>
  <w:abstractNum w:abstractNumId="8">
    <w:nsid w:val="719ED6A5"/>
    <w:multiLevelType w:val="singleLevel"/>
    <w:tmpl w:val="719ED6A5"/>
    <w:lvl w:ilvl="0" w:tentative="0">
      <w:start w:val="1"/>
      <w:numFmt w:val="decimal"/>
      <w:suff w:val="nothing"/>
      <w:lvlText w:val="%1）"/>
      <w:lvlJc w:val="left"/>
    </w:lvl>
  </w:abstractNum>
  <w:abstractNum w:abstractNumId="9">
    <w:nsid w:val="72DC3BC5"/>
    <w:multiLevelType w:val="multilevel"/>
    <w:tmpl w:val="72DC3BC5"/>
    <w:lvl w:ilvl="0" w:tentative="0">
      <w:start w:val="1"/>
      <w:numFmt w:val="decimal"/>
      <w:pStyle w:val="882"/>
      <w:lvlText w:val="（%1）"/>
      <w:lvlJc w:val="left"/>
      <w:pPr>
        <w:ind w:left="1080" w:hanging="60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73FB4360"/>
    <w:multiLevelType w:val="multilevel"/>
    <w:tmpl w:val="73FB4360"/>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pStyle w:val="608"/>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5EC3C1A"/>
    <w:multiLevelType w:val="multilevel"/>
    <w:tmpl w:val="75EC3C1A"/>
    <w:lvl w:ilvl="0" w:tentative="0">
      <w:start w:val="1"/>
      <w:numFmt w:val="decimalEnclosedCircle"/>
      <w:lvlText w:val="%1"/>
      <w:lvlJc w:val="left"/>
      <w:pPr>
        <w:ind w:left="360" w:hanging="36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7"/>
  </w:num>
  <w:num w:numId="3">
    <w:abstractNumId w:val="1"/>
  </w:num>
  <w:num w:numId="4">
    <w:abstractNumId w:val="3"/>
  </w:num>
  <w:num w:numId="5">
    <w:abstractNumId w:val="10"/>
  </w:num>
  <w:num w:numId="6">
    <w:abstractNumId w:val="5"/>
  </w:num>
  <w:num w:numId="7">
    <w:abstractNumId w:val="9"/>
  </w:num>
  <w:num w:numId="8">
    <w:abstractNumId w:val="4"/>
  </w:num>
  <w:num w:numId="9">
    <w:abstractNumId w:val="11"/>
  </w:num>
  <w:num w:numId="10">
    <w:abstractNumId w:val="6"/>
  </w:num>
  <w:num w:numId="11">
    <w:abstractNumId w:val="0"/>
  </w:num>
  <w:num w:numId="12">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WPS Office" w15:userId="4742049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wNTEyODM1NDQxNjYzN2JhYjFlZjYyNTZjMzA2ZjkifQ=="/>
    <w:docVar w:name="KSO_WPS_MARK_KEY" w:val="9634a86f-ef77-4c37-9bb8-04817d3bfbc8"/>
  </w:docVars>
  <w:rsids>
    <w:rsidRoot w:val="00F83B35"/>
    <w:rsid w:val="00000CCB"/>
    <w:rsid w:val="000014C6"/>
    <w:rsid w:val="000014D9"/>
    <w:rsid w:val="000016DA"/>
    <w:rsid w:val="00001E71"/>
    <w:rsid w:val="00002596"/>
    <w:rsid w:val="000029C2"/>
    <w:rsid w:val="0000370C"/>
    <w:rsid w:val="00003DA5"/>
    <w:rsid w:val="000048B4"/>
    <w:rsid w:val="00004BC9"/>
    <w:rsid w:val="00004C5A"/>
    <w:rsid w:val="00005354"/>
    <w:rsid w:val="00006316"/>
    <w:rsid w:val="00007215"/>
    <w:rsid w:val="00010E2F"/>
    <w:rsid w:val="00010F2A"/>
    <w:rsid w:val="00011246"/>
    <w:rsid w:val="00011FF4"/>
    <w:rsid w:val="0001320C"/>
    <w:rsid w:val="00013252"/>
    <w:rsid w:val="0001357B"/>
    <w:rsid w:val="00013757"/>
    <w:rsid w:val="000144C2"/>
    <w:rsid w:val="00014C2A"/>
    <w:rsid w:val="00015BFB"/>
    <w:rsid w:val="00015D46"/>
    <w:rsid w:val="00016023"/>
    <w:rsid w:val="0001704D"/>
    <w:rsid w:val="00017474"/>
    <w:rsid w:val="00017CA2"/>
    <w:rsid w:val="000201E8"/>
    <w:rsid w:val="000219A9"/>
    <w:rsid w:val="00021C3D"/>
    <w:rsid w:val="00022235"/>
    <w:rsid w:val="00022FFB"/>
    <w:rsid w:val="000233AA"/>
    <w:rsid w:val="00023594"/>
    <w:rsid w:val="000241B8"/>
    <w:rsid w:val="000242B0"/>
    <w:rsid w:val="00024840"/>
    <w:rsid w:val="0002487F"/>
    <w:rsid w:val="00024FD2"/>
    <w:rsid w:val="000269C0"/>
    <w:rsid w:val="00026DBB"/>
    <w:rsid w:val="0002739F"/>
    <w:rsid w:val="00030795"/>
    <w:rsid w:val="00030886"/>
    <w:rsid w:val="00030B57"/>
    <w:rsid w:val="00031E34"/>
    <w:rsid w:val="00032C6C"/>
    <w:rsid w:val="0003312C"/>
    <w:rsid w:val="00033A17"/>
    <w:rsid w:val="00033ACC"/>
    <w:rsid w:val="00033B43"/>
    <w:rsid w:val="00034A1D"/>
    <w:rsid w:val="00034B07"/>
    <w:rsid w:val="00035935"/>
    <w:rsid w:val="00035B93"/>
    <w:rsid w:val="00035C3F"/>
    <w:rsid w:val="0003619B"/>
    <w:rsid w:val="00036B6A"/>
    <w:rsid w:val="00037A66"/>
    <w:rsid w:val="000405A7"/>
    <w:rsid w:val="000412EE"/>
    <w:rsid w:val="00042260"/>
    <w:rsid w:val="000423A8"/>
    <w:rsid w:val="000429CF"/>
    <w:rsid w:val="00042A8C"/>
    <w:rsid w:val="00042D67"/>
    <w:rsid w:val="00042D85"/>
    <w:rsid w:val="0004394E"/>
    <w:rsid w:val="00043A81"/>
    <w:rsid w:val="00043E38"/>
    <w:rsid w:val="000449D6"/>
    <w:rsid w:val="00044C12"/>
    <w:rsid w:val="000450A4"/>
    <w:rsid w:val="000450D2"/>
    <w:rsid w:val="000465C2"/>
    <w:rsid w:val="0004788F"/>
    <w:rsid w:val="000528E4"/>
    <w:rsid w:val="00052BD8"/>
    <w:rsid w:val="00052D88"/>
    <w:rsid w:val="00053BE1"/>
    <w:rsid w:val="00054BC4"/>
    <w:rsid w:val="00054C6F"/>
    <w:rsid w:val="00054D36"/>
    <w:rsid w:val="00055491"/>
    <w:rsid w:val="00056078"/>
    <w:rsid w:val="00056F2F"/>
    <w:rsid w:val="0005732B"/>
    <w:rsid w:val="000626CE"/>
    <w:rsid w:val="000650C3"/>
    <w:rsid w:val="00066036"/>
    <w:rsid w:val="0006632D"/>
    <w:rsid w:val="00067197"/>
    <w:rsid w:val="00067716"/>
    <w:rsid w:val="000678A1"/>
    <w:rsid w:val="00067B95"/>
    <w:rsid w:val="00067C47"/>
    <w:rsid w:val="00070A9B"/>
    <w:rsid w:val="00071191"/>
    <w:rsid w:val="00071981"/>
    <w:rsid w:val="00071D18"/>
    <w:rsid w:val="0007215D"/>
    <w:rsid w:val="000728DB"/>
    <w:rsid w:val="00073899"/>
    <w:rsid w:val="0007399E"/>
    <w:rsid w:val="00074D18"/>
    <w:rsid w:val="00074F85"/>
    <w:rsid w:val="00075343"/>
    <w:rsid w:val="0007593C"/>
    <w:rsid w:val="00075EA9"/>
    <w:rsid w:val="00076172"/>
    <w:rsid w:val="00076725"/>
    <w:rsid w:val="00077482"/>
    <w:rsid w:val="00081B0D"/>
    <w:rsid w:val="00081B58"/>
    <w:rsid w:val="000827C3"/>
    <w:rsid w:val="000827E0"/>
    <w:rsid w:val="00082D99"/>
    <w:rsid w:val="00083BCB"/>
    <w:rsid w:val="000840A4"/>
    <w:rsid w:val="000863B6"/>
    <w:rsid w:val="000866FB"/>
    <w:rsid w:val="00086FD4"/>
    <w:rsid w:val="00087765"/>
    <w:rsid w:val="00087C03"/>
    <w:rsid w:val="000911C5"/>
    <w:rsid w:val="000916E9"/>
    <w:rsid w:val="00091E84"/>
    <w:rsid w:val="00092E9D"/>
    <w:rsid w:val="00093007"/>
    <w:rsid w:val="00094035"/>
    <w:rsid w:val="00095282"/>
    <w:rsid w:val="000957E7"/>
    <w:rsid w:val="00096254"/>
    <w:rsid w:val="00096522"/>
    <w:rsid w:val="00096609"/>
    <w:rsid w:val="0009666D"/>
    <w:rsid w:val="00096E76"/>
    <w:rsid w:val="000A009B"/>
    <w:rsid w:val="000A05DF"/>
    <w:rsid w:val="000A0E91"/>
    <w:rsid w:val="000A1642"/>
    <w:rsid w:val="000A1CC4"/>
    <w:rsid w:val="000A3698"/>
    <w:rsid w:val="000A36E8"/>
    <w:rsid w:val="000A428D"/>
    <w:rsid w:val="000A42BC"/>
    <w:rsid w:val="000A4F2F"/>
    <w:rsid w:val="000A5477"/>
    <w:rsid w:val="000A5D3D"/>
    <w:rsid w:val="000A5FC3"/>
    <w:rsid w:val="000A6363"/>
    <w:rsid w:val="000A7FAF"/>
    <w:rsid w:val="000B0254"/>
    <w:rsid w:val="000B0636"/>
    <w:rsid w:val="000B1A17"/>
    <w:rsid w:val="000B1FC3"/>
    <w:rsid w:val="000B31EC"/>
    <w:rsid w:val="000B322B"/>
    <w:rsid w:val="000B5082"/>
    <w:rsid w:val="000B7084"/>
    <w:rsid w:val="000C0511"/>
    <w:rsid w:val="000C0BF9"/>
    <w:rsid w:val="000C0FA8"/>
    <w:rsid w:val="000C1B92"/>
    <w:rsid w:val="000C275C"/>
    <w:rsid w:val="000C27FF"/>
    <w:rsid w:val="000C4692"/>
    <w:rsid w:val="000C6354"/>
    <w:rsid w:val="000C7074"/>
    <w:rsid w:val="000C7930"/>
    <w:rsid w:val="000D0019"/>
    <w:rsid w:val="000D03BC"/>
    <w:rsid w:val="000D0B1A"/>
    <w:rsid w:val="000D12FE"/>
    <w:rsid w:val="000D1DDB"/>
    <w:rsid w:val="000D2E16"/>
    <w:rsid w:val="000D4250"/>
    <w:rsid w:val="000D49C7"/>
    <w:rsid w:val="000D5240"/>
    <w:rsid w:val="000D5AAD"/>
    <w:rsid w:val="000D5FAD"/>
    <w:rsid w:val="000D64F2"/>
    <w:rsid w:val="000D6C79"/>
    <w:rsid w:val="000D7334"/>
    <w:rsid w:val="000D7817"/>
    <w:rsid w:val="000D7A4A"/>
    <w:rsid w:val="000E0187"/>
    <w:rsid w:val="000E02C4"/>
    <w:rsid w:val="000E168D"/>
    <w:rsid w:val="000E3E07"/>
    <w:rsid w:val="000E41BD"/>
    <w:rsid w:val="000E4294"/>
    <w:rsid w:val="000E4322"/>
    <w:rsid w:val="000E4F9B"/>
    <w:rsid w:val="000E5774"/>
    <w:rsid w:val="000E5CDB"/>
    <w:rsid w:val="000E5DFC"/>
    <w:rsid w:val="000E69E8"/>
    <w:rsid w:val="000E7177"/>
    <w:rsid w:val="000F1798"/>
    <w:rsid w:val="000F26D2"/>
    <w:rsid w:val="000F2C07"/>
    <w:rsid w:val="000F38B9"/>
    <w:rsid w:val="000F3B11"/>
    <w:rsid w:val="000F4183"/>
    <w:rsid w:val="000F4EFF"/>
    <w:rsid w:val="000F523A"/>
    <w:rsid w:val="000F5300"/>
    <w:rsid w:val="000F6711"/>
    <w:rsid w:val="000F6D0D"/>
    <w:rsid w:val="00100D6A"/>
    <w:rsid w:val="00101D75"/>
    <w:rsid w:val="00102F15"/>
    <w:rsid w:val="00102F7D"/>
    <w:rsid w:val="00103FCA"/>
    <w:rsid w:val="00104208"/>
    <w:rsid w:val="00104A75"/>
    <w:rsid w:val="00104D15"/>
    <w:rsid w:val="0010502C"/>
    <w:rsid w:val="00105AF4"/>
    <w:rsid w:val="00105B27"/>
    <w:rsid w:val="00106719"/>
    <w:rsid w:val="00106C26"/>
    <w:rsid w:val="001070D5"/>
    <w:rsid w:val="001106EC"/>
    <w:rsid w:val="00110A79"/>
    <w:rsid w:val="00111257"/>
    <w:rsid w:val="0011158A"/>
    <w:rsid w:val="00111D5A"/>
    <w:rsid w:val="00113928"/>
    <w:rsid w:val="001141C4"/>
    <w:rsid w:val="001143C0"/>
    <w:rsid w:val="00115440"/>
    <w:rsid w:val="00115730"/>
    <w:rsid w:val="00116192"/>
    <w:rsid w:val="0011633E"/>
    <w:rsid w:val="00117D77"/>
    <w:rsid w:val="00120D13"/>
    <w:rsid w:val="00121093"/>
    <w:rsid w:val="0012170A"/>
    <w:rsid w:val="00121DFA"/>
    <w:rsid w:val="00121DFE"/>
    <w:rsid w:val="0012226C"/>
    <w:rsid w:val="00122599"/>
    <w:rsid w:val="001226E7"/>
    <w:rsid w:val="001226F8"/>
    <w:rsid w:val="00122F1F"/>
    <w:rsid w:val="0012422A"/>
    <w:rsid w:val="001244F3"/>
    <w:rsid w:val="00124B2C"/>
    <w:rsid w:val="0012534C"/>
    <w:rsid w:val="00125914"/>
    <w:rsid w:val="00125B0C"/>
    <w:rsid w:val="00125E85"/>
    <w:rsid w:val="001261D2"/>
    <w:rsid w:val="00127AA6"/>
    <w:rsid w:val="00130639"/>
    <w:rsid w:val="00130766"/>
    <w:rsid w:val="0013094E"/>
    <w:rsid w:val="00130E2F"/>
    <w:rsid w:val="00131788"/>
    <w:rsid w:val="00131F53"/>
    <w:rsid w:val="00132E59"/>
    <w:rsid w:val="0013354D"/>
    <w:rsid w:val="00133FB6"/>
    <w:rsid w:val="00135012"/>
    <w:rsid w:val="0013525D"/>
    <w:rsid w:val="00136266"/>
    <w:rsid w:val="00136A0A"/>
    <w:rsid w:val="0013764A"/>
    <w:rsid w:val="0014073E"/>
    <w:rsid w:val="0014122E"/>
    <w:rsid w:val="00141A6A"/>
    <w:rsid w:val="00141EE0"/>
    <w:rsid w:val="00142B99"/>
    <w:rsid w:val="00143DA6"/>
    <w:rsid w:val="001459DA"/>
    <w:rsid w:val="00145A80"/>
    <w:rsid w:val="00146614"/>
    <w:rsid w:val="00146EC4"/>
    <w:rsid w:val="00150890"/>
    <w:rsid w:val="00151FEE"/>
    <w:rsid w:val="001526A9"/>
    <w:rsid w:val="00152A77"/>
    <w:rsid w:val="00152E07"/>
    <w:rsid w:val="00153327"/>
    <w:rsid w:val="00153A95"/>
    <w:rsid w:val="00154224"/>
    <w:rsid w:val="00154828"/>
    <w:rsid w:val="001548AF"/>
    <w:rsid w:val="001549E7"/>
    <w:rsid w:val="00154BFC"/>
    <w:rsid w:val="00154CD9"/>
    <w:rsid w:val="00154DDF"/>
    <w:rsid w:val="00154FB7"/>
    <w:rsid w:val="001551B2"/>
    <w:rsid w:val="001558A6"/>
    <w:rsid w:val="00155F7A"/>
    <w:rsid w:val="00157551"/>
    <w:rsid w:val="00157FF1"/>
    <w:rsid w:val="001600CF"/>
    <w:rsid w:val="00160712"/>
    <w:rsid w:val="001609E2"/>
    <w:rsid w:val="001627ED"/>
    <w:rsid w:val="001629CC"/>
    <w:rsid w:val="00163418"/>
    <w:rsid w:val="00163865"/>
    <w:rsid w:val="001639B6"/>
    <w:rsid w:val="00163B3E"/>
    <w:rsid w:val="00164A7E"/>
    <w:rsid w:val="00165371"/>
    <w:rsid w:val="00167E76"/>
    <w:rsid w:val="0017287D"/>
    <w:rsid w:val="00173117"/>
    <w:rsid w:val="001741FD"/>
    <w:rsid w:val="00174AD9"/>
    <w:rsid w:val="00174BA3"/>
    <w:rsid w:val="001750F4"/>
    <w:rsid w:val="0017575D"/>
    <w:rsid w:val="00176665"/>
    <w:rsid w:val="0017734A"/>
    <w:rsid w:val="00177529"/>
    <w:rsid w:val="00177FA8"/>
    <w:rsid w:val="00180672"/>
    <w:rsid w:val="00180D12"/>
    <w:rsid w:val="00180DE7"/>
    <w:rsid w:val="00181912"/>
    <w:rsid w:val="00182DB5"/>
    <w:rsid w:val="00183183"/>
    <w:rsid w:val="00183989"/>
    <w:rsid w:val="00183AE6"/>
    <w:rsid w:val="00183E1B"/>
    <w:rsid w:val="00184480"/>
    <w:rsid w:val="00185710"/>
    <w:rsid w:val="0018582C"/>
    <w:rsid w:val="00185A86"/>
    <w:rsid w:val="00185D99"/>
    <w:rsid w:val="00185EDD"/>
    <w:rsid w:val="0018641B"/>
    <w:rsid w:val="001909E8"/>
    <w:rsid w:val="00190D21"/>
    <w:rsid w:val="001910B3"/>
    <w:rsid w:val="001912BF"/>
    <w:rsid w:val="001914C3"/>
    <w:rsid w:val="001921A5"/>
    <w:rsid w:val="00192888"/>
    <w:rsid w:val="00194277"/>
    <w:rsid w:val="001949D8"/>
    <w:rsid w:val="00195150"/>
    <w:rsid w:val="001955D2"/>
    <w:rsid w:val="001964D5"/>
    <w:rsid w:val="00196573"/>
    <w:rsid w:val="0019691A"/>
    <w:rsid w:val="00197154"/>
    <w:rsid w:val="00197FA0"/>
    <w:rsid w:val="00197FCD"/>
    <w:rsid w:val="001A04C8"/>
    <w:rsid w:val="001A0AFD"/>
    <w:rsid w:val="001A0D5C"/>
    <w:rsid w:val="001A186F"/>
    <w:rsid w:val="001A1882"/>
    <w:rsid w:val="001A1C68"/>
    <w:rsid w:val="001A3969"/>
    <w:rsid w:val="001A3A10"/>
    <w:rsid w:val="001A47AF"/>
    <w:rsid w:val="001A47BD"/>
    <w:rsid w:val="001A502E"/>
    <w:rsid w:val="001A50B9"/>
    <w:rsid w:val="001A587C"/>
    <w:rsid w:val="001A6721"/>
    <w:rsid w:val="001A6B0C"/>
    <w:rsid w:val="001B054F"/>
    <w:rsid w:val="001B05FF"/>
    <w:rsid w:val="001B0F21"/>
    <w:rsid w:val="001B1E6F"/>
    <w:rsid w:val="001B22B1"/>
    <w:rsid w:val="001B2A45"/>
    <w:rsid w:val="001B36C0"/>
    <w:rsid w:val="001B3A36"/>
    <w:rsid w:val="001B3D01"/>
    <w:rsid w:val="001B4E8F"/>
    <w:rsid w:val="001B62E9"/>
    <w:rsid w:val="001B63E8"/>
    <w:rsid w:val="001B6AC2"/>
    <w:rsid w:val="001B7A13"/>
    <w:rsid w:val="001B7B12"/>
    <w:rsid w:val="001B7B45"/>
    <w:rsid w:val="001B7D5E"/>
    <w:rsid w:val="001B7FE8"/>
    <w:rsid w:val="001C1706"/>
    <w:rsid w:val="001C18C6"/>
    <w:rsid w:val="001C19D5"/>
    <w:rsid w:val="001C26D7"/>
    <w:rsid w:val="001C29CD"/>
    <w:rsid w:val="001C2D37"/>
    <w:rsid w:val="001C369E"/>
    <w:rsid w:val="001C3DBF"/>
    <w:rsid w:val="001C4A7B"/>
    <w:rsid w:val="001C55D8"/>
    <w:rsid w:val="001C6123"/>
    <w:rsid w:val="001C6144"/>
    <w:rsid w:val="001C6B5F"/>
    <w:rsid w:val="001C794A"/>
    <w:rsid w:val="001D0B74"/>
    <w:rsid w:val="001D0E52"/>
    <w:rsid w:val="001D26F6"/>
    <w:rsid w:val="001D2FE9"/>
    <w:rsid w:val="001D4D72"/>
    <w:rsid w:val="001D6162"/>
    <w:rsid w:val="001D62E3"/>
    <w:rsid w:val="001D6543"/>
    <w:rsid w:val="001D6E00"/>
    <w:rsid w:val="001D71BE"/>
    <w:rsid w:val="001E0070"/>
    <w:rsid w:val="001E0272"/>
    <w:rsid w:val="001E05E8"/>
    <w:rsid w:val="001E0FDD"/>
    <w:rsid w:val="001E24A1"/>
    <w:rsid w:val="001E3625"/>
    <w:rsid w:val="001E37D1"/>
    <w:rsid w:val="001E4ECB"/>
    <w:rsid w:val="001E5483"/>
    <w:rsid w:val="001E5F0A"/>
    <w:rsid w:val="001E6CD0"/>
    <w:rsid w:val="001F0520"/>
    <w:rsid w:val="001F10DC"/>
    <w:rsid w:val="001F2A83"/>
    <w:rsid w:val="001F2B79"/>
    <w:rsid w:val="001F2D0B"/>
    <w:rsid w:val="001F3292"/>
    <w:rsid w:val="001F3399"/>
    <w:rsid w:val="001F3C2B"/>
    <w:rsid w:val="001F3FA7"/>
    <w:rsid w:val="001F44EA"/>
    <w:rsid w:val="001F4F58"/>
    <w:rsid w:val="001F5DAD"/>
    <w:rsid w:val="001F69DA"/>
    <w:rsid w:val="001F7487"/>
    <w:rsid w:val="0020042B"/>
    <w:rsid w:val="00200C18"/>
    <w:rsid w:val="002017EA"/>
    <w:rsid w:val="0020181D"/>
    <w:rsid w:val="00201899"/>
    <w:rsid w:val="00201BCB"/>
    <w:rsid w:val="00201D1D"/>
    <w:rsid w:val="00202E8C"/>
    <w:rsid w:val="00203BDF"/>
    <w:rsid w:val="00203F71"/>
    <w:rsid w:val="002050B4"/>
    <w:rsid w:val="00210C5B"/>
    <w:rsid w:val="00211B7C"/>
    <w:rsid w:val="00211D9D"/>
    <w:rsid w:val="00212627"/>
    <w:rsid w:val="002137F8"/>
    <w:rsid w:val="00213D45"/>
    <w:rsid w:val="00214319"/>
    <w:rsid w:val="0021442F"/>
    <w:rsid w:val="00214878"/>
    <w:rsid w:val="00214AB5"/>
    <w:rsid w:val="0021590E"/>
    <w:rsid w:val="00216C17"/>
    <w:rsid w:val="0021702C"/>
    <w:rsid w:val="00217E33"/>
    <w:rsid w:val="00220A8C"/>
    <w:rsid w:val="00221D4B"/>
    <w:rsid w:val="0022242B"/>
    <w:rsid w:val="002226E9"/>
    <w:rsid w:val="00222BFC"/>
    <w:rsid w:val="0022350A"/>
    <w:rsid w:val="00224AEB"/>
    <w:rsid w:val="00224DEF"/>
    <w:rsid w:val="00224ED3"/>
    <w:rsid w:val="00224F9D"/>
    <w:rsid w:val="0022513F"/>
    <w:rsid w:val="00225402"/>
    <w:rsid w:val="00225A1D"/>
    <w:rsid w:val="00225D98"/>
    <w:rsid w:val="00226E73"/>
    <w:rsid w:val="002272AF"/>
    <w:rsid w:val="00227326"/>
    <w:rsid w:val="0022749D"/>
    <w:rsid w:val="00227DEA"/>
    <w:rsid w:val="002323C4"/>
    <w:rsid w:val="0023250A"/>
    <w:rsid w:val="0023354C"/>
    <w:rsid w:val="002339C5"/>
    <w:rsid w:val="00234A13"/>
    <w:rsid w:val="00235C24"/>
    <w:rsid w:val="00236269"/>
    <w:rsid w:val="0023628F"/>
    <w:rsid w:val="002366F9"/>
    <w:rsid w:val="00236868"/>
    <w:rsid w:val="00237D11"/>
    <w:rsid w:val="0024095F"/>
    <w:rsid w:val="00240D97"/>
    <w:rsid w:val="00240EA4"/>
    <w:rsid w:val="00240EB3"/>
    <w:rsid w:val="002414D2"/>
    <w:rsid w:val="002415EB"/>
    <w:rsid w:val="00242254"/>
    <w:rsid w:val="002423F2"/>
    <w:rsid w:val="00242607"/>
    <w:rsid w:val="002445A0"/>
    <w:rsid w:val="002450A5"/>
    <w:rsid w:val="00245C9C"/>
    <w:rsid w:val="002471E7"/>
    <w:rsid w:val="002507A2"/>
    <w:rsid w:val="00250CF9"/>
    <w:rsid w:val="00250F39"/>
    <w:rsid w:val="00251D4A"/>
    <w:rsid w:val="0025261E"/>
    <w:rsid w:val="00252FD6"/>
    <w:rsid w:val="00253471"/>
    <w:rsid w:val="00253B91"/>
    <w:rsid w:val="00255CF9"/>
    <w:rsid w:val="0025659F"/>
    <w:rsid w:val="00256A81"/>
    <w:rsid w:val="00256BFA"/>
    <w:rsid w:val="00256D11"/>
    <w:rsid w:val="00256EA4"/>
    <w:rsid w:val="002577A3"/>
    <w:rsid w:val="00257E1D"/>
    <w:rsid w:val="0026190E"/>
    <w:rsid w:val="002637CF"/>
    <w:rsid w:val="00264766"/>
    <w:rsid w:val="00265169"/>
    <w:rsid w:val="00265686"/>
    <w:rsid w:val="0026639E"/>
    <w:rsid w:val="0026772E"/>
    <w:rsid w:val="00270377"/>
    <w:rsid w:val="002718FE"/>
    <w:rsid w:val="00271B64"/>
    <w:rsid w:val="00272258"/>
    <w:rsid w:val="00272412"/>
    <w:rsid w:val="00272580"/>
    <w:rsid w:val="00272861"/>
    <w:rsid w:val="002733D5"/>
    <w:rsid w:val="0027524A"/>
    <w:rsid w:val="002753FD"/>
    <w:rsid w:val="00275BBC"/>
    <w:rsid w:val="0027606D"/>
    <w:rsid w:val="002763E0"/>
    <w:rsid w:val="002765A3"/>
    <w:rsid w:val="002809AE"/>
    <w:rsid w:val="00280AAE"/>
    <w:rsid w:val="00280CF1"/>
    <w:rsid w:val="002821EA"/>
    <w:rsid w:val="00282DE3"/>
    <w:rsid w:val="00283212"/>
    <w:rsid w:val="0028337F"/>
    <w:rsid w:val="002838AB"/>
    <w:rsid w:val="00283BE5"/>
    <w:rsid w:val="002843DA"/>
    <w:rsid w:val="00285055"/>
    <w:rsid w:val="00285CE7"/>
    <w:rsid w:val="00286FCC"/>
    <w:rsid w:val="00287140"/>
    <w:rsid w:val="00287412"/>
    <w:rsid w:val="002900FB"/>
    <w:rsid w:val="00290D16"/>
    <w:rsid w:val="00291288"/>
    <w:rsid w:val="002914B2"/>
    <w:rsid w:val="00291E27"/>
    <w:rsid w:val="002926B9"/>
    <w:rsid w:val="00293507"/>
    <w:rsid w:val="002938C6"/>
    <w:rsid w:val="00294D93"/>
    <w:rsid w:val="00295AA5"/>
    <w:rsid w:val="00296360"/>
    <w:rsid w:val="002A072C"/>
    <w:rsid w:val="002A0832"/>
    <w:rsid w:val="002A1258"/>
    <w:rsid w:val="002A1AE7"/>
    <w:rsid w:val="002A2263"/>
    <w:rsid w:val="002A3A60"/>
    <w:rsid w:val="002A426E"/>
    <w:rsid w:val="002A4359"/>
    <w:rsid w:val="002A4B23"/>
    <w:rsid w:val="002A5104"/>
    <w:rsid w:val="002A5699"/>
    <w:rsid w:val="002A732F"/>
    <w:rsid w:val="002A76FD"/>
    <w:rsid w:val="002B042C"/>
    <w:rsid w:val="002B05A4"/>
    <w:rsid w:val="002B0C55"/>
    <w:rsid w:val="002B131D"/>
    <w:rsid w:val="002B1764"/>
    <w:rsid w:val="002B2388"/>
    <w:rsid w:val="002B2778"/>
    <w:rsid w:val="002B2ECD"/>
    <w:rsid w:val="002B36E9"/>
    <w:rsid w:val="002B479F"/>
    <w:rsid w:val="002B4DC3"/>
    <w:rsid w:val="002B6718"/>
    <w:rsid w:val="002B6A26"/>
    <w:rsid w:val="002C08F0"/>
    <w:rsid w:val="002C0A4A"/>
    <w:rsid w:val="002C13BE"/>
    <w:rsid w:val="002C192B"/>
    <w:rsid w:val="002C1C71"/>
    <w:rsid w:val="002C1ED3"/>
    <w:rsid w:val="002C2DC6"/>
    <w:rsid w:val="002C34B8"/>
    <w:rsid w:val="002C3D55"/>
    <w:rsid w:val="002C4E60"/>
    <w:rsid w:val="002C5B5F"/>
    <w:rsid w:val="002C6A34"/>
    <w:rsid w:val="002C7465"/>
    <w:rsid w:val="002D010C"/>
    <w:rsid w:val="002D06DC"/>
    <w:rsid w:val="002D178E"/>
    <w:rsid w:val="002D1AA5"/>
    <w:rsid w:val="002D1EE1"/>
    <w:rsid w:val="002D203A"/>
    <w:rsid w:val="002D2497"/>
    <w:rsid w:val="002D3358"/>
    <w:rsid w:val="002D5844"/>
    <w:rsid w:val="002D5B96"/>
    <w:rsid w:val="002D67A7"/>
    <w:rsid w:val="002D7CBB"/>
    <w:rsid w:val="002D7D87"/>
    <w:rsid w:val="002E08F2"/>
    <w:rsid w:val="002E19D2"/>
    <w:rsid w:val="002E2091"/>
    <w:rsid w:val="002E24CA"/>
    <w:rsid w:val="002E27A9"/>
    <w:rsid w:val="002E332A"/>
    <w:rsid w:val="002E3573"/>
    <w:rsid w:val="002E3B8A"/>
    <w:rsid w:val="002E3FFB"/>
    <w:rsid w:val="002E45A1"/>
    <w:rsid w:val="002E4701"/>
    <w:rsid w:val="002E4D7E"/>
    <w:rsid w:val="002E5781"/>
    <w:rsid w:val="002E5964"/>
    <w:rsid w:val="002E6BC1"/>
    <w:rsid w:val="002E6FAF"/>
    <w:rsid w:val="002E7177"/>
    <w:rsid w:val="002F0474"/>
    <w:rsid w:val="002F0BFA"/>
    <w:rsid w:val="002F14CE"/>
    <w:rsid w:val="002F1935"/>
    <w:rsid w:val="002F22B6"/>
    <w:rsid w:val="002F24DB"/>
    <w:rsid w:val="002F2B5D"/>
    <w:rsid w:val="002F2BEC"/>
    <w:rsid w:val="002F2E7E"/>
    <w:rsid w:val="002F31EA"/>
    <w:rsid w:val="002F3D7A"/>
    <w:rsid w:val="002F4956"/>
    <w:rsid w:val="002F5550"/>
    <w:rsid w:val="002F57D5"/>
    <w:rsid w:val="002F6357"/>
    <w:rsid w:val="002F63B3"/>
    <w:rsid w:val="002F6474"/>
    <w:rsid w:val="002F65D2"/>
    <w:rsid w:val="002F795A"/>
    <w:rsid w:val="00301817"/>
    <w:rsid w:val="003028BE"/>
    <w:rsid w:val="00302B58"/>
    <w:rsid w:val="00303766"/>
    <w:rsid w:val="003039AA"/>
    <w:rsid w:val="003056C0"/>
    <w:rsid w:val="00305A31"/>
    <w:rsid w:val="00305DA9"/>
    <w:rsid w:val="00305F06"/>
    <w:rsid w:val="003062E8"/>
    <w:rsid w:val="0030653E"/>
    <w:rsid w:val="003067AE"/>
    <w:rsid w:val="00306D29"/>
    <w:rsid w:val="00306DC7"/>
    <w:rsid w:val="003073D8"/>
    <w:rsid w:val="0030745D"/>
    <w:rsid w:val="003077B3"/>
    <w:rsid w:val="0031042D"/>
    <w:rsid w:val="00310EF0"/>
    <w:rsid w:val="00311081"/>
    <w:rsid w:val="00314364"/>
    <w:rsid w:val="0031598D"/>
    <w:rsid w:val="00315EA9"/>
    <w:rsid w:val="0031659E"/>
    <w:rsid w:val="0032101A"/>
    <w:rsid w:val="00321381"/>
    <w:rsid w:val="0032162A"/>
    <w:rsid w:val="00321E1E"/>
    <w:rsid w:val="00321FB6"/>
    <w:rsid w:val="00321FDC"/>
    <w:rsid w:val="0032238A"/>
    <w:rsid w:val="003224E2"/>
    <w:rsid w:val="00322CFA"/>
    <w:rsid w:val="00323D24"/>
    <w:rsid w:val="00325C9A"/>
    <w:rsid w:val="0032672A"/>
    <w:rsid w:val="00326984"/>
    <w:rsid w:val="00330EA3"/>
    <w:rsid w:val="003315E2"/>
    <w:rsid w:val="003317AC"/>
    <w:rsid w:val="00331B58"/>
    <w:rsid w:val="003322BF"/>
    <w:rsid w:val="00332EDE"/>
    <w:rsid w:val="00333F86"/>
    <w:rsid w:val="00334C36"/>
    <w:rsid w:val="00334CB2"/>
    <w:rsid w:val="00334DC5"/>
    <w:rsid w:val="003358FD"/>
    <w:rsid w:val="00335F75"/>
    <w:rsid w:val="00336AED"/>
    <w:rsid w:val="00337477"/>
    <w:rsid w:val="0034068C"/>
    <w:rsid w:val="003408EB"/>
    <w:rsid w:val="0034131B"/>
    <w:rsid w:val="00342407"/>
    <w:rsid w:val="003427CA"/>
    <w:rsid w:val="00342A5F"/>
    <w:rsid w:val="00342FDF"/>
    <w:rsid w:val="0034517E"/>
    <w:rsid w:val="00345263"/>
    <w:rsid w:val="00345728"/>
    <w:rsid w:val="0034587C"/>
    <w:rsid w:val="00346DE3"/>
    <w:rsid w:val="00347EC5"/>
    <w:rsid w:val="00347FC6"/>
    <w:rsid w:val="00350016"/>
    <w:rsid w:val="00350D7C"/>
    <w:rsid w:val="00351D7D"/>
    <w:rsid w:val="00351F7D"/>
    <w:rsid w:val="003522B8"/>
    <w:rsid w:val="003535E9"/>
    <w:rsid w:val="003537D0"/>
    <w:rsid w:val="003538AA"/>
    <w:rsid w:val="00354720"/>
    <w:rsid w:val="003551D0"/>
    <w:rsid w:val="00355BEA"/>
    <w:rsid w:val="003561AE"/>
    <w:rsid w:val="003564B8"/>
    <w:rsid w:val="00356633"/>
    <w:rsid w:val="0035694A"/>
    <w:rsid w:val="00356C72"/>
    <w:rsid w:val="00356E02"/>
    <w:rsid w:val="00361C5B"/>
    <w:rsid w:val="0036228A"/>
    <w:rsid w:val="00362C63"/>
    <w:rsid w:val="00362EFD"/>
    <w:rsid w:val="003659B2"/>
    <w:rsid w:val="00365D15"/>
    <w:rsid w:val="003667AC"/>
    <w:rsid w:val="003676B6"/>
    <w:rsid w:val="00367B80"/>
    <w:rsid w:val="003717B6"/>
    <w:rsid w:val="003721F0"/>
    <w:rsid w:val="003725FF"/>
    <w:rsid w:val="00372A28"/>
    <w:rsid w:val="00372ADC"/>
    <w:rsid w:val="00372F4D"/>
    <w:rsid w:val="00373329"/>
    <w:rsid w:val="00373F05"/>
    <w:rsid w:val="0037511D"/>
    <w:rsid w:val="003755CE"/>
    <w:rsid w:val="00375DEB"/>
    <w:rsid w:val="003769C5"/>
    <w:rsid w:val="00376C24"/>
    <w:rsid w:val="003771F0"/>
    <w:rsid w:val="00377389"/>
    <w:rsid w:val="00380034"/>
    <w:rsid w:val="0038003F"/>
    <w:rsid w:val="0038040D"/>
    <w:rsid w:val="00382D2A"/>
    <w:rsid w:val="00382E86"/>
    <w:rsid w:val="0038327F"/>
    <w:rsid w:val="0038436D"/>
    <w:rsid w:val="00385606"/>
    <w:rsid w:val="003904FC"/>
    <w:rsid w:val="003906B8"/>
    <w:rsid w:val="003915C7"/>
    <w:rsid w:val="00391CBC"/>
    <w:rsid w:val="00392DF0"/>
    <w:rsid w:val="00393754"/>
    <w:rsid w:val="00393D36"/>
    <w:rsid w:val="0039416E"/>
    <w:rsid w:val="00394C94"/>
    <w:rsid w:val="003951A6"/>
    <w:rsid w:val="0039534D"/>
    <w:rsid w:val="003959C9"/>
    <w:rsid w:val="00396C85"/>
    <w:rsid w:val="00396CC5"/>
    <w:rsid w:val="00396FC3"/>
    <w:rsid w:val="0039731D"/>
    <w:rsid w:val="0039746F"/>
    <w:rsid w:val="003A0136"/>
    <w:rsid w:val="003A0628"/>
    <w:rsid w:val="003A0AD0"/>
    <w:rsid w:val="003A1147"/>
    <w:rsid w:val="003A16AD"/>
    <w:rsid w:val="003A22DD"/>
    <w:rsid w:val="003A2C33"/>
    <w:rsid w:val="003A306F"/>
    <w:rsid w:val="003A32DC"/>
    <w:rsid w:val="003A3633"/>
    <w:rsid w:val="003A3706"/>
    <w:rsid w:val="003A3BAD"/>
    <w:rsid w:val="003A3FCE"/>
    <w:rsid w:val="003A4391"/>
    <w:rsid w:val="003A584C"/>
    <w:rsid w:val="003A589E"/>
    <w:rsid w:val="003A61D6"/>
    <w:rsid w:val="003A6E7E"/>
    <w:rsid w:val="003A7292"/>
    <w:rsid w:val="003A77D3"/>
    <w:rsid w:val="003B0760"/>
    <w:rsid w:val="003B0AF1"/>
    <w:rsid w:val="003B0C32"/>
    <w:rsid w:val="003B22EC"/>
    <w:rsid w:val="003B23FA"/>
    <w:rsid w:val="003B2DBF"/>
    <w:rsid w:val="003B3946"/>
    <w:rsid w:val="003B5379"/>
    <w:rsid w:val="003B61B3"/>
    <w:rsid w:val="003B6254"/>
    <w:rsid w:val="003B79BA"/>
    <w:rsid w:val="003B7FB1"/>
    <w:rsid w:val="003C25F7"/>
    <w:rsid w:val="003C27A4"/>
    <w:rsid w:val="003C4749"/>
    <w:rsid w:val="003C4ECE"/>
    <w:rsid w:val="003C737C"/>
    <w:rsid w:val="003C7D25"/>
    <w:rsid w:val="003D015D"/>
    <w:rsid w:val="003D028D"/>
    <w:rsid w:val="003D0B2F"/>
    <w:rsid w:val="003D0E01"/>
    <w:rsid w:val="003D118E"/>
    <w:rsid w:val="003D150E"/>
    <w:rsid w:val="003D1689"/>
    <w:rsid w:val="003D3ABB"/>
    <w:rsid w:val="003D4C1C"/>
    <w:rsid w:val="003D642E"/>
    <w:rsid w:val="003D6FD6"/>
    <w:rsid w:val="003D7912"/>
    <w:rsid w:val="003D7EF9"/>
    <w:rsid w:val="003E03AA"/>
    <w:rsid w:val="003E08C8"/>
    <w:rsid w:val="003E0B0C"/>
    <w:rsid w:val="003E14EE"/>
    <w:rsid w:val="003E1D45"/>
    <w:rsid w:val="003E2414"/>
    <w:rsid w:val="003E26AD"/>
    <w:rsid w:val="003E3108"/>
    <w:rsid w:val="003E40D6"/>
    <w:rsid w:val="003E5D15"/>
    <w:rsid w:val="003E673A"/>
    <w:rsid w:val="003E6AB1"/>
    <w:rsid w:val="003E6EFA"/>
    <w:rsid w:val="003E713E"/>
    <w:rsid w:val="003E744E"/>
    <w:rsid w:val="003F005F"/>
    <w:rsid w:val="003F0167"/>
    <w:rsid w:val="003F03C4"/>
    <w:rsid w:val="003F08AB"/>
    <w:rsid w:val="003F0B44"/>
    <w:rsid w:val="003F13CC"/>
    <w:rsid w:val="003F1808"/>
    <w:rsid w:val="003F236D"/>
    <w:rsid w:val="003F2601"/>
    <w:rsid w:val="003F28B9"/>
    <w:rsid w:val="003F3050"/>
    <w:rsid w:val="003F3A1E"/>
    <w:rsid w:val="003F3AA4"/>
    <w:rsid w:val="003F40C7"/>
    <w:rsid w:val="003F502A"/>
    <w:rsid w:val="003F680D"/>
    <w:rsid w:val="003F68FA"/>
    <w:rsid w:val="003F6C5C"/>
    <w:rsid w:val="00400DC6"/>
    <w:rsid w:val="004017BD"/>
    <w:rsid w:val="004019C5"/>
    <w:rsid w:val="00401F92"/>
    <w:rsid w:val="0040225E"/>
    <w:rsid w:val="00403D65"/>
    <w:rsid w:val="00403F5C"/>
    <w:rsid w:val="00404183"/>
    <w:rsid w:val="004048FF"/>
    <w:rsid w:val="004049B6"/>
    <w:rsid w:val="004052CA"/>
    <w:rsid w:val="004057D2"/>
    <w:rsid w:val="00405B83"/>
    <w:rsid w:val="00405EC1"/>
    <w:rsid w:val="004065D2"/>
    <w:rsid w:val="00407327"/>
    <w:rsid w:val="0040735F"/>
    <w:rsid w:val="004077B5"/>
    <w:rsid w:val="0041188E"/>
    <w:rsid w:val="00412421"/>
    <w:rsid w:val="004126A2"/>
    <w:rsid w:val="00412E74"/>
    <w:rsid w:val="00412ECD"/>
    <w:rsid w:val="00413375"/>
    <w:rsid w:val="00413BC8"/>
    <w:rsid w:val="00413D55"/>
    <w:rsid w:val="00413F85"/>
    <w:rsid w:val="00415D69"/>
    <w:rsid w:val="00415E20"/>
    <w:rsid w:val="00415F96"/>
    <w:rsid w:val="00416066"/>
    <w:rsid w:val="004164F0"/>
    <w:rsid w:val="0041654F"/>
    <w:rsid w:val="00416BA8"/>
    <w:rsid w:val="00416C26"/>
    <w:rsid w:val="0041758A"/>
    <w:rsid w:val="00421C81"/>
    <w:rsid w:val="00422A9D"/>
    <w:rsid w:val="00423288"/>
    <w:rsid w:val="00423E37"/>
    <w:rsid w:val="00425900"/>
    <w:rsid w:val="0042617F"/>
    <w:rsid w:val="004263AB"/>
    <w:rsid w:val="004266DF"/>
    <w:rsid w:val="00427089"/>
    <w:rsid w:val="0043003E"/>
    <w:rsid w:val="004316F0"/>
    <w:rsid w:val="00432202"/>
    <w:rsid w:val="004322E6"/>
    <w:rsid w:val="00432EFC"/>
    <w:rsid w:val="00433579"/>
    <w:rsid w:val="004337D3"/>
    <w:rsid w:val="00434D56"/>
    <w:rsid w:val="0043515B"/>
    <w:rsid w:val="00435A52"/>
    <w:rsid w:val="00435C04"/>
    <w:rsid w:val="00436071"/>
    <w:rsid w:val="00436721"/>
    <w:rsid w:val="00436EA9"/>
    <w:rsid w:val="00437949"/>
    <w:rsid w:val="00437C13"/>
    <w:rsid w:val="004408FC"/>
    <w:rsid w:val="00440BF2"/>
    <w:rsid w:val="00442742"/>
    <w:rsid w:val="004428A9"/>
    <w:rsid w:val="00444360"/>
    <w:rsid w:val="00444B05"/>
    <w:rsid w:val="00445305"/>
    <w:rsid w:val="0044626E"/>
    <w:rsid w:val="0044687C"/>
    <w:rsid w:val="0044719F"/>
    <w:rsid w:val="00450277"/>
    <w:rsid w:val="004507CC"/>
    <w:rsid w:val="004507EA"/>
    <w:rsid w:val="00451344"/>
    <w:rsid w:val="00451608"/>
    <w:rsid w:val="00452CE1"/>
    <w:rsid w:val="004530A5"/>
    <w:rsid w:val="00453B6A"/>
    <w:rsid w:val="00453F78"/>
    <w:rsid w:val="0045414A"/>
    <w:rsid w:val="00454C3D"/>
    <w:rsid w:val="00455813"/>
    <w:rsid w:val="004560C8"/>
    <w:rsid w:val="00456B19"/>
    <w:rsid w:val="004607DB"/>
    <w:rsid w:val="00461A80"/>
    <w:rsid w:val="0046384C"/>
    <w:rsid w:val="00463987"/>
    <w:rsid w:val="00463EAA"/>
    <w:rsid w:val="004640E3"/>
    <w:rsid w:val="0046422D"/>
    <w:rsid w:val="004647AB"/>
    <w:rsid w:val="004647AD"/>
    <w:rsid w:val="00464D40"/>
    <w:rsid w:val="00465551"/>
    <w:rsid w:val="004664BD"/>
    <w:rsid w:val="00466FB1"/>
    <w:rsid w:val="00467833"/>
    <w:rsid w:val="004678A7"/>
    <w:rsid w:val="00467B38"/>
    <w:rsid w:val="00467C51"/>
    <w:rsid w:val="004700BD"/>
    <w:rsid w:val="00470599"/>
    <w:rsid w:val="004706B2"/>
    <w:rsid w:val="004707ED"/>
    <w:rsid w:val="00470D8F"/>
    <w:rsid w:val="00470DE4"/>
    <w:rsid w:val="004714A5"/>
    <w:rsid w:val="00471EC0"/>
    <w:rsid w:val="004721F1"/>
    <w:rsid w:val="0047248F"/>
    <w:rsid w:val="00472498"/>
    <w:rsid w:val="00472653"/>
    <w:rsid w:val="00473475"/>
    <w:rsid w:val="00474635"/>
    <w:rsid w:val="004753AF"/>
    <w:rsid w:val="0047543A"/>
    <w:rsid w:val="004757D6"/>
    <w:rsid w:val="0047593E"/>
    <w:rsid w:val="00476AB0"/>
    <w:rsid w:val="00476C64"/>
    <w:rsid w:val="00477B62"/>
    <w:rsid w:val="004805F8"/>
    <w:rsid w:val="004805FC"/>
    <w:rsid w:val="004817BF"/>
    <w:rsid w:val="004831EE"/>
    <w:rsid w:val="00484466"/>
    <w:rsid w:val="00484F24"/>
    <w:rsid w:val="00485677"/>
    <w:rsid w:val="004858EE"/>
    <w:rsid w:val="00486216"/>
    <w:rsid w:val="00487363"/>
    <w:rsid w:val="00487A58"/>
    <w:rsid w:val="00490AEE"/>
    <w:rsid w:val="00491299"/>
    <w:rsid w:val="004927DB"/>
    <w:rsid w:val="00492EFA"/>
    <w:rsid w:val="00493299"/>
    <w:rsid w:val="00493C37"/>
    <w:rsid w:val="004949A2"/>
    <w:rsid w:val="00494D75"/>
    <w:rsid w:val="00495491"/>
    <w:rsid w:val="00495E7C"/>
    <w:rsid w:val="0049610C"/>
    <w:rsid w:val="004967A0"/>
    <w:rsid w:val="00496CE9"/>
    <w:rsid w:val="00496D38"/>
    <w:rsid w:val="00496EC8"/>
    <w:rsid w:val="00496F8E"/>
    <w:rsid w:val="00497B0A"/>
    <w:rsid w:val="004A01D1"/>
    <w:rsid w:val="004A0E20"/>
    <w:rsid w:val="004A16B5"/>
    <w:rsid w:val="004A35A6"/>
    <w:rsid w:val="004A3657"/>
    <w:rsid w:val="004A3A6B"/>
    <w:rsid w:val="004A4080"/>
    <w:rsid w:val="004A4823"/>
    <w:rsid w:val="004A4A9F"/>
    <w:rsid w:val="004A603E"/>
    <w:rsid w:val="004A682C"/>
    <w:rsid w:val="004A683A"/>
    <w:rsid w:val="004A77FF"/>
    <w:rsid w:val="004B0B3E"/>
    <w:rsid w:val="004B1AAD"/>
    <w:rsid w:val="004B2A40"/>
    <w:rsid w:val="004B3607"/>
    <w:rsid w:val="004B6EFE"/>
    <w:rsid w:val="004B777D"/>
    <w:rsid w:val="004B778A"/>
    <w:rsid w:val="004B78E9"/>
    <w:rsid w:val="004B7B68"/>
    <w:rsid w:val="004B7F93"/>
    <w:rsid w:val="004C07D2"/>
    <w:rsid w:val="004C105B"/>
    <w:rsid w:val="004C1537"/>
    <w:rsid w:val="004C1C41"/>
    <w:rsid w:val="004C2388"/>
    <w:rsid w:val="004C25E8"/>
    <w:rsid w:val="004C292E"/>
    <w:rsid w:val="004C358C"/>
    <w:rsid w:val="004C4707"/>
    <w:rsid w:val="004C5226"/>
    <w:rsid w:val="004C5598"/>
    <w:rsid w:val="004C603A"/>
    <w:rsid w:val="004C68FB"/>
    <w:rsid w:val="004C74D2"/>
    <w:rsid w:val="004C778B"/>
    <w:rsid w:val="004D29C9"/>
    <w:rsid w:val="004D317E"/>
    <w:rsid w:val="004D3BA0"/>
    <w:rsid w:val="004D3CCD"/>
    <w:rsid w:val="004D3D26"/>
    <w:rsid w:val="004D423F"/>
    <w:rsid w:val="004D4A15"/>
    <w:rsid w:val="004D53C2"/>
    <w:rsid w:val="004D6101"/>
    <w:rsid w:val="004D6459"/>
    <w:rsid w:val="004D6F73"/>
    <w:rsid w:val="004D727C"/>
    <w:rsid w:val="004E0286"/>
    <w:rsid w:val="004E0662"/>
    <w:rsid w:val="004E0723"/>
    <w:rsid w:val="004E102B"/>
    <w:rsid w:val="004E112E"/>
    <w:rsid w:val="004E1570"/>
    <w:rsid w:val="004E1964"/>
    <w:rsid w:val="004E1F1B"/>
    <w:rsid w:val="004E23CC"/>
    <w:rsid w:val="004E28A5"/>
    <w:rsid w:val="004E489E"/>
    <w:rsid w:val="004E51A9"/>
    <w:rsid w:val="004E52F3"/>
    <w:rsid w:val="004E5C77"/>
    <w:rsid w:val="004E6432"/>
    <w:rsid w:val="004E67D0"/>
    <w:rsid w:val="004E6D16"/>
    <w:rsid w:val="004E6FE2"/>
    <w:rsid w:val="004F0639"/>
    <w:rsid w:val="004F0D96"/>
    <w:rsid w:val="004F0FFA"/>
    <w:rsid w:val="004F2483"/>
    <w:rsid w:val="004F25B6"/>
    <w:rsid w:val="004F2CD0"/>
    <w:rsid w:val="004F33B2"/>
    <w:rsid w:val="004F38FD"/>
    <w:rsid w:val="004F419A"/>
    <w:rsid w:val="004F6AC2"/>
    <w:rsid w:val="004F73B4"/>
    <w:rsid w:val="004F7C65"/>
    <w:rsid w:val="00500231"/>
    <w:rsid w:val="005003AF"/>
    <w:rsid w:val="005005D6"/>
    <w:rsid w:val="00501665"/>
    <w:rsid w:val="00502480"/>
    <w:rsid w:val="00502DAA"/>
    <w:rsid w:val="00502F54"/>
    <w:rsid w:val="00503D4A"/>
    <w:rsid w:val="0050537C"/>
    <w:rsid w:val="00505FB0"/>
    <w:rsid w:val="00506332"/>
    <w:rsid w:val="005070CD"/>
    <w:rsid w:val="00507592"/>
    <w:rsid w:val="00507F6B"/>
    <w:rsid w:val="005113ED"/>
    <w:rsid w:val="00511610"/>
    <w:rsid w:val="0051182B"/>
    <w:rsid w:val="00511848"/>
    <w:rsid w:val="00511AF4"/>
    <w:rsid w:val="00512FAD"/>
    <w:rsid w:val="00513410"/>
    <w:rsid w:val="00513A43"/>
    <w:rsid w:val="0051589A"/>
    <w:rsid w:val="00515FAA"/>
    <w:rsid w:val="005168F5"/>
    <w:rsid w:val="00517152"/>
    <w:rsid w:val="00521EB3"/>
    <w:rsid w:val="00522B67"/>
    <w:rsid w:val="00524146"/>
    <w:rsid w:val="005243A9"/>
    <w:rsid w:val="005243EB"/>
    <w:rsid w:val="005244A9"/>
    <w:rsid w:val="00524636"/>
    <w:rsid w:val="005253F0"/>
    <w:rsid w:val="00525913"/>
    <w:rsid w:val="00525A58"/>
    <w:rsid w:val="0052646E"/>
    <w:rsid w:val="005266CD"/>
    <w:rsid w:val="005267BC"/>
    <w:rsid w:val="005268E3"/>
    <w:rsid w:val="00526F03"/>
    <w:rsid w:val="0052738F"/>
    <w:rsid w:val="00530356"/>
    <w:rsid w:val="005305A8"/>
    <w:rsid w:val="00530E8C"/>
    <w:rsid w:val="00531BDF"/>
    <w:rsid w:val="00532A5D"/>
    <w:rsid w:val="005335CD"/>
    <w:rsid w:val="0053380A"/>
    <w:rsid w:val="00533A51"/>
    <w:rsid w:val="00534087"/>
    <w:rsid w:val="00535656"/>
    <w:rsid w:val="00535B7B"/>
    <w:rsid w:val="00535DD8"/>
    <w:rsid w:val="0053627D"/>
    <w:rsid w:val="005366E2"/>
    <w:rsid w:val="005366FD"/>
    <w:rsid w:val="00536F95"/>
    <w:rsid w:val="00537367"/>
    <w:rsid w:val="005373F1"/>
    <w:rsid w:val="0053763D"/>
    <w:rsid w:val="00540100"/>
    <w:rsid w:val="005408AE"/>
    <w:rsid w:val="00540B0C"/>
    <w:rsid w:val="005413FA"/>
    <w:rsid w:val="00541A61"/>
    <w:rsid w:val="00542108"/>
    <w:rsid w:val="0054231D"/>
    <w:rsid w:val="005426D3"/>
    <w:rsid w:val="00542AAA"/>
    <w:rsid w:val="00542AF0"/>
    <w:rsid w:val="00543D5E"/>
    <w:rsid w:val="005448BD"/>
    <w:rsid w:val="0054627F"/>
    <w:rsid w:val="00546DE9"/>
    <w:rsid w:val="00547668"/>
    <w:rsid w:val="00550E9D"/>
    <w:rsid w:val="0055164B"/>
    <w:rsid w:val="00552284"/>
    <w:rsid w:val="0055353F"/>
    <w:rsid w:val="005535B4"/>
    <w:rsid w:val="00554DF3"/>
    <w:rsid w:val="00555844"/>
    <w:rsid w:val="00556470"/>
    <w:rsid w:val="005600B4"/>
    <w:rsid w:val="00560486"/>
    <w:rsid w:val="00560DAD"/>
    <w:rsid w:val="00561A97"/>
    <w:rsid w:val="005624D5"/>
    <w:rsid w:val="00562637"/>
    <w:rsid w:val="00562F1B"/>
    <w:rsid w:val="0056339B"/>
    <w:rsid w:val="00563618"/>
    <w:rsid w:val="00563761"/>
    <w:rsid w:val="00563767"/>
    <w:rsid w:val="00564044"/>
    <w:rsid w:val="00564D18"/>
    <w:rsid w:val="00565499"/>
    <w:rsid w:val="005655A8"/>
    <w:rsid w:val="005657D6"/>
    <w:rsid w:val="00566F53"/>
    <w:rsid w:val="00570379"/>
    <w:rsid w:val="00570603"/>
    <w:rsid w:val="0057139D"/>
    <w:rsid w:val="0057172A"/>
    <w:rsid w:val="00571C0B"/>
    <w:rsid w:val="0057235A"/>
    <w:rsid w:val="00572489"/>
    <w:rsid w:val="00573367"/>
    <w:rsid w:val="00573E23"/>
    <w:rsid w:val="00574109"/>
    <w:rsid w:val="00574202"/>
    <w:rsid w:val="00574A3E"/>
    <w:rsid w:val="005753D2"/>
    <w:rsid w:val="00575840"/>
    <w:rsid w:val="00575B12"/>
    <w:rsid w:val="0057680B"/>
    <w:rsid w:val="00576A99"/>
    <w:rsid w:val="0057708F"/>
    <w:rsid w:val="0058020A"/>
    <w:rsid w:val="0058058E"/>
    <w:rsid w:val="00580AF9"/>
    <w:rsid w:val="00580F25"/>
    <w:rsid w:val="00581BD7"/>
    <w:rsid w:val="005822DB"/>
    <w:rsid w:val="0058234F"/>
    <w:rsid w:val="00582776"/>
    <w:rsid w:val="005828B5"/>
    <w:rsid w:val="00582E91"/>
    <w:rsid w:val="00583319"/>
    <w:rsid w:val="00583513"/>
    <w:rsid w:val="0058383B"/>
    <w:rsid w:val="005838AB"/>
    <w:rsid w:val="00583A03"/>
    <w:rsid w:val="00583F90"/>
    <w:rsid w:val="00585035"/>
    <w:rsid w:val="005869BC"/>
    <w:rsid w:val="00586AC1"/>
    <w:rsid w:val="00587A31"/>
    <w:rsid w:val="00587C76"/>
    <w:rsid w:val="00590281"/>
    <w:rsid w:val="005908BF"/>
    <w:rsid w:val="00592322"/>
    <w:rsid w:val="0059235B"/>
    <w:rsid w:val="0059294C"/>
    <w:rsid w:val="00593732"/>
    <w:rsid w:val="00593ACD"/>
    <w:rsid w:val="0059467E"/>
    <w:rsid w:val="005948B6"/>
    <w:rsid w:val="00594A63"/>
    <w:rsid w:val="00595952"/>
    <w:rsid w:val="00596839"/>
    <w:rsid w:val="00596EEA"/>
    <w:rsid w:val="00597922"/>
    <w:rsid w:val="005A02AA"/>
    <w:rsid w:val="005A0636"/>
    <w:rsid w:val="005A0B38"/>
    <w:rsid w:val="005A13E6"/>
    <w:rsid w:val="005A1CA8"/>
    <w:rsid w:val="005A24B6"/>
    <w:rsid w:val="005A2864"/>
    <w:rsid w:val="005A36AA"/>
    <w:rsid w:val="005A406C"/>
    <w:rsid w:val="005A4FE9"/>
    <w:rsid w:val="005A5E48"/>
    <w:rsid w:val="005A6BA2"/>
    <w:rsid w:val="005A7286"/>
    <w:rsid w:val="005A75C7"/>
    <w:rsid w:val="005B1AA2"/>
    <w:rsid w:val="005B1C3F"/>
    <w:rsid w:val="005B2A86"/>
    <w:rsid w:val="005B2DA2"/>
    <w:rsid w:val="005B2EF5"/>
    <w:rsid w:val="005B30AA"/>
    <w:rsid w:val="005B3561"/>
    <w:rsid w:val="005B4203"/>
    <w:rsid w:val="005B5765"/>
    <w:rsid w:val="005B713A"/>
    <w:rsid w:val="005B7A31"/>
    <w:rsid w:val="005C01E7"/>
    <w:rsid w:val="005C05B6"/>
    <w:rsid w:val="005C06EC"/>
    <w:rsid w:val="005C089B"/>
    <w:rsid w:val="005C1C7F"/>
    <w:rsid w:val="005C1F40"/>
    <w:rsid w:val="005C213E"/>
    <w:rsid w:val="005C286D"/>
    <w:rsid w:val="005C2A54"/>
    <w:rsid w:val="005C3478"/>
    <w:rsid w:val="005C4414"/>
    <w:rsid w:val="005C5407"/>
    <w:rsid w:val="005C5713"/>
    <w:rsid w:val="005C595C"/>
    <w:rsid w:val="005C6036"/>
    <w:rsid w:val="005C61E1"/>
    <w:rsid w:val="005C76F0"/>
    <w:rsid w:val="005C7D11"/>
    <w:rsid w:val="005D1A4C"/>
    <w:rsid w:val="005D3507"/>
    <w:rsid w:val="005D3736"/>
    <w:rsid w:val="005D3A3C"/>
    <w:rsid w:val="005D4A90"/>
    <w:rsid w:val="005D4E81"/>
    <w:rsid w:val="005D5136"/>
    <w:rsid w:val="005D5810"/>
    <w:rsid w:val="005D5837"/>
    <w:rsid w:val="005D5A17"/>
    <w:rsid w:val="005D5FA9"/>
    <w:rsid w:val="005D65A4"/>
    <w:rsid w:val="005D6818"/>
    <w:rsid w:val="005D6FED"/>
    <w:rsid w:val="005D7356"/>
    <w:rsid w:val="005D758E"/>
    <w:rsid w:val="005D76FA"/>
    <w:rsid w:val="005D7729"/>
    <w:rsid w:val="005E271F"/>
    <w:rsid w:val="005E3722"/>
    <w:rsid w:val="005E3DEA"/>
    <w:rsid w:val="005E4075"/>
    <w:rsid w:val="005E4221"/>
    <w:rsid w:val="005E4AF9"/>
    <w:rsid w:val="005E4D45"/>
    <w:rsid w:val="005E5E1F"/>
    <w:rsid w:val="005E627E"/>
    <w:rsid w:val="005E6997"/>
    <w:rsid w:val="005E69F8"/>
    <w:rsid w:val="005E6B39"/>
    <w:rsid w:val="005E6EC1"/>
    <w:rsid w:val="005E7510"/>
    <w:rsid w:val="005F0100"/>
    <w:rsid w:val="005F1102"/>
    <w:rsid w:val="005F1105"/>
    <w:rsid w:val="005F15E8"/>
    <w:rsid w:val="005F18DC"/>
    <w:rsid w:val="005F18E4"/>
    <w:rsid w:val="005F226E"/>
    <w:rsid w:val="005F27D8"/>
    <w:rsid w:val="005F28F5"/>
    <w:rsid w:val="005F3E36"/>
    <w:rsid w:val="005F4517"/>
    <w:rsid w:val="005F4835"/>
    <w:rsid w:val="005F4872"/>
    <w:rsid w:val="005F4ACE"/>
    <w:rsid w:val="005F5249"/>
    <w:rsid w:val="005F6158"/>
    <w:rsid w:val="00600208"/>
    <w:rsid w:val="00600B23"/>
    <w:rsid w:val="00601400"/>
    <w:rsid w:val="00601401"/>
    <w:rsid w:val="006018DD"/>
    <w:rsid w:val="0060214D"/>
    <w:rsid w:val="0060243A"/>
    <w:rsid w:val="0060288E"/>
    <w:rsid w:val="00602C2B"/>
    <w:rsid w:val="00602FE1"/>
    <w:rsid w:val="0060336F"/>
    <w:rsid w:val="00603D63"/>
    <w:rsid w:val="0060407F"/>
    <w:rsid w:val="00604738"/>
    <w:rsid w:val="00605143"/>
    <w:rsid w:val="00606376"/>
    <w:rsid w:val="006075C9"/>
    <w:rsid w:val="006105F2"/>
    <w:rsid w:val="006109EF"/>
    <w:rsid w:val="006133FF"/>
    <w:rsid w:val="0061372A"/>
    <w:rsid w:val="00613D29"/>
    <w:rsid w:val="006141D7"/>
    <w:rsid w:val="00614334"/>
    <w:rsid w:val="0061534A"/>
    <w:rsid w:val="006153D7"/>
    <w:rsid w:val="0061579A"/>
    <w:rsid w:val="0061599C"/>
    <w:rsid w:val="00615C6D"/>
    <w:rsid w:val="0061658A"/>
    <w:rsid w:val="00616BA8"/>
    <w:rsid w:val="0061776A"/>
    <w:rsid w:val="00617792"/>
    <w:rsid w:val="006179A2"/>
    <w:rsid w:val="00621AF7"/>
    <w:rsid w:val="00624343"/>
    <w:rsid w:val="006254ED"/>
    <w:rsid w:val="00625C92"/>
    <w:rsid w:val="00626622"/>
    <w:rsid w:val="006269C9"/>
    <w:rsid w:val="00626E24"/>
    <w:rsid w:val="00630197"/>
    <w:rsid w:val="006301C5"/>
    <w:rsid w:val="00630816"/>
    <w:rsid w:val="00632652"/>
    <w:rsid w:val="00632D47"/>
    <w:rsid w:val="00633EA6"/>
    <w:rsid w:val="0063428E"/>
    <w:rsid w:val="006345B3"/>
    <w:rsid w:val="0063483F"/>
    <w:rsid w:val="00634B35"/>
    <w:rsid w:val="00634B42"/>
    <w:rsid w:val="00636FC2"/>
    <w:rsid w:val="00637458"/>
    <w:rsid w:val="0064048F"/>
    <w:rsid w:val="00640556"/>
    <w:rsid w:val="00641024"/>
    <w:rsid w:val="00641036"/>
    <w:rsid w:val="00641D02"/>
    <w:rsid w:val="00641E3B"/>
    <w:rsid w:val="00643413"/>
    <w:rsid w:val="006435B0"/>
    <w:rsid w:val="00645421"/>
    <w:rsid w:val="0064555D"/>
    <w:rsid w:val="00645868"/>
    <w:rsid w:val="00646238"/>
    <w:rsid w:val="00646319"/>
    <w:rsid w:val="00646606"/>
    <w:rsid w:val="006474F0"/>
    <w:rsid w:val="006500D8"/>
    <w:rsid w:val="006508D9"/>
    <w:rsid w:val="006508EB"/>
    <w:rsid w:val="00650CF5"/>
    <w:rsid w:val="00650E25"/>
    <w:rsid w:val="00651A97"/>
    <w:rsid w:val="00653C21"/>
    <w:rsid w:val="00653CDE"/>
    <w:rsid w:val="0065424A"/>
    <w:rsid w:val="006550C2"/>
    <w:rsid w:val="0065655C"/>
    <w:rsid w:val="00656C90"/>
    <w:rsid w:val="00656EF7"/>
    <w:rsid w:val="00660E6B"/>
    <w:rsid w:val="0066165F"/>
    <w:rsid w:val="006627D4"/>
    <w:rsid w:val="00662964"/>
    <w:rsid w:val="00662FE5"/>
    <w:rsid w:val="00663A97"/>
    <w:rsid w:val="00664742"/>
    <w:rsid w:val="00664DD6"/>
    <w:rsid w:val="00664FBA"/>
    <w:rsid w:val="00665154"/>
    <w:rsid w:val="00665447"/>
    <w:rsid w:val="006654FA"/>
    <w:rsid w:val="0066608A"/>
    <w:rsid w:val="006660D2"/>
    <w:rsid w:val="006665A6"/>
    <w:rsid w:val="00666A3B"/>
    <w:rsid w:val="006672DC"/>
    <w:rsid w:val="006675C0"/>
    <w:rsid w:val="00667B90"/>
    <w:rsid w:val="00667B9A"/>
    <w:rsid w:val="00670732"/>
    <w:rsid w:val="00670FCB"/>
    <w:rsid w:val="0067122C"/>
    <w:rsid w:val="0067280F"/>
    <w:rsid w:val="00674296"/>
    <w:rsid w:val="00674B09"/>
    <w:rsid w:val="00675715"/>
    <w:rsid w:val="00675AF3"/>
    <w:rsid w:val="0067789B"/>
    <w:rsid w:val="00677D21"/>
    <w:rsid w:val="00680578"/>
    <w:rsid w:val="00681864"/>
    <w:rsid w:val="00682B87"/>
    <w:rsid w:val="0068359E"/>
    <w:rsid w:val="006838B0"/>
    <w:rsid w:val="006845E4"/>
    <w:rsid w:val="00684735"/>
    <w:rsid w:val="00684DF9"/>
    <w:rsid w:val="006856CE"/>
    <w:rsid w:val="0068597A"/>
    <w:rsid w:val="006859B3"/>
    <w:rsid w:val="00685DDF"/>
    <w:rsid w:val="00685ED5"/>
    <w:rsid w:val="00686145"/>
    <w:rsid w:val="00686D04"/>
    <w:rsid w:val="00687C29"/>
    <w:rsid w:val="006913B7"/>
    <w:rsid w:val="00691C11"/>
    <w:rsid w:val="0069210C"/>
    <w:rsid w:val="00692383"/>
    <w:rsid w:val="006948A6"/>
    <w:rsid w:val="00696FF3"/>
    <w:rsid w:val="00697B4F"/>
    <w:rsid w:val="00697DF2"/>
    <w:rsid w:val="00697F69"/>
    <w:rsid w:val="006A112E"/>
    <w:rsid w:val="006A1694"/>
    <w:rsid w:val="006A1FEE"/>
    <w:rsid w:val="006A21EC"/>
    <w:rsid w:val="006A2612"/>
    <w:rsid w:val="006A27E2"/>
    <w:rsid w:val="006A2F99"/>
    <w:rsid w:val="006A3148"/>
    <w:rsid w:val="006A37D4"/>
    <w:rsid w:val="006A4C4D"/>
    <w:rsid w:val="006A56FF"/>
    <w:rsid w:val="006A5DEE"/>
    <w:rsid w:val="006A7103"/>
    <w:rsid w:val="006A7963"/>
    <w:rsid w:val="006B086D"/>
    <w:rsid w:val="006B0B5B"/>
    <w:rsid w:val="006B10E6"/>
    <w:rsid w:val="006B22FD"/>
    <w:rsid w:val="006B25D7"/>
    <w:rsid w:val="006B2CF3"/>
    <w:rsid w:val="006B2DBE"/>
    <w:rsid w:val="006B2E94"/>
    <w:rsid w:val="006B3D40"/>
    <w:rsid w:val="006B484E"/>
    <w:rsid w:val="006B57D2"/>
    <w:rsid w:val="006B5C09"/>
    <w:rsid w:val="006B633D"/>
    <w:rsid w:val="006B6839"/>
    <w:rsid w:val="006B7763"/>
    <w:rsid w:val="006C04DC"/>
    <w:rsid w:val="006C0D5C"/>
    <w:rsid w:val="006C1359"/>
    <w:rsid w:val="006C29BC"/>
    <w:rsid w:val="006C30A5"/>
    <w:rsid w:val="006C3127"/>
    <w:rsid w:val="006C332D"/>
    <w:rsid w:val="006C3F5E"/>
    <w:rsid w:val="006C42C4"/>
    <w:rsid w:val="006C4333"/>
    <w:rsid w:val="006C4CD9"/>
    <w:rsid w:val="006C6100"/>
    <w:rsid w:val="006C6798"/>
    <w:rsid w:val="006C6B87"/>
    <w:rsid w:val="006D0752"/>
    <w:rsid w:val="006D1271"/>
    <w:rsid w:val="006D1525"/>
    <w:rsid w:val="006D1836"/>
    <w:rsid w:val="006D2C94"/>
    <w:rsid w:val="006D38A7"/>
    <w:rsid w:val="006D469C"/>
    <w:rsid w:val="006D4E3D"/>
    <w:rsid w:val="006D5283"/>
    <w:rsid w:val="006D5358"/>
    <w:rsid w:val="006D581F"/>
    <w:rsid w:val="006D59D6"/>
    <w:rsid w:val="006D630F"/>
    <w:rsid w:val="006D6BBC"/>
    <w:rsid w:val="006D6C05"/>
    <w:rsid w:val="006D7D35"/>
    <w:rsid w:val="006D7F08"/>
    <w:rsid w:val="006E058C"/>
    <w:rsid w:val="006E0711"/>
    <w:rsid w:val="006E08C1"/>
    <w:rsid w:val="006E0B1C"/>
    <w:rsid w:val="006E0E73"/>
    <w:rsid w:val="006E18B2"/>
    <w:rsid w:val="006E23CC"/>
    <w:rsid w:val="006E2581"/>
    <w:rsid w:val="006E2999"/>
    <w:rsid w:val="006E2FFD"/>
    <w:rsid w:val="006E3870"/>
    <w:rsid w:val="006E425B"/>
    <w:rsid w:val="006E5FAE"/>
    <w:rsid w:val="006F032A"/>
    <w:rsid w:val="006F07BC"/>
    <w:rsid w:val="006F08E2"/>
    <w:rsid w:val="006F0A53"/>
    <w:rsid w:val="006F19EA"/>
    <w:rsid w:val="006F2266"/>
    <w:rsid w:val="006F2347"/>
    <w:rsid w:val="006F2496"/>
    <w:rsid w:val="006F25AB"/>
    <w:rsid w:val="006F25AC"/>
    <w:rsid w:val="006F292C"/>
    <w:rsid w:val="006F3318"/>
    <w:rsid w:val="006F3561"/>
    <w:rsid w:val="006F3903"/>
    <w:rsid w:val="006F4D0D"/>
    <w:rsid w:val="006F5594"/>
    <w:rsid w:val="006F5DA5"/>
    <w:rsid w:val="006F60CE"/>
    <w:rsid w:val="006F6D03"/>
    <w:rsid w:val="006F7060"/>
    <w:rsid w:val="006F72D8"/>
    <w:rsid w:val="006F752C"/>
    <w:rsid w:val="006F767F"/>
    <w:rsid w:val="006F7A01"/>
    <w:rsid w:val="00701F1A"/>
    <w:rsid w:val="0070296D"/>
    <w:rsid w:val="00705903"/>
    <w:rsid w:val="00705A94"/>
    <w:rsid w:val="00705BF6"/>
    <w:rsid w:val="00706157"/>
    <w:rsid w:val="007067BA"/>
    <w:rsid w:val="00707C26"/>
    <w:rsid w:val="00711D4F"/>
    <w:rsid w:val="00713441"/>
    <w:rsid w:val="0071661C"/>
    <w:rsid w:val="007167E6"/>
    <w:rsid w:val="0071717B"/>
    <w:rsid w:val="00717670"/>
    <w:rsid w:val="007205C4"/>
    <w:rsid w:val="00720B4D"/>
    <w:rsid w:val="0072137A"/>
    <w:rsid w:val="007237B5"/>
    <w:rsid w:val="007239D6"/>
    <w:rsid w:val="00723ACC"/>
    <w:rsid w:val="00725546"/>
    <w:rsid w:val="00725600"/>
    <w:rsid w:val="007257CC"/>
    <w:rsid w:val="00725F7F"/>
    <w:rsid w:val="00725F98"/>
    <w:rsid w:val="00726732"/>
    <w:rsid w:val="0072712C"/>
    <w:rsid w:val="00730FCE"/>
    <w:rsid w:val="007310A9"/>
    <w:rsid w:val="00731658"/>
    <w:rsid w:val="00733546"/>
    <w:rsid w:val="007335CF"/>
    <w:rsid w:val="00733A88"/>
    <w:rsid w:val="00733EB9"/>
    <w:rsid w:val="00735343"/>
    <w:rsid w:val="00735442"/>
    <w:rsid w:val="00735BAB"/>
    <w:rsid w:val="00737256"/>
    <w:rsid w:val="007379B0"/>
    <w:rsid w:val="00737B3B"/>
    <w:rsid w:val="00737B7C"/>
    <w:rsid w:val="00740240"/>
    <w:rsid w:val="00740F7A"/>
    <w:rsid w:val="0074125F"/>
    <w:rsid w:val="00741AFD"/>
    <w:rsid w:val="00741E00"/>
    <w:rsid w:val="00742DFC"/>
    <w:rsid w:val="0074364E"/>
    <w:rsid w:val="007437BD"/>
    <w:rsid w:val="00743FE5"/>
    <w:rsid w:val="00744924"/>
    <w:rsid w:val="00744C0E"/>
    <w:rsid w:val="0074509E"/>
    <w:rsid w:val="00745717"/>
    <w:rsid w:val="00746186"/>
    <w:rsid w:val="00747B56"/>
    <w:rsid w:val="0075014E"/>
    <w:rsid w:val="00750A29"/>
    <w:rsid w:val="00752AB0"/>
    <w:rsid w:val="00752E31"/>
    <w:rsid w:val="0075328B"/>
    <w:rsid w:val="00753649"/>
    <w:rsid w:val="00753F84"/>
    <w:rsid w:val="007544DB"/>
    <w:rsid w:val="00755BDE"/>
    <w:rsid w:val="00756DD0"/>
    <w:rsid w:val="007575AD"/>
    <w:rsid w:val="007577DD"/>
    <w:rsid w:val="007577E2"/>
    <w:rsid w:val="00757CA6"/>
    <w:rsid w:val="007603C9"/>
    <w:rsid w:val="00761004"/>
    <w:rsid w:val="00761634"/>
    <w:rsid w:val="0076186F"/>
    <w:rsid w:val="00762AD2"/>
    <w:rsid w:val="00762BCC"/>
    <w:rsid w:val="00763582"/>
    <w:rsid w:val="007638D5"/>
    <w:rsid w:val="00764004"/>
    <w:rsid w:val="00764A1F"/>
    <w:rsid w:val="00764CB5"/>
    <w:rsid w:val="00767101"/>
    <w:rsid w:val="00767482"/>
    <w:rsid w:val="007679B2"/>
    <w:rsid w:val="00767F2B"/>
    <w:rsid w:val="00770077"/>
    <w:rsid w:val="00770285"/>
    <w:rsid w:val="00770E9E"/>
    <w:rsid w:val="00771A47"/>
    <w:rsid w:val="00772020"/>
    <w:rsid w:val="007722C8"/>
    <w:rsid w:val="00772FEA"/>
    <w:rsid w:val="00773565"/>
    <w:rsid w:val="0077403D"/>
    <w:rsid w:val="00774B40"/>
    <w:rsid w:val="00775280"/>
    <w:rsid w:val="0077534E"/>
    <w:rsid w:val="007769D2"/>
    <w:rsid w:val="00776BB5"/>
    <w:rsid w:val="007776EE"/>
    <w:rsid w:val="0078006C"/>
    <w:rsid w:val="007818AB"/>
    <w:rsid w:val="00781C37"/>
    <w:rsid w:val="0078209D"/>
    <w:rsid w:val="00782593"/>
    <w:rsid w:val="0078386D"/>
    <w:rsid w:val="00783CE7"/>
    <w:rsid w:val="0078430D"/>
    <w:rsid w:val="00785206"/>
    <w:rsid w:val="00785869"/>
    <w:rsid w:val="0078645F"/>
    <w:rsid w:val="00786666"/>
    <w:rsid w:val="00786B92"/>
    <w:rsid w:val="00787209"/>
    <w:rsid w:val="007906A5"/>
    <w:rsid w:val="00790E7B"/>
    <w:rsid w:val="0079116E"/>
    <w:rsid w:val="00791751"/>
    <w:rsid w:val="00791D08"/>
    <w:rsid w:val="0079230B"/>
    <w:rsid w:val="0079343C"/>
    <w:rsid w:val="007939F8"/>
    <w:rsid w:val="00793C27"/>
    <w:rsid w:val="00793F45"/>
    <w:rsid w:val="00794430"/>
    <w:rsid w:val="0079472E"/>
    <w:rsid w:val="00795F10"/>
    <w:rsid w:val="00796870"/>
    <w:rsid w:val="00797774"/>
    <w:rsid w:val="00797817"/>
    <w:rsid w:val="007A0C95"/>
    <w:rsid w:val="007A1400"/>
    <w:rsid w:val="007A1C55"/>
    <w:rsid w:val="007A1DD5"/>
    <w:rsid w:val="007A2014"/>
    <w:rsid w:val="007A22F1"/>
    <w:rsid w:val="007A3989"/>
    <w:rsid w:val="007A4E70"/>
    <w:rsid w:val="007A66D9"/>
    <w:rsid w:val="007A7F65"/>
    <w:rsid w:val="007B151B"/>
    <w:rsid w:val="007B1683"/>
    <w:rsid w:val="007B1D6A"/>
    <w:rsid w:val="007B1EB4"/>
    <w:rsid w:val="007B22C9"/>
    <w:rsid w:val="007B259D"/>
    <w:rsid w:val="007B259E"/>
    <w:rsid w:val="007B261F"/>
    <w:rsid w:val="007B2E37"/>
    <w:rsid w:val="007B3AD8"/>
    <w:rsid w:val="007B482D"/>
    <w:rsid w:val="007B4A73"/>
    <w:rsid w:val="007B4A99"/>
    <w:rsid w:val="007B5B98"/>
    <w:rsid w:val="007B632D"/>
    <w:rsid w:val="007B6B68"/>
    <w:rsid w:val="007B7CCA"/>
    <w:rsid w:val="007B7CF4"/>
    <w:rsid w:val="007B7E8B"/>
    <w:rsid w:val="007C0957"/>
    <w:rsid w:val="007C1079"/>
    <w:rsid w:val="007C137B"/>
    <w:rsid w:val="007C171C"/>
    <w:rsid w:val="007C2673"/>
    <w:rsid w:val="007C2984"/>
    <w:rsid w:val="007C2A59"/>
    <w:rsid w:val="007C401D"/>
    <w:rsid w:val="007C45A9"/>
    <w:rsid w:val="007C494B"/>
    <w:rsid w:val="007C4CE0"/>
    <w:rsid w:val="007C4E55"/>
    <w:rsid w:val="007C5F0E"/>
    <w:rsid w:val="007C5F4F"/>
    <w:rsid w:val="007C692D"/>
    <w:rsid w:val="007C6A75"/>
    <w:rsid w:val="007C78D6"/>
    <w:rsid w:val="007C79E6"/>
    <w:rsid w:val="007C7E3D"/>
    <w:rsid w:val="007D14E8"/>
    <w:rsid w:val="007D17C7"/>
    <w:rsid w:val="007D185F"/>
    <w:rsid w:val="007D1AF9"/>
    <w:rsid w:val="007D21A9"/>
    <w:rsid w:val="007D23D9"/>
    <w:rsid w:val="007D2A32"/>
    <w:rsid w:val="007D2D6D"/>
    <w:rsid w:val="007D304F"/>
    <w:rsid w:val="007D3091"/>
    <w:rsid w:val="007D37CF"/>
    <w:rsid w:val="007D37F5"/>
    <w:rsid w:val="007D3CB9"/>
    <w:rsid w:val="007D3D2A"/>
    <w:rsid w:val="007D3D78"/>
    <w:rsid w:val="007D43A0"/>
    <w:rsid w:val="007D496B"/>
    <w:rsid w:val="007D5BFD"/>
    <w:rsid w:val="007D716F"/>
    <w:rsid w:val="007D7257"/>
    <w:rsid w:val="007D743F"/>
    <w:rsid w:val="007D7947"/>
    <w:rsid w:val="007E04DA"/>
    <w:rsid w:val="007E179E"/>
    <w:rsid w:val="007E1ACE"/>
    <w:rsid w:val="007E2412"/>
    <w:rsid w:val="007E2C51"/>
    <w:rsid w:val="007E3086"/>
    <w:rsid w:val="007E47E2"/>
    <w:rsid w:val="007E606F"/>
    <w:rsid w:val="007E6148"/>
    <w:rsid w:val="007E6160"/>
    <w:rsid w:val="007E6784"/>
    <w:rsid w:val="007E6839"/>
    <w:rsid w:val="007E6CF2"/>
    <w:rsid w:val="007E6D25"/>
    <w:rsid w:val="007E6EE7"/>
    <w:rsid w:val="007E7030"/>
    <w:rsid w:val="007E726C"/>
    <w:rsid w:val="007E73A0"/>
    <w:rsid w:val="007E7920"/>
    <w:rsid w:val="007E7B8D"/>
    <w:rsid w:val="007F0B6F"/>
    <w:rsid w:val="007F0D3A"/>
    <w:rsid w:val="007F22E7"/>
    <w:rsid w:val="007F33BE"/>
    <w:rsid w:val="007F3A42"/>
    <w:rsid w:val="007F59AC"/>
    <w:rsid w:val="007F63A9"/>
    <w:rsid w:val="007F76DE"/>
    <w:rsid w:val="00800712"/>
    <w:rsid w:val="0080081A"/>
    <w:rsid w:val="008022F0"/>
    <w:rsid w:val="008023DC"/>
    <w:rsid w:val="00802596"/>
    <w:rsid w:val="00802947"/>
    <w:rsid w:val="008032A7"/>
    <w:rsid w:val="0080409C"/>
    <w:rsid w:val="00804176"/>
    <w:rsid w:val="0080456C"/>
    <w:rsid w:val="00804970"/>
    <w:rsid w:val="0080501C"/>
    <w:rsid w:val="008069DF"/>
    <w:rsid w:val="00806F94"/>
    <w:rsid w:val="0080700D"/>
    <w:rsid w:val="008075C1"/>
    <w:rsid w:val="00807E8D"/>
    <w:rsid w:val="0081020C"/>
    <w:rsid w:val="0081070F"/>
    <w:rsid w:val="008115A1"/>
    <w:rsid w:val="00812821"/>
    <w:rsid w:val="00813109"/>
    <w:rsid w:val="00813683"/>
    <w:rsid w:val="008139DF"/>
    <w:rsid w:val="00813E37"/>
    <w:rsid w:val="00815209"/>
    <w:rsid w:val="00815B19"/>
    <w:rsid w:val="00816282"/>
    <w:rsid w:val="0081681B"/>
    <w:rsid w:val="00817658"/>
    <w:rsid w:val="00817ADB"/>
    <w:rsid w:val="00817B76"/>
    <w:rsid w:val="00820BBD"/>
    <w:rsid w:val="00820E2E"/>
    <w:rsid w:val="0082137F"/>
    <w:rsid w:val="008214E6"/>
    <w:rsid w:val="008228F9"/>
    <w:rsid w:val="00822C7B"/>
    <w:rsid w:val="008232FD"/>
    <w:rsid w:val="00823C3B"/>
    <w:rsid w:val="00823E8D"/>
    <w:rsid w:val="008245C6"/>
    <w:rsid w:val="008245F4"/>
    <w:rsid w:val="0082473D"/>
    <w:rsid w:val="00824CA1"/>
    <w:rsid w:val="00824D18"/>
    <w:rsid w:val="00825CDE"/>
    <w:rsid w:val="00825FF2"/>
    <w:rsid w:val="008262D4"/>
    <w:rsid w:val="00826ACF"/>
    <w:rsid w:val="00827BC4"/>
    <w:rsid w:val="00830021"/>
    <w:rsid w:val="00831157"/>
    <w:rsid w:val="008315F6"/>
    <w:rsid w:val="0083392D"/>
    <w:rsid w:val="00834709"/>
    <w:rsid w:val="00834BE2"/>
    <w:rsid w:val="00834BED"/>
    <w:rsid w:val="00834FC8"/>
    <w:rsid w:val="00835037"/>
    <w:rsid w:val="008351BB"/>
    <w:rsid w:val="00835432"/>
    <w:rsid w:val="00836073"/>
    <w:rsid w:val="008370FA"/>
    <w:rsid w:val="00837854"/>
    <w:rsid w:val="008406B0"/>
    <w:rsid w:val="00840D76"/>
    <w:rsid w:val="00840E96"/>
    <w:rsid w:val="00841573"/>
    <w:rsid w:val="008417A2"/>
    <w:rsid w:val="00842A50"/>
    <w:rsid w:val="008437CD"/>
    <w:rsid w:val="00845126"/>
    <w:rsid w:val="00845614"/>
    <w:rsid w:val="00845CF5"/>
    <w:rsid w:val="00846538"/>
    <w:rsid w:val="008468A2"/>
    <w:rsid w:val="00846A19"/>
    <w:rsid w:val="00846E2C"/>
    <w:rsid w:val="00850020"/>
    <w:rsid w:val="008504BE"/>
    <w:rsid w:val="00851864"/>
    <w:rsid w:val="008523C8"/>
    <w:rsid w:val="0085286F"/>
    <w:rsid w:val="00853B6A"/>
    <w:rsid w:val="00853C2B"/>
    <w:rsid w:val="00854247"/>
    <w:rsid w:val="00854396"/>
    <w:rsid w:val="008546E2"/>
    <w:rsid w:val="008548B9"/>
    <w:rsid w:val="00854C0B"/>
    <w:rsid w:val="00855C98"/>
    <w:rsid w:val="0085636B"/>
    <w:rsid w:val="00856A78"/>
    <w:rsid w:val="008574D5"/>
    <w:rsid w:val="00857AED"/>
    <w:rsid w:val="00860BE2"/>
    <w:rsid w:val="00860BFB"/>
    <w:rsid w:val="00860C73"/>
    <w:rsid w:val="00861261"/>
    <w:rsid w:val="00862223"/>
    <w:rsid w:val="008624E3"/>
    <w:rsid w:val="00862652"/>
    <w:rsid w:val="008626AF"/>
    <w:rsid w:val="00862C3B"/>
    <w:rsid w:val="00863050"/>
    <w:rsid w:val="0086341D"/>
    <w:rsid w:val="00864442"/>
    <w:rsid w:val="008644D5"/>
    <w:rsid w:val="00864D44"/>
    <w:rsid w:val="00865382"/>
    <w:rsid w:val="00865E34"/>
    <w:rsid w:val="00870051"/>
    <w:rsid w:val="00870CE5"/>
    <w:rsid w:val="0087157B"/>
    <w:rsid w:val="008727E6"/>
    <w:rsid w:val="008729F8"/>
    <w:rsid w:val="008732D6"/>
    <w:rsid w:val="0087338D"/>
    <w:rsid w:val="00873CDF"/>
    <w:rsid w:val="00873DDF"/>
    <w:rsid w:val="00873EAE"/>
    <w:rsid w:val="00874A36"/>
    <w:rsid w:val="00875269"/>
    <w:rsid w:val="008753C6"/>
    <w:rsid w:val="00875B0B"/>
    <w:rsid w:val="00875B6C"/>
    <w:rsid w:val="00876403"/>
    <w:rsid w:val="00876AEB"/>
    <w:rsid w:val="0087741F"/>
    <w:rsid w:val="008775E9"/>
    <w:rsid w:val="00877C01"/>
    <w:rsid w:val="00877CA3"/>
    <w:rsid w:val="0088087A"/>
    <w:rsid w:val="00880CFD"/>
    <w:rsid w:val="008838C6"/>
    <w:rsid w:val="00884728"/>
    <w:rsid w:val="00884E46"/>
    <w:rsid w:val="00884E8B"/>
    <w:rsid w:val="0088619B"/>
    <w:rsid w:val="00886E60"/>
    <w:rsid w:val="00887E66"/>
    <w:rsid w:val="00890011"/>
    <w:rsid w:val="008906AC"/>
    <w:rsid w:val="0089094B"/>
    <w:rsid w:val="00890E82"/>
    <w:rsid w:val="00892BE4"/>
    <w:rsid w:val="00892E74"/>
    <w:rsid w:val="00893ECA"/>
    <w:rsid w:val="00894717"/>
    <w:rsid w:val="00894FF3"/>
    <w:rsid w:val="008956D6"/>
    <w:rsid w:val="00895E91"/>
    <w:rsid w:val="008968EA"/>
    <w:rsid w:val="00896C58"/>
    <w:rsid w:val="00897215"/>
    <w:rsid w:val="008A0487"/>
    <w:rsid w:val="008A0A4C"/>
    <w:rsid w:val="008A0B69"/>
    <w:rsid w:val="008A14CF"/>
    <w:rsid w:val="008A1F5D"/>
    <w:rsid w:val="008A370E"/>
    <w:rsid w:val="008A3D03"/>
    <w:rsid w:val="008A4F9F"/>
    <w:rsid w:val="008A5A0F"/>
    <w:rsid w:val="008A6621"/>
    <w:rsid w:val="008A6B1D"/>
    <w:rsid w:val="008A7186"/>
    <w:rsid w:val="008A7460"/>
    <w:rsid w:val="008A74A1"/>
    <w:rsid w:val="008B0DDE"/>
    <w:rsid w:val="008B1428"/>
    <w:rsid w:val="008B1CF9"/>
    <w:rsid w:val="008B25CA"/>
    <w:rsid w:val="008B283B"/>
    <w:rsid w:val="008B3D1A"/>
    <w:rsid w:val="008B3E25"/>
    <w:rsid w:val="008B5093"/>
    <w:rsid w:val="008B537E"/>
    <w:rsid w:val="008B55EB"/>
    <w:rsid w:val="008B6198"/>
    <w:rsid w:val="008B65C0"/>
    <w:rsid w:val="008B666F"/>
    <w:rsid w:val="008B6FE9"/>
    <w:rsid w:val="008C090A"/>
    <w:rsid w:val="008C0C83"/>
    <w:rsid w:val="008C2093"/>
    <w:rsid w:val="008C26E7"/>
    <w:rsid w:val="008C2714"/>
    <w:rsid w:val="008C301C"/>
    <w:rsid w:val="008C3321"/>
    <w:rsid w:val="008C376B"/>
    <w:rsid w:val="008C43F0"/>
    <w:rsid w:val="008C4DC4"/>
    <w:rsid w:val="008C4E58"/>
    <w:rsid w:val="008C5C89"/>
    <w:rsid w:val="008C693B"/>
    <w:rsid w:val="008C721D"/>
    <w:rsid w:val="008C7444"/>
    <w:rsid w:val="008D0329"/>
    <w:rsid w:val="008D08C2"/>
    <w:rsid w:val="008D100B"/>
    <w:rsid w:val="008D1319"/>
    <w:rsid w:val="008D142B"/>
    <w:rsid w:val="008D1855"/>
    <w:rsid w:val="008D195D"/>
    <w:rsid w:val="008D2174"/>
    <w:rsid w:val="008D32BC"/>
    <w:rsid w:val="008D3317"/>
    <w:rsid w:val="008D333D"/>
    <w:rsid w:val="008D33AE"/>
    <w:rsid w:val="008D36DD"/>
    <w:rsid w:val="008D3956"/>
    <w:rsid w:val="008D39F9"/>
    <w:rsid w:val="008D40AB"/>
    <w:rsid w:val="008D46AA"/>
    <w:rsid w:val="008D4D60"/>
    <w:rsid w:val="008D4E2F"/>
    <w:rsid w:val="008D60B1"/>
    <w:rsid w:val="008D6210"/>
    <w:rsid w:val="008D64DE"/>
    <w:rsid w:val="008D653D"/>
    <w:rsid w:val="008D6A6B"/>
    <w:rsid w:val="008D6FCD"/>
    <w:rsid w:val="008D73E1"/>
    <w:rsid w:val="008D767D"/>
    <w:rsid w:val="008D78C7"/>
    <w:rsid w:val="008D7CBA"/>
    <w:rsid w:val="008E0198"/>
    <w:rsid w:val="008E019C"/>
    <w:rsid w:val="008E020C"/>
    <w:rsid w:val="008E2A61"/>
    <w:rsid w:val="008E2C09"/>
    <w:rsid w:val="008E3305"/>
    <w:rsid w:val="008E41EC"/>
    <w:rsid w:val="008E4430"/>
    <w:rsid w:val="008E468A"/>
    <w:rsid w:val="008E4A6A"/>
    <w:rsid w:val="008E57D3"/>
    <w:rsid w:val="008E6CAB"/>
    <w:rsid w:val="008E6CD5"/>
    <w:rsid w:val="008E74B5"/>
    <w:rsid w:val="008E7F66"/>
    <w:rsid w:val="008F00E0"/>
    <w:rsid w:val="008F0423"/>
    <w:rsid w:val="008F1010"/>
    <w:rsid w:val="008F161F"/>
    <w:rsid w:val="008F1704"/>
    <w:rsid w:val="008F1913"/>
    <w:rsid w:val="008F1EAC"/>
    <w:rsid w:val="008F25F6"/>
    <w:rsid w:val="008F3772"/>
    <w:rsid w:val="008F3B50"/>
    <w:rsid w:val="008F4D50"/>
    <w:rsid w:val="008F4FA6"/>
    <w:rsid w:val="008F5EE5"/>
    <w:rsid w:val="008F6C6E"/>
    <w:rsid w:val="008F6CBA"/>
    <w:rsid w:val="008F7D5B"/>
    <w:rsid w:val="008F7EFC"/>
    <w:rsid w:val="00900FF8"/>
    <w:rsid w:val="0090114B"/>
    <w:rsid w:val="00901201"/>
    <w:rsid w:val="00901D55"/>
    <w:rsid w:val="00901FD8"/>
    <w:rsid w:val="009020A2"/>
    <w:rsid w:val="009028AB"/>
    <w:rsid w:val="00902C75"/>
    <w:rsid w:val="00902F39"/>
    <w:rsid w:val="009037CB"/>
    <w:rsid w:val="00903B1C"/>
    <w:rsid w:val="00904243"/>
    <w:rsid w:val="009045C3"/>
    <w:rsid w:val="00904866"/>
    <w:rsid w:val="009049EE"/>
    <w:rsid w:val="00904CED"/>
    <w:rsid w:val="0091040C"/>
    <w:rsid w:val="009107E0"/>
    <w:rsid w:val="00910BB9"/>
    <w:rsid w:val="00911836"/>
    <w:rsid w:val="009120D9"/>
    <w:rsid w:val="009128D1"/>
    <w:rsid w:val="00912BDD"/>
    <w:rsid w:val="00914E5D"/>
    <w:rsid w:val="009152AB"/>
    <w:rsid w:val="009157B0"/>
    <w:rsid w:val="00917928"/>
    <w:rsid w:val="0092056E"/>
    <w:rsid w:val="00920711"/>
    <w:rsid w:val="00920F31"/>
    <w:rsid w:val="00921385"/>
    <w:rsid w:val="009218D2"/>
    <w:rsid w:val="00923433"/>
    <w:rsid w:val="009246E8"/>
    <w:rsid w:val="00924D48"/>
    <w:rsid w:val="00924DB9"/>
    <w:rsid w:val="009250F9"/>
    <w:rsid w:val="00925773"/>
    <w:rsid w:val="00925D40"/>
    <w:rsid w:val="00926228"/>
    <w:rsid w:val="0092662D"/>
    <w:rsid w:val="00926B8C"/>
    <w:rsid w:val="00926E8F"/>
    <w:rsid w:val="00927627"/>
    <w:rsid w:val="00927A35"/>
    <w:rsid w:val="00930032"/>
    <w:rsid w:val="00930599"/>
    <w:rsid w:val="009305C4"/>
    <w:rsid w:val="00931411"/>
    <w:rsid w:val="00931BFF"/>
    <w:rsid w:val="00931D5D"/>
    <w:rsid w:val="0093203A"/>
    <w:rsid w:val="0093224A"/>
    <w:rsid w:val="009323B8"/>
    <w:rsid w:val="009329B9"/>
    <w:rsid w:val="00933239"/>
    <w:rsid w:val="00933F65"/>
    <w:rsid w:val="0093435D"/>
    <w:rsid w:val="009375B1"/>
    <w:rsid w:val="00937A12"/>
    <w:rsid w:val="009405BA"/>
    <w:rsid w:val="00942DB5"/>
    <w:rsid w:val="00945197"/>
    <w:rsid w:val="00945712"/>
    <w:rsid w:val="00945E3E"/>
    <w:rsid w:val="00946A75"/>
    <w:rsid w:val="00946DD6"/>
    <w:rsid w:val="00946FD4"/>
    <w:rsid w:val="009503B3"/>
    <w:rsid w:val="009510CE"/>
    <w:rsid w:val="00951616"/>
    <w:rsid w:val="00951BB8"/>
    <w:rsid w:val="00951D2A"/>
    <w:rsid w:val="00953D21"/>
    <w:rsid w:val="009540D7"/>
    <w:rsid w:val="00955E43"/>
    <w:rsid w:val="0095665B"/>
    <w:rsid w:val="0095795A"/>
    <w:rsid w:val="00957EBE"/>
    <w:rsid w:val="00960392"/>
    <w:rsid w:val="0096069E"/>
    <w:rsid w:val="0096080F"/>
    <w:rsid w:val="00962098"/>
    <w:rsid w:val="00962F0A"/>
    <w:rsid w:val="00963345"/>
    <w:rsid w:val="00963D96"/>
    <w:rsid w:val="009641AB"/>
    <w:rsid w:val="009643EC"/>
    <w:rsid w:val="00964B03"/>
    <w:rsid w:val="00965158"/>
    <w:rsid w:val="00965638"/>
    <w:rsid w:val="00965644"/>
    <w:rsid w:val="0096599E"/>
    <w:rsid w:val="00966612"/>
    <w:rsid w:val="00966754"/>
    <w:rsid w:val="00966CFE"/>
    <w:rsid w:val="009672D7"/>
    <w:rsid w:val="00967A3E"/>
    <w:rsid w:val="00967E32"/>
    <w:rsid w:val="009708DB"/>
    <w:rsid w:val="00971250"/>
    <w:rsid w:val="0097146B"/>
    <w:rsid w:val="00971B1B"/>
    <w:rsid w:val="00971C60"/>
    <w:rsid w:val="00972735"/>
    <w:rsid w:val="00972782"/>
    <w:rsid w:val="00972DED"/>
    <w:rsid w:val="00973161"/>
    <w:rsid w:val="00974807"/>
    <w:rsid w:val="009763FA"/>
    <w:rsid w:val="00976462"/>
    <w:rsid w:val="00977064"/>
    <w:rsid w:val="009770DC"/>
    <w:rsid w:val="00980274"/>
    <w:rsid w:val="009804B9"/>
    <w:rsid w:val="00981764"/>
    <w:rsid w:val="00982D62"/>
    <w:rsid w:val="00984B80"/>
    <w:rsid w:val="00985D7D"/>
    <w:rsid w:val="00985DDC"/>
    <w:rsid w:val="0098648D"/>
    <w:rsid w:val="00986A91"/>
    <w:rsid w:val="0098764F"/>
    <w:rsid w:val="009900BB"/>
    <w:rsid w:val="00990B66"/>
    <w:rsid w:val="009914FB"/>
    <w:rsid w:val="00991A54"/>
    <w:rsid w:val="00992AA6"/>
    <w:rsid w:val="00992AA7"/>
    <w:rsid w:val="00993198"/>
    <w:rsid w:val="009932E0"/>
    <w:rsid w:val="00993547"/>
    <w:rsid w:val="0099354E"/>
    <w:rsid w:val="00993E0C"/>
    <w:rsid w:val="0099522D"/>
    <w:rsid w:val="0099539F"/>
    <w:rsid w:val="009958E3"/>
    <w:rsid w:val="00995F8B"/>
    <w:rsid w:val="00996E7E"/>
    <w:rsid w:val="00997C12"/>
    <w:rsid w:val="009A0065"/>
    <w:rsid w:val="009A024D"/>
    <w:rsid w:val="009A0B16"/>
    <w:rsid w:val="009A147D"/>
    <w:rsid w:val="009A1ED4"/>
    <w:rsid w:val="009A2207"/>
    <w:rsid w:val="009A3BAB"/>
    <w:rsid w:val="009A422A"/>
    <w:rsid w:val="009A46DB"/>
    <w:rsid w:val="009A50AF"/>
    <w:rsid w:val="009A5F4A"/>
    <w:rsid w:val="009A67A6"/>
    <w:rsid w:val="009A7106"/>
    <w:rsid w:val="009A7516"/>
    <w:rsid w:val="009A79E8"/>
    <w:rsid w:val="009A7F6B"/>
    <w:rsid w:val="009B0A2F"/>
    <w:rsid w:val="009B1567"/>
    <w:rsid w:val="009B1BF3"/>
    <w:rsid w:val="009B2500"/>
    <w:rsid w:val="009B29D4"/>
    <w:rsid w:val="009B2C8F"/>
    <w:rsid w:val="009B3106"/>
    <w:rsid w:val="009B3486"/>
    <w:rsid w:val="009B3DBE"/>
    <w:rsid w:val="009B5688"/>
    <w:rsid w:val="009B627F"/>
    <w:rsid w:val="009B6BAF"/>
    <w:rsid w:val="009B6F9B"/>
    <w:rsid w:val="009C0498"/>
    <w:rsid w:val="009C04DD"/>
    <w:rsid w:val="009C08F1"/>
    <w:rsid w:val="009C1207"/>
    <w:rsid w:val="009C13C8"/>
    <w:rsid w:val="009C156C"/>
    <w:rsid w:val="009C166D"/>
    <w:rsid w:val="009C1932"/>
    <w:rsid w:val="009C2099"/>
    <w:rsid w:val="009C28EF"/>
    <w:rsid w:val="009C32B1"/>
    <w:rsid w:val="009C49F9"/>
    <w:rsid w:val="009C5680"/>
    <w:rsid w:val="009C5E11"/>
    <w:rsid w:val="009C7F7F"/>
    <w:rsid w:val="009D04F0"/>
    <w:rsid w:val="009D1304"/>
    <w:rsid w:val="009D1D94"/>
    <w:rsid w:val="009D2050"/>
    <w:rsid w:val="009D251A"/>
    <w:rsid w:val="009D3020"/>
    <w:rsid w:val="009D3ED4"/>
    <w:rsid w:val="009D4079"/>
    <w:rsid w:val="009D4560"/>
    <w:rsid w:val="009D4758"/>
    <w:rsid w:val="009D4EBA"/>
    <w:rsid w:val="009D5595"/>
    <w:rsid w:val="009D5655"/>
    <w:rsid w:val="009D58E8"/>
    <w:rsid w:val="009D5936"/>
    <w:rsid w:val="009D6111"/>
    <w:rsid w:val="009D646B"/>
    <w:rsid w:val="009D6617"/>
    <w:rsid w:val="009D6C70"/>
    <w:rsid w:val="009D73BA"/>
    <w:rsid w:val="009E0003"/>
    <w:rsid w:val="009E02E2"/>
    <w:rsid w:val="009E0733"/>
    <w:rsid w:val="009E0E3B"/>
    <w:rsid w:val="009E106D"/>
    <w:rsid w:val="009E124D"/>
    <w:rsid w:val="009E1424"/>
    <w:rsid w:val="009E1B73"/>
    <w:rsid w:val="009E1CEF"/>
    <w:rsid w:val="009E2735"/>
    <w:rsid w:val="009E2A13"/>
    <w:rsid w:val="009E2FCB"/>
    <w:rsid w:val="009E395F"/>
    <w:rsid w:val="009E4B68"/>
    <w:rsid w:val="009E5A8C"/>
    <w:rsid w:val="009E610B"/>
    <w:rsid w:val="009E65FB"/>
    <w:rsid w:val="009E753E"/>
    <w:rsid w:val="009F0AFB"/>
    <w:rsid w:val="009F0F9E"/>
    <w:rsid w:val="009F25F1"/>
    <w:rsid w:val="009F36D4"/>
    <w:rsid w:val="009F3CEA"/>
    <w:rsid w:val="009F3FF2"/>
    <w:rsid w:val="009F4016"/>
    <w:rsid w:val="009F4D84"/>
    <w:rsid w:val="009F503E"/>
    <w:rsid w:val="009F5E57"/>
    <w:rsid w:val="009F610E"/>
    <w:rsid w:val="009F65F8"/>
    <w:rsid w:val="009F72D3"/>
    <w:rsid w:val="009F7D49"/>
    <w:rsid w:val="00A010E0"/>
    <w:rsid w:val="00A01632"/>
    <w:rsid w:val="00A01A38"/>
    <w:rsid w:val="00A02414"/>
    <w:rsid w:val="00A02570"/>
    <w:rsid w:val="00A02B85"/>
    <w:rsid w:val="00A031D3"/>
    <w:rsid w:val="00A038C9"/>
    <w:rsid w:val="00A044BE"/>
    <w:rsid w:val="00A051CC"/>
    <w:rsid w:val="00A05AD9"/>
    <w:rsid w:val="00A05B6A"/>
    <w:rsid w:val="00A073F3"/>
    <w:rsid w:val="00A07736"/>
    <w:rsid w:val="00A077C5"/>
    <w:rsid w:val="00A0793B"/>
    <w:rsid w:val="00A105F6"/>
    <w:rsid w:val="00A1337B"/>
    <w:rsid w:val="00A144DF"/>
    <w:rsid w:val="00A15E3F"/>
    <w:rsid w:val="00A1652F"/>
    <w:rsid w:val="00A20226"/>
    <w:rsid w:val="00A20727"/>
    <w:rsid w:val="00A2072E"/>
    <w:rsid w:val="00A218D5"/>
    <w:rsid w:val="00A21E4E"/>
    <w:rsid w:val="00A221C0"/>
    <w:rsid w:val="00A22299"/>
    <w:rsid w:val="00A2250B"/>
    <w:rsid w:val="00A22A50"/>
    <w:rsid w:val="00A235F8"/>
    <w:rsid w:val="00A23F4A"/>
    <w:rsid w:val="00A24275"/>
    <w:rsid w:val="00A24B23"/>
    <w:rsid w:val="00A25269"/>
    <w:rsid w:val="00A2537D"/>
    <w:rsid w:val="00A3103D"/>
    <w:rsid w:val="00A31531"/>
    <w:rsid w:val="00A3329D"/>
    <w:rsid w:val="00A33859"/>
    <w:rsid w:val="00A33ED9"/>
    <w:rsid w:val="00A34242"/>
    <w:rsid w:val="00A346CD"/>
    <w:rsid w:val="00A348F1"/>
    <w:rsid w:val="00A34C4C"/>
    <w:rsid w:val="00A352FE"/>
    <w:rsid w:val="00A366EA"/>
    <w:rsid w:val="00A36E81"/>
    <w:rsid w:val="00A37425"/>
    <w:rsid w:val="00A37429"/>
    <w:rsid w:val="00A37ABB"/>
    <w:rsid w:val="00A40942"/>
    <w:rsid w:val="00A40AE3"/>
    <w:rsid w:val="00A4140A"/>
    <w:rsid w:val="00A41ADC"/>
    <w:rsid w:val="00A42E29"/>
    <w:rsid w:val="00A435E7"/>
    <w:rsid w:val="00A4397C"/>
    <w:rsid w:val="00A44E27"/>
    <w:rsid w:val="00A46251"/>
    <w:rsid w:val="00A46ECA"/>
    <w:rsid w:val="00A47658"/>
    <w:rsid w:val="00A50411"/>
    <w:rsid w:val="00A51923"/>
    <w:rsid w:val="00A51C4E"/>
    <w:rsid w:val="00A51D08"/>
    <w:rsid w:val="00A52269"/>
    <w:rsid w:val="00A52826"/>
    <w:rsid w:val="00A52DEE"/>
    <w:rsid w:val="00A533A8"/>
    <w:rsid w:val="00A53800"/>
    <w:rsid w:val="00A53B1D"/>
    <w:rsid w:val="00A542B1"/>
    <w:rsid w:val="00A54B27"/>
    <w:rsid w:val="00A55938"/>
    <w:rsid w:val="00A565EE"/>
    <w:rsid w:val="00A571A5"/>
    <w:rsid w:val="00A5755D"/>
    <w:rsid w:val="00A575F8"/>
    <w:rsid w:val="00A57702"/>
    <w:rsid w:val="00A60138"/>
    <w:rsid w:val="00A60E57"/>
    <w:rsid w:val="00A61484"/>
    <w:rsid w:val="00A61FBD"/>
    <w:rsid w:val="00A63520"/>
    <w:rsid w:val="00A648F1"/>
    <w:rsid w:val="00A64A33"/>
    <w:rsid w:val="00A64BB1"/>
    <w:rsid w:val="00A652B0"/>
    <w:rsid w:val="00A700E5"/>
    <w:rsid w:val="00A70378"/>
    <w:rsid w:val="00A712FF"/>
    <w:rsid w:val="00A716BA"/>
    <w:rsid w:val="00A71E24"/>
    <w:rsid w:val="00A72519"/>
    <w:rsid w:val="00A72A0C"/>
    <w:rsid w:val="00A72BD5"/>
    <w:rsid w:val="00A72F04"/>
    <w:rsid w:val="00A732FA"/>
    <w:rsid w:val="00A7353F"/>
    <w:rsid w:val="00A73E45"/>
    <w:rsid w:val="00A757AA"/>
    <w:rsid w:val="00A763C9"/>
    <w:rsid w:val="00A76588"/>
    <w:rsid w:val="00A76A41"/>
    <w:rsid w:val="00A76AA8"/>
    <w:rsid w:val="00A76ED4"/>
    <w:rsid w:val="00A802BC"/>
    <w:rsid w:val="00A804A0"/>
    <w:rsid w:val="00A8175A"/>
    <w:rsid w:val="00A825B6"/>
    <w:rsid w:val="00A82B79"/>
    <w:rsid w:val="00A83603"/>
    <w:rsid w:val="00A83CBA"/>
    <w:rsid w:val="00A851E4"/>
    <w:rsid w:val="00A85D4D"/>
    <w:rsid w:val="00A860C5"/>
    <w:rsid w:val="00A86464"/>
    <w:rsid w:val="00A90A03"/>
    <w:rsid w:val="00A90A59"/>
    <w:rsid w:val="00A90AF7"/>
    <w:rsid w:val="00A911C2"/>
    <w:rsid w:val="00A91F67"/>
    <w:rsid w:val="00A920AB"/>
    <w:rsid w:val="00A92475"/>
    <w:rsid w:val="00A92643"/>
    <w:rsid w:val="00A92EB1"/>
    <w:rsid w:val="00A9319F"/>
    <w:rsid w:val="00A945D2"/>
    <w:rsid w:val="00A949BF"/>
    <w:rsid w:val="00A952BE"/>
    <w:rsid w:val="00A96153"/>
    <w:rsid w:val="00A9655E"/>
    <w:rsid w:val="00A966CB"/>
    <w:rsid w:val="00A97174"/>
    <w:rsid w:val="00A97566"/>
    <w:rsid w:val="00A97F80"/>
    <w:rsid w:val="00AA04ED"/>
    <w:rsid w:val="00AA14A2"/>
    <w:rsid w:val="00AA1C7B"/>
    <w:rsid w:val="00AA1F26"/>
    <w:rsid w:val="00AA271D"/>
    <w:rsid w:val="00AA283A"/>
    <w:rsid w:val="00AA283F"/>
    <w:rsid w:val="00AA2B6C"/>
    <w:rsid w:val="00AA2E4E"/>
    <w:rsid w:val="00AA2EAC"/>
    <w:rsid w:val="00AA3818"/>
    <w:rsid w:val="00AA4D9E"/>
    <w:rsid w:val="00AA4DBA"/>
    <w:rsid w:val="00AA50BE"/>
    <w:rsid w:val="00AA5579"/>
    <w:rsid w:val="00AA624C"/>
    <w:rsid w:val="00AA65A0"/>
    <w:rsid w:val="00AA66FB"/>
    <w:rsid w:val="00AA67B3"/>
    <w:rsid w:val="00AA74B1"/>
    <w:rsid w:val="00AA7984"/>
    <w:rsid w:val="00AA7B25"/>
    <w:rsid w:val="00AA7D5D"/>
    <w:rsid w:val="00AB2550"/>
    <w:rsid w:val="00AB346F"/>
    <w:rsid w:val="00AB4640"/>
    <w:rsid w:val="00AB47BD"/>
    <w:rsid w:val="00AB4C3F"/>
    <w:rsid w:val="00AB4EFB"/>
    <w:rsid w:val="00AB5968"/>
    <w:rsid w:val="00AB5BE5"/>
    <w:rsid w:val="00AB5E08"/>
    <w:rsid w:val="00AB6805"/>
    <w:rsid w:val="00AB6EF1"/>
    <w:rsid w:val="00AB7D7E"/>
    <w:rsid w:val="00AB7F0A"/>
    <w:rsid w:val="00AC0ED8"/>
    <w:rsid w:val="00AC10CE"/>
    <w:rsid w:val="00AC259E"/>
    <w:rsid w:val="00AC29E1"/>
    <w:rsid w:val="00AC2E43"/>
    <w:rsid w:val="00AC4204"/>
    <w:rsid w:val="00AC4989"/>
    <w:rsid w:val="00AC49F1"/>
    <w:rsid w:val="00AC56B6"/>
    <w:rsid w:val="00AC5D7E"/>
    <w:rsid w:val="00AC5E55"/>
    <w:rsid w:val="00AC5F20"/>
    <w:rsid w:val="00AC6647"/>
    <w:rsid w:val="00AC68D1"/>
    <w:rsid w:val="00AC6A8E"/>
    <w:rsid w:val="00AC6B79"/>
    <w:rsid w:val="00AC75EF"/>
    <w:rsid w:val="00AC785D"/>
    <w:rsid w:val="00AC7E85"/>
    <w:rsid w:val="00AC7F9A"/>
    <w:rsid w:val="00AD0001"/>
    <w:rsid w:val="00AD15AC"/>
    <w:rsid w:val="00AD37E3"/>
    <w:rsid w:val="00AD41CD"/>
    <w:rsid w:val="00AD4295"/>
    <w:rsid w:val="00AD4683"/>
    <w:rsid w:val="00AD49F9"/>
    <w:rsid w:val="00AD4BE5"/>
    <w:rsid w:val="00AD4CD2"/>
    <w:rsid w:val="00AD51FC"/>
    <w:rsid w:val="00AD536D"/>
    <w:rsid w:val="00AD59BB"/>
    <w:rsid w:val="00AD5F1E"/>
    <w:rsid w:val="00AD66FB"/>
    <w:rsid w:val="00AD6A89"/>
    <w:rsid w:val="00AD6BFE"/>
    <w:rsid w:val="00AD7534"/>
    <w:rsid w:val="00AD7B94"/>
    <w:rsid w:val="00AE0AC3"/>
    <w:rsid w:val="00AE0B96"/>
    <w:rsid w:val="00AE0CF9"/>
    <w:rsid w:val="00AE11A7"/>
    <w:rsid w:val="00AE1455"/>
    <w:rsid w:val="00AE1F03"/>
    <w:rsid w:val="00AE32B9"/>
    <w:rsid w:val="00AE3FD2"/>
    <w:rsid w:val="00AE51BC"/>
    <w:rsid w:val="00AE55C8"/>
    <w:rsid w:val="00AE5610"/>
    <w:rsid w:val="00AE5D0D"/>
    <w:rsid w:val="00AE6D6A"/>
    <w:rsid w:val="00AE6F28"/>
    <w:rsid w:val="00AF120E"/>
    <w:rsid w:val="00AF145B"/>
    <w:rsid w:val="00AF2518"/>
    <w:rsid w:val="00AF285E"/>
    <w:rsid w:val="00AF372D"/>
    <w:rsid w:val="00AF400E"/>
    <w:rsid w:val="00AF471E"/>
    <w:rsid w:val="00AF4F56"/>
    <w:rsid w:val="00AF54C5"/>
    <w:rsid w:val="00AF5E93"/>
    <w:rsid w:val="00AF6DDA"/>
    <w:rsid w:val="00B00263"/>
    <w:rsid w:val="00B00850"/>
    <w:rsid w:val="00B00F7C"/>
    <w:rsid w:val="00B01B68"/>
    <w:rsid w:val="00B02B1E"/>
    <w:rsid w:val="00B02CD4"/>
    <w:rsid w:val="00B03272"/>
    <w:rsid w:val="00B0373D"/>
    <w:rsid w:val="00B03D97"/>
    <w:rsid w:val="00B04E3A"/>
    <w:rsid w:val="00B050C2"/>
    <w:rsid w:val="00B059BC"/>
    <w:rsid w:val="00B06B71"/>
    <w:rsid w:val="00B06F04"/>
    <w:rsid w:val="00B076F5"/>
    <w:rsid w:val="00B100D7"/>
    <w:rsid w:val="00B10638"/>
    <w:rsid w:val="00B10915"/>
    <w:rsid w:val="00B10A65"/>
    <w:rsid w:val="00B11404"/>
    <w:rsid w:val="00B11815"/>
    <w:rsid w:val="00B11999"/>
    <w:rsid w:val="00B1314F"/>
    <w:rsid w:val="00B137A6"/>
    <w:rsid w:val="00B13A6D"/>
    <w:rsid w:val="00B179E7"/>
    <w:rsid w:val="00B17FCC"/>
    <w:rsid w:val="00B2154C"/>
    <w:rsid w:val="00B21802"/>
    <w:rsid w:val="00B21920"/>
    <w:rsid w:val="00B21B6D"/>
    <w:rsid w:val="00B226A0"/>
    <w:rsid w:val="00B22A3A"/>
    <w:rsid w:val="00B23844"/>
    <w:rsid w:val="00B24B01"/>
    <w:rsid w:val="00B253D1"/>
    <w:rsid w:val="00B26385"/>
    <w:rsid w:val="00B267AD"/>
    <w:rsid w:val="00B27663"/>
    <w:rsid w:val="00B27747"/>
    <w:rsid w:val="00B27E89"/>
    <w:rsid w:val="00B27F41"/>
    <w:rsid w:val="00B3009A"/>
    <w:rsid w:val="00B31502"/>
    <w:rsid w:val="00B31C03"/>
    <w:rsid w:val="00B3398A"/>
    <w:rsid w:val="00B3409B"/>
    <w:rsid w:val="00B340EE"/>
    <w:rsid w:val="00B342B5"/>
    <w:rsid w:val="00B345D5"/>
    <w:rsid w:val="00B35025"/>
    <w:rsid w:val="00B353C6"/>
    <w:rsid w:val="00B354FA"/>
    <w:rsid w:val="00B364D4"/>
    <w:rsid w:val="00B366D1"/>
    <w:rsid w:val="00B3744F"/>
    <w:rsid w:val="00B378DB"/>
    <w:rsid w:val="00B37F11"/>
    <w:rsid w:val="00B41839"/>
    <w:rsid w:val="00B42AFF"/>
    <w:rsid w:val="00B43C37"/>
    <w:rsid w:val="00B44E65"/>
    <w:rsid w:val="00B458FC"/>
    <w:rsid w:val="00B460B4"/>
    <w:rsid w:val="00B46140"/>
    <w:rsid w:val="00B46C72"/>
    <w:rsid w:val="00B507BD"/>
    <w:rsid w:val="00B507E3"/>
    <w:rsid w:val="00B508CE"/>
    <w:rsid w:val="00B51997"/>
    <w:rsid w:val="00B51DD5"/>
    <w:rsid w:val="00B52768"/>
    <w:rsid w:val="00B5277D"/>
    <w:rsid w:val="00B52BAB"/>
    <w:rsid w:val="00B52C4C"/>
    <w:rsid w:val="00B532CC"/>
    <w:rsid w:val="00B53FA4"/>
    <w:rsid w:val="00B54A95"/>
    <w:rsid w:val="00B55935"/>
    <w:rsid w:val="00B563F4"/>
    <w:rsid w:val="00B567C8"/>
    <w:rsid w:val="00B56D1D"/>
    <w:rsid w:val="00B6122C"/>
    <w:rsid w:val="00B61892"/>
    <w:rsid w:val="00B6235B"/>
    <w:rsid w:val="00B6397E"/>
    <w:rsid w:val="00B63F72"/>
    <w:rsid w:val="00B6426D"/>
    <w:rsid w:val="00B650C8"/>
    <w:rsid w:val="00B65181"/>
    <w:rsid w:val="00B65422"/>
    <w:rsid w:val="00B66069"/>
    <w:rsid w:val="00B662E1"/>
    <w:rsid w:val="00B66DE9"/>
    <w:rsid w:val="00B66F82"/>
    <w:rsid w:val="00B67BA2"/>
    <w:rsid w:val="00B70034"/>
    <w:rsid w:val="00B70180"/>
    <w:rsid w:val="00B702DC"/>
    <w:rsid w:val="00B707D9"/>
    <w:rsid w:val="00B709B6"/>
    <w:rsid w:val="00B70D0F"/>
    <w:rsid w:val="00B7133A"/>
    <w:rsid w:val="00B71DFB"/>
    <w:rsid w:val="00B72B54"/>
    <w:rsid w:val="00B731BD"/>
    <w:rsid w:val="00B73463"/>
    <w:rsid w:val="00B737EC"/>
    <w:rsid w:val="00B74768"/>
    <w:rsid w:val="00B76D56"/>
    <w:rsid w:val="00B77422"/>
    <w:rsid w:val="00B77B73"/>
    <w:rsid w:val="00B77FC1"/>
    <w:rsid w:val="00B80394"/>
    <w:rsid w:val="00B80B2E"/>
    <w:rsid w:val="00B82FA9"/>
    <w:rsid w:val="00B8372E"/>
    <w:rsid w:val="00B83C3D"/>
    <w:rsid w:val="00B83E71"/>
    <w:rsid w:val="00B8421D"/>
    <w:rsid w:val="00B8522B"/>
    <w:rsid w:val="00B86E39"/>
    <w:rsid w:val="00B86E5F"/>
    <w:rsid w:val="00B8712E"/>
    <w:rsid w:val="00B873BE"/>
    <w:rsid w:val="00B874BD"/>
    <w:rsid w:val="00B87A88"/>
    <w:rsid w:val="00B87C68"/>
    <w:rsid w:val="00B87EC8"/>
    <w:rsid w:val="00B9037A"/>
    <w:rsid w:val="00B90BDF"/>
    <w:rsid w:val="00B90C39"/>
    <w:rsid w:val="00B90EDD"/>
    <w:rsid w:val="00B91798"/>
    <w:rsid w:val="00B917E5"/>
    <w:rsid w:val="00B91FDB"/>
    <w:rsid w:val="00B922F7"/>
    <w:rsid w:val="00B92460"/>
    <w:rsid w:val="00B92B13"/>
    <w:rsid w:val="00B93692"/>
    <w:rsid w:val="00B9406F"/>
    <w:rsid w:val="00B94E1C"/>
    <w:rsid w:val="00B9563B"/>
    <w:rsid w:val="00B95970"/>
    <w:rsid w:val="00B963A7"/>
    <w:rsid w:val="00B9653D"/>
    <w:rsid w:val="00B9757B"/>
    <w:rsid w:val="00BA1A16"/>
    <w:rsid w:val="00BA1D6A"/>
    <w:rsid w:val="00BA1E8B"/>
    <w:rsid w:val="00BA20B0"/>
    <w:rsid w:val="00BA2613"/>
    <w:rsid w:val="00BA3B0B"/>
    <w:rsid w:val="00BA48A6"/>
    <w:rsid w:val="00BA5CBB"/>
    <w:rsid w:val="00BA5EF8"/>
    <w:rsid w:val="00BA668D"/>
    <w:rsid w:val="00BA7A22"/>
    <w:rsid w:val="00BA7A51"/>
    <w:rsid w:val="00BB0131"/>
    <w:rsid w:val="00BB01E2"/>
    <w:rsid w:val="00BB1C49"/>
    <w:rsid w:val="00BB1FFE"/>
    <w:rsid w:val="00BB24D8"/>
    <w:rsid w:val="00BB2ED5"/>
    <w:rsid w:val="00BB396D"/>
    <w:rsid w:val="00BB4640"/>
    <w:rsid w:val="00BB4661"/>
    <w:rsid w:val="00BB6CA3"/>
    <w:rsid w:val="00BB7ADC"/>
    <w:rsid w:val="00BC14A5"/>
    <w:rsid w:val="00BC2250"/>
    <w:rsid w:val="00BC2B7E"/>
    <w:rsid w:val="00BC33C2"/>
    <w:rsid w:val="00BC45A8"/>
    <w:rsid w:val="00BC4ACF"/>
    <w:rsid w:val="00BC57BE"/>
    <w:rsid w:val="00BC5AFF"/>
    <w:rsid w:val="00BD0888"/>
    <w:rsid w:val="00BD0E87"/>
    <w:rsid w:val="00BD3F8A"/>
    <w:rsid w:val="00BD3FAC"/>
    <w:rsid w:val="00BD49EB"/>
    <w:rsid w:val="00BD4CEA"/>
    <w:rsid w:val="00BD5891"/>
    <w:rsid w:val="00BD5DE3"/>
    <w:rsid w:val="00BD5F00"/>
    <w:rsid w:val="00BD63B6"/>
    <w:rsid w:val="00BD7876"/>
    <w:rsid w:val="00BD78A7"/>
    <w:rsid w:val="00BD7A2D"/>
    <w:rsid w:val="00BD7F9B"/>
    <w:rsid w:val="00BE003E"/>
    <w:rsid w:val="00BE19FE"/>
    <w:rsid w:val="00BE207E"/>
    <w:rsid w:val="00BE23B1"/>
    <w:rsid w:val="00BE31A4"/>
    <w:rsid w:val="00BE4275"/>
    <w:rsid w:val="00BE470B"/>
    <w:rsid w:val="00BE4B2B"/>
    <w:rsid w:val="00BE4D9C"/>
    <w:rsid w:val="00BE548E"/>
    <w:rsid w:val="00BE655A"/>
    <w:rsid w:val="00BE6968"/>
    <w:rsid w:val="00BE6BD8"/>
    <w:rsid w:val="00BE719D"/>
    <w:rsid w:val="00BE7288"/>
    <w:rsid w:val="00BE72F4"/>
    <w:rsid w:val="00BF021C"/>
    <w:rsid w:val="00BF03F9"/>
    <w:rsid w:val="00BF1442"/>
    <w:rsid w:val="00BF187D"/>
    <w:rsid w:val="00BF2A15"/>
    <w:rsid w:val="00BF362D"/>
    <w:rsid w:val="00BF36C5"/>
    <w:rsid w:val="00BF3721"/>
    <w:rsid w:val="00BF475D"/>
    <w:rsid w:val="00BF4E84"/>
    <w:rsid w:val="00BF5162"/>
    <w:rsid w:val="00BF694A"/>
    <w:rsid w:val="00BF779B"/>
    <w:rsid w:val="00C00988"/>
    <w:rsid w:val="00C00C4C"/>
    <w:rsid w:val="00C01163"/>
    <w:rsid w:val="00C011D2"/>
    <w:rsid w:val="00C02561"/>
    <w:rsid w:val="00C02A47"/>
    <w:rsid w:val="00C0306F"/>
    <w:rsid w:val="00C03334"/>
    <w:rsid w:val="00C033B4"/>
    <w:rsid w:val="00C03455"/>
    <w:rsid w:val="00C03BAE"/>
    <w:rsid w:val="00C04B29"/>
    <w:rsid w:val="00C05331"/>
    <w:rsid w:val="00C05435"/>
    <w:rsid w:val="00C0681B"/>
    <w:rsid w:val="00C06864"/>
    <w:rsid w:val="00C06FF1"/>
    <w:rsid w:val="00C0756F"/>
    <w:rsid w:val="00C109D8"/>
    <w:rsid w:val="00C10E56"/>
    <w:rsid w:val="00C11265"/>
    <w:rsid w:val="00C11631"/>
    <w:rsid w:val="00C13137"/>
    <w:rsid w:val="00C148B7"/>
    <w:rsid w:val="00C14BEE"/>
    <w:rsid w:val="00C17427"/>
    <w:rsid w:val="00C20146"/>
    <w:rsid w:val="00C2182B"/>
    <w:rsid w:val="00C21EC7"/>
    <w:rsid w:val="00C2260D"/>
    <w:rsid w:val="00C2349E"/>
    <w:rsid w:val="00C25D1F"/>
    <w:rsid w:val="00C25FD1"/>
    <w:rsid w:val="00C26F0E"/>
    <w:rsid w:val="00C26FE5"/>
    <w:rsid w:val="00C279ED"/>
    <w:rsid w:val="00C317D9"/>
    <w:rsid w:val="00C3181D"/>
    <w:rsid w:val="00C32421"/>
    <w:rsid w:val="00C3301E"/>
    <w:rsid w:val="00C3365F"/>
    <w:rsid w:val="00C33AF3"/>
    <w:rsid w:val="00C34C8D"/>
    <w:rsid w:val="00C34CD9"/>
    <w:rsid w:val="00C358A5"/>
    <w:rsid w:val="00C35A53"/>
    <w:rsid w:val="00C35F42"/>
    <w:rsid w:val="00C365AF"/>
    <w:rsid w:val="00C36B75"/>
    <w:rsid w:val="00C375B2"/>
    <w:rsid w:val="00C4089B"/>
    <w:rsid w:val="00C40925"/>
    <w:rsid w:val="00C40EEB"/>
    <w:rsid w:val="00C43A0B"/>
    <w:rsid w:val="00C45457"/>
    <w:rsid w:val="00C457C1"/>
    <w:rsid w:val="00C463AD"/>
    <w:rsid w:val="00C465CC"/>
    <w:rsid w:val="00C4752E"/>
    <w:rsid w:val="00C47733"/>
    <w:rsid w:val="00C47BE6"/>
    <w:rsid w:val="00C47C8E"/>
    <w:rsid w:val="00C5027B"/>
    <w:rsid w:val="00C51B24"/>
    <w:rsid w:val="00C51F15"/>
    <w:rsid w:val="00C52610"/>
    <w:rsid w:val="00C53910"/>
    <w:rsid w:val="00C53CA3"/>
    <w:rsid w:val="00C541C9"/>
    <w:rsid w:val="00C54A4F"/>
    <w:rsid w:val="00C54BAA"/>
    <w:rsid w:val="00C55452"/>
    <w:rsid w:val="00C5550F"/>
    <w:rsid w:val="00C56AB7"/>
    <w:rsid w:val="00C56DD6"/>
    <w:rsid w:val="00C57BC2"/>
    <w:rsid w:val="00C600B7"/>
    <w:rsid w:val="00C6159D"/>
    <w:rsid w:val="00C61F19"/>
    <w:rsid w:val="00C62A99"/>
    <w:rsid w:val="00C6369A"/>
    <w:rsid w:val="00C638B0"/>
    <w:rsid w:val="00C6563D"/>
    <w:rsid w:val="00C65D10"/>
    <w:rsid w:val="00C6649C"/>
    <w:rsid w:val="00C66A14"/>
    <w:rsid w:val="00C672B1"/>
    <w:rsid w:val="00C706EB"/>
    <w:rsid w:val="00C7079C"/>
    <w:rsid w:val="00C70B2B"/>
    <w:rsid w:val="00C7319E"/>
    <w:rsid w:val="00C7383B"/>
    <w:rsid w:val="00C73CBD"/>
    <w:rsid w:val="00C73F87"/>
    <w:rsid w:val="00C7550A"/>
    <w:rsid w:val="00C7664E"/>
    <w:rsid w:val="00C76DFB"/>
    <w:rsid w:val="00C76E56"/>
    <w:rsid w:val="00C77AB4"/>
    <w:rsid w:val="00C77F4A"/>
    <w:rsid w:val="00C80AFB"/>
    <w:rsid w:val="00C8129A"/>
    <w:rsid w:val="00C8160D"/>
    <w:rsid w:val="00C81910"/>
    <w:rsid w:val="00C81C79"/>
    <w:rsid w:val="00C81E7C"/>
    <w:rsid w:val="00C82085"/>
    <w:rsid w:val="00C83C8E"/>
    <w:rsid w:val="00C84914"/>
    <w:rsid w:val="00C859B6"/>
    <w:rsid w:val="00C85B4A"/>
    <w:rsid w:val="00C85EBF"/>
    <w:rsid w:val="00C86CE8"/>
    <w:rsid w:val="00C87187"/>
    <w:rsid w:val="00C8781D"/>
    <w:rsid w:val="00C87CEA"/>
    <w:rsid w:val="00C87EBC"/>
    <w:rsid w:val="00C909D6"/>
    <w:rsid w:val="00C909EC"/>
    <w:rsid w:val="00C90A03"/>
    <w:rsid w:val="00C912DD"/>
    <w:rsid w:val="00C934DE"/>
    <w:rsid w:val="00C93655"/>
    <w:rsid w:val="00C94810"/>
    <w:rsid w:val="00C952E7"/>
    <w:rsid w:val="00C9554B"/>
    <w:rsid w:val="00C95A95"/>
    <w:rsid w:val="00C95EC2"/>
    <w:rsid w:val="00C96711"/>
    <w:rsid w:val="00C970DE"/>
    <w:rsid w:val="00CA0077"/>
    <w:rsid w:val="00CA0517"/>
    <w:rsid w:val="00CA0561"/>
    <w:rsid w:val="00CA09AB"/>
    <w:rsid w:val="00CA115C"/>
    <w:rsid w:val="00CA1CAF"/>
    <w:rsid w:val="00CA2BB1"/>
    <w:rsid w:val="00CA33CC"/>
    <w:rsid w:val="00CA3AC7"/>
    <w:rsid w:val="00CA4346"/>
    <w:rsid w:val="00CA492B"/>
    <w:rsid w:val="00CA657C"/>
    <w:rsid w:val="00CB0510"/>
    <w:rsid w:val="00CB0A80"/>
    <w:rsid w:val="00CB0DD8"/>
    <w:rsid w:val="00CB1B74"/>
    <w:rsid w:val="00CB237B"/>
    <w:rsid w:val="00CB274C"/>
    <w:rsid w:val="00CB56FA"/>
    <w:rsid w:val="00CB5B02"/>
    <w:rsid w:val="00CC00D4"/>
    <w:rsid w:val="00CC023D"/>
    <w:rsid w:val="00CC0318"/>
    <w:rsid w:val="00CC0748"/>
    <w:rsid w:val="00CC1024"/>
    <w:rsid w:val="00CC1B6B"/>
    <w:rsid w:val="00CC309F"/>
    <w:rsid w:val="00CC3B56"/>
    <w:rsid w:val="00CC429D"/>
    <w:rsid w:val="00CC5FA7"/>
    <w:rsid w:val="00CC6218"/>
    <w:rsid w:val="00CC7792"/>
    <w:rsid w:val="00CD0374"/>
    <w:rsid w:val="00CD1169"/>
    <w:rsid w:val="00CD2151"/>
    <w:rsid w:val="00CD2669"/>
    <w:rsid w:val="00CD2A7C"/>
    <w:rsid w:val="00CD2C4C"/>
    <w:rsid w:val="00CD375A"/>
    <w:rsid w:val="00CD4238"/>
    <w:rsid w:val="00CD4522"/>
    <w:rsid w:val="00CD4A39"/>
    <w:rsid w:val="00CD4CCE"/>
    <w:rsid w:val="00CD4E24"/>
    <w:rsid w:val="00CD778C"/>
    <w:rsid w:val="00CD7B4E"/>
    <w:rsid w:val="00CE03FC"/>
    <w:rsid w:val="00CE05C8"/>
    <w:rsid w:val="00CE1094"/>
    <w:rsid w:val="00CE28AD"/>
    <w:rsid w:val="00CE4199"/>
    <w:rsid w:val="00CE41EA"/>
    <w:rsid w:val="00CE43A7"/>
    <w:rsid w:val="00CE5A4F"/>
    <w:rsid w:val="00CE5C83"/>
    <w:rsid w:val="00CE622A"/>
    <w:rsid w:val="00CE6498"/>
    <w:rsid w:val="00CE6BCA"/>
    <w:rsid w:val="00CE6EA7"/>
    <w:rsid w:val="00CE75DF"/>
    <w:rsid w:val="00CE76FA"/>
    <w:rsid w:val="00CE796F"/>
    <w:rsid w:val="00CF15D9"/>
    <w:rsid w:val="00CF1B22"/>
    <w:rsid w:val="00CF22DF"/>
    <w:rsid w:val="00CF2A7D"/>
    <w:rsid w:val="00CF3607"/>
    <w:rsid w:val="00CF3F70"/>
    <w:rsid w:val="00CF4990"/>
    <w:rsid w:val="00CF49FA"/>
    <w:rsid w:val="00CF4A97"/>
    <w:rsid w:val="00CF53E2"/>
    <w:rsid w:val="00CF6E93"/>
    <w:rsid w:val="00CF73CC"/>
    <w:rsid w:val="00CF78B3"/>
    <w:rsid w:val="00CF7C67"/>
    <w:rsid w:val="00D00249"/>
    <w:rsid w:val="00D00DC3"/>
    <w:rsid w:val="00D01356"/>
    <w:rsid w:val="00D01EC3"/>
    <w:rsid w:val="00D02B0F"/>
    <w:rsid w:val="00D02BB0"/>
    <w:rsid w:val="00D03272"/>
    <w:rsid w:val="00D0332A"/>
    <w:rsid w:val="00D033D9"/>
    <w:rsid w:val="00D03BF9"/>
    <w:rsid w:val="00D03CD8"/>
    <w:rsid w:val="00D04D34"/>
    <w:rsid w:val="00D059E8"/>
    <w:rsid w:val="00D05CC6"/>
    <w:rsid w:val="00D063ED"/>
    <w:rsid w:val="00D06CD9"/>
    <w:rsid w:val="00D07062"/>
    <w:rsid w:val="00D07374"/>
    <w:rsid w:val="00D07659"/>
    <w:rsid w:val="00D077F7"/>
    <w:rsid w:val="00D07A81"/>
    <w:rsid w:val="00D11A51"/>
    <w:rsid w:val="00D11F15"/>
    <w:rsid w:val="00D12746"/>
    <w:rsid w:val="00D12B1D"/>
    <w:rsid w:val="00D13866"/>
    <w:rsid w:val="00D139D7"/>
    <w:rsid w:val="00D14005"/>
    <w:rsid w:val="00D14B18"/>
    <w:rsid w:val="00D1566E"/>
    <w:rsid w:val="00D1579A"/>
    <w:rsid w:val="00D15E82"/>
    <w:rsid w:val="00D1662A"/>
    <w:rsid w:val="00D1693F"/>
    <w:rsid w:val="00D20F3A"/>
    <w:rsid w:val="00D21D23"/>
    <w:rsid w:val="00D220DF"/>
    <w:rsid w:val="00D22435"/>
    <w:rsid w:val="00D22C2A"/>
    <w:rsid w:val="00D236E3"/>
    <w:rsid w:val="00D23760"/>
    <w:rsid w:val="00D23A41"/>
    <w:rsid w:val="00D23BEC"/>
    <w:rsid w:val="00D248FF"/>
    <w:rsid w:val="00D24B2F"/>
    <w:rsid w:val="00D2501A"/>
    <w:rsid w:val="00D2566F"/>
    <w:rsid w:val="00D25CD6"/>
    <w:rsid w:val="00D26B97"/>
    <w:rsid w:val="00D26CFE"/>
    <w:rsid w:val="00D26ED6"/>
    <w:rsid w:val="00D27113"/>
    <w:rsid w:val="00D27596"/>
    <w:rsid w:val="00D300B1"/>
    <w:rsid w:val="00D31047"/>
    <w:rsid w:val="00D313DC"/>
    <w:rsid w:val="00D32F67"/>
    <w:rsid w:val="00D34DC4"/>
    <w:rsid w:val="00D3579F"/>
    <w:rsid w:val="00D35ADB"/>
    <w:rsid w:val="00D366A3"/>
    <w:rsid w:val="00D36DE6"/>
    <w:rsid w:val="00D37A30"/>
    <w:rsid w:val="00D409FC"/>
    <w:rsid w:val="00D40C79"/>
    <w:rsid w:val="00D4164A"/>
    <w:rsid w:val="00D4210B"/>
    <w:rsid w:val="00D4421E"/>
    <w:rsid w:val="00D44355"/>
    <w:rsid w:val="00D44CA3"/>
    <w:rsid w:val="00D45456"/>
    <w:rsid w:val="00D4555E"/>
    <w:rsid w:val="00D45D73"/>
    <w:rsid w:val="00D46B26"/>
    <w:rsid w:val="00D4723B"/>
    <w:rsid w:val="00D47D9E"/>
    <w:rsid w:val="00D510BE"/>
    <w:rsid w:val="00D5130D"/>
    <w:rsid w:val="00D52DA1"/>
    <w:rsid w:val="00D5365A"/>
    <w:rsid w:val="00D536DB"/>
    <w:rsid w:val="00D539AD"/>
    <w:rsid w:val="00D539F6"/>
    <w:rsid w:val="00D55DE4"/>
    <w:rsid w:val="00D55E53"/>
    <w:rsid w:val="00D568B1"/>
    <w:rsid w:val="00D57507"/>
    <w:rsid w:val="00D5799C"/>
    <w:rsid w:val="00D60A93"/>
    <w:rsid w:val="00D60BC2"/>
    <w:rsid w:val="00D61422"/>
    <w:rsid w:val="00D639DD"/>
    <w:rsid w:val="00D6441D"/>
    <w:rsid w:val="00D646D0"/>
    <w:rsid w:val="00D64893"/>
    <w:rsid w:val="00D65034"/>
    <w:rsid w:val="00D6511A"/>
    <w:rsid w:val="00D65196"/>
    <w:rsid w:val="00D670B8"/>
    <w:rsid w:val="00D67693"/>
    <w:rsid w:val="00D67F67"/>
    <w:rsid w:val="00D7050C"/>
    <w:rsid w:val="00D71112"/>
    <w:rsid w:val="00D7156D"/>
    <w:rsid w:val="00D730B2"/>
    <w:rsid w:val="00D7316E"/>
    <w:rsid w:val="00D738BE"/>
    <w:rsid w:val="00D745E4"/>
    <w:rsid w:val="00D758FA"/>
    <w:rsid w:val="00D75D7E"/>
    <w:rsid w:val="00D764D5"/>
    <w:rsid w:val="00D7789B"/>
    <w:rsid w:val="00D779F4"/>
    <w:rsid w:val="00D8106C"/>
    <w:rsid w:val="00D83F6A"/>
    <w:rsid w:val="00D8505D"/>
    <w:rsid w:val="00D85BC1"/>
    <w:rsid w:val="00D85E22"/>
    <w:rsid w:val="00D86784"/>
    <w:rsid w:val="00D86F7D"/>
    <w:rsid w:val="00D871D6"/>
    <w:rsid w:val="00D87BAA"/>
    <w:rsid w:val="00D911AE"/>
    <w:rsid w:val="00D91B17"/>
    <w:rsid w:val="00D93653"/>
    <w:rsid w:val="00D93E13"/>
    <w:rsid w:val="00D9406B"/>
    <w:rsid w:val="00D944D7"/>
    <w:rsid w:val="00D94D02"/>
    <w:rsid w:val="00D94F62"/>
    <w:rsid w:val="00D950EA"/>
    <w:rsid w:val="00D95573"/>
    <w:rsid w:val="00D96600"/>
    <w:rsid w:val="00D966BC"/>
    <w:rsid w:val="00D96D0C"/>
    <w:rsid w:val="00D97197"/>
    <w:rsid w:val="00DA0989"/>
    <w:rsid w:val="00DA0A0A"/>
    <w:rsid w:val="00DA0F85"/>
    <w:rsid w:val="00DA14B2"/>
    <w:rsid w:val="00DA1AA6"/>
    <w:rsid w:val="00DA1FD4"/>
    <w:rsid w:val="00DA3AC3"/>
    <w:rsid w:val="00DA3B91"/>
    <w:rsid w:val="00DA3D82"/>
    <w:rsid w:val="00DA3DA0"/>
    <w:rsid w:val="00DA3E6A"/>
    <w:rsid w:val="00DA43F5"/>
    <w:rsid w:val="00DA4677"/>
    <w:rsid w:val="00DA4F82"/>
    <w:rsid w:val="00DA544F"/>
    <w:rsid w:val="00DA5CFA"/>
    <w:rsid w:val="00DA6067"/>
    <w:rsid w:val="00DA60EC"/>
    <w:rsid w:val="00DA689E"/>
    <w:rsid w:val="00DA6E92"/>
    <w:rsid w:val="00DA6F9A"/>
    <w:rsid w:val="00DA7F82"/>
    <w:rsid w:val="00DB0145"/>
    <w:rsid w:val="00DB0301"/>
    <w:rsid w:val="00DB0960"/>
    <w:rsid w:val="00DB0AA0"/>
    <w:rsid w:val="00DB170B"/>
    <w:rsid w:val="00DB19A1"/>
    <w:rsid w:val="00DB2BC7"/>
    <w:rsid w:val="00DB3BE5"/>
    <w:rsid w:val="00DB3FAC"/>
    <w:rsid w:val="00DB472E"/>
    <w:rsid w:val="00DB4CFE"/>
    <w:rsid w:val="00DB7214"/>
    <w:rsid w:val="00DB7589"/>
    <w:rsid w:val="00DB780E"/>
    <w:rsid w:val="00DB7A53"/>
    <w:rsid w:val="00DB7CB8"/>
    <w:rsid w:val="00DC0134"/>
    <w:rsid w:val="00DC0770"/>
    <w:rsid w:val="00DC14D9"/>
    <w:rsid w:val="00DC1A19"/>
    <w:rsid w:val="00DC1ECB"/>
    <w:rsid w:val="00DC1F2F"/>
    <w:rsid w:val="00DC2112"/>
    <w:rsid w:val="00DC2433"/>
    <w:rsid w:val="00DC2DF4"/>
    <w:rsid w:val="00DC3336"/>
    <w:rsid w:val="00DC35A3"/>
    <w:rsid w:val="00DC35AB"/>
    <w:rsid w:val="00DC3A01"/>
    <w:rsid w:val="00DC3ED7"/>
    <w:rsid w:val="00DC4864"/>
    <w:rsid w:val="00DC50A4"/>
    <w:rsid w:val="00DC5319"/>
    <w:rsid w:val="00DC54F2"/>
    <w:rsid w:val="00DC5676"/>
    <w:rsid w:val="00DC57BB"/>
    <w:rsid w:val="00DC5DE4"/>
    <w:rsid w:val="00DC6278"/>
    <w:rsid w:val="00DC6377"/>
    <w:rsid w:val="00DC6395"/>
    <w:rsid w:val="00DC7041"/>
    <w:rsid w:val="00DC706E"/>
    <w:rsid w:val="00DC7420"/>
    <w:rsid w:val="00DC7DEE"/>
    <w:rsid w:val="00DC7F48"/>
    <w:rsid w:val="00DD01D9"/>
    <w:rsid w:val="00DD0B3E"/>
    <w:rsid w:val="00DD0F8F"/>
    <w:rsid w:val="00DD1196"/>
    <w:rsid w:val="00DD21AD"/>
    <w:rsid w:val="00DD2662"/>
    <w:rsid w:val="00DD2A11"/>
    <w:rsid w:val="00DD2A5E"/>
    <w:rsid w:val="00DD319B"/>
    <w:rsid w:val="00DD32B0"/>
    <w:rsid w:val="00DD33B1"/>
    <w:rsid w:val="00DD3756"/>
    <w:rsid w:val="00DD5C6A"/>
    <w:rsid w:val="00DD71C3"/>
    <w:rsid w:val="00DD7539"/>
    <w:rsid w:val="00DD7E36"/>
    <w:rsid w:val="00DE00CA"/>
    <w:rsid w:val="00DE042A"/>
    <w:rsid w:val="00DE0843"/>
    <w:rsid w:val="00DE08B4"/>
    <w:rsid w:val="00DE0EF0"/>
    <w:rsid w:val="00DE0FB8"/>
    <w:rsid w:val="00DE1D2D"/>
    <w:rsid w:val="00DE2205"/>
    <w:rsid w:val="00DE226C"/>
    <w:rsid w:val="00DE2839"/>
    <w:rsid w:val="00DE39BB"/>
    <w:rsid w:val="00DE4303"/>
    <w:rsid w:val="00DE4558"/>
    <w:rsid w:val="00DE5972"/>
    <w:rsid w:val="00DE6CE4"/>
    <w:rsid w:val="00DE7526"/>
    <w:rsid w:val="00DE781E"/>
    <w:rsid w:val="00DE7BCF"/>
    <w:rsid w:val="00DF08FD"/>
    <w:rsid w:val="00DF16E0"/>
    <w:rsid w:val="00DF1A2D"/>
    <w:rsid w:val="00DF1F22"/>
    <w:rsid w:val="00DF2615"/>
    <w:rsid w:val="00DF2D1F"/>
    <w:rsid w:val="00DF2FC5"/>
    <w:rsid w:val="00DF5832"/>
    <w:rsid w:val="00DF6FDF"/>
    <w:rsid w:val="00E008AD"/>
    <w:rsid w:val="00E02223"/>
    <w:rsid w:val="00E025FC"/>
    <w:rsid w:val="00E02755"/>
    <w:rsid w:val="00E03064"/>
    <w:rsid w:val="00E03278"/>
    <w:rsid w:val="00E04096"/>
    <w:rsid w:val="00E04381"/>
    <w:rsid w:val="00E06CDA"/>
    <w:rsid w:val="00E07D88"/>
    <w:rsid w:val="00E1160F"/>
    <w:rsid w:val="00E11E71"/>
    <w:rsid w:val="00E133FE"/>
    <w:rsid w:val="00E13774"/>
    <w:rsid w:val="00E159F7"/>
    <w:rsid w:val="00E15C1E"/>
    <w:rsid w:val="00E1615C"/>
    <w:rsid w:val="00E16353"/>
    <w:rsid w:val="00E16AC6"/>
    <w:rsid w:val="00E212E3"/>
    <w:rsid w:val="00E213ED"/>
    <w:rsid w:val="00E2140D"/>
    <w:rsid w:val="00E215B0"/>
    <w:rsid w:val="00E21ACD"/>
    <w:rsid w:val="00E21D28"/>
    <w:rsid w:val="00E21FC7"/>
    <w:rsid w:val="00E23505"/>
    <w:rsid w:val="00E23FF3"/>
    <w:rsid w:val="00E24396"/>
    <w:rsid w:val="00E2447A"/>
    <w:rsid w:val="00E24DAD"/>
    <w:rsid w:val="00E259FE"/>
    <w:rsid w:val="00E25BBF"/>
    <w:rsid w:val="00E26B2E"/>
    <w:rsid w:val="00E27525"/>
    <w:rsid w:val="00E27589"/>
    <w:rsid w:val="00E27BF8"/>
    <w:rsid w:val="00E27F2E"/>
    <w:rsid w:val="00E300D3"/>
    <w:rsid w:val="00E302F5"/>
    <w:rsid w:val="00E3116F"/>
    <w:rsid w:val="00E311A2"/>
    <w:rsid w:val="00E318CE"/>
    <w:rsid w:val="00E32708"/>
    <w:rsid w:val="00E336DC"/>
    <w:rsid w:val="00E33A02"/>
    <w:rsid w:val="00E33DD1"/>
    <w:rsid w:val="00E34280"/>
    <w:rsid w:val="00E34EFA"/>
    <w:rsid w:val="00E3509D"/>
    <w:rsid w:val="00E35C5C"/>
    <w:rsid w:val="00E364D3"/>
    <w:rsid w:val="00E37503"/>
    <w:rsid w:val="00E40778"/>
    <w:rsid w:val="00E40885"/>
    <w:rsid w:val="00E41362"/>
    <w:rsid w:val="00E41680"/>
    <w:rsid w:val="00E4189A"/>
    <w:rsid w:val="00E42172"/>
    <w:rsid w:val="00E4223B"/>
    <w:rsid w:val="00E42ADD"/>
    <w:rsid w:val="00E43AF4"/>
    <w:rsid w:val="00E43C3F"/>
    <w:rsid w:val="00E4450C"/>
    <w:rsid w:val="00E44A0B"/>
    <w:rsid w:val="00E44ECA"/>
    <w:rsid w:val="00E45314"/>
    <w:rsid w:val="00E45EB3"/>
    <w:rsid w:val="00E45FD0"/>
    <w:rsid w:val="00E47A6E"/>
    <w:rsid w:val="00E50BF6"/>
    <w:rsid w:val="00E51D18"/>
    <w:rsid w:val="00E51E2D"/>
    <w:rsid w:val="00E52463"/>
    <w:rsid w:val="00E52728"/>
    <w:rsid w:val="00E52777"/>
    <w:rsid w:val="00E5316F"/>
    <w:rsid w:val="00E532A6"/>
    <w:rsid w:val="00E538ED"/>
    <w:rsid w:val="00E54078"/>
    <w:rsid w:val="00E54827"/>
    <w:rsid w:val="00E54D5D"/>
    <w:rsid w:val="00E564F2"/>
    <w:rsid w:val="00E56808"/>
    <w:rsid w:val="00E573A1"/>
    <w:rsid w:val="00E57BE8"/>
    <w:rsid w:val="00E603D1"/>
    <w:rsid w:val="00E610CA"/>
    <w:rsid w:val="00E6116F"/>
    <w:rsid w:val="00E618C8"/>
    <w:rsid w:val="00E61AB2"/>
    <w:rsid w:val="00E61B4E"/>
    <w:rsid w:val="00E61D98"/>
    <w:rsid w:val="00E6231B"/>
    <w:rsid w:val="00E64AA2"/>
    <w:rsid w:val="00E662B4"/>
    <w:rsid w:val="00E670F3"/>
    <w:rsid w:val="00E67A2B"/>
    <w:rsid w:val="00E70DA6"/>
    <w:rsid w:val="00E70E5C"/>
    <w:rsid w:val="00E7119E"/>
    <w:rsid w:val="00E72030"/>
    <w:rsid w:val="00E726BF"/>
    <w:rsid w:val="00E72F7D"/>
    <w:rsid w:val="00E732F9"/>
    <w:rsid w:val="00E746E4"/>
    <w:rsid w:val="00E74D18"/>
    <w:rsid w:val="00E75623"/>
    <w:rsid w:val="00E75FFF"/>
    <w:rsid w:val="00E76E66"/>
    <w:rsid w:val="00E772A0"/>
    <w:rsid w:val="00E775BA"/>
    <w:rsid w:val="00E77940"/>
    <w:rsid w:val="00E77EB4"/>
    <w:rsid w:val="00E77ECC"/>
    <w:rsid w:val="00E77FB2"/>
    <w:rsid w:val="00E8012E"/>
    <w:rsid w:val="00E8102D"/>
    <w:rsid w:val="00E817C7"/>
    <w:rsid w:val="00E82536"/>
    <w:rsid w:val="00E82A64"/>
    <w:rsid w:val="00E82CE4"/>
    <w:rsid w:val="00E84659"/>
    <w:rsid w:val="00E8488D"/>
    <w:rsid w:val="00E85C67"/>
    <w:rsid w:val="00E85F51"/>
    <w:rsid w:val="00E86281"/>
    <w:rsid w:val="00E86337"/>
    <w:rsid w:val="00E872C8"/>
    <w:rsid w:val="00E87DB3"/>
    <w:rsid w:val="00E92229"/>
    <w:rsid w:val="00E9235F"/>
    <w:rsid w:val="00E93709"/>
    <w:rsid w:val="00E946DA"/>
    <w:rsid w:val="00E94C5C"/>
    <w:rsid w:val="00E95142"/>
    <w:rsid w:val="00E9550F"/>
    <w:rsid w:val="00E96BEA"/>
    <w:rsid w:val="00E96F86"/>
    <w:rsid w:val="00E970B4"/>
    <w:rsid w:val="00E977F3"/>
    <w:rsid w:val="00E97F11"/>
    <w:rsid w:val="00EA0555"/>
    <w:rsid w:val="00EA083F"/>
    <w:rsid w:val="00EA19B3"/>
    <w:rsid w:val="00EA25B1"/>
    <w:rsid w:val="00EA2936"/>
    <w:rsid w:val="00EA2E64"/>
    <w:rsid w:val="00EA3C2C"/>
    <w:rsid w:val="00EA4154"/>
    <w:rsid w:val="00EA4636"/>
    <w:rsid w:val="00EA4D82"/>
    <w:rsid w:val="00EA5DF6"/>
    <w:rsid w:val="00EA6B75"/>
    <w:rsid w:val="00EA71C9"/>
    <w:rsid w:val="00EA721A"/>
    <w:rsid w:val="00EA7CA8"/>
    <w:rsid w:val="00EB04B7"/>
    <w:rsid w:val="00EB04DD"/>
    <w:rsid w:val="00EB0BAF"/>
    <w:rsid w:val="00EB212E"/>
    <w:rsid w:val="00EB3CB2"/>
    <w:rsid w:val="00EB4215"/>
    <w:rsid w:val="00EB44D0"/>
    <w:rsid w:val="00EB53D3"/>
    <w:rsid w:val="00EB5576"/>
    <w:rsid w:val="00EB5581"/>
    <w:rsid w:val="00EB5852"/>
    <w:rsid w:val="00EB58D7"/>
    <w:rsid w:val="00EB5A2B"/>
    <w:rsid w:val="00EB5CE5"/>
    <w:rsid w:val="00EB7452"/>
    <w:rsid w:val="00EC04A6"/>
    <w:rsid w:val="00EC05F5"/>
    <w:rsid w:val="00EC10CC"/>
    <w:rsid w:val="00EC158E"/>
    <w:rsid w:val="00EC18D0"/>
    <w:rsid w:val="00EC1DDB"/>
    <w:rsid w:val="00EC24D7"/>
    <w:rsid w:val="00EC295E"/>
    <w:rsid w:val="00EC2F3E"/>
    <w:rsid w:val="00EC3187"/>
    <w:rsid w:val="00EC3325"/>
    <w:rsid w:val="00EC3565"/>
    <w:rsid w:val="00EC390E"/>
    <w:rsid w:val="00EC47B4"/>
    <w:rsid w:val="00EC496E"/>
    <w:rsid w:val="00EC4B25"/>
    <w:rsid w:val="00EC4B26"/>
    <w:rsid w:val="00EC5B78"/>
    <w:rsid w:val="00EC68CA"/>
    <w:rsid w:val="00EC6A10"/>
    <w:rsid w:val="00EC7AA4"/>
    <w:rsid w:val="00ED09C1"/>
    <w:rsid w:val="00ED0E84"/>
    <w:rsid w:val="00ED14A0"/>
    <w:rsid w:val="00ED2386"/>
    <w:rsid w:val="00ED26D1"/>
    <w:rsid w:val="00ED2E74"/>
    <w:rsid w:val="00ED3736"/>
    <w:rsid w:val="00ED40B9"/>
    <w:rsid w:val="00ED5E34"/>
    <w:rsid w:val="00ED625C"/>
    <w:rsid w:val="00ED7F57"/>
    <w:rsid w:val="00EE1544"/>
    <w:rsid w:val="00EE1A66"/>
    <w:rsid w:val="00EE2237"/>
    <w:rsid w:val="00EE26CE"/>
    <w:rsid w:val="00EE29F5"/>
    <w:rsid w:val="00EE3C84"/>
    <w:rsid w:val="00EE3ED4"/>
    <w:rsid w:val="00EE468C"/>
    <w:rsid w:val="00EE487B"/>
    <w:rsid w:val="00EE4946"/>
    <w:rsid w:val="00EE58B5"/>
    <w:rsid w:val="00EE5CC8"/>
    <w:rsid w:val="00EE7D53"/>
    <w:rsid w:val="00EE7DCF"/>
    <w:rsid w:val="00EE7E10"/>
    <w:rsid w:val="00EE7F2F"/>
    <w:rsid w:val="00EF1244"/>
    <w:rsid w:val="00EF13C3"/>
    <w:rsid w:val="00EF159F"/>
    <w:rsid w:val="00EF15E2"/>
    <w:rsid w:val="00EF307E"/>
    <w:rsid w:val="00EF30E9"/>
    <w:rsid w:val="00EF5087"/>
    <w:rsid w:val="00EF524F"/>
    <w:rsid w:val="00EF5566"/>
    <w:rsid w:val="00EF56E6"/>
    <w:rsid w:val="00EF69C1"/>
    <w:rsid w:val="00EF6CB8"/>
    <w:rsid w:val="00EF7045"/>
    <w:rsid w:val="00EF772E"/>
    <w:rsid w:val="00EF7EE1"/>
    <w:rsid w:val="00F00C35"/>
    <w:rsid w:val="00F00D5A"/>
    <w:rsid w:val="00F01A00"/>
    <w:rsid w:val="00F01A1E"/>
    <w:rsid w:val="00F021DA"/>
    <w:rsid w:val="00F0234F"/>
    <w:rsid w:val="00F027FB"/>
    <w:rsid w:val="00F02C98"/>
    <w:rsid w:val="00F031FD"/>
    <w:rsid w:val="00F0362A"/>
    <w:rsid w:val="00F042F5"/>
    <w:rsid w:val="00F04426"/>
    <w:rsid w:val="00F0467B"/>
    <w:rsid w:val="00F048CE"/>
    <w:rsid w:val="00F051D6"/>
    <w:rsid w:val="00F07DC2"/>
    <w:rsid w:val="00F10B8E"/>
    <w:rsid w:val="00F113BD"/>
    <w:rsid w:val="00F1151F"/>
    <w:rsid w:val="00F116BC"/>
    <w:rsid w:val="00F11CD7"/>
    <w:rsid w:val="00F123A9"/>
    <w:rsid w:val="00F12E00"/>
    <w:rsid w:val="00F13EDC"/>
    <w:rsid w:val="00F1455E"/>
    <w:rsid w:val="00F14817"/>
    <w:rsid w:val="00F14FFB"/>
    <w:rsid w:val="00F15192"/>
    <w:rsid w:val="00F15325"/>
    <w:rsid w:val="00F15417"/>
    <w:rsid w:val="00F1588D"/>
    <w:rsid w:val="00F15A85"/>
    <w:rsid w:val="00F15FD9"/>
    <w:rsid w:val="00F1627C"/>
    <w:rsid w:val="00F164C3"/>
    <w:rsid w:val="00F166C9"/>
    <w:rsid w:val="00F16810"/>
    <w:rsid w:val="00F16F4C"/>
    <w:rsid w:val="00F17034"/>
    <w:rsid w:val="00F17091"/>
    <w:rsid w:val="00F17782"/>
    <w:rsid w:val="00F20428"/>
    <w:rsid w:val="00F208D4"/>
    <w:rsid w:val="00F2124A"/>
    <w:rsid w:val="00F22F4F"/>
    <w:rsid w:val="00F2364E"/>
    <w:rsid w:val="00F2389C"/>
    <w:rsid w:val="00F23926"/>
    <w:rsid w:val="00F243D4"/>
    <w:rsid w:val="00F2595A"/>
    <w:rsid w:val="00F25CA6"/>
    <w:rsid w:val="00F26507"/>
    <w:rsid w:val="00F2654E"/>
    <w:rsid w:val="00F271F4"/>
    <w:rsid w:val="00F27248"/>
    <w:rsid w:val="00F27CFE"/>
    <w:rsid w:val="00F30471"/>
    <w:rsid w:val="00F30655"/>
    <w:rsid w:val="00F30B5D"/>
    <w:rsid w:val="00F30BDF"/>
    <w:rsid w:val="00F30F26"/>
    <w:rsid w:val="00F314FE"/>
    <w:rsid w:val="00F31F80"/>
    <w:rsid w:val="00F32869"/>
    <w:rsid w:val="00F33207"/>
    <w:rsid w:val="00F333CF"/>
    <w:rsid w:val="00F33BDA"/>
    <w:rsid w:val="00F35280"/>
    <w:rsid w:val="00F3564F"/>
    <w:rsid w:val="00F35F4E"/>
    <w:rsid w:val="00F3615E"/>
    <w:rsid w:val="00F36577"/>
    <w:rsid w:val="00F40DE7"/>
    <w:rsid w:val="00F41389"/>
    <w:rsid w:val="00F417C3"/>
    <w:rsid w:val="00F42B95"/>
    <w:rsid w:val="00F42D7D"/>
    <w:rsid w:val="00F42DD0"/>
    <w:rsid w:val="00F43612"/>
    <w:rsid w:val="00F4395E"/>
    <w:rsid w:val="00F43990"/>
    <w:rsid w:val="00F43ACD"/>
    <w:rsid w:val="00F43BBA"/>
    <w:rsid w:val="00F43BBE"/>
    <w:rsid w:val="00F4559D"/>
    <w:rsid w:val="00F45C5A"/>
    <w:rsid w:val="00F46110"/>
    <w:rsid w:val="00F4750E"/>
    <w:rsid w:val="00F47669"/>
    <w:rsid w:val="00F47920"/>
    <w:rsid w:val="00F47EE0"/>
    <w:rsid w:val="00F500B2"/>
    <w:rsid w:val="00F505D2"/>
    <w:rsid w:val="00F54083"/>
    <w:rsid w:val="00F5429B"/>
    <w:rsid w:val="00F570DD"/>
    <w:rsid w:val="00F60055"/>
    <w:rsid w:val="00F60411"/>
    <w:rsid w:val="00F60796"/>
    <w:rsid w:val="00F60BA2"/>
    <w:rsid w:val="00F613C3"/>
    <w:rsid w:val="00F61522"/>
    <w:rsid w:val="00F61BE3"/>
    <w:rsid w:val="00F6208F"/>
    <w:rsid w:val="00F6357E"/>
    <w:rsid w:val="00F63A15"/>
    <w:rsid w:val="00F64341"/>
    <w:rsid w:val="00F649B3"/>
    <w:rsid w:val="00F651A3"/>
    <w:rsid w:val="00F6533E"/>
    <w:rsid w:val="00F6547E"/>
    <w:rsid w:val="00F654AB"/>
    <w:rsid w:val="00F65688"/>
    <w:rsid w:val="00F65C13"/>
    <w:rsid w:val="00F66812"/>
    <w:rsid w:val="00F668D3"/>
    <w:rsid w:val="00F67867"/>
    <w:rsid w:val="00F70582"/>
    <w:rsid w:val="00F710B6"/>
    <w:rsid w:val="00F71253"/>
    <w:rsid w:val="00F716C0"/>
    <w:rsid w:val="00F71AC4"/>
    <w:rsid w:val="00F7233C"/>
    <w:rsid w:val="00F724C3"/>
    <w:rsid w:val="00F72AB0"/>
    <w:rsid w:val="00F73104"/>
    <w:rsid w:val="00F7314C"/>
    <w:rsid w:val="00F7346C"/>
    <w:rsid w:val="00F73756"/>
    <w:rsid w:val="00F74ED9"/>
    <w:rsid w:val="00F759A9"/>
    <w:rsid w:val="00F75D5B"/>
    <w:rsid w:val="00F764FD"/>
    <w:rsid w:val="00F76FBC"/>
    <w:rsid w:val="00F7796B"/>
    <w:rsid w:val="00F77BAF"/>
    <w:rsid w:val="00F80409"/>
    <w:rsid w:val="00F838B8"/>
    <w:rsid w:val="00F838CF"/>
    <w:rsid w:val="00F83B35"/>
    <w:rsid w:val="00F83CB7"/>
    <w:rsid w:val="00F83E95"/>
    <w:rsid w:val="00F84433"/>
    <w:rsid w:val="00F84C56"/>
    <w:rsid w:val="00F853A8"/>
    <w:rsid w:val="00F8566A"/>
    <w:rsid w:val="00F85F7F"/>
    <w:rsid w:val="00F8604C"/>
    <w:rsid w:val="00F8617C"/>
    <w:rsid w:val="00F86D03"/>
    <w:rsid w:val="00F8722A"/>
    <w:rsid w:val="00F8774F"/>
    <w:rsid w:val="00F87E60"/>
    <w:rsid w:val="00F90B59"/>
    <w:rsid w:val="00F911A0"/>
    <w:rsid w:val="00F9229B"/>
    <w:rsid w:val="00F92300"/>
    <w:rsid w:val="00F92401"/>
    <w:rsid w:val="00F9318A"/>
    <w:rsid w:val="00F93318"/>
    <w:rsid w:val="00F93F39"/>
    <w:rsid w:val="00F94113"/>
    <w:rsid w:val="00F94594"/>
    <w:rsid w:val="00F94633"/>
    <w:rsid w:val="00F94881"/>
    <w:rsid w:val="00F948DD"/>
    <w:rsid w:val="00F94EBE"/>
    <w:rsid w:val="00F975FE"/>
    <w:rsid w:val="00F97BAD"/>
    <w:rsid w:val="00FA0153"/>
    <w:rsid w:val="00FA056F"/>
    <w:rsid w:val="00FA293D"/>
    <w:rsid w:val="00FA3ADF"/>
    <w:rsid w:val="00FA4193"/>
    <w:rsid w:val="00FA492C"/>
    <w:rsid w:val="00FA54D0"/>
    <w:rsid w:val="00FA5AE3"/>
    <w:rsid w:val="00FA5AEF"/>
    <w:rsid w:val="00FA5D3A"/>
    <w:rsid w:val="00FA62D2"/>
    <w:rsid w:val="00FA6C7E"/>
    <w:rsid w:val="00FA74A6"/>
    <w:rsid w:val="00FA75AC"/>
    <w:rsid w:val="00FA75FF"/>
    <w:rsid w:val="00FA77F1"/>
    <w:rsid w:val="00FA7F5A"/>
    <w:rsid w:val="00FB13D2"/>
    <w:rsid w:val="00FB13DF"/>
    <w:rsid w:val="00FB19C3"/>
    <w:rsid w:val="00FB1BFB"/>
    <w:rsid w:val="00FB2627"/>
    <w:rsid w:val="00FB2C74"/>
    <w:rsid w:val="00FB3675"/>
    <w:rsid w:val="00FB3B85"/>
    <w:rsid w:val="00FB4968"/>
    <w:rsid w:val="00FB538E"/>
    <w:rsid w:val="00FB543C"/>
    <w:rsid w:val="00FB563A"/>
    <w:rsid w:val="00FB59EF"/>
    <w:rsid w:val="00FB5EAE"/>
    <w:rsid w:val="00FB7E90"/>
    <w:rsid w:val="00FB7F2B"/>
    <w:rsid w:val="00FC1537"/>
    <w:rsid w:val="00FC25E5"/>
    <w:rsid w:val="00FC2705"/>
    <w:rsid w:val="00FC2AAF"/>
    <w:rsid w:val="00FC4415"/>
    <w:rsid w:val="00FC4462"/>
    <w:rsid w:val="00FC53EE"/>
    <w:rsid w:val="00FC56E3"/>
    <w:rsid w:val="00FC5CB6"/>
    <w:rsid w:val="00FC5EDC"/>
    <w:rsid w:val="00FC5F47"/>
    <w:rsid w:val="00FC63F2"/>
    <w:rsid w:val="00FC64E7"/>
    <w:rsid w:val="00FC66C5"/>
    <w:rsid w:val="00FC6B18"/>
    <w:rsid w:val="00FD0110"/>
    <w:rsid w:val="00FD01FC"/>
    <w:rsid w:val="00FD13AA"/>
    <w:rsid w:val="00FD1432"/>
    <w:rsid w:val="00FD1A7D"/>
    <w:rsid w:val="00FD1B35"/>
    <w:rsid w:val="00FD2513"/>
    <w:rsid w:val="00FD2811"/>
    <w:rsid w:val="00FD2E83"/>
    <w:rsid w:val="00FD3FAF"/>
    <w:rsid w:val="00FD42EF"/>
    <w:rsid w:val="00FD4C60"/>
    <w:rsid w:val="00FD606C"/>
    <w:rsid w:val="00FD757F"/>
    <w:rsid w:val="00FD7A36"/>
    <w:rsid w:val="00FE0368"/>
    <w:rsid w:val="00FE062D"/>
    <w:rsid w:val="00FE08D9"/>
    <w:rsid w:val="00FE0FBB"/>
    <w:rsid w:val="00FE15B5"/>
    <w:rsid w:val="00FE1F63"/>
    <w:rsid w:val="00FE2C65"/>
    <w:rsid w:val="00FE389B"/>
    <w:rsid w:val="00FE3B29"/>
    <w:rsid w:val="00FE3BED"/>
    <w:rsid w:val="00FE40B6"/>
    <w:rsid w:val="00FE5D4D"/>
    <w:rsid w:val="00FE6644"/>
    <w:rsid w:val="00FE6C0C"/>
    <w:rsid w:val="00FE77DD"/>
    <w:rsid w:val="00FF15E5"/>
    <w:rsid w:val="00FF27B0"/>
    <w:rsid w:val="00FF27D0"/>
    <w:rsid w:val="00FF2DBD"/>
    <w:rsid w:val="00FF2F58"/>
    <w:rsid w:val="00FF3A94"/>
    <w:rsid w:val="00FF49D7"/>
    <w:rsid w:val="00FF4DAE"/>
    <w:rsid w:val="00FF545C"/>
    <w:rsid w:val="00FF54E9"/>
    <w:rsid w:val="00FF5C41"/>
    <w:rsid w:val="00FF5D72"/>
    <w:rsid w:val="00FF5DD5"/>
    <w:rsid w:val="00FF728C"/>
    <w:rsid w:val="00FF7B60"/>
    <w:rsid w:val="00FF7E00"/>
    <w:rsid w:val="01B40E0E"/>
    <w:rsid w:val="01C121A1"/>
    <w:rsid w:val="01DC5340"/>
    <w:rsid w:val="02206512"/>
    <w:rsid w:val="023B2140"/>
    <w:rsid w:val="02EC31EC"/>
    <w:rsid w:val="030B0776"/>
    <w:rsid w:val="03140D5B"/>
    <w:rsid w:val="03296E38"/>
    <w:rsid w:val="03A55675"/>
    <w:rsid w:val="04290541"/>
    <w:rsid w:val="045402DB"/>
    <w:rsid w:val="054D733B"/>
    <w:rsid w:val="05A116B8"/>
    <w:rsid w:val="05A708B6"/>
    <w:rsid w:val="05D215EF"/>
    <w:rsid w:val="05DB6B85"/>
    <w:rsid w:val="06557051"/>
    <w:rsid w:val="06BF1923"/>
    <w:rsid w:val="07297064"/>
    <w:rsid w:val="072B17AD"/>
    <w:rsid w:val="07553BC4"/>
    <w:rsid w:val="08ED2716"/>
    <w:rsid w:val="09393EEB"/>
    <w:rsid w:val="0973411B"/>
    <w:rsid w:val="099F3B33"/>
    <w:rsid w:val="0A3F1042"/>
    <w:rsid w:val="0A4A7FB7"/>
    <w:rsid w:val="0A8F3F52"/>
    <w:rsid w:val="0AAD3CFC"/>
    <w:rsid w:val="0AC565D7"/>
    <w:rsid w:val="0AE20DE2"/>
    <w:rsid w:val="0B286091"/>
    <w:rsid w:val="0B815F85"/>
    <w:rsid w:val="0BCD5663"/>
    <w:rsid w:val="0C0D512F"/>
    <w:rsid w:val="0C354B59"/>
    <w:rsid w:val="0C672207"/>
    <w:rsid w:val="0D501341"/>
    <w:rsid w:val="0D822CF6"/>
    <w:rsid w:val="0DD70033"/>
    <w:rsid w:val="0EF85D5F"/>
    <w:rsid w:val="105A2EA3"/>
    <w:rsid w:val="111F2426"/>
    <w:rsid w:val="1163214E"/>
    <w:rsid w:val="11BA3663"/>
    <w:rsid w:val="121D3D00"/>
    <w:rsid w:val="12761838"/>
    <w:rsid w:val="12763439"/>
    <w:rsid w:val="13752687"/>
    <w:rsid w:val="139C7B5A"/>
    <w:rsid w:val="13F079B0"/>
    <w:rsid w:val="14182B58"/>
    <w:rsid w:val="14CE38A7"/>
    <w:rsid w:val="152E4A94"/>
    <w:rsid w:val="153324C5"/>
    <w:rsid w:val="159212A1"/>
    <w:rsid w:val="15981B16"/>
    <w:rsid w:val="15CE2029"/>
    <w:rsid w:val="15D16C4B"/>
    <w:rsid w:val="16117F11"/>
    <w:rsid w:val="164178B5"/>
    <w:rsid w:val="16DB77CE"/>
    <w:rsid w:val="16F72127"/>
    <w:rsid w:val="17A2556D"/>
    <w:rsid w:val="17F23864"/>
    <w:rsid w:val="182F71BE"/>
    <w:rsid w:val="19170D76"/>
    <w:rsid w:val="194303E2"/>
    <w:rsid w:val="1A536DA3"/>
    <w:rsid w:val="1A7938A6"/>
    <w:rsid w:val="1ADE3C6D"/>
    <w:rsid w:val="1B093724"/>
    <w:rsid w:val="1B2B7CFB"/>
    <w:rsid w:val="1B2D5683"/>
    <w:rsid w:val="1B5627F4"/>
    <w:rsid w:val="1B772870"/>
    <w:rsid w:val="1BD73063"/>
    <w:rsid w:val="1C5849C6"/>
    <w:rsid w:val="1C6266EC"/>
    <w:rsid w:val="1C7B0154"/>
    <w:rsid w:val="1CEB58CF"/>
    <w:rsid w:val="1D3A1AFC"/>
    <w:rsid w:val="1D632927"/>
    <w:rsid w:val="1D64527A"/>
    <w:rsid w:val="1D8316F5"/>
    <w:rsid w:val="1DAF6A3B"/>
    <w:rsid w:val="1DB167CB"/>
    <w:rsid w:val="1DBB6093"/>
    <w:rsid w:val="1DF27888"/>
    <w:rsid w:val="1E136360"/>
    <w:rsid w:val="1F293B41"/>
    <w:rsid w:val="1F9D23AF"/>
    <w:rsid w:val="1FA53399"/>
    <w:rsid w:val="1FA54E1C"/>
    <w:rsid w:val="201D33B9"/>
    <w:rsid w:val="20564E9E"/>
    <w:rsid w:val="209446BB"/>
    <w:rsid w:val="20C54785"/>
    <w:rsid w:val="21265750"/>
    <w:rsid w:val="212F00CA"/>
    <w:rsid w:val="21705D4F"/>
    <w:rsid w:val="21BC7ACD"/>
    <w:rsid w:val="2210107D"/>
    <w:rsid w:val="22721A61"/>
    <w:rsid w:val="22D706CE"/>
    <w:rsid w:val="244778DA"/>
    <w:rsid w:val="249221C5"/>
    <w:rsid w:val="24B14360"/>
    <w:rsid w:val="24B555EB"/>
    <w:rsid w:val="24C1354B"/>
    <w:rsid w:val="24CD500A"/>
    <w:rsid w:val="2508087C"/>
    <w:rsid w:val="256D4751"/>
    <w:rsid w:val="257E51D4"/>
    <w:rsid w:val="25B17126"/>
    <w:rsid w:val="25D60ADB"/>
    <w:rsid w:val="25D95944"/>
    <w:rsid w:val="261519E5"/>
    <w:rsid w:val="268933B6"/>
    <w:rsid w:val="27042C3A"/>
    <w:rsid w:val="27207725"/>
    <w:rsid w:val="27751B38"/>
    <w:rsid w:val="278B6531"/>
    <w:rsid w:val="27DD6FA6"/>
    <w:rsid w:val="28A16ED3"/>
    <w:rsid w:val="28D667EF"/>
    <w:rsid w:val="2950771A"/>
    <w:rsid w:val="2A3A3D34"/>
    <w:rsid w:val="2A4A5C49"/>
    <w:rsid w:val="2A4F447B"/>
    <w:rsid w:val="2AA50AC9"/>
    <w:rsid w:val="2B610864"/>
    <w:rsid w:val="2B6D688C"/>
    <w:rsid w:val="2C3232B0"/>
    <w:rsid w:val="2CB159C7"/>
    <w:rsid w:val="2CF20406"/>
    <w:rsid w:val="2D0A54B8"/>
    <w:rsid w:val="2D2D0B94"/>
    <w:rsid w:val="2D506D8E"/>
    <w:rsid w:val="2E0C7407"/>
    <w:rsid w:val="2E5F439E"/>
    <w:rsid w:val="2E625356"/>
    <w:rsid w:val="2E924603"/>
    <w:rsid w:val="2EB866E8"/>
    <w:rsid w:val="2ED51684"/>
    <w:rsid w:val="2F3C229C"/>
    <w:rsid w:val="2F540BF7"/>
    <w:rsid w:val="2F742E3A"/>
    <w:rsid w:val="2F9D44CF"/>
    <w:rsid w:val="31487B0C"/>
    <w:rsid w:val="31DE2F46"/>
    <w:rsid w:val="31E34F8F"/>
    <w:rsid w:val="326055F9"/>
    <w:rsid w:val="32F10BFB"/>
    <w:rsid w:val="335E2E67"/>
    <w:rsid w:val="336C0668"/>
    <w:rsid w:val="33D95F3C"/>
    <w:rsid w:val="343541A1"/>
    <w:rsid w:val="346223B1"/>
    <w:rsid w:val="34BA07EC"/>
    <w:rsid w:val="34E67F7D"/>
    <w:rsid w:val="35284A72"/>
    <w:rsid w:val="353D3E4A"/>
    <w:rsid w:val="35957DBF"/>
    <w:rsid w:val="361622F5"/>
    <w:rsid w:val="376640E4"/>
    <w:rsid w:val="377D6D5D"/>
    <w:rsid w:val="37B8375A"/>
    <w:rsid w:val="385C0C16"/>
    <w:rsid w:val="385F2FCE"/>
    <w:rsid w:val="38AA2DAA"/>
    <w:rsid w:val="3922652E"/>
    <w:rsid w:val="397C1B66"/>
    <w:rsid w:val="39B02BFA"/>
    <w:rsid w:val="3A140CD3"/>
    <w:rsid w:val="3A790209"/>
    <w:rsid w:val="3A97467B"/>
    <w:rsid w:val="3AD4059E"/>
    <w:rsid w:val="3AEF13FE"/>
    <w:rsid w:val="3B7C580D"/>
    <w:rsid w:val="3BD3682C"/>
    <w:rsid w:val="3C5F06A9"/>
    <w:rsid w:val="3D9A3134"/>
    <w:rsid w:val="3E1A47F7"/>
    <w:rsid w:val="3EAD0503"/>
    <w:rsid w:val="3EEA1829"/>
    <w:rsid w:val="3EFC088B"/>
    <w:rsid w:val="3F07064B"/>
    <w:rsid w:val="3F6F2E98"/>
    <w:rsid w:val="3FA872D4"/>
    <w:rsid w:val="3FE329D4"/>
    <w:rsid w:val="40AA0980"/>
    <w:rsid w:val="40F462E2"/>
    <w:rsid w:val="410F0B78"/>
    <w:rsid w:val="41314D20"/>
    <w:rsid w:val="417154BB"/>
    <w:rsid w:val="41766CF7"/>
    <w:rsid w:val="417A3A02"/>
    <w:rsid w:val="418D4040"/>
    <w:rsid w:val="421302F6"/>
    <w:rsid w:val="425F778B"/>
    <w:rsid w:val="42C83F12"/>
    <w:rsid w:val="42E640D9"/>
    <w:rsid w:val="43281A5A"/>
    <w:rsid w:val="439F7D87"/>
    <w:rsid w:val="43F1785F"/>
    <w:rsid w:val="447E3ADB"/>
    <w:rsid w:val="449A3919"/>
    <w:rsid w:val="450A25E6"/>
    <w:rsid w:val="45236B64"/>
    <w:rsid w:val="457A7A40"/>
    <w:rsid w:val="4584717E"/>
    <w:rsid w:val="459F3E60"/>
    <w:rsid w:val="469A077B"/>
    <w:rsid w:val="46A953FC"/>
    <w:rsid w:val="47121270"/>
    <w:rsid w:val="47452C04"/>
    <w:rsid w:val="47BB4657"/>
    <w:rsid w:val="481D5560"/>
    <w:rsid w:val="482C3B49"/>
    <w:rsid w:val="49145483"/>
    <w:rsid w:val="49BA799D"/>
    <w:rsid w:val="49CF619D"/>
    <w:rsid w:val="4B775B45"/>
    <w:rsid w:val="4B9A7A86"/>
    <w:rsid w:val="4BF403D4"/>
    <w:rsid w:val="4D0A194D"/>
    <w:rsid w:val="4D4B15BA"/>
    <w:rsid w:val="4D4F06E0"/>
    <w:rsid w:val="4D5B2361"/>
    <w:rsid w:val="4DEF6B46"/>
    <w:rsid w:val="4DFF1C65"/>
    <w:rsid w:val="4E4E3054"/>
    <w:rsid w:val="4F3816F7"/>
    <w:rsid w:val="501B6B1C"/>
    <w:rsid w:val="503E5B31"/>
    <w:rsid w:val="504A6EB2"/>
    <w:rsid w:val="51783D80"/>
    <w:rsid w:val="51B80C66"/>
    <w:rsid w:val="520B2EE3"/>
    <w:rsid w:val="520F4AC7"/>
    <w:rsid w:val="522C3C23"/>
    <w:rsid w:val="522E2D6F"/>
    <w:rsid w:val="525505DD"/>
    <w:rsid w:val="52BD6C15"/>
    <w:rsid w:val="52D20160"/>
    <w:rsid w:val="52DA5508"/>
    <w:rsid w:val="52E8146A"/>
    <w:rsid w:val="52FD063D"/>
    <w:rsid w:val="53E862B7"/>
    <w:rsid w:val="544B2C5D"/>
    <w:rsid w:val="545D3015"/>
    <w:rsid w:val="54A95AEF"/>
    <w:rsid w:val="54C644FD"/>
    <w:rsid w:val="54D029AA"/>
    <w:rsid w:val="554A2F88"/>
    <w:rsid w:val="56D55AED"/>
    <w:rsid w:val="573F0FB8"/>
    <w:rsid w:val="574215CB"/>
    <w:rsid w:val="577233B9"/>
    <w:rsid w:val="57776ECD"/>
    <w:rsid w:val="58382B00"/>
    <w:rsid w:val="590874D5"/>
    <w:rsid w:val="596B0902"/>
    <w:rsid w:val="5A671258"/>
    <w:rsid w:val="5AC17303"/>
    <w:rsid w:val="5B63290A"/>
    <w:rsid w:val="5BD345B9"/>
    <w:rsid w:val="5C5A1C17"/>
    <w:rsid w:val="5D305021"/>
    <w:rsid w:val="5D56073B"/>
    <w:rsid w:val="5D647D61"/>
    <w:rsid w:val="5D6A0EC0"/>
    <w:rsid w:val="5DD230AF"/>
    <w:rsid w:val="5DDA3A02"/>
    <w:rsid w:val="5E380A63"/>
    <w:rsid w:val="5FF7633D"/>
    <w:rsid w:val="60625A80"/>
    <w:rsid w:val="61303FEC"/>
    <w:rsid w:val="61370079"/>
    <w:rsid w:val="615F125C"/>
    <w:rsid w:val="62600728"/>
    <w:rsid w:val="634C56B2"/>
    <w:rsid w:val="63502564"/>
    <w:rsid w:val="635F2688"/>
    <w:rsid w:val="63624ED5"/>
    <w:rsid w:val="636E0BBA"/>
    <w:rsid w:val="63BD52A9"/>
    <w:rsid w:val="63FE6F03"/>
    <w:rsid w:val="641E7F8A"/>
    <w:rsid w:val="64236F66"/>
    <w:rsid w:val="642D5974"/>
    <w:rsid w:val="64AD315A"/>
    <w:rsid w:val="65A837E0"/>
    <w:rsid w:val="65AE6280"/>
    <w:rsid w:val="6601753A"/>
    <w:rsid w:val="660D03BB"/>
    <w:rsid w:val="669C425A"/>
    <w:rsid w:val="66C72058"/>
    <w:rsid w:val="66EC3956"/>
    <w:rsid w:val="673D5A3D"/>
    <w:rsid w:val="673F38B5"/>
    <w:rsid w:val="674E2B69"/>
    <w:rsid w:val="6797772A"/>
    <w:rsid w:val="679F4410"/>
    <w:rsid w:val="67A2689C"/>
    <w:rsid w:val="685E4F82"/>
    <w:rsid w:val="68D343DF"/>
    <w:rsid w:val="68DD396C"/>
    <w:rsid w:val="690A0D3E"/>
    <w:rsid w:val="690B1693"/>
    <w:rsid w:val="694B24FD"/>
    <w:rsid w:val="69587C57"/>
    <w:rsid w:val="69B57154"/>
    <w:rsid w:val="69C71635"/>
    <w:rsid w:val="6A6E4160"/>
    <w:rsid w:val="6A79528E"/>
    <w:rsid w:val="6A8B5549"/>
    <w:rsid w:val="6AAA0A4A"/>
    <w:rsid w:val="6B2E7473"/>
    <w:rsid w:val="6B404DDA"/>
    <w:rsid w:val="6B67071F"/>
    <w:rsid w:val="6C374DFA"/>
    <w:rsid w:val="6CB2505C"/>
    <w:rsid w:val="6DA265FA"/>
    <w:rsid w:val="6DB22058"/>
    <w:rsid w:val="6E0D0510"/>
    <w:rsid w:val="6E154610"/>
    <w:rsid w:val="6E6753BB"/>
    <w:rsid w:val="6E936473"/>
    <w:rsid w:val="6ECE5F51"/>
    <w:rsid w:val="6F477399"/>
    <w:rsid w:val="701E6E74"/>
    <w:rsid w:val="70344811"/>
    <w:rsid w:val="70521409"/>
    <w:rsid w:val="70782050"/>
    <w:rsid w:val="707A6306"/>
    <w:rsid w:val="70A03591"/>
    <w:rsid w:val="70FE01E0"/>
    <w:rsid w:val="713131B1"/>
    <w:rsid w:val="715D4C2A"/>
    <w:rsid w:val="71A203AC"/>
    <w:rsid w:val="725378D3"/>
    <w:rsid w:val="72634945"/>
    <w:rsid w:val="73204A81"/>
    <w:rsid w:val="73B50FCF"/>
    <w:rsid w:val="73E37E78"/>
    <w:rsid w:val="73F751C6"/>
    <w:rsid w:val="74A77FDE"/>
    <w:rsid w:val="74E53DAE"/>
    <w:rsid w:val="762F50C4"/>
    <w:rsid w:val="76B2379E"/>
    <w:rsid w:val="773A4FD1"/>
    <w:rsid w:val="7789082B"/>
    <w:rsid w:val="77BC475C"/>
    <w:rsid w:val="78CF0045"/>
    <w:rsid w:val="794C1B10"/>
    <w:rsid w:val="798922B6"/>
    <w:rsid w:val="7A5F22BC"/>
    <w:rsid w:val="7A886B78"/>
    <w:rsid w:val="7ACD6C80"/>
    <w:rsid w:val="7BA16DA7"/>
    <w:rsid w:val="7BB504C0"/>
    <w:rsid w:val="7BEF06C8"/>
    <w:rsid w:val="7C4C5489"/>
    <w:rsid w:val="7DF61990"/>
    <w:rsid w:val="7E0A2927"/>
    <w:rsid w:val="7EF12A34"/>
    <w:rsid w:val="7FF707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iPriority="0" w:name="heading 6"/>
    <w:lsdException w:qFormat="1" w:uiPriority="99" w:name="heading 7"/>
    <w:lsdException w:qFormat="1" w:uiPriority="99" w:name="heading 8"/>
    <w:lsdException w:qFormat="1" w:uiPriority="99" w:name="heading 9"/>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name="Normal Indent"/>
    <w:lsdException w:qFormat="1"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qFormat="1" w:uiPriority="99" w:name="index heading"/>
    <w:lsdException w:qFormat="1" w:uiPriority="0" w:semiHidden="0" w:name="caption"/>
    <w:lsdException w:qFormat="1" w:uiPriority="99" w:name="table of figures"/>
    <w:lsdException w:qFormat="1" w:uiPriority="99" w:name="envelope address"/>
    <w:lsdException w:qFormat="1" w:uiPriority="99" w:name="envelope return"/>
    <w:lsdException w:qFormat="1" w:uiPriority="0" w:name="footnote reference"/>
    <w:lsdException w:qFormat="1" w:uiPriority="0" w:name="annotation reference"/>
    <w:lsdException w:qFormat="1" w:uiPriority="0" w:name="line number"/>
    <w:lsdException w:qFormat="1" w:uiPriority="0" w:name="page number"/>
    <w:lsdException w:uiPriority="0" w:name="endnote reference"/>
    <w:lsdException w:uiPriority="0" w:name="endnote text"/>
    <w:lsdException w:qFormat="1" w:uiPriority="99" w:semiHidden="0" w:name="table of authorities"/>
    <w:lsdException w:qFormat="1" w:uiPriority="99" w:name="macro"/>
    <w:lsdException w:qFormat="1" w:uiPriority="99" w:name="toa heading"/>
    <w:lsdException w:qFormat="1" w:uiPriority="99" w:semiHidden="0" w:name="List"/>
    <w:lsdException w:qFormat="1" w:uiPriority="99" w:semiHidden="0"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qFormat="1" w:unhideWhenUsed="0" w:uiPriority="10" w:semiHidden="0" w:name="Title"/>
    <w:lsdException w:qFormat="1" w:uiPriority="99" w:name="Closing"/>
    <w:lsdException w:qFormat="1" w:uiPriority="99" w:name="Signature"/>
    <w:lsdException w:qFormat="1" w:uiPriority="1" w:name="Default Paragraph Font"/>
    <w:lsdException w:qFormat="1" w:unhideWhenUsed="0" w:uiPriority="0" w:semiHidden="0" w:name="Body Text"/>
    <w:lsdException w:qFormat="1" w:uiPriority="99" w:name="Body Text Indent"/>
    <w:lsdException w:qFormat="1" w:uiPriority="99" w:name="List Continue"/>
    <w:lsdException w:qFormat="1" w:uiPriority="99" w:semiHidden="0" w:name="List Continue 2"/>
    <w:lsdException w:qFormat="1" w:uiPriority="99" w:semiHidden="0" w:name="List Continue 3"/>
    <w:lsdException w:qFormat="1" w:uiPriority="99" w:semiHidden="0" w:name="List Continue 4"/>
    <w:lsdException w:qFormat="1" w:uiPriority="99" w:semiHidden="0" w:name="List Continue 5"/>
    <w:lsdException w:qFormat="1" w:uiPriority="99" w:name="Message Header"/>
    <w:lsdException w:qFormat="1" w:unhideWhenUsed="0" w:uiPriority="99" w:semiHidden="0" w:name="Subtitle"/>
    <w:lsdException w:qFormat="1" w:uiPriority="99" w:name="Salutation"/>
    <w:lsdException w:qFormat="1" w:unhideWhenUsed="0" w:uiPriority="99" w:semiHidden="0" w:name="Date"/>
    <w:lsdException w:qFormat="1" w:unhideWhenUsed="0" w:uiPriority="99" w:semiHidden="0"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iPriority="0" w:semiHidden="0" w:name="Plain Text"/>
    <w:lsdException w:qFormat="1" w:uiPriority="99" w:name="E-mail Signature"/>
    <w:lsdException w:qFormat="1" w:uiPriority="99" w:name="Normal (Web)"/>
    <w:lsdException w:qFormat="1" w:uiPriority="0" w:name="HTML Acronym"/>
    <w:lsdException w:qFormat="1" w:uiPriority="0" w:name="HTML Address"/>
    <w:lsdException w:uiPriority="0" w:name="HTML Cite"/>
    <w:lsdException w:qFormat="1" w:uiPriority="0" w:name="HTML Code"/>
    <w:lsdException w:uiPriority="0" w:name="HTML Definition"/>
    <w:lsdException w:qFormat="1" w:uiPriority="0" w:name="HTML Keyboard"/>
    <w:lsdException w:qFormat="1" w:uiPriority="99" w:name="HTML Preformatted"/>
    <w:lsdException w:qFormat="1" w:uiPriority="0" w:name="HTML Sample"/>
    <w:lsdException w:qFormat="1" w:uiPriority="0" w:name="HTML Typewriter"/>
    <w:lsdException w:uiPriority="0" w:name="HTML Variable"/>
    <w:lsdException w:qFormat="1" w:uiPriority="99" w:name="Normal Table"/>
    <w:lsdException w:qFormat="1" w:uiPriority="99" w:name="annotation subject"/>
    <w:lsdException w:uiPriority="0" w:name="Table Simple 1"/>
    <w:lsdException w:qFormat="1" w:uiPriority="0" w:name="Table Simple 2"/>
    <w:lsdException w:qFormat="1" w:uiPriority="0" w:name="Table Simple 3"/>
    <w:lsdException w:qFormat="1" w:uiPriority="0" w:name="Table Classic 1"/>
    <w:lsdException w:qFormat="1" w:uiPriority="0" w:name="Table Classic 2"/>
    <w:lsdException w:qFormat="1"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iPriority="0" w:name="Table Grid 1"/>
    <w:lsdException w:uiPriority="0" w:name="Table Grid 2"/>
    <w:lsdException w:uiPriority="0" w:name="Table Grid 3"/>
    <w:lsdException w:uiPriority="0" w:name="Table Grid 4"/>
    <w:lsdException w:qFormat="1" w:uiPriority="0" w:name="Table Grid 5"/>
    <w:lsdException w:qFormat="1" w:uiPriority="0" w:name="Table Grid 6"/>
    <w:lsdException w:qFormat="1" w:uiPriority="0" w:name="Table Grid 7"/>
    <w:lsdException w:uiPriority="0" w:name="Table Grid 8"/>
    <w:lsdException w:uiPriority="0" w:name="Table List 1"/>
    <w:lsdException w:uiPriority="0" w:name="Table List 2"/>
    <w:lsdException w:qFormat="1"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iPriority="0" w:name="Table Elegant"/>
    <w:lsdException w:qFormat="1" w:uiPriority="0" w:name="Table Professional"/>
    <w:lsdException w:uiPriority="0" w:name="Table Subtle 1"/>
    <w:lsdException w:uiPriority="0" w:name="Table Subtle 2"/>
    <w:lsdException w:qFormat="1" w:uiPriority="0" w:name="Table Web 1"/>
    <w:lsdException w:qFormat="1" w:uiPriority="0" w:name="Table Web 2"/>
    <w:lsdException w:unhideWhenUsed="0" w:uiPriority="0" w:semiHidden="0" w:name="Table Web 3"/>
    <w:lsdException w:qFormat="1" w:unhideWhenUsed="0" w:uiPriority="99" w:semiHidden="0" w:name="Balloon Text"/>
    <w:lsdException w:qFormat="1" w:unhideWhenUsed="0" w:uiPriority="0" w:semiHidden="0" w:name="Table Grid"/>
    <w:lsdException w:qFormat="1" w:uiPriority="0" w:name="Table Theme"/>
    <w:lsdException w:qFormat="1"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4">
    <w:name w:val="heading 1"/>
    <w:basedOn w:val="1"/>
    <w:next w:val="1"/>
    <w:link w:val="199"/>
    <w:qFormat/>
    <w:uiPriority w:val="9"/>
    <w:pPr>
      <w:spacing w:before="52"/>
      <w:ind w:right="18"/>
      <w:jc w:val="center"/>
      <w:outlineLvl w:val="0"/>
    </w:pPr>
    <w:rPr>
      <w:b/>
      <w:bCs/>
      <w:sz w:val="44"/>
      <w:szCs w:val="44"/>
    </w:rPr>
  </w:style>
  <w:style w:type="paragraph" w:styleId="5">
    <w:name w:val="heading 2"/>
    <w:basedOn w:val="1"/>
    <w:next w:val="1"/>
    <w:link w:val="139"/>
    <w:qFormat/>
    <w:uiPriority w:val="0"/>
    <w:pPr>
      <w:spacing w:before="40"/>
      <w:ind w:left="766" w:hanging="526"/>
      <w:outlineLvl w:val="1"/>
    </w:pPr>
    <w:rPr>
      <w:b/>
      <w:bCs/>
      <w:sz w:val="30"/>
      <w:szCs w:val="30"/>
    </w:rPr>
  </w:style>
  <w:style w:type="paragraph" w:styleId="6">
    <w:name w:val="heading 3"/>
    <w:basedOn w:val="1"/>
    <w:next w:val="1"/>
    <w:link w:val="172"/>
    <w:qFormat/>
    <w:uiPriority w:val="9"/>
    <w:pPr>
      <w:ind w:left="2857" w:right="1860" w:hanging="1014"/>
      <w:outlineLvl w:val="2"/>
    </w:pPr>
    <w:rPr>
      <w:sz w:val="30"/>
      <w:szCs w:val="30"/>
    </w:rPr>
  </w:style>
  <w:style w:type="paragraph" w:styleId="7">
    <w:name w:val="heading 4"/>
    <w:basedOn w:val="1"/>
    <w:next w:val="1"/>
    <w:link w:val="140"/>
    <w:qFormat/>
    <w:uiPriority w:val="9"/>
    <w:pPr>
      <w:spacing w:before="255"/>
      <w:ind w:left="941" w:hanging="702"/>
      <w:outlineLvl w:val="3"/>
    </w:pPr>
    <w:rPr>
      <w:b/>
      <w:bCs/>
      <w:sz w:val="28"/>
      <w:szCs w:val="28"/>
    </w:rPr>
  </w:style>
  <w:style w:type="paragraph" w:styleId="8">
    <w:name w:val="heading 5"/>
    <w:basedOn w:val="1"/>
    <w:next w:val="1"/>
    <w:link w:val="141"/>
    <w:qFormat/>
    <w:uiPriority w:val="0"/>
    <w:pPr>
      <w:spacing w:before="1"/>
      <w:ind w:left="960" w:hanging="721"/>
      <w:outlineLvl w:val="4"/>
    </w:pPr>
    <w:rPr>
      <w:b/>
      <w:bCs/>
      <w:sz w:val="24"/>
      <w:szCs w:val="24"/>
    </w:rPr>
  </w:style>
  <w:style w:type="paragraph" w:styleId="9">
    <w:name w:val="heading 6"/>
    <w:basedOn w:val="1"/>
    <w:next w:val="1"/>
    <w:link w:val="195"/>
    <w:semiHidden/>
    <w:unhideWhenUsed/>
    <w:qFormat/>
    <w:uiPriority w:val="0"/>
    <w:pPr>
      <w:widowControl/>
      <w:numPr>
        <w:ilvl w:val="5"/>
        <w:numId w:val="1"/>
      </w:numPr>
      <w:overflowPunct w:val="0"/>
      <w:adjustRightInd w:val="0"/>
      <w:snapToGrid w:val="0"/>
      <w:spacing w:before="240" w:line="360" w:lineRule="auto"/>
      <w:ind w:firstLine="480"/>
      <w:outlineLvl w:val="5"/>
    </w:pPr>
    <w:rPr>
      <w:rFonts w:ascii="Arial" w:hAnsi="Arial" w:eastAsia="等线" w:cs="Times New Roman"/>
      <w:i/>
      <w:spacing w:val="10"/>
      <w:szCs w:val="20"/>
      <w:lang w:val="en-US" w:bidi="ar-SA"/>
    </w:rPr>
  </w:style>
  <w:style w:type="paragraph" w:styleId="10">
    <w:name w:val="heading 7"/>
    <w:basedOn w:val="1"/>
    <w:next w:val="1"/>
    <w:link w:val="196"/>
    <w:semiHidden/>
    <w:unhideWhenUsed/>
    <w:qFormat/>
    <w:uiPriority w:val="99"/>
    <w:pPr>
      <w:widowControl/>
      <w:numPr>
        <w:ilvl w:val="6"/>
        <w:numId w:val="1"/>
      </w:numPr>
      <w:overflowPunct w:val="0"/>
      <w:adjustRightInd w:val="0"/>
      <w:snapToGrid w:val="0"/>
      <w:spacing w:line="360" w:lineRule="auto"/>
      <w:ind w:firstLine="480"/>
      <w:outlineLvl w:val="6"/>
    </w:pPr>
    <w:rPr>
      <w:rFonts w:ascii="Arial" w:hAnsi="Arial" w:eastAsia="黑体" w:cs="Times New Roman"/>
      <w:spacing w:val="10"/>
      <w:sz w:val="28"/>
      <w:szCs w:val="20"/>
      <w:lang w:val="en-US" w:bidi="ar-SA"/>
    </w:rPr>
  </w:style>
  <w:style w:type="paragraph" w:styleId="11">
    <w:name w:val="heading 8"/>
    <w:basedOn w:val="1"/>
    <w:next w:val="1"/>
    <w:link w:val="197"/>
    <w:semiHidden/>
    <w:unhideWhenUsed/>
    <w:qFormat/>
    <w:uiPriority w:val="99"/>
    <w:pPr>
      <w:widowControl/>
      <w:numPr>
        <w:ilvl w:val="7"/>
        <w:numId w:val="1"/>
      </w:numPr>
      <w:overflowPunct w:val="0"/>
      <w:adjustRightInd w:val="0"/>
      <w:snapToGrid w:val="0"/>
      <w:spacing w:before="240" w:line="360" w:lineRule="auto"/>
      <w:ind w:firstLine="480"/>
      <w:outlineLvl w:val="7"/>
    </w:pPr>
    <w:rPr>
      <w:rFonts w:ascii="Arial" w:hAnsi="Arial" w:eastAsia="等线" w:cs="Times New Roman"/>
      <w:i/>
      <w:spacing w:val="10"/>
      <w:sz w:val="28"/>
      <w:szCs w:val="20"/>
      <w:lang w:val="en-US" w:bidi="ar-SA"/>
    </w:rPr>
  </w:style>
  <w:style w:type="paragraph" w:styleId="12">
    <w:name w:val="heading 9"/>
    <w:basedOn w:val="1"/>
    <w:next w:val="1"/>
    <w:link w:val="198"/>
    <w:semiHidden/>
    <w:unhideWhenUsed/>
    <w:qFormat/>
    <w:uiPriority w:val="99"/>
    <w:pPr>
      <w:widowControl/>
      <w:numPr>
        <w:ilvl w:val="8"/>
        <w:numId w:val="1"/>
      </w:numPr>
      <w:overflowPunct w:val="0"/>
      <w:adjustRightInd w:val="0"/>
      <w:snapToGrid w:val="0"/>
      <w:spacing w:before="240" w:line="360" w:lineRule="auto"/>
      <w:ind w:firstLine="480"/>
      <w:outlineLvl w:val="8"/>
    </w:pPr>
    <w:rPr>
      <w:rFonts w:ascii="Arial" w:hAnsi="Arial" w:eastAsia="等线" w:cs="Times New Roman"/>
      <w:i/>
      <w:spacing w:val="10"/>
      <w:sz w:val="18"/>
      <w:szCs w:val="20"/>
      <w:lang w:val="en-US" w:bidi="ar-SA"/>
    </w:rPr>
  </w:style>
  <w:style w:type="character" w:default="1" w:styleId="106">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34"/>
    <w:qFormat/>
    <w:uiPriority w:val="0"/>
    <w:pPr>
      <w:spacing w:before="161"/>
      <w:ind w:left="240"/>
    </w:pPr>
    <w:rPr>
      <w:sz w:val="24"/>
      <w:szCs w:val="24"/>
    </w:rPr>
  </w:style>
  <w:style w:type="paragraph" w:styleId="3">
    <w:name w:val="macro"/>
    <w:basedOn w:val="1"/>
    <w:link w:val="207"/>
    <w:semiHidden/>
    <w:unhideWhenUsed/>
    <w:qFormat/>
    <w:uiPriority w:val="99"/>
    <w:pPr>
      <w:widowControl/>
      <w:tabs>
        <w:tab w:val="left" w:pos="384"/>
        <w:tab w:val="left" w:pos="480"/>
        <w:tab w:val="left" w:pos="960"/>
        <w:tab w:val="left" w:pos="1440"/>
        <w:tab w:val="left" w:pos="1920"/>
        <w:tab w:val="left" w:pos="2400"/>
        <w:tab w:val="left" w:pos="2880"/>
        <w:tab w:val="left" w:pos="3360"/>
        <w:tab w:val="left" w:pos="3840"/>
        <w:tab w:val="left" w:pos="4320"/>
      </w:tabs>
      <w:autoSpaceDE/>
      <w:autoSpaceDN/>
      <w:adjustRightInd w:val="0"/>
      <w:snapToGrid w:val="0"/>
      <w:spacing w:line="360" w:lineRule="exact"/>
      <w:jc w:val="center"/>
    </w:pPr>
    <w:rPr>
      <w:rFonts w:ascii="Times New Roman" w:hAnsi="Times New Roman"/>
      <w:color w:val="000000"/>
      <w:sz w:val="21"/>
      <w:szCs w:val="24"/>
      <w:lang w:val="en-US" w:bidi="ar-SA"/>
    </w:rPr>
  </w:style>
  <w:style w:type="paragraph" w:styleId="13">
    <w:name w:val="List 3"/>
    <w:basedOn w:val="1"/>
    <w:semiHidden/>
    <w:unhideWhenUsed/>
    <w:qFormat/>
    <w:uiPriority w:val="99"/>
    <w:pPr>
      <w:autoSpaceDE/>
      <w:autoSpaceDN/>
      <w:adjustRightInd w:val="0"/>
      <w:snapToGrid w:val="0"/>
      <w:jc w:val="center"/>
    </w:pPr>
    <w:rPr>
      <w:color w:val="000000"/>
      <w:kern w:val="2"/>
      <w:sz w:val="18"/>
      <w:szCs w:val="32"/>
      <w:lang w:val="en-US" w:bidi="ar-SA"/>
    </w:rPr>
  </w:style>
  <w:style w:type="paragraph" w:styleId="14">
    <w:name w:val="toc 7"/>
    <w:basedOn w:val="1"/>
    <w:next w:val="1"/>
    <w:unhideWhenUsed/>
    <w:qFormat/>
    <w:uiPriority w:val="39"/>
    <w:pPr>
      <w:autoSpaceDE/>
      <w:autoSpaceDN/>
      <w:ind w:left="2520" w:leftChars="1200"/>
      <w:jc w:val="both"/>
    </w:pPr>
    <w:rPr>
      <w:rFonts w:asciiTheme="minorHAnsi" w:hAnsiTheme="minorHAnsi" w:eastAsiaTheme="minorEastAsia" w:cstheme="minorBidi"/>
      <w:kern w:val="2"/>
      <w:sz w:val="21"/>
      <w:lang w:val="en-US" w:bidi="ar-SA"/>
    </w:rPr>
  </w:style>
  <w:style w:type="paragraph" w:styleId="15">
    <w:name w:val="List Number 2"/>
    <w:basedOn w:val="1"/>
    <w:semiHidden/>
    <w:unhideWhenUsed/>
    <w:qFormat/>
    <w:uiPriority w:val="99"/>
    <w:pPr>
      <w:autoSpaceDE/>
      <w:autoSpaceDN/>
      <w:snapToGrid w:val="0"/>
      <w:ind w:firstLine="480" w:firstLineChars="200"/>
      <w:jc w:val="both"/>
    </w:pPr>
    <w:rPr>
      <w:rFonts w:ascii="Times New Roman" w:hAnsi="Times New Roman" w:cs="Times New Roman"/>
      <w:color w:val="000000"/>
      <w:kern w:val="2"/>
      <w:sz w:val="21"/>
      <w:szCs w:val="20"/>
      <w:lang w:val="en-US" w:bidi="ar-SA"/>
    </w:rPr>
  </w:style>
  <w:style w:type="paragraph" w:styleId="16">
    <w:name w:val="table of authorities"/>
    <w:basedOn w:val="1"/>
    <w:next w:val="1"/>
    <w:unhideWhenUsed/>
    <w:qFormat/>
    <w:uiPriority w:val="99"/>
    <w:pPr>
      <w:autoSpaceDE/>
      <w:autoSpaceDN/>
      <w:adjustRightInd w:val="0"/>
      <w:snapToGrid w:val="0"/>
      <w:spacing w:line="360" w:lineRule="auto"/>
      <w:ind w:left="420" w:firstLine="480" w:firstLineChars="200"/>
      <w:jc w:val="both"/>
    </w:pPr>
    <w:rPr>
      <w:color w:val="000000"/>
      <w:sz w:val="28"/>
      <w:szCs w:val="20"/>
      <w:lang w:val="en-US" w:bidi="ar-SA"/>
    </w:rPr>
  </w:style>
  <w:style w:type="paragraph" w:styleId="17">
    <w:name w:val="Note Heading"/>
    <w:basedOn w:val="1"/>
    <w:next w:val="1"/>
    <w:link w:val="215"/>
    <w:semiHidden/>
    <w:unhideWhenUsed/>
    <w:qFormat/>
    <w:uiPriority w:val="99"/>
    <w:pPr>
      <w:autoSpaceDE/>
      <w:autoSpaceDN/>
      <w:snapToGrid w:val="0"/>
      <w:ind w:firstLine="480" w:firstLineChars="200"/>
      <w:jc w:val="center"/>
    </w:pPr>
    <w:rPr>
      <w:color w:val="000000"/>
      <w:kern w:val="2"/>
      <w:sz w:val="28"/>
      <w:szCs w:val="32"/>
      <w:lang w:val="en-US" w:bidi="ar-SA"/>
    </w:rPr>
  </w:style>
  <w:style w:type="paragraph" w:styleId="18">
    <w:name w:val="List Bullet 4"/>
    <w:basedOn w:val="1"/>
    <w:semiHidden/>
    <w:unhideWhenUsed/>
    <w:qFormat/>
    <w:uiPriority w:val="99"/>
    <w:pPr>
      <w:tabs>
        <w:tab w:val="left" w:pos="2070"/>
      </w:tabs>
      <w:autoSpaceDE/>
      <w:autoSpaceDN/>
      <w:snapToGrid w:val="0"/>
      <w:ind w:left="2070" w:hanging="510" w:firstLineChars="200"/>
      <w:jc w:val="both"/>
    </w:pPr>
    <w:rPr>
      <w:color w:val="000000"/>
      <w:kern w:val="2"/>
      <w:sz w:val="28"/>
      <w:szCs w:val="32"/>
      <w:lang w:val="en-US" w:bidi="ar-SA"/>
    </w:rPr>
  </w:style>
  <w:style w:type="paragraph" w:styleId="19">
    <w:name w:val="index 8"/>
    <w:basedOn w:val="1"/>
    <w:next w:val="1"/>
    <w:semiHidden/>
    <w:unhideWhenUsed/>
    <w:qFormat/>
    <w:uiPriority w:val="99"/>
    <w:pPr>
      <w:autoSpaceDE/>
      <w:autoSpaceDN/>
      <w:adjustRightInd w:val="0"/>
      <w:snapToGrid w:val="0"/>
      <w:spacing w:line="360" w:lineRule="auto"/>
      <w:ind w:left="2400" w:hanging="300" w:firstLineChars="200"/>
    </w:pPr>
    <w:rPr>
      <w:color w:val="000000"/>
      <w:sz w:val="20"/>
      <w:szCs w:val="20"/>
      <w:lang w:val="en-US" w:bidi="ar-SA"/>
    </w:rPr>
  </w:style>
  <w:style w:type="paragraph" w:styleId="20">
    <w:name w:val="E-mail Signature"/>
    <w:basedOn w:val="1"/>
    <w:link w:val="221"/>
    <w:semiHidden/>
    <w:unhideWhenUsed/>
    <w:qFormat/>
    <w:uiPriority w:val="99"/>
    <w:pPr>
      <w:autoSpaceDE/>
      <w:autoSpaceDN/>
      <w:snapToGrid w:val="0"/>
      <w:ind w:firstLine="480" w:firstLineChars="200"/>
      <w:jc w:val="both"/>
    </w:pPr>
    <w:rPr>
      <w:color w:val="000000"/>
      <w:kern w:val="2"/>
      <w:sz w:val="28"/>
      <w:szCs w:val="32"/>
      <w:lang w:val="en-US" w:bidi="ar-SA"/>
    </w:rPr>
  </w:style>
  <w:style w:type="paragraph" w:styleId="21">
    <w:name w:val="List Number"/>
    <w:basedOn w:val="1"/>
    <w:semiHidden/>
    <w:unhideWhenUsed/>
    <w:qFormat/>
    <w:uiPriority w:val="99"/>
    <w:pPr>
      <w:tabs>
        <w:tab w:val="left" w:pos="2070"/>
      </w:tabs>
      <w:autoSpaceDE/>
      <w:autoSpaceDN/>
      <w:snapToGrid w:val="0"/>
      <w:ind w:left="2070" w:hanging="510" w:firstLineChars="200"/>
      <w:jc w:val="both"/>
    </w:pPr>
    <w:rPr>
      <w:color w:val="000000"/>
      <w:kern w:val="2"/>
      <w:sz w:val="28"/>
      <w:szCs w:val="32"/>
      <w:lang w:val="en-US" w:bidi="ar-SA"/>
    </w:rPr>
  </w:style>
  <w:style w:type="paragraph" w:styleId="22">
    <w:name w:val="Normal Indent"/>
    <w:basedOn w:val="1"/>
    <w:link w:val="204"/>
    <w:semiHidden/>
    <w:unhideWhenUsed/>
    <w:qFormat/>
    <w:uiPriority w:val="0"/>
    <w:pPr>
      <w:autoSpaceDE/>
      <w:autoSpaceDN/>
      <w:snapToGrid w:val="0"/>
      <w:spacing w:line="360" w:lineRule="auto"/>
      <w:ind w:firstLine="420" w:firstLineChars="200"/>
    </w:pPr>
    <w:rPr>
      <w:rFonts w:ascii="Times New Roman" w:hAnsi="Times New Roman" w:cs="Times New Roman"/>
      <w:kern w:val="2"/>
      <w:sz w:val="24"/>
      <w:szCs w:val="20"/>
      <w:lang w:val="en-US" w:bidi="ar-SA"/>
    </w:rPr>
  </w:style>
  <w:style w:type="paragraph" w:styleId="23">
    <w:name w:val="caption"/>
    <w:basedOn w:val="1"/>
    <w:next w:val="1"/>
    <w:link w:val="206"/>
    <w:unhideWhenUsed/>
    <w:qFormat/>
    <w:uiPriority w:val="0"/>
    <w:rPr>
      <w:rFonts w:eastAsia="黑体" w:asciiTheme="majorHAnsi" w:hAnsiTheme="majorHAnsi" w:cstheme="majorBidi"/>
      <w:sz w:val="20"/>
      <w:szCs w:val="20"/>
    </w:rPr>
  </w:style>
  <w:style w:type="paragraph" w:styleId="24">
    <w:name w:val="index 5"/>
    <w:basedOn w:val="1"/>
    <w:next w:val="1"/>
    <w:semiHidden/>
    <w:unhideWhenUsed/>
    <w:qFormat/>
    <w:uiPriority w:val="99"/>
    <w:pPr>
      <w:autoSpaceDE/>
      <w:autoSpaceDN/>
      <w:adjustRightInd w:val="0"/>
      <w:snapToGrid w:val="0"/>
      <w:spacing w:line="360" w:lineRule="auto"/>
      <w:ind w:left="1500" w:hanging="300" w:firstLineChars="200"/>
    </w:pPr>
    <w:rPr>
      <w:color w:val="000000"/>
      <w:sz w:val="20"/>
      <w:szCs w:val="20"/>
      <w:lang w:val="en-US" w:bidi="ar-SA"/>
    </w:rPr>
  </w:style>
  <w:style w:type="paragraph" w:styleId="25">
    <w:name w:val="List Bullet"/>
    <w:basedOn w:val="1"/>
    <w:unhideWhenUsed/>
    <w:qFormat/>
    <w:uiPriority w:val="99"/>
    <w:pPr>
      <w:tabs>
        <w:tab w:val="left" w:pos="2070"/>
      </w:tabs>
      <w:autoSpaceDE/>
      <w:autoSpaceDN/>
      <w:snapToGrid w:val="0"/>
      <w:ind w:left="2070" w:hanging="510" w:firstLineChars="200"/>
      <w:jc w:val="both"/>
    </w:pPr>
    <w:rPr>
      <w:color w:val="000000"/>
      <w:kern w:val="2"/>
      <w:sz w:val="28"/>
      <w:szCs w:val="32"/>
      <w:lang w:val="en-US" w:bidi="ar-SA"/>
    </w:rPr>
  </w:style>
  <w:style w:type="paragraph" w:styleId="26">
    <w:name w:val="envelope address"/>
    <w:basedOn w:val="1"/>
    <w:semiHidden/>
    <w:unhideWhenUsed/>
    <w:qFormat/>
    <w:uiPriority w:val="99"/>
    <w:pPr>
      <w:framePr w:w="7920" w:h="1980" w:hSpace="180" w:wrap="around" w:vAnchor="margin" w:hAnchor="page" w:xAlign="center" w:yAlign="bottom"/>
      <w:autoSpaceDE/>
      <w:autoSpaceDN/>
      <w:snapToGrid w:val="0"/>
      <w:ind w:left="100" w:leftChars="1400" w:firstLine="480" w:firstLineChars="200"/>
      <w:jc w:val="both"/>
    </w:pPr>
    <w:rPr>
      <w:rFonts w:ascii="Arial" w:hAnsi="Arial" w:cs="Arial"/>
      <w:color w:val="000000"/>
      <w:kern w:val="2"/>
      <w:sz w:val="24"/>
      <w:szCs w:val="24"/>
      <w:lang w:val="en-US" w:bidi="ar-SA"/>
    </w:rPr>
  </w:style>
  <w:style w:type="paragraph" w:styleId="27">
    <w:name w:val="Document Map"/>
    <w:basedOn w:val="1"/>
    <w:link w:val="130"/>
    <w:qFormat/>
    <w:uiPriority w:val="99"/>
    <w:rPr>
      <w:sz w:val="18"/>
      <w:szCs w:val="18"/>
    </w:rPr>
  </w:style>
  <w:style w:type="paragraph" w:styleId="28">
    <w:name w:val="toa heading"/>
    <w:basedOn w:val="1"/>
    <w:next w:val="1"/>
    <w:semiHidden/>
    <w:unhideWhenUsed/>
    <w:qFormat/>
    <w:uiPriority w:val="99"/>
    <w:pPr>
      <w:autoSpaceDE/>
      <w:autoSpaceDN/>
      <w:snapToGrid w:val="0"/>
      <w:spacing w:before="120"/>
      <w:ind w:firstLine="480" w:firstLineChars="200"/>
    </w:pPr>
    <w:rPr>
      <w:rFonts w:ascii="Cambria" w:hAnsi="Cambria" w:cs="Times New Roman"/>
      <w:color w:val="000000"/>
      <w:kern w:val="2"/>
      <w:sz w:val="24"/>
      <w:szCs w:val="24"/>
      <w:lang w:val="en-US" w:bidi="ar-SA"/>
    </w:rPr>
  </w:style>
  <w:style w:type="paragraph" w:styleId="29">
    <w:name w:val="annotation text"/>
    <w:basedOn w:val="1"/>
    <w:link w:val="167"/>
    <w:unhideWhenUsed/>
    <w:qFormat/>
    <w:uiPriority w:val="99"/>
  </w:style>
  <w:style w:type="paragraph" w:styleId="30">
    <w:name w:val="index 6"/>
    <w:basedOn w:val="1"/>
    <w:next w:val="1"/>
    <w:semiHidden/>
    <w:unhideWhenUsed/>
    <w:qFormat/>
    <w:uiPriority w:val="99"/>
    <w:pPr>
      <w:autoSpaceDE/>
      <w:autoSpaceDN/>
      <w:adjustRightInd w:val="0"/>
      <w:snapToGrid w:val="0"/>
      <w:spacing w:line="360" w:lineRule="auto"/>
      <w:ind w:left="1800" w:hanging="300" w:firstLineChars="200"/>
    </w:pPr>
    <w:rPr>
      <w:color w:val="000000"/>
      <w:sz w:val="20"/>
      <w:szCs w:val="20"/>
      <w:lang w:val="en-US" w:bidi="ar-SA"/>
    </w:rPr>
  </w:style>
  <w:style w:type="paragraph" w:styleId="31">
    <w:name w:val="Salutation"/>
    <w:basedOn w:val="1"/>
    <w:next w:val="1"/>
    <w:link w:val="213"/>
    <w:semiHidden/>
    <w:unhideWhenUsed/>
    <w:qFormat/>
    <w:uiPriority w:val="99"/>
    <w:pPr>
      <w:autoSpaceDE/>
      <w:autoSpaceDN/>
      <w:snapToGrid w:val="0"/>
      <w:ind w:firstLine="480" w:firstLineChars="200"/>
      <w:jc w:val="both"/>
    </w:pPr>
    <w:rPr>
      <w:color w:val="000000"/>
      <w:kern w:val="2"/>
      <w:sz w:val="28"/>
      <w:szCs w:val="32"/>
      <w:lang w:val="en-US" w:bidi="ar-SA"/>
    </w:rPr>
  </w:style>
  <w:style w:type="paragraph" w:styleId="32">
    <w:name w:val="Body Text 3"/>
    <w:basedOn w:val="1"/>
    <w:link w:val="217"/>
    <w:semiHidden/>
    <w:unhideWhenUsed/>
    <w:qFormat/>
    <w:uiPriority w:val="99"/>
    <w:pPr>
      <w:autoSpaceDE/>
      <w:autoSpaceDN/>
      <w:snapToGrid w:val="0"/>
      <w:spacing w:line="360" w:lineRule="auto"/>
      <w:ind w:firstLine="480" w:firstLineChars="200"/>
      <w:jc w:val="center"/>
    </w:pPr>
    <w:rPr>
      <w:rFonts w:ascii="Times New Roman" w:hAnsi="Times New Roman" w:cs="Times New Roman"/>
      <w:bCs/>
      <w:kern w:val="2"/>
      <w:sz w:val="24"/>
      <w:szCs w:val="20"/>
      <w:lang w:val="en-US" w:bidi="ar-SA"/>
    </w:rPr>
  </w:style>
  <w:style w:type="paragraph" w:styleId="33">
    <w:name w:val="Closing"/>
    <w:basedOn w:val="1"/>
    <w:link w:val="209"/>
    <w:semiHidden/>
    <w:unhideWhenUsed/>
    <w:qFormat/>
    <w:uiPriority w:val="99"/>
    <w:pPr>
      <w:autoSpaceDE/>
      <w:autoSpaceDN/>
      <w:snapToGrid w:val="0"/>
      <w:ind w:left="100" w:leftChars="2100" w:firstLine="480" w:firstLineChars="200"/>
      <w:jc w:val="both"/>
    </w:pPr>
    <w:rPr>
      <w:color w:val="000000"/>
      <w:kern w:val="2"/>
      <w:sz w:val="28"/>
      <w:szCs w:val="32"/>
      <w:lang w:val="en-US" w:bidi="ar-SA"/>
    </w:rPr>
  </w:style>
  <w:style w:type="paragraph" w:styleId="34">
    <w:name w:val="List Bullet 3"/>
    <w:basedOn w:val="1"/>
    <w:semiHidden/>
    <w:unhideWhenUsed/>
    <w:qFormat/>
    <w:uiPriority w:val="99"/>
    <w:pPr>
      <w:tabs>
        <w:tab w:val="left" w:pos="2070"/>
      </w:tabs>
      <w:autoSpaceDE/>
      <w:autoSpaceDN/>
      <w:snapToGrid w:val="0"/>
      <w:ind w:left="2070" w:hanging="510" w:firstLineChars="200"/>
      <w:jc w:val="both"/>
    </w:pPr>
    <w:rPr>
      <w:color w:val="000000"/>
      <w:kern w:val="2"/>
      <w:sz w:val="28"/>
      <w:szCs w:val="32"/>
      <w:lang w:val="en-US" w:bidi="ar-SA"/>
    </w:rPr>
  </w:style>
  <w:style w:type="paragraph" w:styleId="35">
    <w:name w:val="Body Text Indent"/>
    <w:basedOn w:val="1"/>
    <w:next w:val="36"/>
    <w:link w:val="200"/>
    <w:semiHidden/>
    <w:unhideWhenUsed/>
    <w:qFormat/>
    <w:uiPriority w:val="99"/>
    <w:pPr>
      <w:autoSpaceDE/>
      <w:autoSpaceDN/>
      <w:snapToGrid w:val="0"/>
      <w:spacing w:after="120" w:line="360" w:lineRule="auto"/>
      <w:ind w:left="420" w:leftChars="200" w:firstLine="480" w:firstLineChars="200"/>
    </w:pPr>
    <w:rPr>
      <w:rFonts w:ascii="Times New Roman" w:hAnsi="Times New Roman" w:cs="Times New Roman"/>
      <w:color w:val="000000"/>
      <w:kern w:val="2"/>
      <w:sz w:val="24"/>
      <w:szCs w:val="24"/>
      <w:lang w:val="en-US" w:bidi="ar-SA"/>
    </w:rPr>
  </w:style>
  <w:style w:type="paragraph" w:customStyle="1" w:styleId="36">
    <w:name w:val="样式 正文文本缩进 + 行距: 1.5 倍行距"/>
    <w:basedOn w:val="37"/>
    <w:qFormat/>
    <w:uiPriority w:val="0"/>
    <w:pPr>
      <w:spacing w:before="0" w:after="120"/>
      <w:ind w:left="90" w:leftChars="32" w:firstLine="560" w:firstLineChars="200"/>
    </w:pPr>
    <w:rPr>
      <w:rFonts w:ascii="Times New Roman" w:cs="宋体"/>
    </w:rPr>
  </w:style>
  <w:style w:type="paragraph" w:customStyle="1" w:styleId="37">
    <w:name w:val="Body Text Indent"/>
    <w:basedOn w:val="1"/>
    <w:next w:val="36"/>
    <w:qFormat/>
    <w:uiPriority w:val="0"/>
    <w:pPr>
      <w:spacing w:after="120" w:afterLines="0"/>
      <w:ind w:left="420" w:leftChars="200"/>
    </w:pPr>
    <w:rPr>
      <w:rFonts w:ascii="Times New Roman" w:hAnsi="Times New Roman" w:eastAsia="宋体"/>
      <w:sz w:val="24"/>
    </w:rPr>
  </w:style>
  <w:style w:type="paragraph" w:styleId="38">
    <w:name w:val="List Number 3"/>
    <w:basedOn w:val="1"/>
    <w:semiHidden/>
    <w:unhideWhenUsed/>
    <w:qFormat/>
    <w:uiPriority w:val="99"/>
    <w:pPr>
      <w:tabs>
        <w:tab w:val="left" w:pos="2070"/>
      </w:tabs>
      <w:autoSpaceDE/>
      <w:autoSpaceDN/>
      <w:snapToGrid w:val="0"/>
      <w:ind w:left="2070" w:hanging="510" w:firstLineChars="200"/>
      <w:jc w:val="both"/>
    </w:pPr>
    <w:rPr>
      <w:color w:val="000000"/>
      <w:kern w:val="2"/>
      <w:sz w:val="28"/>
      <w:szCs w:val="32"/>
      <w:lang w:val="en-US" w:bidi="ar-SA"/>
    </w:rPr>
  </w:style>
  <w:style w:type="paragraph" w:styleId="39">
    <w:name w:val="List 2"/>
    <w:basedOn w:val="1"/>
    <w:semiHidden/>
    <w:unhideWhenUsed/>
    <w:qFormat/>
    <w:uiPriority w:val="99"/>
    <w:pPr>
      <w:autoSpaceDE/>
      <w:autoSpaceDN/>
      <w:snapToGrid w:val="0"/>
      <w:spacing w:line="360" w:lineRule="auto"/>
      <w:ind w:left="100" w:leftChars="200" w:hanging="200" w:hangingChars="200"/>
    </w:pPr>
    <w:rPr>
      <w:rFonts w:ascii="Times New Roman" w:hAnsi="Times New Roman" w:cs="Times New Roman"/>
      <w:color w:val="000000"/>
      <w:kern w:val="2"/>
      <w:sz w:val="24"/>
      <w:szCs w:val="24"/>
      <w:lang w:val="en-US" w:bidi="ar-SA"/>
    </w:rPr>
  </w:style>
  <w:style w:type="paragraph" w:styleId="40">
    <w:name w:val="List Continue"/>
    <w:basedOn w:val="1"/>
    <w:semiHidden/>
    <w:unhideWhenUsed/>
    <w:qFormat/>
    <w:uiPriority w:val="99"/>
    <w:pPr>
      <w:autoSpaceDE/>
      <w:autoSpaceDN/>
      <w:snapToGrid w:val="0"/>
      <w:spacing w:after="120"/>
      <w:ind w:left="420" w:leftChars="200" w:firstLine="480" w:firstLineChars="200"/>
      <w:jc w:val="both"/>
    </w:pPr>
    <w:rPr>
      <w:color w:val="000000"/>
      <w:kern w:val="2"/>
      <w:sz w:val="28"/>
      <w:szCs w:val="32"/>
      <w:lang w:val="en-US" w:bidi="ar-SA"/>
    </w:rPr>
  </w:style>
  <w:style w:type="paragraph" w:styleId="41">
    <w:name w:val="Block Text"/>
    <w:basedOn w:val="1"/>
    <w:semiHidden/>
    <w:unhideWhenUsed/>
    <w:qFormat/>
    <w:uiPriority w:val="99"/>
    <w:pPr>
      <w:autoSpaceDE/>
      <w:autoSpaceDN/>
      <w:snapToGrid w:val="0"/>
      <w:spacing w:after="120"/>
      <w:ind w:left="1440" w:leftChars="700" w:right="1440" w:rightChars="700" w:firstLine="480" w:firstLineChars="200"/>
      <w:jc w:val="both"/>
    </w:pPr>
    <w:rPr>
      <w:color w:val="000000"/>
      <w:kern w:val="2"/>
      <w:sz w:val="28"/>
      <w:szCs w:val="32"/>
      <w:lang w:val="en-US" w:bidi="ar-SA"/>
    </w:rPr>
  </w:style>
  <w:style w:type="paragraph" w:styleId="42">
    <w:name w:val="List Bullet 2"/>
    <w:basedOn w:val="1"/>
    <w:semiHidden/>
    <w:unhideWhenUsed/>
    <w:qFormat/>
    <w:uiPriority w:val="99"/>
    <w:pPr>
      <w:tabs>
        <w:tab w:val="left" w:pos="2070"/>
      </w:tabs>
      <w:autoSpaceDE/>
      <w:autoSpaceDN/>
      <w:snapToGrid w:val="0"/>
      <w:ind w:left="2070" w:hanging="510" w:firstLineChars="200"/>
      <w:jc w:val="both"/>
    </w:pPr>
    <w:rPr>
      <w:color w:val="000000"/>
      <w:kern w:val="2"/>
      <w:sz w:val="28"/>
      <w:szCs w:val="32"/>
      <w:lang w:val="en-US" w:bidi="ar-SA"/>
    </w:rPr>
  </w:style>
  <w:style w:type="paragraph" w:styleId="43">
    <w:name w:val="HTML Address"/>
    <w:basedOn w:val="1"/>
    <w:link w:val="201"/>
    <w:semiHidden/>
    <w:unhideWhenUsed/>
    <w:qFormat/>
    <w:uiPriority w:val="0"/>
    <w:pPr>
      <w:autoSpaceDE/>
      <w:autoSpaceDN/>
      <w:snapToGrid w:val="0"/>
      <w:ind w:firstLine="480" w:firstLineChars="200"/>
      <w:jc w:val="both"/>
    </w:pPr>
    <w:rPr>
      <w:i/>
      <w:iCs/>
      <w:color w:val="000000"/>
      <w:kern w:val="2"/>
      <w:sz w:val="28"/>
      <w:szCs w:val="32"/>
      <w:lang w:val="en-US" w:bidi="ar-SA"/>
    </w:rPr>
  </w:style>
  <w:style w:type="paragraph" w:styleId="44">
    <w:name w:val="index 4"/>
    <w:basedOn w:val="1"/>
    <w:next w:val="1"/>
    <w:semiHidden/>
    <w:unhideWhenUsed/>
    <w:qFormat/>
    <w:uiPriority w:val="99"/>
    <w:pPr>
      <w:autoSpaceDE/>
      <w:autoSpaceDN/>
      <w:adjustRightInd w:val="0"/>
      <w:snapToGrid w:val="0"/>
      <w:spacing w:line="360" w:lineRule="auto"/>
      <w:ind w:left="1200" w:hanging="300" w:firstLineChars="200"/>
    </w:pPr>
    <w:rPr>
      <w:color w:val="000000"/>
      <w:sz w:val="20"/>
      <w:szCs w:val="20"/>
      <w:lang w:val="en-US" w:bidi="ar-SA"/>
    </w:rPr>
  </w:style>
  <w:style w:type="paragraph" w:styleId="45">
    <w:name w:val="toc 5"/>
    <w:basedOn w:val="1"/>
    <w:next w:val="1"/>
    <w:unhideWhenUsed/>
    <w:qFormat/>
    <w:uiPriority w:val="39"/>
    <w:pPr>
      <w:autoSpaceDE/>
      <w:autoSpaceDN/>
      <w:ind w:left="1680" w:leftChars="800"/>
      <w:jc w:val="both"/>
    </w:pPr>
    <w:rPr>
      <w:rFonts w:asciiTheme="minorHAnsi" w:hAnsiTheme="minorHAnsi" w:eastAsiaTheme="minorEastAsia" w:cstheme="minorBidi"/>
      <w:kern w:val="2"/>
      <w:sz w:val="21"/>
      <w:lang w:val="en-US" w:bidi="ar-SA"/>
    </w:rPr>
  </w:style>
  <w:style w:type="paragraph" w:styleId="46">
    <w:name w:val="toc 3"/>
    <w:basedOn w:val="1"/>
    <w:next w:val="1"/>
    <w:unhideWhenUsed/>
    <w:qFormat/>
    <w:uiPriority w:val="39"/>
    <w:pPr>
      <w:widowControl/>
      <w:autoSpaceDE/>
      <w:autoSpaceDN/>
      <w:spacing w:after="100" w:line="276" w:lineRule="auto"/>
      <w:ind w:left="440"/>
    </w:pPr>
    <w:rPr>
      <w:rFonts w:asciiTheme="minorHAnsi" w:hAnsiTheme="minorHAnsi" w:eastAsiaTheme="minorEastAsia" w:cstheme="minorBidi"/>
      <w:lang w:val="en-US" w:bidi="ar-SA"/>
    </w:rPr>
  </w:style>
  <w:style w:type="paragraph" w:styleId="47">
    <w:name w:val="Plain Text"/>
    <w:basedOn w:val="1"/>
    <w:link w:val="220"/>
    <w:unhideWhenUsed/>
    <w:qFormat/>
    <w:uiPriority w:val="0"/>
    <w:pPr>
      <w:autoSpaceDE/>
      <w:autoSpaceDN/>
      <w:snapToGrid w:val="0"/>
      <w:spacing w:line="360" w:lineRule="auto"/>
      <w:ind w:firstLine="480" w:firstLineChars="200"/>
    </w:pPr>
    <w:rPr>
      <w:rFonts w:hAnsi="Courier New" w:cs="Times New Roman"/>
      <w:kern w:val="2"/>
      <w:sz w:val="28"/>
      <w:szCs w:val="24"/>
      <w:lang w:val="en-US" w:bidi="ar-SA"/>
    </w:rPr>
  </w:style>
  <w:style w:type="paragraph" w:styleId="48">
    <w:name w:val="List Bullet 5"/>
    <w:basedOn w:val="1"/>
    <w:semiHidden/>
    <w:unhideWhenUsed/>
    <w:qFormat/>
    <w:uiPriority w:val="99"/>
    <w:pPr>
      <w:tabs>
        <w:tab w:val="left" w:pos="2070"/>
      </w:tabs>
      <w:autoSpaceDE/>
      <w:autoSpaceDN/>
      <w:snapToGrid w:val="0"/>
      <w:ind w:left="2070" w:hanging="510" w:firstLineChars="200"/>
      <w:jc w:val="both"/>
    </w:pPr>
    <w:rPr>
      <w:color w:val="000000"/>
      <w:kern w:val="2"/>
      <w:sz w:val="28"/>
      <w:szCs w:val="32"/>
      <w:lang w:val="en-US" w:bidi="ar-SA"/>
    </w:rPr>
  </w:style>
  <w:style w:type="paragraph" w:styleId="49">
    <w:name w:val="List Number 4"/>
    <w:basedOn w:val="1"/>
    <w:semiHidden/>
    <w:unhideWhenUsed/>
    <w:qFormat/>
    <w:uiPriority w:val="99"/>
    <w:pPr>
      <w:tabs>
        <w:tab w:val="left" w:pos="2070"/>
      </w:tabs>
      <w:autoSpaceDE/>
      <w:autoSpaceDN/>
      <w:snapToGrid w:val="0"/>
      <w:ind w:left="2070" w:hanging="510" w:firstLineChars="200"/>
      <w:jc w:val="both"/>
    </w:pPr>
    <w:rPr>
      <w:color w:val="000000"/>
      <w:kern w:val="2"/>
      <w:sz w:val="28"/>
      <w:szCs w:val="32"/>
      <w:lang w:val="en-US" w:bidi="ar-SA"/>
    </w:rPr>
  </w:style>
  <w:style w:type="paragraph" w:styleId="50">
    <w:name w:val="toc 8"/>
    <w:basedOn w:val="1"/>
    <w:next w:val="1"/>
    <w:unhideWhenUsed/>
    <w:qFormat/>
    <w:uiPriority w:val="39"/>
    <w:pPr>
      <w:autoSpaceDE/>
      <w:autoSpaceDN/>
      <w:ind w:left="2940" w:leftChars="1400"/>
      <w:jc w:val="both"/>
    </w:pPr>
    <w:rPr>
      <w:rFonts w:asciiTheme="minorHAnsi" w:hAnsiTheme="minorHAnsi" w:eastAsiaTheme="minorEastAsia" w:cstheme="minorBidi"/>
      <w:kern w:val="2"/>
      <w:sz w:val="21"/>
      <w:lang w:val="en-US" w:bidi="ar-SA"/>
    </w:rPr>
  </w:style>
  <w:style w:type="paragraph" w:styleId="51">
    <w:name w:val="index 3"/>
    <w:basedOn w:val="1"/>
    <w:next w:val="1"/>
    <w:semiHidden/>
    <w:unhideWhenUsed/>
    <w:qFormat/>
    <w:uiPriority w:val="99"/>
    <w:pPr>
      <w:autoSpaceDE/>
      <w:autoSpaceDN/>
      <w:adjustRightInd w:val="0"/>
      <w:snapToGrid w:val="0"/>
      <w:spacing w:line="360" w:lineRule="auto"/>
      <w:ind w:left="900" w:hanging="300" w:firstLineChars="200"/>
    </w:pPr>
    <w:rPr>
      <w:color w:val="000000"/>
      <w:sz w:val="20"/>
      <w:szCs w:val="20"/>
      <w:lang w:val="en-US" w:bidi="ar-SA"/>
    </w:rPr>
  </w:style>
  <w:style w:type="paragraph" w:styleId="52">
    <w:name w:val="Date"/>
    <w:basedOn w:val="1"/>
    <w:next w:val="1"/>
    <w:link w:val="137"/>
    <w:qFormat/>
    <w:uiPriority w:val="99"/>
    <w:pPr>
      <w:autoSpaceDE/>
      <w:autoSpaceDN/>
      <w:ind w:left="100" w:leftChars="2500"/>
      <w:jc w:val="both"/>
    </w:pPr>
    <w:rPr>
      <w:rFonts w:ascii="Calibri" w:hAnsi="Calibri" w:cs="Times New Roman"/>
      <w:kern w:val="2"/>
      <w:sz w:val="21"/>
      <w:lang w:val="en-US" w:bidi="ar-SA"/>
    </w:rPr>
  </w:style>
  <w:style w:type="paragraph" w:styleId="53">
    <w:name w:val="Body Text Indent 2"/>
    <w:basedOn w:val="1"/>
    <w:link w:val="218"/>
    <w:semiHidden/>
    <w:unhideWhenUsed/>
    <w:qFormat/>
    <w:uiPriority w:val="99"/>
    <w:pPr>
      <w:tabs>
        <w:tab w:val="left" w:pos="785"/>
      </w:tabs>
      <w:autoSpaceDE/>
      <w:autoSpaceDN/>
      <w:snapToGrid w:val="0"/>
      <w:spacing w:line="360" w:lineRule="auto"/>
      <w:ind w:firstLine="601" w:firstLineChars="200"/>
    </w:pPr>
    <w:rPr>
      <w:rFonts w:hAnsi="Times New Roman" w:cs="Times New Roman"/>
      <w:spacing w:val="20"/>
      <w:kern w:val="2"/>
      <w:sz w:val="28"/>
      <w:szCs w:val="24"/>
      <w:lang w:val="en-US" w:bidi="ar-SA"/>
    </w:rPr>
  </w:style>
  <w:style w:type="paragraph" w:styleId="54">
    <w:name w:val="List Continue 5"/>
    <w:basedOn w:val="1"/>
    <w:unhideWhenUsed/>
    <w:qFormat/>
    <w:uiPriority w:val="99"/>
    <w:pPr>
      <w:autoSpaceDE/>
      <w:autoSpaceDN/>
      <w:snapToGrid w:val="0"/>
      <w:spacing w:after="120"/>
      <w:ind w:left="2100" w:leftChars="1000" w:firstLine="480" w:firstLineChars="200"/>
      <w:jc w:val="both"/>
    </w:pPr>
    <w:rPr>
      <w:color w:val="000000"/>
      <w:kern w:val="2"/>
      <w:sz w:val="28"/>
      <w:szCs w:val="32"/>
      <w:lang w:val="en-US" w:bidi="ar-SA"/>
    </w:rPr>
  </w:style>
  <w:style w:type="paragraph" w:styleId="55">
    <w:name w:val="Balloon Text"/>
    <w:basedOn w:val="1"/>
    <w:link w:val="132"/>
    <w:qFormat/>
    <w:uiPriority w:val="99"/>
    <w:rPr>
      <w:sz w:val="18"/>
      <w:szCs w:val="18"/>
    </w:rPr>
  </w:style>
  <w:style w:type="paragraph" w:styleId="56">
    <w:name w:val="footer"/>
    <w:basedOn w:val="1"/>
    <w:link w:val="142"/>
    <w:qFormat/>
    <w:uiPriority w:val="99"/>
    <w:pPr>
      <w:tabs>
        <w:tab w:val="center" w:pos="4153"/>
        <w:tab w:val="right" w:pos="8306"/>
      </w:tabs>
      <w:snapToGrid w:val="0"/>
    </w:pPr>
    <w:rPr>
      <w:sz w:val="18"/>
    </w:rPr>
  </w:style>
  <w:style w:type="paragraph" w:styleId="57">
    <w:name w:val="envelope return"/>
    <w:basedOn w:val="1"/>
    <w:semiHidden/>
    <w:unhideWhenUsed/>
    <w:qFormat/>
    <w:uiPriority w:val="99"/>
    <w:pPr>
      <w:autoSpaceDE/>
      <w:autoSpaceDN/>
      <w:snapToGrid w:val="0"/>
      <w:ind w:firstLine="480" w:firstLineChars="200"/>
      <w:jc w:val="both"/>
    </w:pPr>
    <w:rPr>
      <w:rFonts w:ascii="Arial" w:hAnsi="Arial" w:cs="Arial"/>
      <w:color w:val="000000"/>
      <w:kern w:val="2"/>
      <w:sz w:val="28"/>
      <w:szCs w:val="32"/>
      <w:lang w:val="en-US" w:bidi="ar-SA"/>
    </w:rPr>
  </w:style>
  <w:style w:type="paragraph" w:styleId="58">
    <w:name w:val="header"/>
    <w:basedOn w:val="1"/>
    <w:link w:val="131"/>
    <w:qFormat/>
    <w:uiPriority w:val="99"/>
    <w:pPr>
      <w:pBdr>
        <w:bottom w:val="single" w:color="auto" w:sz="6" w:space="1"/>
      </w:pBdr>
      <w:tabs>
        <w:tab w:val="center" w:pos="4153"/>
        <w:tab w:val="right" w:pos="8306"/>
      </w:tabs>
      <w:snapToGrid w:val="0"/>
      <w:jc w:val="center"/>
    </w:pPr>
    <w:rPr>
      <w:sz w:val="18"/>
      <w:szCs w:val="18"/>
    </w:rPr>
  </w:style>
  <w:style w:type="paragraph" w:styleId="59">
    <w:name w:val="Signature"/>
    <w:basedOn w:val="1"/>
    <w:link w:val="210"/>
    <w:semiHidden/>
    <w:unhideWhenUsed/>
    <w:qFormat/>
    <w:uiPriority w:val="99"/>
    <w:pPr>
      <w:autoSpaceDE/>
      <w:autoSpaceDN/>
      <w:snapToGrid w:val="0"/>
      <w:ind w:left="100" w:leftChars="2100" w:firstLine="480" w:firstLineChars="200"/>
      <w:jc w:val="both"/>
    </w:pPr>
    <w:rPr>
      <w:color w:val="000000"/>
      <w:kern w:val="2"/>
      <w:sz w:val="28"/>
      <w:szCs w:val="32"/>
      <w:lang w:val="en-US" w:bidi="ar-SA"/>
    </w:rPr>
  </w:style>
  <w:style w:type="paragraph" w:styleId="60">
    <w:name w:val="toc 1"/>
    <w:basedOn w:val="1"/>
    <w:next w:val="1"/>
    <w:qFormat/>
    <w:uiPriority w:val="39"/>
    <w:pPr>
      <w:spacing w:before="5"/>
      <w:ind w:left="1020" w:right="265" w:hanging="1021"/>
      <w:jc w:val="right"/>
    </w:pPr>
    <w:rPr>
      <w:sz w:val="24"/>
      <w:szCs w:val="24"/>
    </w:rPr>
  </w:style>
  <w:style w:type="paragraph" w:styleId="61">
    <w:name w:val="List Continue 4"/>
    <w:basedOn w:val="1"/>
    <w:unhideWhenUsed/>
    <w:qFormat/>
    <w:uiPriority w:val="99"/>
    <w:pPr>
      <w:autoSpaceDE/>
      <w:autoSpaceDN/>
      <w:snapToGrid w:val="0"/>
      <w:spacing w:after="120"/>
      <w:ind w:left="1680" w:leftChars="800" w:firstLine="480" w:firstLineChars="200"/>
      <w:jc w:val="both"/>
    </w:pPr>
    <w:rPr>
      <w:color w:val="000000"/>
      <w:kern w:val="2"/>
      <w:sz w:val="28"/>
      <w:szCs w:val="32"/>
      <w:lang w:val="en-US" w:bidi="ar-SA"/>
    </w:rPr>
  </w:style>
  <w:style w:type="paragraph" w:styleId="62">
    <w:name w:val="toc 4"/>
    <w:basedOn w:val="1"/>
    <w:next w:val="1"/>
    <w:unhideWhenUsed/>
    <w:qFormat/>
    <w:uiPriority w:val="39"/>
    <w:pPr>
      <w:autoSpaceDE/>
      <w:autoSpaceDN/>
      <w:ind w:left="1260" w:leftChars="600"/>
      <w:jc w:val="both"/>
    </w:pPr>
    <w:rPr>
      <w:rFonts w:asciiTheme="minorHAnsi" w:hAnsiTheme="minorHAnsi" w:eastAsiaTheme="minorEastAsia" w:cstheme="minorBidi"/>
      <w:kern w:val="2"/>
      <w:sz w:val="21"/>
      <w:lang w:val="en-US" w:bidi="ar-SA"/>
    </w:rPr>
  </w:style>
  <w:style w:type="paragraph" w:styleId="63">
    <w:name w:val="index heading"/>
    <w:basedOn w:val="1"/>
    <w:next w:val="64"/>
    <w:semiHidden/>
    <w:unhideWhenUsed/>
    <w:qFormat/>
    <w:uiPriority w:val="99"/>
    <w:pPr>
      <w:autoSpaceDE/>
      <w:autoSpaceDN/>
      <w:adjustRightInd w:val="0"/>
      <w:snapToGrid w:val="0"/>
      <w:spacing w:before="120" w:after="120" w:line="360" w:lineRule="auto"/>
      <w:ind w:firstLine="480" w:firstLineChars="200"/>
    </w:pPr>
    <w:rPr>
      <w:color w:val="000000"/>
      <w:sz w:val="28"/>
      <w:szCs w:val="20"/>
      <w:lang w:val="en-US" w:bidi="ar-SA"/>
    </w:rPr>
  </w:style>
  <w:style w:type="paragraph" w:styleId="64">
    <w:name w:val="index 1"/>
    <w:basedOn w:val="1"/>
    <w:next w:val="1"/>
    <w:semiHidden/>
    <w:unhideWhenUsed/>
    <w:qFormat/>
    <w:uiPriority w:val="99"/>
    <w:pPr>
      <w:autoSpaceDE/>
      <w:autoSpaceDN/>
      <w:snapToGrid w:val="0"/>
      <w:spacing w:line="360" w:lineRule="auto"/>
      <w:ind w:firstLine="200" w:firstLineChars="200"/>
    </w:pPr>
    <w:rPr>
      <w:rFonts w:ascii="Times New Roman" w:hAnsi="Times New Roman" w:cs="Times New Roman"/>
      <w:color w:val="000000"/>
      <w:kern w:val="2"/>
      <w:sz w:val="24"/>
      <w:szCs w:val="24"/>
      <w:lang w:val="en-US" w:bidi="ar-SA"/>
    </w:rPr>
  </w:style>
  <w:style w:type="paragraph" w:styleId="65">
    <w:name w:val="Subtitle"/>
    <w:basedOn w:val="1"/>
    <w:next w:val="1"/>
    <w:link w:val="212"/>
    <w:qFormat/>
    <w:uiPriority w:val="99"/>
    <w:pPr>
      <w:widowControl/>
      <w:numPr>
        <w:ilvl w:val="2"/>
        <w:numId w:val="2"/>
      </w:numPr>
      <w:tabs>
        <w:tab w:val="left" w:pos="720"/>
      </w:tabs>
      <w:autoSpaceDE/>
      <w:autoSpaceDN/>
      <w:snapToGrid w:val="0"/>
      <w:spacing w:before="60" w:after="60" w:line="460" w:lineRule="exact"/>
      <w:ind w:right="0"/>
    </w:pPr>
    <w:rPr>
      <w:rFonts w:ascii="Cambria" w:hAnsi="Cambria" w:eastAsia="黑体" w:cs="Times New Roman"/>
      <w:b/>
      <w:bCs/>
      <w:kern w:val="28"/>
      <w:sz w:val="28"/>
      <w:szCs w:val="32"/>
      <w:lang w:val="en-US" w:bidi="ar-SA"/>
    </w:rPr>
  </w:style>
  <w:style w:type="paragraph" w:styleId="66">
    <w:name w:val="List Number 5"/>
    <w:basedOn w:val="1"/>
    <w:semiHidden/>
    <w:unhideWhenUsed/>
    <w:qFormat/>
    <w:uiPriority w:val="99"/>
    <w:pPr>
      <w:tabs>
        <w:tab w:val="left" w:pos="2070"/>
      </w:tabs>
      <w:autoSpaceDE/>
      <w:autoSpaceDN/>
      <w:snapToGrid w:val="0"/>
      <w:ind w:left="2070" w:hanging="510" w:firstLineChars="200"/>
      <w:jc w:val="both"/>
    </w:pPr>
    <w:rPr>
      <w:color w:val="000000"/>
      <w:kern w:val="2"/>
      <w:sz w:val="28"/>
      <w:szCs w:val="32"/>
      <w:lang w:val="en-US" w:bidi="ar-SA"/>
    </w:rPr>
  </w:style>
  <w:style w:type="paragraph" w:styleId="67">
    <w:name w:val="List"/>
    <w:basedOn w:val="39"/>
    <w:next w:val="1"/>
    <w:unhideWhenUsed/>
    <w:qFormat/>
    <w:uiPriority w:val="99"/>
    <w:pPr>
      <w:spacing w:before="240"/>
      <w:ind w:left="0" w:leftChars="0" w:firstLine="0" w:firstLineChars="0"/>
      <w:jc w:val="center"/>
    </w:pPr>
    <w:rPr>
      <w:sz w:val="28"/>
      <w:szCs w:val="20"/>
    </w:rPr>
  </w:style>
  <w:style w:type="paragraph" w:styleId="68">
    <w:name w:val="footnote text"/>
    <w:basedOn w:val="1"/>
    <w:link w:val="205"/>
    <w:semiHidden/>
    <w:unhideWhenUsed/>
    <w:qFormat/>
    <w:uiPriority w:val="99"/>
    <w:pPr>
      <w:keepNext/>
      <w:autoSpaceDE/>
      <w:autoSpaceDN/>
      <w:adjustRightInd w:val="0"/>
      <w:snapToGrid w:val="0"/>
      <w:spacing w:line="440" w:lineRule="exact"/>
      <w:ind w:right="-64" w:rightChars="-64" w:firstLine="200" w:firstLineChars="200"/>
    </w:pPr>
    <w:rPr>
      <w:rFonts w:ascii="黑体" w:hAnsi="黑体" w:cs="Times New Roman"/>
      <w:sz w:val="18"/>
      <w:szCs w:val="18"/>
      <w:lang w:val="en-US" w:bidi="ar-SA"/>
    </w:rPr>
  </w:style>
  <w:style w:type="paragraph" w:styleId="69">
    <w:name w:val="toc 6"/>
    <w:basedOn w:val="1"/>
    <w:next w:val="1"/>
    <w:unhideWhenUsed/>
    <w:qFormat/>
    <w:uiPriority w:val="39"/>
    <w:pPr>
      <w:autoSpaceDE/>
      <w:autoSpaceDN/>
      <w:ind w:left="2100" w:leftChars="1000"/>
      <w:jc w:val="both"/>
    </w:pPr>
    <w:rPr>
      <w:rFonts w:asciiTheme="minorHAnsi" w:hAnsiTheme="minorHAnsi" w:eastAsiaTheme="minorEastAsia" w:cstheme="minorBidi"/>
      <w:kern w:val="2"/>
      <w:sz w:val="21"/>
      <w:lang w:val="en-US" w:bidi="ar-SA"/>
    </w:rPr>
  </w:style>
  <w:style w:type="paragraph" w:styleId="70">
    <w:name w:val="List 5"/>
    <w:basedOn w:val="1"/>
    <w:semiHidden/>
    <w:unhideWhenUsed/>
    <w:qFormat/>
    <w:uiPriority w:val="99"/>
    <w:pPr>
      <w:autoSpaceDE/>
      <w:autoSpaceDN/>
      <w:snapToGrid w:val="0"/>
      <w:ind w:left="100" w:leftChars="800" w:hanging="200" w:hangingChars="200"/>
      <w:jc w:val="both"/>
    </w:pPr>
    <w:rPr>
      <w:color w:val="000000"/>
      <w:kern w:val="2"/>
      <w:sz w:val="28"/>
      <w:szCs w:val="32"/>
      <w:lang w:val="en-US" w:bidi="ar-SA"/>
    </w:rPr>
  </w:style>
  <w:style w:type="paragraph" w:styleId="71">
    <w:name w:val="Body Text Indent 3"/>
    <w:basedOn w:val="1"/>
    <w:link w:val="219"/>
    <w:semiHidden/>
    <w:unhideWhenUsed/>
    <w:qFormat/>
    <w:uiPriority w:val="99"/>
    <w:pPr>
      <w:autoSpaceDE/>
      <w:autoSpaceDN/>
      <w:snapToGrid w:val="0"/>
      <w:spacing w:line="360" w:lineRule="auto"/>
      <w:ind w:left="1260" w:firstLine="540" w:firstLineChars="200"/>
    </w:pPr>
    <w:rPr>
      <w:rFonts w:ascii="Times New Roman" w:hAnsi="Times New Roman" w:cs="Times New Roman"/>
      <w:kern w:val="2"/>
      <w:sz w:val="28"/>
      <w:szCs w:val="20"/>
      <w:lang w:val="en-US" w:bidi="ar-SA"/>
    </w:rPr>
  </w:style>
  <w:style w:type="paragraph" w:styleId="72">
    <w:name w:val="index 7"/>
    <w:basedOn w:val="1"/>
    <w:next w:val="1"/>
    <w:semiHidden/>
    <w:unhideWhenUsed/>
    <w:qFormat/>
    <w:uiPriority w:val="99"/>
    <w:pPr>
      <w:autoSpaceDE/>
      <w:autoSpaceDN/>
      <w:adjustRightInd w:val="0"/>
      <w:snapToGrid w:val="0"/>
      <w:spacing w:line="360" w:lineRule="auto"/>
      <w:ind w:left="2100" w:hanging="300" w:firstLineChars="200"/>
    </w:pPr>
    <w:rPr>
      <w:color w:val="000000"/>
      <w:sz w:val="20"/>
      <w:szCs w:val="20"/>
      <w:lang w:val="en-US" w:bidi="ar-SA"/>
    </w:rPr>
  </w:style>
  <w:style w:type="paragraph" w:styleId="73">
    <w:name w:val="index 9"/>
    <w:basedOn w:val="1"/>
    <w:next w:val="1"/>
    <w:semiHidden/>
    <w:unhideWhenUsed/>
    <w:qFormat/>
    <w:uiPriority w:val="99"/>
    <w:pPr>
      <w:autoSpaceDE/>
      <w:autoSpaceDN/>
      <w:adjustRightInd w:val="0"/>
      <w:snapToGrid w:val="0"/>
      <w:spacing w:line="360" w:lineRule="auto"/>
      <w:ind w:left="2700" w:hanging="300" w:firstLineChars="200"/>
    </w:pPr>
    <w:rPr>
      <w:color w:val="000000"/>
      <w:sz w:val="20"/>
      <w:szCs w:val="20"/>
      <w:lang w:val="en-US" w:bidi="ar-SA"/>
    </w:rPr>
  </w:style>
  <w:style w:type="paragraph" w:styleId="74">
    <w:name w:val="table of figures"/>
    <w:basedOn w:val="1"/>
    <w:next w:val="1"/>
    <w:semiHidden/>
    <w:unhideWhenUsed/>
    <w:qFormat/>
    <w:uiPriority w:val="99"/>
    <w:pPr>
      <w:autoSpaceDE/>
      <w:autoSpaceDN/>
      <w:snapToGrid w:val="0"/>
      <w:spacing w:line="360" w:lineRule="auto"/>
      <w:ind w:left="200" w:leftChars="200" w:hanging="200" w:hangingChars="200"/>
    </w:pPr>
    <w:rPr>
      <w:rFonts w:ascii="Times New Roman" w:hAnsi="Times New Roman" w:cs="Times New Roman"/>
      <w:color w:val="000000"/>
      <w:kern w:val="2"/>
      <w:sz w:val="24"/>
      <w:szCs w:val="24"/>
      <w:lang w:val="en-US" w:bidi="ar-SA"/>
    </w:rPr>
  </w:style>
  <w:style w:type="paragraph" w:styleId="75">
    <w:name w:val="toc 2"/>
    <w:basedOn w:val="1"/>
    <w:next w:val="1"/>
    <w:qFormat/>
    <w:uiPriority w:val="39"/>
    <w:pPr>
      <w:spacing w:before="5"/>
      <w:ind w:left="1080" w:hanging="421"/>
    </w:pPr>
    <w:rPr>
      <w:sz w:val="24"/>
      <w:szCs w:val="24"/>
    </w:rPr>
  </w:style>
  <w:style w:type="paragraph" w:styleId="76">
    <w:name w:val="toc 9"/>
    <w:basedOn w:val="1"/>
    <w:next w:val="1"/>
    <w:unhideWhenUsed/>
    <w:qFormat/>
    <w:uiPriority w:val="39"/>
    <w:pPr>
      <w:autoSpaceDE/>
      <w:autoSpaceDN/>
      <w:ind w:left="3360" w:leftChars="1600"/>
      <w:jc w:val="both"/>
    </w:pPr>
    <w:rPr>
      <w:rFonts w:asciiTheme="minorHAnsi" w:hAnsiTheme="minorHAnsi" w:eastAsiaTheme="minorEastAsia" w:cstheme="minorBidi"/>
      <w:kern w:val="2"/>
      <w:sz w:val="21"/>
      <w:lang w:val="en-US" w:bidi="ar-SA"/>
    </w:rPr>
  </w:style>
  <w:style w:type="paragraph" w:styleId="77">
    <w:name w:val="Body Text 2"/>
    <w:basedOn w:val="1"/>
    <w:link w:val="216"/>
    <w:semiHidden/>
    <w:unhideWhenUsed/>
    <w:qFormat/>
    <w:uiPriority w:val="99"/>
    <w:pPr>
      <w:autoSpaceDE/>
      <w:autoSpaceDN/>
      <w:snapToGrid w:val="0"/>
      <w:spacing w:line="360" w:lineRule="auto"/>
      <w:ind w:firstLine="480" w:firstLineChars="200"/>
      <w:jc w:val="center"/>
    </w:pPr>
    <w:rPr>
      <w:rFonts w:ascii="Times New Roman" w:hAnsi="Times New Roman" w:cs="Times New Roman"/>
      <w:bCs/>
      <w:kern w:val="2"/>
      <w:szCs w:val="20"/>
      <w:lang w:val="en-US" w:bidi="ar-SA"/>
    </w:rPr>
  </w:style>
  <w:style w:type="paragraph" w:styleId="78">
    <w:name w:val="List 4"/>
    <w:basedOn w:val="1"/>
    <w:semiHidden/>
    <w:unhideWhenUsed/>
    <w:qFormat/>
    <w:uiPriority w:val="99"/>
    <w:pPr>
      <w:autoSpaceDE/>
      <w:autoSpaceDN/>
      <w:snapToGrid w:val="0"/>
      <w:ind w:left="100" w:leftChars="600" w:hanging="200" w:hangingChars="200"/>
      <w:jc w:val="both"/>
    </w:pPr>
    <w:rPr>
      <w:color w:val="000000"/>
      <w:kern w:val="2"/>
      <w:sz w:val="28"/>
      <w:szCs w:val="32"/>
      <w:lang w:val="en-US" w:bidi="ar-SA"/>
    </w:rPr>
  </w:style>
  <w:style w:type="paragraph" w:styleId="79">
    <w:name w:val="List Continue 2"/>
    <w:basedOn w:val="1"/>
    <w:unhideWhenUsed/>
    <w:qFormat/>
    <w:uiPriority w:val="99"/>
    <w:pPr>
      <w:autoSpaceDE/>
      <w:autoSpaceDN/>
      <w:snapToGrid w:val="0"/>
      <w:spacing w:after="120"/>
      <w:ind w:left="840" w:leftChars="400" w:firstLine="480" w:firstLineChars="200"/>
      <w:jc w:val="both"/>
    </w:pPr>
    <w:rPr>
      <w:color w:val="000000"/>
      <w:kern w:val="2"/>
      <w:sz w:val="28"/>
      <w:szCs w:val="32"/>
      <w:lang w:val="en-US" w:bidi="ar-SA"/>
    </w:rPr>
  </w:style>
  <w:style w:type="paragraph" w:styleId="80">
    <w:name w:val="Message Header"/>
    <w:basedOn w:val="1"/>
    <w:link w:val="211"/>
    <w:semiHidden/>
    <w:unhideWhenUsed/>
    <w:qFormat/>
    <w:uiPriority w:val="99"/>
    <w:pPr>
      <w:pBdr>
        <w:top w:val="single" w:color="auto" w:sz="6" w:space="1"/>
        <w:left w:val="single" w:color="auto" w:sz="6" w:space="1"/>
        <w:bottom w:val="single" w:color="auto" w:sz="6" w:space="1"/>
        <w:right w:val="single" w:color="auto" w:sz="6" w:space="1"/>
      </w:pBdr>
      <w:shd w:val="pct20" w:color="auto" w:fill="auto"/>
      <w:autoSpaceDE/>
      <w:autoSpaceDN/>
      <w:snapToGrid w:val="0"/>
      <w:ind w:left="1080" w:leftChars="500" w:hanging="1080" w:hangingChars="500"/>
      <w:jc w:val="both"/>
    </w:pPr>
    <w:rPr>
      <w:rFonts w:ascii="Arial" w:hAnsi="Arial" w:cs="Arial"/>
      <w:color w:val="000000"/>
      <w:kern w:val="2"/>
      <w:sz w:val="24"/>
      <w:szCs w:val="24"/>
      <w:lang w:val="en-US" w:bidi="ar-SA"/>
    </w:rPr>
  </w:style>
  <w:style w:type="paragraph" w:styleId="81">
    <w:name w:val="HTML Preformatted"/>
    <w:basedOn w:val="1"/>
    <w:link w:val="202"/>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napToGrid w:val="0"/>
      <w:ind w:firstLine="480" w:firstLineChars="200"/>
      <w:jc w:val="both"/>
    </w:pPr>
    <w:rPr>
      <w:rFonts w:ascii="Courier New" w:hAnsi="Courier New" w:eastAsia="黑体" w:cs="Courier New"/>
      <w:b/>
      <w:kern w:val="2"/>
      <w:sz w:val="20"/>
      <w:szCs w:val="20"/>
      <w:lang w:val="en-US" w:bidi="ar-SA"/>
    </w:rPr>
  </w:style>
  <w:style w:type="paragraph" w:styleId="82">
    <w:name w:val="Normal (Web)"/>
    <w:basedOn w:val="1"/>
    <w:semiHidden/>
    <w:unhideWhenUsed/>
    <w:qFormat/>
    <w:uiPriority w:val="99"/>
    <w:pPr>
      <w:widowControl/>
      <w:autoSpaceDE/>
      <w:autoSpaceDN/>
      <w:snapToGrid w:val="0"/>
      <w:spacing w:before="100" w:beforeAutospacing="1" w:after="100" w:afterAutospacing="1" w:line="360" w:lineRule="auto"/>
      <w:ind w:firstLine="480" w:firstLineChars="200"/>
    </w:pPr>
    <w:rPr>
      <w:color w:val="000000"/>
      <w:sz w:val="24"/>
      <w:szCs w:val="24"/>
      <w:lang w:val="en-US" w:bidi="ar-SA"/>
    </w:rPr>
  </w:style>
  <w:style w:type="paragraph" w:styleId="83">
    <w:name w:val="List Continue 3"/>
    <w:basedOn w:val="1"/>
    <w:unhideWhenUsed/>
    <w:qFormat/>
    <w:uiPriority w:val="99"/>
    <w:pPr>
      <w:widowControl/>
      <w:autoSpaceDE/>
      <w:autoSpaceDN/>
      <w:snapToGrid w:val="0"/>
      <w:spacing w:after="120" w:line="360" w:lineRule="auto"/>
      <w:ind w:left="1260" w:leftChars="600" w:firstLine="480" w:firstLineChars="200"/>
    </w:pPr>
    <w:rPr>
      <w:rFonts w:ascii="Times New Roman" w:hAnsi="Times New Roman" w:cs="Times New Roman"/>
      <w:color w:val="000000"/>
      <w:kern w:val="2"/>
      <w:sz w:val="21"/>
      <w:szCs w:val="24"/>
      <w:lang w:val="en-US" w:bidi="ar-SA"/>
    </w:rPr>
  </w:style>
  <w:style w:type="paragraph" w:styleId="84">
    <w:name w:val="index 2"/>
    <w:basedOn w:val="1"/>
    <w:next w:val="1"/>
    <w:semiHidden/>
    <w:unhideWhenUsed/>
    <w:qFormat/>
    <w:uiPriority w:val="99"/>
    <w:pPr>
      <w:autoSpaceDE/>
      <w:autoSpaceDN/>
      <w:adjustRightInd w:val="0"/>
      <w:snapToGrid w:val="0"/>
      <w:spacing w:line="360" w:lineRule="auto"/>
      <w:ind w:left="600" w:hanging="300" w:firstLineChars="200"/>
    </w:pPr>
    <w:rPr>
      <w:color w:val="000000"/>
      <w:sz w:val="20"/>
      <w:szCs w:val="20"/>
      <w:lang w:val="en-US" w:bidi="ar-SA"/>
    </w:rPr>
  </w:style>
  <w:style w:type="paragraph" w:styleId="85">
    <w:name w:val="Title"/>
    <w:basedOn w:val="5"/>
    <w:next w:val="1"/>
    <w:link w:val="208"/>
    <w:qFormat/>
    <w:uiPriority w:val="10"/>
    <w:pPr>
      <w:widowControl/>
      <w:numPr>
        <w:ilvl w:val="1"/>
        <w:numId w:val="2"/>
      </w:numPr>
      <w:tabs>
        <w:tab w:val="left" w:pos="0"/>
      </w:tabs>
      <w:autoSpaceDE/>
      <w:autoSpaceDN/>
      <w:snapToGrid w:val="0"/>
      <w:spacing w:before="120" w:after="60" w:line="460" w:lineRule="exact"/>
      <w:jc w:val="center"/>
      <w:outlineLvl w:val="0"/>
    </w:pPr>
    <w:rPr>
      <w:rFonts w:ascii="Cambria" w:hAnsi="Cambria" w:eastAsia="黑体" w:cs="Times New Roman"/>
      <w:bCs w:val="0"/>
      <w:kern w:val="2"/>
      <w:sz w:val="32"/>
      <w:szCs w:val="32"/>
      <w:lang w:val="en-US" w:bidi="ar-SA"/>
    </w:rPr>
  </w:style>
  <w:style w:type="paragraph" w:styleId="86">
    <w:name w:val="annotation subject"/>
    <w:basedOn w:val="29"/>
    <w:next w:val="29"/>
    <w:link w:val="168"/>
    <w:semiHidden/>
    <w:unhideWhenUsed/>
    <w:qFormat/>
    <w:uiPriority w:val="99"/>
    <w:rPr>
      <w:b/>
      <w:bCs/>
    </w:rPr>
  </w:style>
  <w:style w:type="paragraph" w:styleId="87">
    <w:name w:val="Body Text First Indent"/>
    <w:basedOn w:val="1"/>
    <w:next w:val="1"/>
    <w:link w:val="144"/>
    <w:qFormat/>
    <w:uiPriority w:val="99"/>
    <w:pPr>
      <w:autoSpaceDE/>
      <w:autoSpaceDN/>
      <w:spacing w:before="0" w:after="120"/>
      <w:ind w:left="0" w:firstLine="420" w:firstLineChars="100"/>
      <w:jc w:val="both"/>
    </w:pPr>
    <w:rPr>
      <w:rFonts w:ascii="Calibri" w:hAnsi="Calibri" w:cs="Times New Roman"/>
      <w:kern w:val="2"/>
      <w:sz w:val="21"/>
      <w:szCs w:val="22"/>
      <w:lang w:val="en-US" w:bidi="ar-SA"/>
    </w:rPr>
  </w:style>
  <w:style w:type="paragraph" w:styleId="88">
    <w:name w:val="Body Text First Indent 2"/>
    <w:basedOn w:val="35"/>
    <w:next w:val="1"/>
    <w:link w:val="214"/>
    <w:semiHidden/>
    <w:unhideWhenUsed/>
    <w:qFormat/>
    <w:uiPriority w:val="99"/>
    <w:pPr>
      <w:ind w:firstLine="420"/>
      <w:jc w:val="both"/>
    </w:pPr>
    <w:rPr>
      <w:color w:val="auto"/>
      <w:spacing w:val="20"/>
      <w:sz w:val="28"/>
    </w:rPr>
  </w:style>
  <w:style w:type="table" w:styleId="90">
    <w:name w:val="Table Grid"/>
    <w:basedOn w:val="89"/>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91">
    <w:name w:val="Table Theme"/>
    <w:basedOn w:val="89"/>
    <w:semiHidden/>
    <w:unhideWhenUsed/>
    <w:qFormat/>
    <w:uiPriority w:val="0"/>
    <w:pPr>
      <w:widowControl w:val="0"/>
      <w:spacing w:before="60" w:after="60" w:line="360" w:lineRule="auto"/>
      <w:ind w:firstLine="200" w:firstLineChars="20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2">
    <w:name w:val="Table Elegant"/>
    <w:basedOn w:val="89"/>
    <w:semiHidden/>
    <w:unhideWhenUsed/>
    <w:qFormat/>
    <w:uiPriority w:val="0"/>
    <w:pPr>
      <w:widowControl w:val="0"/>
      <w:spacing w:before="60" w:after="60" w:line="360" w:lineRule="auto"/>
      <w:ind w:firstLine="200" w:firstLineChars="200"/>
    </w:pPr>
    <w:rPr>
      <w:rFonts w:ascii="Calibri" w:hAnsi="Calibri"/>
      <w:kern w:val="2"/>
      <w:sz w:val="21"/>
      <w:szCs w:val="22"/>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blPr/>
      <w:tcPr>
        <w:tcBorders>
          <w:top w:val="nil"/>
          <w:left w:val="nil"/>
          <w:bottom w:val="nil"/>
          <w:right w:val="nil"/>
          <w:insideH w:val="nil"/>
          <w:insideV w:val="nil"/>
          <w:tl2br w:val="nil"/>
          <w:tr2bl w:val="nil"/>
        </w:tcBorders>
      </w:tcPr>
    </w:tblStylePr>
  </w:style>
  <w:style w:type="table" w:styleId="93">
    <w:name w:val="Table Classic 1"/>
    <w:basedOn w:val="89"/>
    <w:semiHidden/>
    <w:unhideWhenUsed/>
    <w:qFormat/>
    <w:uiPriority w:val="0"/>
    <w:pPr>
      <w:widowControl w:val="0"/>
      <w:spacing w:before="60" w:after="60" w:line="360" w:lineRule="auto"/>
      <w:ind w:firstLine="200" w:firstLineChars="200"/>
    </w:pPr>
    <w:rPr>
      <w:rFonts w:ascii="Calibri" w:hAnsi="Calibri"/>
      <w:kern w:val="2"/>
      <w:sz w:val="21"/>
      <w:szCs w:val="22"/>
    </w:r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4">
    <w:name w:val="Table Classic 2"/>
    <w:basedOn w:val="89"/>
    <w:semiHidden/>
    <w:unhideWhenUsed/>
    <w:qFormat/>
    <w:uiPriority w:val="0"/>
    <w:pPr>
      <w:widowControl w:val="0"/>
      <w:spacing w:before="60" w:after="60" w:line="360" w:lineRule="auto"/>
      <w:ind w:firstLine="200" w:firstLineChars="200"/>
    </w:pPr>
    <w:rPr>
      <w:rFonts w:ascii="Calibri" w:hAnsi="Calibri"/>
      <w:kern w:val="2"/>
      <w:sz w:val="21"/>
      <w:szCs w:val="22"/>
    </w:rPr>
    <w:tblPr>
      <w:tblBorders>
        <w:top w:val="single" w:color="000000" w:sz="12" w:space="0"/>
        <w:bottom w:val="single" w:color="000000" w:sz="12" w:space="0"/>
      </w:tblBorders>
      <w:tblCellMar>
        <w:top w:w="0" w:type="dxa"/>
        <w:left w:w="108" w:type="dxa"/>
        <w:bottom w:w="0" w:type="dxa"/>
        <w:right w:w="108" w:type="dxa"/>
      </w:tblCellMar>
    </w:tbl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5">
    <w:name w:val="Table Classic 3"/>
    <w:basedOn w:val="89"/>
    <w:semiHidden/>
    <w:unhideWhenUsed/>
    <w:qFormat/>
    <w:uiPriority w:val="0"/>
    <w:pPr>
      <w:widowControl w:val="0"/>
      <w:spacing w:before="60" w:after="60" w:line="360" w:lineRule="auto"/>
      <w:ind w:firstLine="200" w:firstLineChars="200"/>
    </w:pPr>
    <w:rPr>
      <w:rFonts w:ascii="Calibri" w:hAnsi="Calibri"/>
      <w:color w:val="000080"/>
      <w:kern w:val="2"/>
      <w:sz w:val="21"/>
      <w:szCs w:val="22"/>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6">
    <w:name w:val="Table Simple 2"/>
    <w:basedOn w:val="89"/>
    <w:semiHidden/>
    <w:unhideWhenUsed/>
    <w:qFormat/>
    <w:uiPriority w:val="0"/>
    <w:pPr>
      <w:widowControl w:val="0"/>
      <w:spacing w:before="60" w:after="60" w:line="360" w:lineRule="auto"/>
      <w:ind w:firstLine="200" w:firstLineChars="200"/>
    </w:pPr>
    <w:rPr>
      <w:rFonts w:ascii="Calibri" w:hAnsi="Calibri"/>
      <w:kern w:val="2"/>
      <w:sz w:val="21"/>
      <w:szCs w:val="22"/>
    </w:rPr>
    <w:tblPr>
      <w:tblCellMar>
        <w:top w:w="0" w:type="dxa"/>
        <w:left w:w="108" w:type="dxa"/>
        <w:bottom w:w="0" w:type="dxa"/>
        <w:right w:w="108" w:type="dxa"/>
      </w:tblCellMa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7">
    <w:name w:val="Table Simple 3"/>
    <w:basedOn w:val="89"/>
    <w:semiHidden/>
    <w:unhideWhenUsed/>
    <w:qFormat/>
    <w:uiPriority w:val="0"/>
    <w:pPr>
      <w:widowControl w:val="0"/>
      <w:spacing w:before="60" w:after="60" w:line="360" w:lineRule="auto"/>
      <w:ind w:firstLine="200" w:firstLineChars="200"/>
    </w:pPr>
    <w:rPr>
      <w:rFonts w:ascii="Calibri" w:hAnsi="Calibri"/>
      <w:kern w:val="2"/>
      <w:sz w:val="21"/>
      <w:szCs w:val="22"/>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8">
    <w:name w:val="Table List 3"/>
    <w:basedOn w:val="89"/>
    <w:semiHidden/>
    <w:unhideWhenUsed/>
    <w:qFormat/>
    <w:uiPriority w:val="0"/>
    <w:pPr>
      <w:widowControl w:val="0"/>
      <w:spacing w:before="60" w:after="60" w:line="360" w:lineRule="auto"/>
      <w:ind w:firstLine="200" w:firstLineChars="200"/>
    </w:pPr>
    <w:rPr>
      <w:rFonts w:ascii="Calibri" w:hAnsi="Calibri"/>
      <w:kern w:val="2"/>
      <w:sz w:val="21"/>
      <w:szCs w:val="22"/>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99">
    <w:name w:val="Table Grid 1"/>
    <w:basedOn w:val="89"/>
    <w:semiHidden/>
    <w:unhideWhenUsed/>
    <w:qFormat/>
    <w:uiPriority w:val="0"/>
    <w:pPr>
      <w:widowControl w:val="0"/>
      <w:spacing w:before="60" w:after="60" w:line="360" w:lineRule="auto"/>
      <w:ind w:firstLine="200" w:firstLineChars="200"/>
    </w:pPr>
    <w:rPr>
      <w:rFonts w:ascii="Calibri" w:hAnsi="Calibri"/>
      <w:kern w:val="2"/>
      <w:sz w:val="21"/>
      <w:szCs w:val="22"/>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00">
    <w:name w:val="Table Grid 5"/>
    <w:basedOn w:val="89"/>
    <w:semiHidden/>
    <w:unhideWhenUsed/>
    <w:qFormat/>
    <w:uiPriority w:val="0"/>
    <w:pPr>
      <w:widowControl w:val="0"/>
      <w:spacing w:before="60" w:after="60" w:line="360" w:lineRule="auto"/>
      <w:ind w:firstLine="200" w:firstLineChars="200"/>
    </w:pPr>
    <w:rPr>
      <w:rFonts w:ascii="Calibri" w:hAnsi="Calibri"/>
      <w:kern w:val="2"/>
      <w:sz w:val="21"/>
      <w:szCs w:val="22"/>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01">
    <w:name w:val="Table Grid 6"/>
    <w:basedOn w:val="89"/>
    <w:semiHidden/>
    <w:unhideWhenUsed/>
    <w:qFormat/>
    <w:uiPriority w:val="0"/>
    <w:pPr>
      <w:widowControl w:val="0"/>
      <w:spacing w:before="60" w:after="60" w:line="360" w:lineRule="auto"/>
      <w:ind w:firstLine="200" w:firstLineChars="200"/>
    </w:pPr>
    <w:rPr>
      <w:rFonts w:ascii="Calibri" w:hAnsi="Calibri"/>
      <w:kern w:val="2"/>
      <w:sz w:val="21"/>
      <w:szCs w:val="22"/>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02">
    <w:name w:val="Table Grid 7"/>
    <w:basedOn w:val="89"/>
    <w:semiHidden/>
    <w:unhideWhenUsed/>
    <w:qFormat/>
    <w:uiPriority w:val="0"/>
    <w:pPr>
      <w:widowControl w:val="0"/>
      <w:spacing w:before="60" w:after="60" w:line="360" w:lineRule="auto"/>
      <w:ind w:firstLine="200" w:firstLineChars="200"/>
    </w:pPr>
    <w:rPr>
      <w:rFonts w:ascii="Calibri" w:hAnsi="Calibri"/>
      <w:b/>
      <w:bCs/>
      <w:kern w:val="2"/>
      <w:sz w:val="21"/>
      <w:szCs w:val="22"/>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03">
    <w:name w:val="Table Web 1"/>
    <w:basedOn w:val="89"/>
    <w:semiHidden/>
    <w:unhideWhenUsed/>
    <w:qFormat/>
    <w:uiPriority w:val="0"/>
    <w:pPr>
      <w:widowControl w:val="0"/>
      <w:spacing w:before="60" w:after="60" w:line="360" w:lineRule="auto"/>
      <w:ind w:firstLine="200" w:firstLineChars="200"/>
    </w:pPr>
    <w:rPr>
      <w:rFonts w:ascii="Calibri" w:hAnsi="Calibri"/>
      <w:kern w:val="2"/>
      <w:sz w:val="21"/>
      <w:szCs w:val="22"/>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styleId="104">
    <w:name w:val="Table Web 2"/>
    <w:basedOn w:val="89"/>
    <w:semiHidden/>
    <w:unhideWhenUsed/>
    <w:qFormat/>
    <w:uiPriority w:val="0"/>
    <w:pPr>
      <w:widowControl w:val="0"/>
      <w:spacing w:before="60" w:after="60" w:line="360" w:lineRule="auto"/>
      <w:ind w:firstLine="200" w:firstLineChars="200"/>
    </w:pPr>
    <w:rPr>
      <w:rFonts w:ascii="Calibri" w:hAnsi="Calibri"/>
      <w:kern w:val="2"/>
      <w:sz w:val="21"/>
      <w:szCs w:val="22"/>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styleId="105">
    <w:name w:val="Table Professional"/>
    <w:basedOn w:val="89"/>
    <w:semiHidden/>
    <w:unhideWhenUsed/>
    <w:qFormat/>
    <w:uiPriority w:val="0"/>
    <w:pPr>
      <w:widowControl w:val="0"/>
      <w:spacing w:before="60" w:after="60" w:line="360" w:lineRule="auto"/>
      <w:ind w:firstLine="200" w:firstLineChars="200"/>
    </w:pPr>
    <w:rPr>
      <w:rFonts w:ascii="Calibri" w:hAnsi="Calibri"/>
      <w:kern w:val="2"/>
      <w:sz w:val="21"/>
      <w:szCs w:val="22"/>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07">
    <w:name w:val="page number"/>
    <w:basedOn w:val="106"/>
    <w:semiHidden/>
    <w:unhideWhenUsed/>
    <w:qFormat/>
    <w:uiPriority w:val="0"/>
    <w:rPr>
      <w:rFonts w:hint="eastAsia" w:ascii="仿宋_GB2312" w:eastAsia="仿宋_GB2312"/>
      <w:b/>
      <w:sz w:val="32"/>
      <w:szCs w:val="32"/>
    </w:rPr>
  </w:style>
  <w:style w:type="character" w:styleId="108">
    <w:name w:val="FollowedHyperlink"/>
    <w:semiHidden/>
    <w:unhideWhenUsed/>
    <w:qFormat/>
    <w:uiPriority w:val="99"/>
    <w:rPr>
      <w:color w:val="2D374B"/>
      <w:u w:val="none"/>
    </w:rPr>
  </w:style>
  <w:style w:type="character" w:styleId="109">
    <w:name w:val="line number"/>
    <w:basedOn w:val="106"/>
    <w:semiHidden/>
    <w:unhideWhenUsed/>
    <w:qFormat/>
    <w:uiPriority w:val="0"/>
    <w:rPr>
      <w:rFonts w:hint="eastAsia" w:ascii="仿宋_GB2312" w:eastAsia="仿宋_GB2312"/>
      <w:b/>
      <w:sz w:val="32"/>
      <w:szCs w:val="32"/>
    </w:rPr>
  </w:style>
  <w:style w:type="character" w:styleId="110">
    <w:name w:val="HTML Typewriter"/>
    <w:semiHidden/>
    <w:unhideWhenUsed/>
    <w:qFormat/>
    <w:uiPriority w:val="0"/>
    <w:rPr>
      <w:rFonts w:hint="default" w:ascii="Courier New" w:hAnsi="Courier New" w:eastAsia="Times New Roman" w:cs="Courier New"/>
      <w:sz w:val="24"/>
      <w:szCs w:val="24"/>
    </w:rPr>
  </w:style>
  <w:style w:type="character" w:styleId="111">
    <w:name w:val="HTML Acronym"/>
    <w:basedOn w:val="106"/>
    <w:semiHidden/>
    <w:unhideWhenUsed/>
    <w:qFormat/>
    <w:uiPriority w:val="0"/>
    <w:rPr>
      <w:rFonts w:hint="eastAsia" w:ascii="仿宋_GB2312" w:eastAsia="仿宋_GB2312"/>
      <w:b/>
      <w:sz w:val="32"/>
      <w:szCs w:val="32"/>
    </w:rPr>
  </w:style>
  <w:style w:type="character" w:styleId="112">
    <w:name w:val="Hyperlink"/>
    <w:basedOn w:val="106"/>
    <w:unhideWhenUsed/>
    <w:qFormat/>
    <w:uiPriority w:val="99"/>
    <w:rPr>
      <w:color w:val="0000FF" w:themeColor="hyperlink"/>
      <w:u w:val="single"/>
      <w14:textFill>
        <w14:solidFill>
          <w14:schemeClr w14:val="hlink"/>
        </w14:solidFill>
      </w14:textFill>
    </w:rPr>
  </w:style>
  <w:style w:type="character" w:styleId="113">
    <w:name w:val="HTML Code"/>
    <w:semiHidden/>
    <w:unhideWhenUsed/>
    <w:qFormat/>
    <w:uiPriority w:val="0"/>
    <w:rPr>
      <w:rFonts w:hint="default" w:ascii="Courier New" w:hAnsi="Courier New" w:eastAsia="Times New Roman" w:cs="Courier New"/>
      <w:sz w:val="24"/>
      <w:szCs w:val="24"/>
    </w:rPr>
  </w:style>
  <w:style w:type="character" w:styleId="114">
    <w:name w:val="annotation reference"/>
    <w:basedOn w:val="106"/>
    <w:semiHidden/>
    <w:unhideWhenUsed/>
    <w:qFormat/>
    <w:uiPriority w:val="0"/>
    <w:rPr>
      <w:sz w:val="21"/>
      <w:szCs w:val="21"/>
    </w:rPr>
  </w:style>
  <w:style w:type="character" w:styleId="115">
    <w:name w:val="footnote reference"/>
    <w:semiHidden/>
    <w:unhideWhenUsed/>
    <w:qFormat/>
    <w:uiPriority w:val="0"/>
    <w:rPr>
      <w:vertAlign w:val="superscript"/>
    </w:rPr>
  </w:style>
  <w:style w:type="character" w:styleId="116">
    <w:name w:val="HTML Keyboard"/>
    <w:semiHidden/>
    <w:unhideWhenUsed/>
    <w:qFormat/>
    <w:uiPriority w:val="0"/>
    <w:rPr>
      <w:rFonts w:hint="default" w:ascii="Courier New" w:hAnsi="Courier New" w:eastAsia="Times New Roman" w:cs="Courier New"/>
      <w:sz w:val="24"/>
      <w:szCs w:val="24"/>
    </w:rPr>
  </w:style>
  <w:style w:type="character" w:styleId="117">
    <w:name w:val="HTML Sample"/>
    <w:semiHidden/>
    <w:unhideWhenUsed/>
    <w:qFormat/>
    <w:uiPriority w:val="0"/>
    <w:rPr>
      <w:rFonts w:hint="default" w:ascii="Courier New" w:hAnsi="Courier New" w:eastAsia="Times New Roman" w:cs="Courier New"/>
    </w:rPr>
  </w:style>
  <w:style w:type="paragraph" w:customStyle="1" w:styleId="118">
    <w:name w:val="Default"/>
    <w:basedOn w:val="119"/>
    <w:next w:val="120"/>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19">
    <w:name w:val="纯文本1"/>
    <w:basedOn w:val="1"/>
    <w:qFormat/>
    <w:uiPriority w:val="0"/>
    <w:pPr>
      <w:adjustRightInd w:val="0"/>
    </w:pPr>
    <w:rPr>
      <w:rFonts w:ascii="宋体" w:hAnsi="Courier New"/>
      <w:szCs w:val="20"/>
    </w:rPr>
  </w:style>
  <w:style w:type="paragraph" w:customStyle="1" w:styleId="120">
    <w:name w:val="样式1"/>
    <w:basedOn w:val="63"/>
    <w:next w:val="1"/>
    <w:link w:val="682"/>
    <w:qFormat/>
    <w:uiPriority w:val="0"/>
    <w:pPr>
      <w:keepNext/>
      <w:autoSpaceDE/>
      <w:autoSpaceDN/>
      <w:snapToGrid w:val="0"/>
      <w:spacing w:before="120" w:line="360" w:lineRule="auto"/>
      <w:ind w:firstLine="482" w:firstLineChars="200"/>
    </w:pPr>
    <w:rPr>
      <w:rFonts w:ascii="楷体_GB2312" w:hAnsi="Times New Roman" w:eastAsia="楷体_GB2312" w:cs="Times New Roman"/>
      <w:b/>
      <w:sz w:val="28"/>
      <w:szCs w:val="20"/>
      <w:lang w:val="en-US" w:bidi="ar-SA"/>
    </w:rPr>
  </w:style>
  <w:style w:type="paragraph" w:customStyle="1" w:styleId="121">
    <w:name w:val="xl27"/>
    <w:basedOn w:val="1"/>
    <w:qFormat/>
    <w:uiPriority w:val="99"/>
    <w:pPr>
      <w:widowControl/>
      <w:pBdr>
        <w:left w:val="single" w:color="auto" w:sz="4" w:space="0"/>
        <w:right w:val="single" w:color="auto" w:sz="4" w:space="0"/>
      </w:pBdr>
      <w:autoSpaceDE/>
      <w:autoSpaceDN/>
      <w:snapToGrid w:val="0"/>
      <w:spacing w:before="100" w:beforeAutospacing="1" w:after="100" w:afterAutospacing="1"/>
      <w:ind w:firstLine="480" w:firstLineChars="200"/>
    </w:pPr>
    <w:rPr>
      <w:rFonts w:ascii="Times New Roman" w:hAnsi="Times New Roman" w:cs="Times New Roman"/>
      <w:color w:val="000000"/>
      <w:sz w:val="24"/>
      <w:szCs w:val="24"/>
      <w:lang w:val="en-US" w:bidi="ar-SA"/>
    </w:rPr>
  </w:style>
  <w:style w:type="table" w:customStyle="1" w:styleId="122">
    <w:name w:val="Table Normal"/>
    <w:semiHidden/>
    <w:unhideWhenUsed/>
    <w:qFormat/>
    <w:uiPriority w:val="2"/>
    <w:tblPr>
      <w:tblCellMar>
        <w:top w:w="0" w:type="dxa"/>
        <w:left w:w="0" w:type="dxa"/>
        <w:bottom w:w="0" w:type="dxa"/>
        <w:right w:w="0" w:type="dxa"/>
      </w:tblCellMar>
    </w:tblPr>
  </w:style>
  <w:style w:type="paragraph" w:styleId="123">
    <w:name w:val="List Paragraph"/>
    <w:basedOn w:val="1"/>
    <w:qFormat/>
    <w:uiPriority w:val="99"/>
    <w:pPr>
      <w:spacing w:before="2"/>
      <w:ind w:left="1321" w:hanging="602"/>
    </w:pPr>
  </w:style>
  <w:style w:type="paragraph" w:customStyle="1" w:styleId="124">
    <w:name w:val="Table Paragraph"/>
    <w:basedOn w:val="1"/>
    <w:qFormat/>
    <w:uiPriority w:val="1"/>
    <w:pPr>
      <w:jc w:val="center"/>
    </w:pPr>
  </w:style>
  <w:style w:type="paragraph" w:customStyle="1" w:styleId="125">
    <w:name w:val="表名-黑体11"/>
    <w:basedOn w:val="1"/>
    <w:qFormat/>
    <w:uiPriority w:val="0"/>
    <w:pPr>
      <w:spacing w:before="120"/>
      <w:outlineLvl w:val="6"/>
    </w:pPr>
    <w:rPr>
      <w:rFonts w:ascii="Times New Roman" w:eastAsia="黑体"/>
      <w:sz w:val="24"/>
      <w:szCs w:val="21"/>
    </w:rPr>
  </w:style>
  <w:style w:type="paragraph" w:customStyle="1" w:styleId="126">
    <w:name w:val="样式 样式3 + 首行缩进:  2 字符1"/>
    <w:basedOn w:val="1"/>
    <w:qFormat/>
    <w:uiPriority w:val="0"/>
    <w:pPr>
      <w:spacing w:line="460" w:lineRule="exact"/>
    </w:pPr>
    <w:rPr>
      <w:rFonts w:hAnsi="Calibri"/>
      <w:sz w:val="24"/>
    </w:rPr>
  </w:style>
  <w:style w:type="paragraph" w:customStyle="1" w:styleId="12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28">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29">
    <w:name w:val="WPSOffice手动目录 1"/>
    <w:qFormat/>
    <w:uiPriority w:val="0"/>
    <w:rPr>
      <w:rFonts w:ascii="Times New Roman" w:hAnsi="Times New Roman" w:eastAsia="宋体" w:cs="Times New Roman"/>
      <w:lang w:val="en-US" w:eastAsia="zh-CN" w:bidi="ar-SA"/>
    </w:rPr>
  </w:style>
  <w:style w:type="character" w:customStyle="1" w:styleId="130">
    <w:name w:val="文档结构图 Char2"/>
    <w:basedOn w:val="106"/>
    <w:link w:val="27"/>
    <w:qFormat/>
    <w:uiPriority w:val="99"/>
    <w:rPr>
      <w:rFonts w:ascii="宋体" w:hAnsi="宋体" w:cs="宋体"/>
      <w:sz w:val="18"/>
      <w:szCs w:val="18"/>
      <w:lang w:val="zh-CN" w:bidi="zh-CN"/>
    </w:rPr>
  </w:style>
  <w:style w:type="character" w:customStyle="1" w:styleId="131">
    <w:name w:val="页眉 Char2"/>
    <w:basedOn w:val="106"/>
    <w:link w:val="58"/>
    <w:qFormat/>
    <w:uiPriority w:val="99"/>
    <w:rPr>
      <w:rFonts w:ascii="宋体" w:hAnsi="宋体" w:cs="宋体"/>
      <w:sz w:val="18"/>
      <w:szCs w:val="18"/>
      <w:lang w:val="zh-CN" w:bidi="zh-CN"/>
    </w:rPr>
  </w:style>
  <w:style w:type="character" w:customStyle="1" w:styleId="132">
    <w:name w:val="批注框文本 Char1"/>
    <w:basedOn w:val="106"/>
    <w:link w:val="55"/>
    <w:qFormat/>
    <w:uiPriority w:val="99"/>
    <w:rPr>
      <w:rFonts w:ascii="宋体" w:hAnsi="宋体" w:cs="宋体"/>
      <w:sz w:val="18"/>
      <w:szCs w:val="18"/>
      <w:lang w:val="zh-CN" w:bidi="zh-CN"/>
    </w:rPr>
  </w:style>
  <w:style w:type="paragraph" w:customStyle="1" w:styleId="133">
    <w:name w:val="报告正文"/>
    <w:basedOn w:val="1"/>
    <w:link w:val="564"/>
    <w:qFormat/>
    <w:uiPriority w:val="0"/>
    <w:pPr>
      <w:autoSpaceDE/>
      <w:autoSpaceDN/>
      <w:adjustRightInd w:val="0"/>
      <w:spacing w:beforeLines="25" w:line="360" w:lineRule="auto"/>
      <w:ind w:firstLine="482"/>
      <w:jc w:val="both"/>
      <w:textAlignment w:val="baseline"/>
    </w:pPr>
    <w:rPr>
      <w:rFonts w:ascii="Times New Roman" w:hAnsi="Times New Roman" w:cs="Times New Roman"/>
      <w:snapToGrid w:val="0"/>
      <w:kern w:val="24"/>
      <w:sz w:val="24"/>
      <w:szCs w:val="21"/>
      <w:lang w:val="en-US" w:bidi="ar-SA"/>
    </w:rPr>
  </w:style>
  <w:style w:type="character" w:customStyle="1" w:styleId="134">
    <w:name w:val="正文文本 Char2"/>
    <w:basedOn w:val="106"/>
    <w:link w:val="2"/>
    <w:qFormat/>
    <w:uiPriority w:val="1"/>
    <w:rPr>
      <w:rFonts w:ascii="宋体" w:hAnsi="宋体" w:cs="宋体"/>
      <w:sz w:val="24"/>
      <w:szCs w:val="24"/>
      <w:lang w:val="zh-CN" w:bidi="zh-CN"/>
    </w:rPr>
  </w:style>
  <w:style w:type="paragraph" w:customStyle="1" w:styleId="135">
    <w:name w:val="Char Char Char Char Char Char Char"/>
    <w:basedOn w:val="1"/>
    <w:qFormat/>
    <w:uiPriority w:val="99"/>
    <w:pPr>
      <w:widowControl/>
      <w:autoSpaceDE/>
      <w:autoSpaceDN/>
      <w:spacing w:after="160" w:line="240" w:lineRule="exact"/>
    </w:pPr>
    <w:rPr>
      <w:rFonts w:ascii="Times New Roman" w:hAnsi="Times New Roman" w:cs="Times New Roman"/>
      <w:kern w:val="2"/>
      <w:sz w:val="24"/>
      <w:szCs w:val="24"/>
      <w:lang w:val="en-US" w:bidi="ar-SA"/>
    </w:rPr>
  </w:style>
  <w:style w:type="paragraph" w:customStyle="1" w:styleId="136">
    <w:name w:val="Char Char Char1 Char Char Char Char"/>
    <w:basedOn w:val="1"/>
    <w:qFormat/>
    <w:uiPriority w:val="99"/>
    <w:pPr>
      <w:autoSpaceDE/>
      <w:autoSpaceDN/>
      <w:jc w:val="both"/>
    </w:pPr>
    <w:rPr>
      <w:rFonts w:ascii="Times New Roman" w:hAnsi="Times New Roman" w:cs="Times New Roman"/>
      <w:kern w:val="2"/>
      <w:sz w:val="21"/>
      <w:szCs w:val="21"/>
      <w:lang w:val="en-US" w:bidi="ar-SA"/>
    </w:rPr>
  </w:style>
  <w:style w:type="character" w:customStyle="1" w:styleId="137">
    <w:name w:val="日期 Char2"/>
    <w:basedOn w:val="106"/>
    <w:link w:val="52"/>
    <w:qFormat/>
    <w:uiPriority w:val="99"/>
    <w:rPr>
      <w:rFonts w:ascii="Calibri" w:hAnsi="Calibri"/>
      <w:kern w:val="2"/>
      <w:sz w:val="21"/>
      <w:szCs w:val="22"/>
    </w:rPr>
  </w:style>
  <w:style w:type="paragraph" w:customStyle="1" w:styleId="138">
    <w:name w:val="TOC 标题1"/>
    <w:basedOn w:val="4"/>
    <w:next w:val="1"/>
    <w:unhideWhenUsed/>
    <w:qFormat/>
    <w:uiPriority w:val="39"/>
    <w:pPr>
      <w:keepNext/>
      <w:keepLines/>
      <w:widowControl/>
      <w:autoSpaceDE/>
      <w:autoSpaceDN/>
      <w:spacing w:before="480" w:line="276" w:lineRule="auto"/>
      <w:ind w:right="0"/>
      <w:jc w:val="left"/>
      <w:outlineLvl w:val="9"/>
    </w:pPr>
    <w:rPr>
      <w:rFonts w:asciiTheme="majorHAnsi" w:hAnsiTheme="majorHAnsi" w:eastAsiaTheme="majorEastAsia" w:cstheme="majorBidi"/>
      <w:color w:val="376092" w:themeColor="accent1" w:themeShade="BF"/>
      <w:sz w:val="28"/>
      <w:szCs w:val="28"/>
      <w:lang w:val="en-US" w:bidi="ar-SA"/>
    </w:rPr>
  </w:style>
  <w:style w:type="character" w:customStyle="1" w:styleId="139">
    <w:name w:val="标题 2 Char1"/>
    <w:basedOn w:val="106"/>
    <w:link w:val="5"/>
    <w:qFormat/>
    <w:uiPriority w:val="9"/>
    <w:rPr>
      <w:rFonts w:ascii="宋体" w:hAnsi="宋体" w:cs="宋体"/>
      <w:b/>
      <w:bCs/>
      <w:sz w:val="30"/>
      <w:szCs w:val="30"/>
      <w:lang w:val="zh-CN" w:bidi="zh-CN"/>
    </w:rPr>
  </w:style>
  <w:style w:type="character" w:customStyle="1" w:styleId="140">
    <w:name w:val="标题 4 Char2"/>
    <w:basedOn w:val="106"/>
    <w:link w:val="7"/>
    <w:qFormat/>
    <w:uiPriority w:val="9"/>
    <w:rPr>
      <w:rFonts w:ascii="宋体" w:hAnsi="宋体" w:cs="宋体"/>
      <w:b/>
      <w:bCs/>
      <w:sz w:val="28"/>
      <w:szCs w:val="28"/>
      <w:lang w:val="zh-CN" w:bidi="zh-CN"/>
    </w:rPr>
  </w:style>
  <w:style w:type="character" w:customStyle="1" w:styleId="141">
    <w:name w:val="标题 5 Char1"/>
    <w:basedOn w:val="106"/>
    <w:link w:val="8"/>
    <w:qFormat/>
    <w:uiPriority w:val="0"/>
    <w:rPr>
      <w:rFonts w:ascii="宋体" w:hAnsi="宋体" w:cs="宋体"/>
      <w:b/>
      <w:bCs/>
      <w:sz w:val="24"/>
      <w:szCs w:val="24"/>
      <w:lang w:val="zh-CN" w:bidi="zh-CN"/>
    </w:rPr>
  </w:style>
  <w:style w:type="character" w:customStyle="1" w:styleId="142">
    <w:name w:val="页脚 Char1"/>
    <w:basedOn w:val="106"/>
    <w:link w:val="56"/>
    <w:qFormat/>
    <w:uiPriority w:val="99"/>
    <w:rPr>
      <w:rFonts w:ascii="宋体" w:hAnsi="宋体" w:cs="宋体"/>
      <w:sz w:val="18"/>
      <w:szCs w:val="22"/>
      <w:lang w:val="zh-CN" w:bidi="zh-CN"/>
    </w:rPr>
  </w:style>
  <w:style w:type="character" w:styleId="143">
    <w:name w:val="Placeholder Text"/>
    <w:basedOn w:val="106"/>
    <w:unhideWhenUsed/>
    <w:qFormat/>
    <w:uiPriority w:val="99"/>
    <w:rPr>
      <w:color w:val="808080"/>
    </w:rPr>
  </w:style>
  <w:style w:type="character" w:customStyle="1" w:styleId="144">
    <w:name w:val="正文首行缩进 Char3"/>
    <w:basedOn w:val="134"/>
    <w:link w:val="87"/>
    <w:qFormat/>
    <w:uiPriority w:val="99"/>
    <w:rPr>
      <w:rFonts w:ascii="Calibri" w:hAnsi="Calibri" w:cs="宋体"/>
      <w:kern w:val="2"/>
      <w:sz w:val="21"/>
      <w:szCs w:val="22"/>
      <w:lang w:val="zh-CN" w:bidi="zh-CN"/>
    </w:rPr>
  </w:style>
  <w:style w:type="paragraph" w:customStyle="1" w:styleId="145">
    <w:name w:val="lh-正文-报告表"/>
    <w:basedOn w:val="1"/>
    <w:link w:val="146"/>
    <w:qFormat/>
    <w:uiPriority w:val="0"/>
    <w:pPr>
      <w:autoSpaceDE/>
      <w:autoSpaceDN/>
      <w:spacing w:line="360" w:lineRule="auto"/>
      <w:ind w:firstLine="200" w:firstLineChars="200"/>
      <w:jc w:val="both"/>
    </w:pPr>
    <w:rPr>
      <w:rFonts w:ascii="Times New Roman" w:hAnsi="Times New Roman" w:cstheme="minorBidi"/>
      <w:sz w:val="24"/>
      <w:szCs w:val="21"/>
      <w:lang w:val="en-US" w:bidi="ar-SA"/>
    </w:rPr>
  </w:style>
  <w:style w:type="character" w:customStyle="1" w:styleId="146">
    <w:name w:val="lh-正文-报告表 Char"/>
    <w:basedOn w:val="106"/>
    <w:link w:val="145"/>
    <w:qFormat/>
    <w:uiPriority w:val="0"/>
    <w:rPr>
      <w:rFonts w:cstheme="minorBidi"/>
      <w:sz w:val="24"/>
      <w:szCs w:val="21"/>
    </w:rPr>
  </w:style>
  <w:style w:type="paragraph" w:customStyle="1" w:styleId="147">
    <w:name w:val="lh-表格文字-报告表"/>
    <w:basedOn w:val="1"/>
    <w:link w:val="148"/>
    <w:qFormat/>
    <w:uiPriority w:val="0"/>
    <w:pPr>
      <w:autoSpaceDE/>
      <w:autoSpaceDN/>
      <w:jc w:val="center"/>
    </w:pPr>
    <w:rPr>
      <w:rFonts w:ascii="Times New Roman" w:hAnsi="Times New Roman" w:cstheme="minorBidi"/>
      <w:sz w:val="21"/>
      <w:szCs w:val="24"/>
      <w:lang w:val="en-US" w:bidi="ar-SA"/>
    </w:rPr>
  </w:style>
  <w:style w:type="character" w:customStyle="1" w:styleId="148">
    <w:name w:val="lh-表格文字-报告表 Char"/>
    <w:basedOn w:val="106"/>
    <w:link w:val="147"/>
    <w:qFormat/>
    <w:uiPriority w:val="0"/>
    <w:rPr>
      <w:rFonts w:cstheme="minorBidi"/>
      <w:sz w:val="21"/>
      <w:szCs w:val="24"/>
    </w:rPr>
  </w:style>
  <w:style w:type="table" w:customStyle="1" w:styleId="149">
    <w:name w:val="表格类型1"/>
    <w:basedOn w:val="89"/>
    <w:qFormat/>
    <w:uiPriority w:val="0"/>
    <w:rPr>
      <w:rFonts w:ascii="等线" w:hAnsi="等线" w:eastAsia="等线"/>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
    <w:name w:val="表格类型2"/>
    <w:basedOn w:val="89"/>
    <w:qFormat/>
    <w:uiPriority w:val="0"/>
    <w:rPr>
      <w:rFonts w:ascii="等线" w:hAnsi="等线" w:eastAsia="等线"/>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51">
    <w:name w:val="【表格】"/>
    <w:next w:val="1"/>
    <w:qFormat/>
    <w:uiPriority w:val="0"/>
    <w:pPr>
      <w:widowControl w:val="0"/>
      <w:jc w:val="center"/>
    </w:pPr>
    <w:rPr>
      <w:rFonts w:ascii="Times New Roman" w:hAnsi="Times New Roman" w:eastAsia="宋体" w:cs="Times New Roman"/>
      <w:sz w:val="21"/>
      <w:szCs w:val="24"/>
      <w:lang w:val="en-US" w:eastAsia="zh-CN" w:bidi="ar-SA"/>
    </w:rPr>
  </w:style>
  <w:style w:type="table" w:customStyle="1" w:styleId="152">
    <w:name w:val="表格类型3"/>
    <w:basedOn w:val="89"/>
    <w:qFormat/>
    <w:uiPriority w:val="0"/>
    <w:rPr>
      <w:rFonts w:ascii="等线" w:hAnsi="等线" w:eastAsia="等线"/>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
    <w:name w:val="表格类型4"/>
    <w:basedOn w:val="89"/>
    <w:qFormat/>
    <w:uiPriority w:val="0"/>
    <w:rPr>
      <w:rFonts w:ascii="等线" w:hAnsi="等线" w:eastAsia="等线"/>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4">
    <w:name w:val="font91"/>
    <w:basedOn w:val="106"/>
    <w:qFormat/>
    <w:uiPriority w:val="0"/>
    <w:rPr>
      <w:rFonts w:hint="default" w:ascii="Times New Roman" w:hAnsi="Times New Roman" w:cs="Times New Roman"/>
      <w:b/>
      <w:color w:val="000000"/>
      <w:sz w:val="18"/>
      <w:szCs w:val="18"/>
      <w:u w:val="none"/>
    </w:rPr>
  </w:style>
  <w:style w:type="table" w:customStyle="1" w:styleId="155">
    <w:name w:val="表格类型5"/>
    <w:basedOn w:val="89"/>
    <w:qFormat/>
    <w:uiPriority w:val="0"/>
    <w:rPr>
      <w:rFonts w:ascii="等线" w:hAnsi="等线" w:eastAsia="等线"/>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6">
    <w:name w:val="表格类型6"/>
    <w:basedOn w:val="89"/>
    <w:qFormat/>
    <w:uiPriority w:val="0"/>
    <w:rPr>
      <w:rFonts w:ascii="等线" w:hAnsi="等线" w:eastAsia="等线"/>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7">
    <w:name w:val="网格型4"/>
    <w:basedOn w:val="89"/>
    <w:qFormat/>
    <w:uiPriority w:val="59"/>
    <w:rPr>
      <w:rFonts w:ascii="Calibri" w:hAnsi="Calibri" w:eastAsia="微软雅黑"/>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58">
    <w:name w:val="报告书表题"/>
    <w:basedOn w:val="1"/>
    <w:link w:val="171"/>
    <w:qFormat/>
    <w:uiPriority w:val="1"/>
    <w:pPr>
      <w:keepNext/>
      <w:jc w:val="center"/>
    </w:pPr>
  </w:style>
  <w:style w:type="paragraph" w:customStyle="1" w:styleId="159">
    <w:name w:val="表格文字"/>
    <w:basedOn w:val="87"/>
    <w:qFormat/>
    <w:uiPriority w:val="0"/>
    <w:pPr>
      <w:adjustRightInd w:val="0"/>
      <w:snapToGrid w:val="0"/>
      <w:contextualSpacing/>
      <w:jc w:val="center"/>
    </w:pPr>
    <w:rPr>
      <w:rFonts w:ascii="Times New Roman" w:hAnsi="Times New Roman" w:eastAsia="宋体" w:cs="Times New Roman"/>
      <w:snapToGrid w:val="0"/>
      <w:kern w:val="24"/>
      <w:sz w:val="21"/>
      <w:szCs w:val="24"/>
      <w:lang w:val="en-US" w:eastAsia="zh-CN" w:bidi="ar-SA"/>
    </w:rPr>
  </w:style>
  <w:style w:type="table" w:customStyle="1" w:styleId="160">
    <w:name w:val="报告书表格"/>
    <w:basedOn w:val="89"/>
    <w:qFormat/>
    <w:uiPriority w:val="99"/>
    <w:pPr>
      <w:adjustRightInd w:val="0"/>
      <w:snapToGrid w:val="0"/>
      <w:contextualSpacing/>
      <w:jc w:val="center"/>
    </w:pPr>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tcPr>
      <w:shd w:val="clear" w:color="auto" w:fill="auto"/>
      <w:vAlign w:val="center"/>
    </w:tcPr>
  </w:style>
  <w:style w:type="table" w:customStyle="1" w:styleId="161">
    <w:name w:val="报告书表格1"/>
    <w:basedOn w:val="89"/>
    <w:qFormat/>
    <w:uiPriority w:val="99"/>
    <w:pPr>
      <w:adjustRightInd w:val="0"/>
      <w:snapToGrid w:val="0"/>
      <w:contextualSpacing/>
      <w:jc w:val="center"/>
    </w:pPr>
    <w:rPr>
      <w:snapToGrid w:val="0"/>
      <w:kern w:val="24"/>
      <w:sz w:val="21"/>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tcPr>
      <w:shd w:val="clear" w:color="auto" w:fill="auto"/>
      <w:vAlign w:val="center"/>
    </w:tcPr>
  </w:style>
  <w:style w:type="table" w:customStyle="1" w:styleId="162">
    <w:name w:val="报告书表格2"/>
    <w:basedOn w:val="89"/>
    <w:qFormat/>
    <w:uiPriority w:val="99"/>
    <w:pPr>
      <w:adjustRightInd w:val="0"/>
      <w:snapToGrid w:val="0"/>
      <w:contextualSpacing/>
      <w:jc w:val="center"/>
    </w:pPr>
    <w:rPr>
      <w:snapToGrid w:val="0"/>
      <w:kern w:val="24"/>
      <w:sz w:val="21"/>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tcPr>
      <w:shd w:val="clear" w:color="auto" w:fill="auto"/>
      <w:vAlign w:val="center"/>
    </w:tcPr>
  </w:style>
  <w:style w:type="table" w:customStyle="1" w:styleId="163">
    <w:name w:val="报告书表格3"/>
    <w:basedOn w:val="89"/>
    <w:qFormat/>
    <w:uiPriority w:val="99"/>
    <w:pPr>
      <w:adjustRightInd w:val="0"/>
      <w:snapToGrid w:val="0"/>
      <w:contextualSpacing/>
      <w:jc w:val="center"/>
    </w:pPr>
    <w:rPr>
      <w:snapToGrid w:val="0"/>
      <w:kern w:val="24"/>
      <w:sz w:val="21"/>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tcPr>
      <w:shd w:val="clear" w:color="auto" w:fill="auto"/>
      <w:vAlign w:val="center"/>
    </w:tcPr>
  </w:style>
  <w:style w:type="table" w:customStyle="1" w:styleId="164">
    <w:name w:val="表格类型11"/>
    <w:basedOn w:val="89"/>
    <w:qFormat/>
    <w:uiPriority w:val="0"/>
    <w:rPr>
      <w:rFonts w:ascii="Calibri" w:hAnsi="Calibri"/>
      <w:snapToGrid w:val="0"/>
      <w:kern w:val="24"/>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5">
    <w:name w:val="未处理的提及1"/>
    <w:basedOn w:val="106"/>
    <w:unhideWhenUsed/>
    <w:qFormat/>
    <w:uiPriority w:val="99"/>
    <w:rPr>
      <w:color w:val="605E5C"/>
      <w:shd w:val="clear" w:color="auto" w:fill="E1DFDD"/>
    </w:rPr>
  </w:style>
  <w:style w:type="table" w:customStyle="1" w:styleId="166">
    <w:name w:val="报告书表格4"/>
    <w:basedOn w:val="89"/>
    <w:qFormat/>
    <w:uiPriority w:val="99"/>
    <w:pPr>
      <w:adjustRightInd w:val="0"/>
      <w:snapToGrid w:val="0"/>
      <w:contextualSpacing/>
      <w:jc w:val="center"/>
    </w:pPr>
    <w:rPr>
      <w:snapToGrid w:val="0"/>
      <w:kern w:val="24"/>
      <w:sz w:val="21"/>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tcPr>
      <w:shd w:val="clear" w:color="auto" w:fill="auto"/>
      <w:vAlign w:val="center"/>
    </w:tcPr>
  </w:style>
  <w:style w:type="character" w:customStyle="1" w:styleId="167">
    <w:name w:val="批注文字 Char2"/>
    <w:basedOn w:val="106"/>
    <w:link w:val="29"/>
    <w:qFormat/>
    <w:uiPriority w:val="99"/>
    <w:rPr>
      <w:rFonts w:ascii="宋体" w:hAnsi="宋体" w:cs="宋体"/>
      <w:sz w:val="22"/>
      <w:szCs w:val="22"/>
      <w:lang w:val="zh-CN" w:bidi="zh-CN"/>
    </w:rPr>
  </w:style>
  <w:style w:type="character" w:customStyle="1" w:styleId="168">
    <w:name w:val="批注主题 Char2"/>
    <w:basedOn w:val="167"/>
    <w:link w:val="86"/>
    <w:semiHidden/>
    <w:qFormat/>
    <w:uiPriority w:val="99"/>
    <w:rPr>
      <w:rFonts w:ascii="宋体" w:hAnsi="宋体" w:cs="宋体"/>
      <w:b/>
      <w:bCs/>
      <w:sz w:val="22"/>
      <w:szCs w:val="22"/>
      <w:lang w:val="zh-CN" w:bidi="zh-CN"/>
    </w:rPr>
  </w:style>
  <w:style w:type="paragraph" w:customStyle="1" w:styleId="169">
    <w:name w:val="Revision"/>
    <w:hidden/>
    <w:semiHidden/>
    <w:qFormat/>
    <w:uiPriority w:val="99"/>
    <w:rPr>
      <w:rFonts w:ascii="宋体" w:hAnsi="宋体" w:eastAsia="宋体" w:cs="宋体"/>
      <w:sz w:val="22"/>
      <w:szCs w:val="22"/>
      <w:lang w:val="zh-CN" w:eastAsia="zh-CN" w:bidi="zh-CN"/>
    </w:rPr>
  </w:style>
  <w:style w:type="table" w:customStyle="1" w:styleId="170">
    <w:name w:val="网格型1"/>
    <w:basedOn w:val="8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71">
    <w:name w:val="报告书表题 字符"/>
    <w:basedOn w:val="106"/>
    <w:link w:val="158"/>
    <w:qFormat/>
    <w:uiPriority w:val="1"/>
    <w:rPr>
      <w:rFonts w:ascii="宋体" w:hAnsi="宋体" w:cs="宋体"/>
      <w:sz w:val="22"/>
      <w:szCs w:val="22"/>
      <w:lang w:val="zh-CN" w:bidi="zh-CN"/>
    </w:rPr>
  </w:style>
  <w:style w:type="character" w:customStyle="1" w:styleId="172">
    <w:name w:val="标题 3 Char"/>
    <w:basedOn w:val="106"/>
    <w:link w:val="6"/>
    <w:qFormat/>
    <w:uiPriority w:val="9"/>
    <w:rPr>
      <w:rFonts w:ascii="宋体" w:hAnsi="宋体" w:cs="宋体"/>
      <w:sz w:val="30"/>
      <w:szCs w:val="30"/>
      <w:lang w:val="zh-CN" w:bidi="zh-CN"/>
    </w:rPr>
  </w:style>
  <w:style w:type="table" w:customStyle="1" w:styleId="173">
    <w:name w:val="报告书表格5"/>
    <w:basedOn w:val="89"/>
    <w:qFormat/>
    <w:uiPriority w:val="99"/>
    <w:pPr>
      <w:adjustRightInd w:val="0"/>
      <w:snapToGrid w:val="0"/>
      <w:contextualSpacing/>
      <w:jc w:val="center"/>
    </w:pPr>
    <w:rPr>
      <w:snapToGrid w:val="0"/>
      <w:kern w:val="24"/>
      <w:sz w:val="21"/>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tcPr>
      <w:shd w:val="clear" w:color="auto" w:fill="auto"/>
      <w:vAlign w:val="center"/>
    </w:tcPr>
  </w:style>
  <w:style w:type="table" w:customStyle="1" w:styleId="174">
    <w:name w:val="网格型11"/>
    <w:basedOn w:val="8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75">
    <w:name w:val="fontstyle21"/>
    <w:basedOn w:val="106"/>
    <w:qFormat/>
    <w:uiPriority w:val="0"/>
    <w:rPr>
      <w:rFonts w:hint="eastAsia" w:ascii="宋体" w:hAnsi="宋体" w:eastAsia="宋体"/>
      <w:color w:val="000000"/>
      <w:sz w:val="24"/>
      <w:szCs w:val="24"/>
    </w:rPr>
  </w:style>
  <w:style w:type="paragraph" w:customStyle="1" w:styleId="176">
    <w:name w:val="段落"/>
    <w:basedOn w:val="1"/>
    <w:link w:val="177"/>
    <w:qFormat/>
    <w:uiPriority w:val="0"/>
    <w:pPr>
      <w:autoSpaceDE/>
      <w:autoSpaceDN/>
      <w:adjustRightInd w:val="0"/>
      <w:snapToGrid w:val="0"/>
      <w:spacing w:line="360" w:lineRule="auto"/>
      <w:ind w:right="-39" w:firstLine="480" w:firstLineChars="200"/>
      <w:jc w:val="both"/>
    </w:pPr>
    <w:rPr>
      <w:rFonts w:ascii="ˎ̥" w:hAnsi="ˎ̥" w:cs="Times New Roman"/>
      <w:snapToGrid w:val="0"/>
      <w:kern w:val="2"/>
      <w:sz w:val="24"/>
      <w:szCs w:val="24"/>
      <w:lang w:val="en-US" w:bidi="ar-SA"/>
    </w:rPr>
  </w:style>
  <w:style w:type="character" w:customStyle="1" w:styleId="177">
    <w:name w:val="段落 Char"/>
    <w:link w:val="176"/>
    <w:qFormat/>
    <w:uiPriority w:val="0"/>
    <w:rPr>
      <w:rFonts w:ascii="ˎ̥" w:hAnsi="ˎ̥"/>
      <w:snapToGrid w:val="0"/>
      <w:kern w:val="2"/>
      <w:sz w:val="24"/>
      <w:szCs w:val="24"/>
    </w:rPr>
  </w:style>
  <w:style w:type="character" w:customStyle="1" w:styleId="178">
    <w:name w:val="Unresolved Mention"/>
    <w:basedOn w:val="106"/>
    <w:semiHidden/>
    <w:unhideWhenUsed/>
    <w:qFormat/>
    <w:uiPriority w:val="99"/>
    <w:rPr>
      <w:color w:val="605E5C"/>
      <w:shd w:val="clear" w:color="auto" w:fill="E1DFDD"/>
    </w:rPr>
  </w:style>
  <w:style w:type="paragraph" w:customStyle="1" w:styleId="179">
    <w:name w:val="列表段落1"/>
    <w:basedOn w:val="1"/>
    <w:link w:val="180"/>
    <w:qFormat/>
    <w:uiPriority w:val="34"/>
    <w:pPr>
      <w:autoSpaceDE/>
      <w:autoSpaceDN/>
      <w:ind w:firstLine="420" w:firstLineChars="200"/>
      <w:jc w:val="both"/>
    </w:pPr>
    <w:rPr>
      <w:rFonts w:ascii="等线" w:hAnsi="等线" w:eastAsia="等线" w:cs="Times New Roman"/>
      <w:kern w:val="2"/>
      <w:sz w:val="21"/>
      <w:lang w:val="en-US" w:bidi="ar-SA"/>
    </w:rPr>
  </w:style>
  <w:style w:type="character" w:customStyle="1" w:styleId="180">
    <w:name w:val="列出段落 字符1"/>
    <w:link w:val="179"/>
    <w:qFormat/>
    <w:uiPriority w:val="34"/>
    <w:rPr>
      <w:rFonts w:ascii="等线" w:hAnsi="等线" w:eastAsia="等线"/>
      <w:kern w:val="2"/>
      <w:sz w:val="21"/>
      <w:szCs w:val="22"/>
    </w:rPr>
  </w:style>
  <w:style w:type="paragraph" w:customStyle="1" w:styleId="181">
    <w:name w:val="列表段落2"/>
    <w:basedOn w:val="1"/>
    <w:qFormat/>
    <w:uiPriority w:val="34"/>
    <w:pPr>
      <w:autoSpaceDE/>
      <w:autoSpaceDN/>
      <w:ind w:firstLine="420" w:firstLineChars="200"/>
      <w:jc w:val="both"/>
    </w:pPr>
    <w:rPr>
      <w:rFonts w:ascii="等线" w:hAnsi="等线" w:eastAsia="等线" w:cs="Times New Roman"/>
      <w:kern w:val="2"/>
      <w:sz w:val="21"/>
      <w:lang w:val="en-US" w:bidi="ar-SA"/>
    </w:rPr>
  </w:style>
  <w:style w:type="character" w:customStyle="1" w:styleId="182">
    <w:name w:val="无间隔 字符1"/>
    <w:link w:val="183"/>
    <w:qFormat/>
    <w:uiPriority w:val="0"/>
  </w:style>
  <w:style w:type="paragraph" w:customStyle="1" w:styleId="183">
    <w:name w:val="无间隔1"/>
    <w:link w:val="182"/>
    <w:qFormat/>
    <w:uiPriority w:val="0"/>
    <w:pPr>
      <w:widowControl w:val="0"/>
      <w:jc w:val="both"/>
    </w:pPr>
    <w:rPr>
      <w:rFonts w:ascii="Times New Roman" w:hAnsi="Times New Roman" w:eastAsia="宋体" w:cs="Times New Roman"/>
      <w:lang w:val="en-US" w:eastAsia="zh-CN" w:bidi="ar-SA"/>
    </w:rPr>
  </w:style>
  <w:style w:type="table" w:customStyle="1" w:styleId="184">
    <w:name w:val="网格型2"/>
    <w:basedOn w:val="89"/>
    <w:qFormat/>
    <w:uiPriority w:val="0"/>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5">
    <w:name w:val="网格型3"/>
    <w:basedOn w:val="89"/>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6">
    <w:name w:val="网格型5"/>
    <w:basedOn w:val="89"/>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7">
    <w:name w:val="网格型6"/>
    <w:basedOn w:val="89"/>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8">
    <w:name w:val="网格型7"/>
    <w:basedOn w:val="89"/>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
    <w:name w:val="网格型8"/>
    <w:basedOn w:val="89"/>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
    <w:name w:val="网格型9"/>
    <w:basedOn w:val="89"/>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1">
    <w:name w:val="网格型10"/>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2">
    <w:name w:val="网格型12"/>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3">
    <w:name w:val="网格型13"/>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4">
    <w:name w:val="网格型14"/>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95">
    <w:name w:val="标题 6 Char1"/>
    <w:basedOn w:val="106"/>
    <w:link w:val="9"/>
    <w:semiHidden/>
    <w:qFormat/>
    <w:uiPriority w:val="0"/>
    <w:rPr>
      <w:rFonts w:ascii="Arial" w:hAnsi="Arial" w:eastAsia="等线"/>
      <w:i/>
      <w:spacing w:val="10"/>
      <w:sz w:val="22"/>
    </w:rPr>
  </w:style>
  <w:style w:type="character" w:customStyle="1" w:styleId="196">
    <w:name w:val="标题 7 Char1"/>
    <w:basedOn w:val="106"/>
    <w:link w:val="10"/>
    <w:semiHidden/>
    <w:qFormat/>
    <w:uiPriority w:val="99"/>
    <w:rPr>
      <w:rFonts w:ascii="Arial" w:hAnsi="Arial" w:eastAsia="黑体"/>
      <w:spacing w:val="10"/>
      <w:sz w:val="28"/>
    </w:rPr>
  </w:style>
  <w:style w:type="character" w:customStyle="1" w:styleId="197">
    <w:name w:val="标题 8 Char1"/>
    <w:basedOn w:val="106"/>
    <w:link w:val="11"/>
    <w:semiHidden/>
    <w:qFormat/>
    <w:uiPriority w:val="99"/>
    <w:rPr>
      <w:rFonts w:ascii="Arial" w:hAnsi="Arial" w:eastAsia="等线"/>
      <w:i/>
      <w:spacing w:val="10"/>
      <w:sz w:val="28"/>
    </w:rPr>
  </w:style>
  <w:style w:type="character" w:customStyle="1" w:styleId="198">
    <w:name w:val="标题 9 Char1"/>
    <w:basedOn w:val="106"/>
    <w:link w:val="12"/>
    <w:semiHidden/>
    <w:qFormat/>
    <w:uiPriority w:val="99"/>
    <w:rPr>
      <w:rFonts w:ascii="Arial" w:hAnsi="Arial" w:eastAsia="等线"/>
      <w:i/>
      <w:spacing w:val="10"/>
      <w:sz w:val="18"/>
    </w:rPr>
  </w:style>
  <w:style w:type="character" w:customStyle="1" w:styleId="199">
    <w:name w:val="标题 1 Char2"/>
    <w:basedOn w:val="106"/>
    <w:link w:val="4"/>
    <w:qFormat/>
    <w:uiPriority w:val="9"/>
    <w:rPr>
      <w:rFonts w:ascii="宋体" w:hAnsi="宋体" w:cs="宋体"/>
      <w:b/>
      <w:bCs/>
      <w:sz w:val="44"/>
      <w:szCs w:val="44"/>
      <w:lang w:val="zh-CN" w:bidi="zh-CN"/>
    </w:rPr>
  </w:style>
  <w:style w:type="character" w:customStyle="1" w:styleId="200">
    <w:name w:val="正文文本缩进 Char2"/>
    <w:basedOn w:val="106"/>
    <w:link w:val="35"/>
    <w:semiHidden/>
    <w:qFormat/>
    <w:uiPriority w:val="99"/>
    <w:rPr>
      <w:color w:val="000000"/>
      <w:kern w:val="2"/>
      <w:sz w:val="24"/>
      <w:szCs w:val="24"/>
    </w:rPr>
  </w:style>
  <w:style w:type="character" w:customStyle="1" w:styleId="201">
    <w:name w:val="HTML 地址 Char1"/>
    <w:basedOn w:val="106"/>
    <w:link w:val="43"/>
    <w:semiHidden/>
    <w:qFormat/>
    <w:uiPriority w:val="0"/>
    <w:rPr>
      <w:rFonts w:ascii="宋体" w:hAnsi="宋体" w:cs="宋体"/>
      <w:i/>
      <w:iCs/>
      <w:color w:val="000000"/>
      <w:kern w:val="2"/>
      <w:sz w:val="28"/>
      <w:szCs w:val="32"/>
    </w:rPr>
  </w:style>
  <w:style w:type="character" w:customStyle="1" w:styleId="202">
    <w:name w:val="HTML 预设格式 Char2"/>
    <w:basedOn w:val="106"/>
    <w:link w:val="81"/>
    <w:semiHidden/>
    <w:qFormat/>
    <w:uiPriority w:val="99"/>
    <w:rPr>
      <w:rFonts w:ascii="Courier New" w:hAnsi="Courier New" w:eastAsia="黑体" w:cs="Courier New"/>
      <w:b/>
      <w:kern w:val="2"/>
    </w:rPr>
  </w:style>
  <w:style w:type="paragraph" w:customStyle="1" w:styleId="203">
    <w:name w:val="msonormal"/>
    <w:basedOn w:val="1"/>
    <w:qFormat/>
    <w:uiPriority w:val="99"/>
    <w:pPr>
      <w:widowControl/>
      <w:autoSpaceDE/>
      <w:autoSpaceDN/>
      <w:snapToGrid w:val="0"/>
      <w:spacing w:before="100" w:beforeAutospacing="1" w:after="100" w:afterAutospacing="1"/>
      <w:ind w:firstLine="480" w:firstLineChars="200"/>
    </w:pPr>
    <w:rPr>
      <w:color w:val="000000"/>
      <w:sz w:val="24"/>
      <w:szCs w:val="24"/>
      <w:lang w:val="en-US" w:bidi="ar-SA"/>
    </w:rPr>
  </w:style>
  <w:style w:type="character" w:customStyle="1" w:styleId="204">
    <w:name w:val="正文缩进 Char1"/>
    <w:link w:val="22"/>
    <w:semiHidden/>
    <w:qFormat/>
    <w:uiPriority w:val="0"/>
    <w:rPr>
      <w:kern w:val="2"/>
      <w:sz w:val="24"/>
    </w:rPr>
  </w:style>
  <w:style w:type="character" w:customStyle="1" w:styleId="205">
    <w:name w:val="脚注文本 Char"/>
    <w:basedOn w:val="106"/>
    <w:link w:val="68"/>
    <w:semiHidden/>
    <w:qFormat/>
    <w:uiPriority w:val="99"/>
    <w:rPr>
      <w:rFonts w:ascii="黑体" w:hAnsi="黑体"/>
      <w:sz w:val="18"/>
      <w:szCs w:val="18"/>
    </w:rPr>
  </w:style>
  <w:style w:type="character" w:customStyle="1" w:styleId="206">
    <w:name w:val="题注 Char2"/>
    <w:link w:val="23"/>
    <w:qFormat/>
    <w:uiPriority w:val="0"/>
    <w:rPr>
      <w:rFonts w:eastAsia="黑体" w:asciiTheme="majorHAnsi" w:hAnsiTheme="majorHAnsi" w:cstheme="majorBidi"/>
      <w:lang w:val="zh-CN" w:bidi="zh-CN"/>
    </w:rPr>
  </w:style>
  <w:style w:type="character" w:customStyle="1" w:styleId="207">
    <w:name w:val="宏文本 Char"/>
    <w:basedOn w:val="106"/>
    <w:link w:val="3"/>
    <w:semiHidden/>
    <w:qFormat/>
    <w:uiPriority w:val="99"/>
    <w:rPr>
      <w:rFonts w:cs="宋体"/>
      <w:color w:val="000000"/>
      <w:sz w:val="21"/>
      <w:szCs w:val="24"/>
    </w:rPr>
  </w:style>
  <w:style w:type="character" w:customStyle="1" w:styleId="208">
    <w:name w:val="标题 Char3"/>
    <w:basedOn w:val="106"/>
    <w:link w:val="85"/>
    <w:qFormat/>
    <w:uiPriority w:val="10"/>
    <w:rPr>
      <w:rFonts w:ascii="Cambria" w:hAnsi="Cambria" w:eastAsia="黑体"/>
      <w:b/>
      <w:kern w:val="2"/>
      <w:sz w:val="32"/>
      <w:szCs w:val="32"/>
    </w:rPr>
  </w:style>
  <w:style w:type="character" w:customStyle="1" w:styleId="209">
    <w:name w:val="结束语 Char1"/>
    <w:basedOn w:val="106"/>
    <w:link w:val="33"/>
    <w:semiHidden/>
    <w:qFormat/>
    <w:uiPriority w:val="99"/>
    <w:rPr>
      <w:rFonts w:ascii="宋体" w:hAnsi="宋体" w:cs="宋体"/>
      <w:color w:val="000000"/>
      <w:kern w:val="2"/>
      <w:sz w:val="28"/>
      <w:szCs w:val="32"/>
    </w:rPr>
  </w:style>
  <w:style w:type="character" w:customStyle="1" w:styleId="210">
    <w:name w:val="签名 Char1"/>
    <w:basedOn w:val="106"/>
    <w:link w:val="59"/>
    <w:semiHidden/>
    <w:qFormat/>
    <w:uiPriority w:val="99"/>
    <w:rPr>
      <w:rFonts w:ascii="宋体" w:hAnsi="宋体" w:cs="宋体"/>
      <w:color w:val="000000"/>
      <w:kern w:val="2"/>
      <w:sz w:val="28"/>
      <w:szCs w:val="32"/>
    </w:rPr>
  </w:style>
  <w:style w:type="character" w:customStyle="1" w:styleId="211">
    <w:name w:val="信息标题 Char2"/>
    <w:basedOn w:val="106"/>
    <w:link w:val="80"/>
    <w:semiHidden/>
    <w:qFormat/>
    <w:uiPriority w:val="99"/>
    <w:rPr>
      <w:rFonts w:ascii="Arial" w:hAnsi="Arial" w:cs="Arial"/>
      <w:color w:val="000000"/>
      <w:kern w:val="2"/>
      <w:sz w:val="24"/>
      <w:szCs w:val="24"/>
      <w:shd w:val="pct20" w:color="auto" w:fill="auto"/>
    </w:rPr>
  </w:style>
  <w:style w:type="character" w:customStyle="1" w:styleId="212">
    <w:name w:val="副标题 Char3"/>
    <w:basedOn w:val="106"/>
    <w:link w:val="65"/>
    <w:qFormat/>
    <w:uiPriority w:val="99"/>
    <w:rPr>
      <w:rFonts w:ascii="Cambria" w:hAnsi="Cambria" w:eastAsia="黑体"/>
      <w:b/>
      <w:bCs/>
      <w:kern w:val="28"/>
      <w:sz w:val="28"/>
      <w:szCs w:val="32"/>
    </w:rPr>
  </w:style>
  <w:style w:type="character" w:customStyle="1" w:styleId="213">
    <w:name w:val="称呼 Char1"/>
    <w:basedOn w:val="106"/>
    <w:link w:val="31"/>
    <w:semiHidden/>
    <w:qFormat/>
    <w:uiPriority w:val="99"/>
    <w:rPr>
      <w:rFonts w:ascii="宋体" w:hAnsi="宋体" w:cs="宋体"/>
      <w:color w:val="000000"/>
      <w:kern w:val="2"/>
      <w:sz w:val="28"/>
      <w:szCs w:val="32"/>
    </w:rPr>
  </w:style>
  <w:style w:type="character" w:customStyle="1" w:styleId="214">
    <w:name w:val="正文首行缩进 2 Char2"/>
    <w:basedOn w:val="200"/>
    <w:link w:val="88"/>
    <w:semiHidden/>
    <w:qFormat/>
    <w:uiPriority w:val="99"/>
    <w:rPr>
      <w:color w:val="000000"/>
      <w:spacing w:val="20"/>
      <w:kern w:val="2"/>
      <w:sz w:val="28"/>
      <w:szCs w:val="24"/>
    </w:rPr>
  </w:style>
  <w:style w:type="character" w:customStyle="1" w:styleId="215">
    <w:name w:val="注释标题 Char1"/>
    <w:basedOn w:val="106"/>
    <w:link w:val="17"/>
    <w:semiHidden/>
    <w:qFormat/>
    <w:uiPriority w:val="99"/>
    <w:rPr>
      <w:rFonts w:ascii="宋体" w:hAnsi="宋体" w:cs="宋体"/>
      <w:color w:val="000000"/>
      <w:kern w:val="2"/>
      <w:sz w:val="28"/>
      <w:szCs w:val="32"/>
    </w:rPr>
  </w:style>
  <w:style w:type="character" w:customStyle="1" w:styleId="216">
    <w:name w:val="正文文本 2 Char2"/>
    <w:basedOn w:val="106"/>
    <w:link w:val="77"/>
    <w:semiHidden/>
    <w:qFormat/>
    <w:uiPriority w:val="99"/>
    <w:rPr>
      <w:bCs/>
      <w:kern w:val="2"/>
      <w:sz w:val="22"/>
    </w:rPr>
  </w:style>
  <w:style w:type="character" w:customStyle="1" w:styleId="217">
    <w:name w:val="正文文本 3 Char2"/>
    <w:basedOn w:val="106"/>
    <w:link w:val="32"/>
    <w:semiHidden/>
    <w:qFormat/>
    <w:uiPriority w:val="99"/>
    <w:rPr>
      <w:bCs/>
      <w:kern w:val="2"/>
      <w:sz w:val="24"/>
    </w:rPr>
  </w:style>
  <w:style w:type="character" w:customStyle="1" w:styleId="218">
    <w:name w:val="正文文本缩进 2 Char2"/>
    <w:basedOn w:val="106"/>
    <w:link w:val="53"/>
    <w:semiHidden/>
    <w:qFormat/>
    <w:uiPriority w:val="99"/>
    <w:rPr>
      <w:rFonts w:ascii="宋体"/>
      <w:spacing w:val="20"/>
      <w:kern w:val="2"/>
      <w:sz w:val="28"/>
      <w:szCs w:val="24"/>
    </w:rPr>
  </w:style>
  <w:style w:type="character" w:customStyle="1" w:styleId="219">
    <w:name w:val="正文文本缩进 3 Char2"/>
    <w:basedOn w:val="106"/>
    <w:link w:val="71"/>
    <w:semiHidden/>
    <w:qFormat/>
    <w:uiPriority w:val="99"/>
    <w:rPr>
      <w:kern w:val="2"/>
      <w:sz w:val="28"/>
    </w:rPr>
  </w:style>
  <w:style w:type="character" w:customStyle="1" w:styleId="220">
    <w:name w:val="纯文本 Char1"/>
    <w:basedOn w:val="106"/>
    <w:link w:val="47"/>
    <w:semiHidden/>
    <w:qFormat/>
    <w:uiPriority w:val="0"/>
    <w:rPr>
      <w:rFonts w:ascii="宋体" w:hAnsi="Courier New"/>
      <w:kern w:val="2"/>
      <w:sz w:val="28"/>
      <w:szCs w:val="24"/>
    </w:rPr>
  </w:style>
  <w:style w:type="character" w:customStyle="1" w:styleId="221">
    <w:name w:val="电子邮件签名 Char1"/>
    <w:basedOn w:val="106"/>
    <w:link w:val="20"/>
    <w:semiHidden/>
    <w:qFormat/>
    <w:uiPriority w:val="99"/>
    <w:rPr>
      <w:rFonts w:ascii="宋体" w:hAnsi="宋体" w:cs="宋体"/>
      <w:color w:val="000000"/>
      <w:kern w:val="2"/>
      <w:sz w:val="28"/>
      <w:szCs w:val="32"/>
    </w:rPr>
  </w:style>
  <w:style w:type="character" w:customStyle="1" w:styleId="222">
    <w:name w:val="无间隔 Char2"/>
    <w:link w:val="223"/>
    <w:qFormat/>
    <w:uiPriority w:val="0"/>
    <w:rPr>
      <w:rFonts w:ascii="Calibri" w:hAnsi="Calibri" w:cs="Calibri"/>
      <w:sz w:val="22"/>
      <w:szCs w:val="22"/>
    </w:rPr>
  </w:style>
  <w:style w:type="paragraph" w:styleId="223">
    <w:name w:val="No Spacing"/>
    <w:link w:val="222"/>
    <w:qFormat/>
    <w:uiPriority w:val="0"/>
    <w:rPr>
      <w:rFonts w:ascii="Calibri" w:hAnsi="Calibri" w:eastAsia="宋体" w:cs="Calibri"/>
      <w:sz w:val="22"/>
      <w:szCs w:val="22"/>
      <w:lang w:val="en-US" w:eastAsia="zh-CN" w:bidi="ar-SA"/>
    </w:rPr>
  </w:style>
  <w:style w:type="paragraph" w:customStyle="1" w:styleId="224">
    <w:name w:val="TOC Heading"/>
    <w:basedOn w:val="4"/>
    <w:next w:val="1"/>
    <w:semiHidden/>
    <w:unhideWhenUsed/>
    <w:qFormat/>
    <w:uiPriority w:val="39"/>
    <w:pPr>
      <w:keepNext/>
      <w:widowControl/>
      <w:numPr>
        <w:ilvl w:val="0"/>
        <w:numId w:val="2"/>
      </w:numPr>
      <w:autoSpaceDE/>
      <w:autoSpaceDN/>
      <w:snapToGrid w:val="0"/>
      <w:spacing w:before="480" w:line="276" w:lineRule="auto"/>
      <w:ind w:right="0"/>
      <w:jc w:val="left"/>
      <w:outlineLvl w:val="9"/>
    </w:pPr>
    <w:rPr>
      <w:rFonts w:ascii="Cambria" w:hAnsi="Cambria" w:cs="Times New Roman"/>
      <w:b w:val="0"/>
      <w:color w:val="365F91"/>
      <w:sz w:val="28"/>
      <w:szCs w:val="28"/>
      <w:lang w:val="en-US" w:bidi="ar-SA"/>
    </w:rPr>
  </w:style>
  <w:style w:type="paragraph" w:customStyle="1" w:styleId="225">
    <w:name w:val="Char Char Char Char Char Char Char Char Char Char Char Char Char"/>
    <w:basedOn w:val="1"/>
    <w:qFormat/>
    <w:uiPriority w:val="99"/>
    <w:pPr>
      <w:autoSpaceDE/>
      <w:autoSpaceDN/>
      <w:snapToGrid w:val="0"/>
      <w:spacing w:line="360" w:lineRule="auto"/>
      <w:ind w:firstLine="480" w:firstLineChars="200"/>
    </w:pPr>
    <w:rPr>
      <w:rFonts w:ascii="仿宋_GB2312" w:hAnsi="Times New Roman" w:eastAsia="仿宋_GB2312" w:cs="Times New Roman"/>
      <w:b/>
      <w:color w:val="000000"/>
      <w:kern w:val="2"/>
      <w:sz w:val="32"/>
      <w:szCs w:val="32"/>
      <w:lang w:val="en-US" w:bidi="ar-SA"/>
    </w:rPr>
  </w:style>
  <w:style w:type="paragraph" w:customStyle="1" w:styleId="226">
    <w:name w:val="xl1124"/>
    <w:basedOn w:val="1"/>
    <w:qFormat/>
    <w:uiPriority w:val="99"/>
    <w:pPr>
      <w:widowControl/>
      <w:pBdr>
        <w:left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FFFFFF"/>
      <w:sz w:val="20"/>
      <w:szCs w:val="20"/>
      <w:lang w:val="en-US" w:bidi="ar-SA"/>
    </w:rPr>
  </w:style>
  <w:style w:type="paragraph" w:customStyle="1" w:styleId="227">
    <w:name w:val="B题四号黑"/>
    <w:basedOn w:val="1"/>
    <w:qFormat/>
    <w:uiPriority w:val="99"/>
    <w:pPr>
      <w:snapToGrid w:val="0"/>
      <w:spacing w:line="600" w:lineRule="exact"/>
      <w:ind w:firstLine="480" w:firstLineChars="200"/>
      <w:jc w:val="center"/>
    </w:pPr>
    <w:rPr>
      <w:rFonts w:ascii="Times New Roman" w:hAnsi="Times New Roman" w:eastAsia="黑体" w:cs="Times New Roman"/>
      <w:color w:val="000000"/>
      <w:kern w:val="2"/>
      <w:sz w:val="28"/>
      <w:szCs w:val="20"/>
      <w:lang w:val="en-US" w:bidi="ar-SA"/>
    </w:rPr>
  </w:style>
  <w:style w:type="paragraph" w:customStyle="1" w:styleId="228">
    <w:name w:val="Company Name"/>
    <w:basedOn w:val="2"/>
    <w:qFormat/>
    <w:uiPriority w:val="99"/>
    <w:pPr>
      <w:keepNext/>
      <w:keepLines/>
      <w:framePr w:w="8640" w:h="1440" w:wrap="notBeside" w:vAnchor="page" w:hAnchor="margin" w:xAlign="center" w:y="889"/>
      <w:widowControl/>
      <w:tabs>
        <w:tab w:val="left" w:pos="0"/>
        <w:tab w:val="left" w:pos="425"/>
      </w:tabs>
      <w:autoSpaceDE/>
      <w:autoSpaceDN/>
      <w:snapToGrid w:val="0"/>
      <w:spacing w:before="0" w:after="40" w:line="240" w:lineRule="atLeast"/>
      <w:ind w:left="425" w:right="-64" w:rightChars="-64" w:firstLine="200" w:firstLineChars="200"/>
      <w:jc w:val="center"/>
    </w:pPr>
    <w:rPr>
      <w:rFonts w:ascii="Garamond" w:hAnsi="Garamond" w:cs="Times New Roman"/>
      <w:b/>
      <w:bCs/>
      <w:caps/>
      <w:spacing w:val="75"/>
      <w:sz w:val="30"/>
      <w:szCs w:val="30"/>
      <w:lang w:val="en-US" w:bidi="ar-SA"/>
    </w:rPr>
  </w:style>
  <w:style w:type="paragraph" w:customStyle="1" w:styleId="229">
    <w:name w:val="样式 样式 首行缩进:  2 字符 + 首行缩进:  2 字符"/>
    <w:basedOn w:val="1"/>
    <w:qFormat/>
    <w:uiPriority w:val="99"/>
    <w:pPr>
      <w:keepNext/>
      <w:autoSpaceDE/>
      <w:autoSpaceDN/>
      <w:snapToGrid w:val="0"/>
      <w:spacing w:line="440" w:lineRule="exact"/>
      <w:ind w:right="-64" w:rightChars="-64" w:firstLine="480" w:firstLineChars="200"/>
    </w:pPr>
    <w:rPr>
      <w:rFonts w:ascii="黑体" w:hAnsi="Calibri"/>
      <w:color w:val="000000"/>
      <w:kern w:val="2"/>
      <w:sz w:val="24"/>
      <w:lang w:val="en-US" w:bidi="ar-SA"/>
    </w:rPr>
  </w:style>
  <w:style w:type="character" w:customStyle="1" w:styleId="230">
    <w:name w:val="正文文本 (3)_"/>
    <w:link w:val="231"/>
    <w:qFormat/>
    <w:uiPriority w:val="0"/>
    <w:rPr>
      <w:rFonts w:ascii="MingLiU" w:hAnsi="MingLiU" w:eastAsia="MingLiU" w:cs="MingLiU"/>
      <w:spacing w:val="30"/>
      <w:sz w:val="32"/>
      <w:szCs w:val="32"/>
      <w:shd w:val="clear" w:color="auto" w:fill="FFFFFF"/>
    </w:rPr>
  </w:style>
  <w:style w:type="paragraph" w:customStyle="1" w:styleId="231">
    <w:name w:val="正文文本 (3)"/>
    <w:basedOn w:val="1"/>
    <w:link w:val="230"/>
    <w:qFormat/>
    <w:uiPriority w:val="0"/>
    <w:pPr>
      <w:shd w:val="clear" w:color="auto" w:fill="FFFFFF"/>
      <w:autoSpaceDE/>
      <w:autoSpaceDN/>
      <w:snapToGrid w:val="0"/>
      <w:spacing w:before="480" w:after="300" w:line="0" w:lineRule="atLeast"/>
      <w:ind w:firstLine="480" w:firstLineChars="200"/>
    </w:pPr>
    <w:rPr>
      <w:rFonts w:ascii="MingLiU" w:hAnsi="MingLiU" w:eastAsia="MingLiU" w:cs="MingLiU"/>
      <w:spacing w:val="30"/>
      <w:sz w:val="32"/>
      <w:szCs w:val="32"/>
      <w:lang w:val="en-US" w:bidi="ar-SA"/>
    </w:rPr>
  </w:style>
  <w:style w:type="paragraph" w:customStyle="1" w:styleId="232">
    <w:name w:val="xl133"/>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4"/>
      <w:szCs w:val="24"/>
      <w:lang w:val="en-US" w:bidi="ar-SA"/>
    </w:rPr>
  </w:style>
  <w:style w:type="paragraph" w:customStyle="1" w:styleId="233">
    <w:name w:val="列出段落1"/>
    <w:basedOn w:val="1"/>
    <w:qFormat/>
    <w:uiPriority w:val="34"/>
    <w:pPr>
      <w:autoSpaceDE/>
      <w:autoSpaceDN/>
      <w:snapToGrid w:val="0"/>
      <w:ind w:firstLine="420" w:firstLineChars="200"/>
      <w:jc w:val="both"/>
    </w:pPr>
    <w:rPr>
      <w:rFonts w:ascii="Calibri" w:hAnsi="Calibri" w:cs="Times New Roman"/>
      <w:color w:val="000000"/>
      <w:kern w:val="2"/>
      <w:sz w:val="21"/>
      <w:lang w:val="en-US" w:bidi="ar-SA"/>
    </w:rPr>
  </w:style>
  <w:style w:type="paragraph" w:customStyle="1" w:styleId="234">
    <w:name w:val="xl1100"/>
    <w:basedOn w:val="1"/>
    <w:qFormat/>
    <w:uiPriority w:val="99"/>
    <w:pPr>
      <w:widowControl/>
      <w:pBdr>
        <w:top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235">
    <w:name w:val="恒智正文"/>
    <w:basedOn w:val="1"/>
    <w:qFormat/>
    <w:uiPriority w:val="99"/>
    <w:pPr>
      <w:autoSpaceDE/>
      <w:autoSpaceDN/>
      <w:snapToGrid w:val="0"/>
      <w:spacing w:line="460" w:lineRule="exact"/>
      <w:ind w:firstLine="480" w:firstLineChars="200"/>
      <w:jc w:val="both"/>
    </w:pPr>
    <w:rPr>
      <w:rFonts w:ascii="Times New Roman" w:hAnsi="Times New Roman" w:cs="Times New Roman"/>
      <w:color w:val="000000"/>
      <w:kern w:val="2"/>
      <w:sz w:val="24"/>
      <w:szCs w:val="24"/>
      <w:lang w:val="en-US" w:bidi="ar-SA"/>
    </w:rPr>
  </w:style>
  <w:style w:type="paragraph" w:customStyle="1" w:styleId="236">
    <w:name w:val="标宋3 + 段前: 0.5 行 段后: 0.5 行 + 段前: 0.5 行 段后: 0.5 行 + 浅橙色"/>
    <w:basedOn w:val="1"/>
    <w:qFormat/>
    <w:uiPriority w:val="99"/>
    <w:pPr>
      <w:autoSpaceDE/>
      <w:autoSpaceDN/>
      <w:snapToGrid w:val="0"/>
      <w:spacing w:beforeLines="50" w:afterLines="50"/>
      <w:ind w:firstLine="480" w:firstLineChars="200"/>
      <w:jc w:val="both"/>
      <w:outlineLvl w:val="2"/>
    </w:pPr>
    <w:rPr>
      <w:rFonts w:ascii="Times New Roman" w:hAnsi="Times New Roman" w:cs="Times New Roman"/>
      <w:b/>
      <w:color w:val="FF9900"/>
      <w:kern w:val="2"/>
      <w:sz w:val="28"/>
      <w:szCs w:val="20"/>
      <w:lang w:val="en-US" w:bidi="ar-SA"/>
    </w:rPr>
  </w:style>
  <w:style w:type="paragraph" w:customStyle="1" w:styleId="237">
    <w:name w:val="列表项目符号1"/>
    <w:basedOn w:val="1"/>
    <w:next w:val="25"/>
    <w:qFormat/>
    <w:uiPriority w:val="99"/>
    <w:pPr>
      <w:numPr>
        <w:ilvl w:val="0"/>
        <w:numId w:val="1"/>
      </w:numPr>
      <w:autoSpaceDE/>
      <w:autoSpaceDN/>
      <w:snapToGrid w:val="0"/>
      <w:ind w:left="495" w:hanging="495"/>
      <w:contextualSpacing/>
      <w:jc w:val="both"/>
    </w:pPr>
    <w:rPr>
      <w:rFonts w:ascii="Calibri" w:hAnsi="Calibri" w:eastAsia="等线" w:cs="Times New Roman"/>
      <w:color w:val="000000"/>
      <w:kern w:val="2"/>
      <w:sz w:val="21"/>
      <w:lang w:val="en-US" w:bidi="ar-SA"/>
    </w:rPr>
  </w:style>
  <w:style w:type="paragraph" w:customStyle="1" w:styleId="238">
    <w:name w:val="1"/>
    <w:basedOn w:val="1"/>
    <w:next w:val="22"/>
    <w:qFormat/>
    <w:uiPriority w:val="99"/>
    <w:pPr>
      <w:autoSpaceDE/>
      <w:autoSpaceDN/>
      <w:snapToGrid w:val="0"/>
      <w:spacing w:line="240" w:lineRule="exact"/>
      <w:ind w:firstLine="480" w:firstLineChars="200"/>
      <w:jc w:val="both"/>
    </w:pPr>
    <w:rPr>
      <w:rFonts w:ascii="Times New Roman" w:hAnsi="Times New Roman" w:cs="Times New Roman"/>
      <w:color w:val="000000"/>
      <w:kern w:val="2"/>
      <w:sz w:val="21"/>
      <w:szCs w:val="20"/>
      <w:lang w:val="en-US" w:bidi="ar-SA"/>
    </w:rPr>
  </w:style>
  <w:style w:type="paragraph" w:customStyle="1" w:styleId="239">
    <w:name w:val="标准"/>
    <w:basedOn w:val="1"/>
    <w:qFormat/>
    <w:uiPriority w:val="99"/>
    <w:pPr>
      <w:keepNext/>
      <w:keepLines/>
      <w:tabs>
        <w:tab w:val="left" w:pos="0"/>
      </w:tabs>
      <w:autoSpaceDE/>
      <w:autoSpaceDN/>
      <w:adjustRightInd w:val="0"/>
      <w:snapToGrid w:val="0"/>
      <w:spacing w:before="120" w:after="120" w:line="320" w:lineRule="exact"/>
      <w:ind w:right="-64" w:rightChars="-64" w:firstLine="454" w:firstLineChars="200"/>
    </w:pPr>
    <w:rPr>
      <w:rFonts w:ascii="仿宋_GB2312" w:hAnsi="Calibri" w:cs="Times New Roman"/>
      <w:color w:val="000000"/>
      <w:spacing w:val="18"/>
      <w:sz w:val="24"/>
      <w:lang w:val="en-US" w:bidi="ar-SA"/>
    </w:rPr>
  </w:style>
  <w:style w:type="character" w:customStyle="1" w:styleId="240">
    <w:name w:val="~图片 Char"/>
    <w:link w:val="241"/>
    <w:qFormat/>
    <w:uiPriority w:val="1"/>
    <w:rPr>
      <w:b/>
      <w:sz w:val="24"/>
    </w:rPr>
  </w:style>
  <w:style w:type="paragraph" w:customStyle="1" w:styleId="241">
    <w:name w:val="~图片"/>
    <w:basedOn w:val="1"/>
    <w:link w:val="240"/>
    <w:qFormat/>
    <w:uiPriority w:val="1"/>
    <w:pPr>
      <w:autoSpaceDE/>
      <w:autoSpaceDN/>
      <w:snapToGrid w:val="0"/>
      <w:spacing w:line="360" w:lineRule="auto"/>
      <w:ind w:firstLine="480" w:firstLineChars="200"/>
      <w:jc w:val="center"/>
    </w:pPr>
    <w:rPr>
      <w:rFonts w:ascii="Times New Roman" w:hAnsi="Times New Roman" w:cs="Times New Roman"/>
      <w:b/>
      <w:sz w:val="24"/>
      <w:szCs w:val="20"/>
      <w:lang w:val="en-US" w:bidi="ar-SA"/>
    </w:rPr>
  </w:style>
  <w:style w:type="character" w:customStyle="1" w:styleId="242">
    <w:name w:val="正文缩进 2 字符 Char"/>
    <w:link w:val="243"/>
    <w:qFormat/>
    <w:uiPriority w:val="0"/>
    <w:rPr>
      <w:sz w:val="24"/>
      <w:szCs w:val="24"/>
    </w:rPr>
  </w:style>
  <w:style w:type="paragraph" w:customStyle="1" w:styleId="243">
    <w:name w:val="正文缩进 2 字符"/>
    <w:basedOn w:val="1"/>
    <w:link w:val="242"/>
    <w:qFormat/>
    <w:uiPriority w:val="0"/>
    <w:pPr>
      <w:autoSpaceDE/>
      <w:autoSpaceDN/>
      <w:adjustRightInd w:val="0"/>
      <w:snapToGrid w:val="0"/>
      <w:spacing w:before="100" w:beforeAutospacing="1" w:after="100" w:afterAutospacing="1" w:line="360" w:lineRule="auto"/>
      <w:ind w:left="210" w:firstLine="480" w:firstLineChars="200"/>
      <w:jc w:val="both"/>
    </w:pPr>
    <w:rPr>
      <w:rFonts w:ascii="Times New Roman" w:hAnsi="Times New Roman" w:cs="Times New Roman"/>
      <w:sz w:val="24"/>
      <w:szCs w:val="24"/>
      <w:lang w:val="en-US" w:bidi="ar-SA"/>
    </w:rPr>
  </w:style>
  <w:style w:type="paragraph" w:customStyle="1" w:styleId="244">
    <w:name w:val="xl123"/>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4"/>
      <w:szCs w:val="24"/>
      <w:lang w:val="en-US" w:bidi="ar-SA"/>
    </w:rPr>
  </w:style>
  <w:style w:type="paragraph" w:customStyle="1" w:styleId="245">
    <w:name w:val="Char Char Char Char Char Char Char Char Char Char"/>
    <w:basedOn w:val="1"/>
    <w:qFormat/>
    <w:uiPriority w:val="99"/>
    <w:pPr>
      <w:autoSpaceDE/>
      <w:autoSpaceDN/>
      <w:snapToGrid w:val="0"/>
      <w:spacing w:line="360" w:lineRule="auto"/>
      <w:ind w:firstLine="200" w:firstLineChars="200"/>
      <w:jc w:val="both"/>
    </w:pPr>
    <w:rPr>
      <w:color w:val="000000"/>
      <w:kern w:val="2"/>
      <w:sz w:val="24"/>
      <w:szCs w:val="24"/>
      <w:lang w:val="en-US" w:bidi="ar-SA"/>
    </w:rPr>
  </w:style>
  <w:style w:type="paragraph" w:customStyle="1" w:styleId="246">
    <w:name w:val="xl86"/>
    <w:basedOn w:val="1"/>
    <w:qFormat/>
    <w:uiPriority w:val="99"/>
    <w:pPr>
      <w:widowControl/>
      <w:pBdr>
        <w:top w:val="single" w:color="auto" w:sz="4" w:space="0"/>
        <w:bottom w:val="single" w:color="auto" w:sz="4" w:space="0"/>
        <w:right w:val="single" w:color="auto" w:sz="4" w:space="0"/>
      </w:pBdr>
      <w:shd w:val="clear" w:color="auto" w:fill="FFFFFF"/>
      <w:autoSpaceDE/>
      <w:autoSpaceDN/>
      <w:snapToGrid w:val="0"/>
      <w:spacing w:before="100" w:beforeAutospacing="1" w:after="100" w:afterAutospacing="1"/>
      <w:ind w:firstLine="480" w:firstLineChars="200"/>
      <w:jc w:val="center"/>
    </w:pPr>
    <w:rPr>
      <w:rFonts w:cs="Times New Roman"/>
      <w:color w:val="FF0000"/>
      <w:sz w:val="12"/>
      <w:szCs w:val="12"/>
      <w:lang w:val="en-US" w:bidi="ar-SA"/>
    </w:rPr>
  </w:style>
  <w:style w:type="paragraph" w:customStyle="1" w:styleId="247">
    <w:name w:val="图表正文"/>
    <w:qFormat/>
    <w:uiPriority w:val="99"/>
    <w:pPr>
      <w:jc w:val="center"/>
    </w:pPr>
    <w:rPr>
      <w:rFonts w:ascii="Times New Roman" w:hAnsi="Times New Roman" w:eastAsia="楷体" w:cs="Times New Roman"/>
      <w:sz w:val="21"/>
      <w:lang w:val="en-US" w:eastAsia="zh-CN" w:bidi="ar-SA"/>
    </w:rPr>
  </w:style>
  <w:style w:type="paragraph" w:customStyle="1" w:styleId="248">
    <w:name w:val="xl104"/>
    <w:basedOn w:val="1"/>
    <w:qFormat/>
    <w:uiPriority w:val="99"/>
    <w:pPr>
      <w:widowControl/>
      <w:pBdr>
        <w:top w:val="single" w:color="auto" w:sz="4" w:space="0"/>
        <w:left w:val="single" w:color="auto" w:sz="4" w:space="0"/>
        <w:bottom w:val="single" w:color="auto" w:sz="4" w:space="0"/>
      </w:pBdr>
      <w:autoSpaceDE/>
      <w:autoSpaceDN/>
      <w:snapToGrid w:val="0"/>
      <w:spacing w:before="100" w:beforeAutospacing="1" w:after="100" w:afterAutospacing="1"/>
      <w:ind w:firstLine="480" w:firstLineChars="200"/>
    </w:pPr>
    <w:rPr>
      <w:color w:val="000000"/>
      <w:sz w:val="24"/>
      <w:szCs w:val="24"/>
      <w:lang w:val="en-US" w:bidi="ar-SA"/>
    </w:rPr>
  </w:style>
  <w:style w:type="paragraph" w:customStyle="1" w:styleId="249">
    <w:name w:val="修订1"/>
    <w:semiHidden/>
    <w:qFormat/>
    <w:uiPriority w:val="99"/>
    <w:rPr>
      <w:rFonts w:ascii="Times New Roman" w:hAnsi="Times New Roman" w:eastAsia="宋体" w:cs="Times New Roman"/>
      <w:kern w:val="2"/>
      <w:sz w:val="24"/>
      <w:lang w:val="en-US" w:eastAsia="zh-CN" w:bidi="ar-SA"/>
    </w:rPr>
  </w:style>
  <w:style w:type="character" w:customStyle="1" w:styleId="250">
    <w:name w:val="表格标题 (5)_"/>
    <w:link w:val="251"/>
    <w:qFormat/>
    <w:uiPriority w:val="0"/>
    <w:rPr>
      <w:rFonts w:ascii="MingLiU" w:hAnsi="MingLiU" w:eastAsia="MingLiU" w:cs="MingLiU"/>
      <w:sz w:val="14"/>
      <w:szCs w:val="14"/>
      <w:shd w:val="clear" w:color="auto" w:fill="FFFFFF"/>
    </w:rPr>
  </w:style>
  <w:style w:type="paragraph" w:customStyle="1" w:styleId="251">
    <w:name w:val="表格标题 (5)"/>
    <w:basedOn w:val="1"/>
    <w:link w:val="250"/>
    <w:qFormat/>
    <w:uiPriority w:val="0"/>
    <w:pPr>
      <w:shd w:val="clear" w:color="auto" w:fill="FFFFFF"/>
      <w:autoSpaceDE/>
      <w:autoSpaceDN/>
      <w:snapToGrid w:val="0"/>
      <w:spacing w:line="0" w:lineRule="atLeast"/>
      <w:ind w:firstLine="480" w:firstLineChars="200"/>
    </w:pPr>
    <w:rPr>
      <w:rFonts w:ascii="MingLiU" w:hAnsi="MingLiU" w:eastAsia="MingLiU" w:cs="MingLiU"/>
      <w:sz w:val="14"/>
      <w:szCs w:val="14"/>
      <w:lang w:val="en-US" w:bidi="ar-SA"/>
    </w:rPr>
  </w:style>
  <w:style w:type="paragraph" w:customStyle="1" w:styleId="252">
    <w:name w:val="xl81"/>
    <w:basedOn w:val="1"/>
    <w:qFormat/>
    <w:uiPriority w:val="99"/>
    <w:pPr>
      <w:widowControl/>
      <w:pBdr>
        <w:top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rFonts w:cs="Times New Roman"/>
      <w:color w:val="000000"/>
      <w:sz w:val="12"/>
      <w:szCs w:val="12"/>
      <w:lang w:val="en-US" w:bidi="ar-SA"/>
    </w:rPr>
  </w:style>
  <w:style w:type="character" w:customStyle="1" w:styleId="253">
    <w:name w:val="小项 字符"/>
    <w:link w:val="254"/>
    <w:qFormat/>
    <w:uiPriority w:val="0"/>
    <w:rPr>
      <w:sz w:val="24"/>
    </w:rPr>
  </w:style>
  <w:style w:type="paragraph" w:customStyle="1" w:styleId="254">
    <w:name w:val="小项"/>
    <w:basedOn w:val="1"/>
    <w:link w:val="253"/>
    <w:qFormat/>
    <w:uiPriority w:val="0"/>
    <w:pPr>
      <w:autoSpaceDE/>
      <w:autoSpaceDN/>
      <w:snapToGrid w:val="0"/>
      <w:spacing w:line="460" w:lineRule="exact"/>
      <w:ind w:firstLine="300" w:firstLineChars="300"/>
      <w:jc w:val="both"/>
    </w:pPr>
    <w:rPr>
      <w:rFonts w:ascii="Times New Roman" w:hAnsi="Times New Roman" w:cs="Times New Roman"/>
      <w:sz w:val="24"/>
      <w:szCs w:val="20"/>
      <w:lang w:val="en-US" w:bidi="ar-SA"/>
    </w:rPr>
  </w:style>
  <w:style w:type="paragraph" w:customStyle="1" w:styleId="255">
    <w:name w:val="Char Char Char Char Char Char1 Char Char Char Char Char Char Char Char Char Char"/>
    <w:basedOn w:val="1"/>
    <w:qFormat/>
    <w:uiPriority w:val="99"/>
    <w:pPr>
      <w:autoSpaceDE/>
      <w:autoSpaceDN/>
      <w:snapToGrid w:val="0"/>
      <w:spacing w:line="360" w:lineRule="auto"/>
      <w:ind w:firstLine="200" w:firstLineChars="200"/>
      <w:jc w:val="both"/>
    </w:pPr>
    <w:rPr>
      <w:color w:val="000000"/>
      <w:kern w:val="2"/>
      <w:sz w:val="24"/>
      <w:szCs w:val="24"/>
      <w:lang w:val="en-US" w:bidi="ar-SA"/>
    </w:rPr>
  </w:style>
  <w:style w:type="paragraph" w:customStyle="1" w:styleId="256">
    <w:name w:val="自制表格1"/>
    <w:basedOn w:val="1"/>
    <w:next w:val="1"/>
    <w:qFormat/>
    <w:uiPriority w:val="99"/>
    <w:pPr>
      <w:autoSpaceDE/>
      <w:autoSpaceDN/>
      <w:adjustRightInd w:val="0"/>
      <w:snapToGrid w:val="0"/>
      <w:spacing w:line="360" w:lineRule="auto"/>
      <w:ind w:firstLine="480" w:firstLineChars="200"/>
      <w:jc w:val="center"/>
    </w:pPr>
    <w:rPr>
      <w:rFonts w:ascii="Times New Roman" w:hAnsi="Times New Roman" w:cs="Times New Roman"/>
      <w:color w:val="000000"/>
      <w:kern w:val="2"/>
      <w:sz w:val="24"/>
      <w:szCs w:val="20"/>
      <w:lang w:val="en-US" w:bidi="ar-SA"/>
    </w:rPr>
  </w:style>
  <w:style w:type="paragraph" w:customStyle="1" w:styleId="257">
    <w:name w:val="表文"/>
    <w:basedOn w:val="1"/>
    <w:qFormat/>
    <w:uiPriority w:val="99"/>
    <w:pPr>
      <w:autoSpaceDE/>
      <w:autoSpaceDN/>
      <w:snapToGrid w:val="0"/>
      <w:spacing w:line="360" w:lineRule="auto"/>
      <w:ind w:firstLine="480" w:firstLineChars="200"/>
      <w:jc w:val="center"/>
    </w:pPr>
    <w:rPr>
      <w:rFonts w:ascii="Times New Roman" w:hAnsi="Times New Roman" w:cs="Times New Roman"/>
      <w:color w:val="000000"/>
      <w:sz w:val="24"/>
      <w:szCs w:val="28"/>
      <w:lang w:val="en-US" w:bidi="ar-SA"/>
    </w:rPr>
  </w:style>
  <w:style w:type="paragraph" w:customStyle="1" w:styleId="258">
    <w:name w:val="04正文二级标题"/>
    <w:semiHidden/>
    <w:qFormat/>
    <w:uiPriority w:val="99"/>
    <w:pPr>
      <w:spacing w:line="300" w:lineRule="auto"/>
      <w:ind w:firstLine="200" w:firstLineChars="200"/>
      <w:jc w:val="both"/>
    </w:pPr>
    <w:rPr>
      <w:rFonts w:ascii="Times New Roman" w:hAnsi="Times New Roman" w:eastAsia="黑体" w:cs="Times New Roman"/>
      <w:sz w:val="28"/>
      <w:lang w:val="en-US" w:eastAsia="zh-CN" w:bidi="ar-SA"/>
    </w:rPr>
  </w:style>
  <w:style w:type="paragraph" w:customStyle="1" w:styleId="259">
    <w:name w:val="font1"/>
    <w:basedOn w:val="1"/>
    <w:qFormat/>
    <w:uiPriority w:val="99"/>
    <w:pPr>
      <w:widowControl/>
      <w:autoSpaceDE/>
      <w:autoSpaceDN/>
      <w:snapToGrid w:val="0"/>
      <w:spacing w:before="100" w:beforeAutospacing="1" w:after="100" w:afterAutospacing="1"/>
      <w:ind w:firstLine="480" w:firstLineChars="200"/>
    </w:pPr>
    <w:rPr>
      <w:rFonts w:cs="Times New Roman"/>
      <w:color w:val="000000"/>
      <w:sz w:val="24"/>
      <w:szCs w:val="24"/>
      <w:lang w:val="en-US" w:bidi="ar-SA"/>
    </w:rPr>
  </w:style>
  <w:style w:type="character" w:customStyle="1" w:styleId="260">
    <w:name w:val="新建正文 Char"/>
    <w:link w:val="261"/>
    <w:qFormat/>
    <w:uiPriority w:val="0"/>
    <w:rPr>
      <w:rFonts w:ascii="宋体" w:hAnsi="宋体"/>
      <w:sz w:val="24"/>
      <w:szCs w:val="24"/>
    </w:rPr>
  </w:style>
  <w:style w:type="paragraph" w:customStyle="1" w:styleId="261">
    <w:name w:val="新建正文"/>
    <w:basedOn w:val="1"/>
    <w:link w:val="260"/>
    <w:qFormat/>
    <w:uiPriority w:val="0"/>
    <w:pPr>
      <w:autoSpaceDE/>
      <w:autoSpaceDN/>
      <w:snapToGrid w:val="0"/>
      <w:spacing w:line="360" w:lineRule="auto"/>
      <w:ind w:firstLine="480" w:firstLineChars="200"/>
    </w:pPr>
    <w:rPr>
      <w:rFonts w:cs="Times New Roman"/>
      <w:sz w:val="24"/>
      <w:szCs w:val="24"/>
      <w:lang w:val="en-US" w:bidi="ar-SA"/>
    </w:rPr>
  </w:style>
  <w:style w:type="paragraph" w:customStyle="1" w:styleId="262">
    <w:name w:val="xl66"/>
    <w:basedOn w:val="1"/>
    <w:qFormat/>
    <w:uiPriority w:val="99"/>
    <w:pPr>
      <w:widowControl/>
      <w:pBdr>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cs="Times New Roman"/>
      <w:color w:val="000000"/>
      <w:sz w:val="12"/>
      <w:szCs w:val="12"/>
      <w:lang w:val="en-US" w:bidi="ar-SA"/>
    </w:rPr>
  </w:style>
  <w:style w:type="paragraph" w:customStyle="1" w:styleId="263">
    <w:name w:val="HCH正文"/>
    <w:link w:val="634"/>
    <w:qFormat/>
    <w:uiPriority w:val="99"/>
    <w:pPr>
      <w:spacing w:line="360" w:lineRule="auto"/>
      <w:ind w:firstLine="560" w:firstLineChars="200"/>
    </w:pPr>
    <w:rPr>
      <w:rFonts w:ascii="宋体" w:hAnsi="宋体" w:eastAsia="宋体" w:cs="Times New Roman"/>
      <w:bCs/>
      <w:kern w:val="2"/>
      <w:sz w:val="28"/>
      <w:szCs w:val="24"/>
      <w:lang w:val="en-US" w:eastAsia="zh-CN" w:bidi="ar-SA"/>
    </w:rPr>
  </w:style>
  <w:style w:type="paragraph" w:customStyle="1" w:styleId="264">
    <w:name w:val="HCH标题4"/>
    <w:next w:val="263"/>
    <w:qFormat/>
    <w:uiPriority w:val="99"/>
    <w:pPr>
      <w:tabs>
        <w:tab w:val="left" w:pos="720"/>
        <w:tab w:val="left" w:pos="960"/>
      </w:tabs>
      <w:spacing w:line="500" w:lineRule="exact"/>
      <w:ind w:hanging="720"/>
      <w:outlineLvl w:val="3"/>
    </w:pPr>
    <w:rPr>
      <w:rFonts w:ascii="Times New Roman" w:hAnsi="Times New Roman" w:eastAsia="黑体" w:cs="Times New Roman"/>
      <w:kern w:val="2"/>
      <w:sz w:val="24"/>
      <w:lang w:val="en-US" w:eastAsia="zh-CN" w:bidi="ar-SA"/>
    </w:rPr>
  </w:style>
  <w:style w:type="character" w:customStyle="1" w:styleId="265">
    <w:name w:val="M表中字体 Char"/>
    <w:link w:val="266"/>
    <w:qFormat/>
    <w:uiPriority w:val="0"/>
    <w:rPr>
      <w:kern w:val="2"/>
      <w:sz w:val="21"/>
      <w:szCs w:val="21"/>
    </w:rPr>
  </w:style>
  <w:style w:type="paragraph" w:customStyle="1" w:styleId="266">
    <w:name w:val="M表中字体"/>
    <w:link w:val="265"/>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paragraph" w:customStyle="1" w:styleId="267">
    <w:name w:val="Czy正文"/>
    <w:basedOn w:val="1"/>
    <w:qFormat/>
    <w:uiPriority w:val="99"/>
    <w:pPr>
      <w:autoSpaceDE/>
      <w:autoSpaceDN/>
      <w:adjustRightInd w:val="0"/>
      <w:snapToGrid w:val="0"/>
      <w:spacing w:line="360" w:lineRule="auto"/>
      <w:ind w:firstLine="480" w:firstLineChars="200"/>
      <w:jc w:val="both"/>
    </w:pPr>
    <w:rPr>
      <w:rFonts w:ascii="Times New Roman" w:hAnsi="Times New Roman" w:cs="Times New Roman"/>
      <w:color w:val="000000"/>
      <w:kern w:val="20"/>
      <w:sz w:val="28"/>
      <w:szCs w:val="24"/>
      <w:lang w:val="en-US" w:bidi="ar-SA"/>
    </w:rPr>
  </w:style>
  <w:style w:type="character" w:customStyle="1" w:styleId="268">
    <w:name w:val="正文0 Char"/>
    <w:link w:val="269"/>
    <w:qFormat/>
    <w:uiPriority w:val="0"/>
    <w:rPr>
      <w:rFonts w:ascii="黑体" w:hAnsi="黑体" w:eastAsia="黑体"/>
      <w:kern w:val="2"/>
      <w:sz w:val="24"/>
    </w:rPr>
  </w:style>
  <w:style w:type="paragraph" w:customStyle="1" w:styleId="269">
    <w:name w:val="正文0"/>
    <w:basedOn w:val="1"/>
    <w:link w:val="268"/>
    <w:qFormat/>
    <w:uiPriority w:val="0"/>
    <w:pPr>
      <w:keepNext/>
      <w:tabs>
        <w:tab w:val="left" w:pos="851"/>
        <w:tab w:val="left" w:pos="1021"/>
      </w:tabs>
      <w:autoSpaceDE/>
      <w:autoSpaceDN/>
      <w:adjustRightInd w:val="0"/>
      <w:snapToGrid w:val="0"/>
      <w:spacing w:line="440" w:lineRule="exact"/>
      <w:ind w:right="-64" w:rightChars="-64" w:firstLine="200" w:firstLineChars="200"/>
    </w:pPr>
    <w:rPr>
      <w:rFonts w:ascii="黑体" w:hAnsi="黑体" w:eastAsia="黑体" w:cs="Times New Roman"/>
      <w:kern w:val="2"/>
      <w:sz w:val="24"/>
      <w:szCs w:val="20"/>
      <w:lang w:val="en-US" w:bidi="ar-SA"/>
    </w:rPr>
  </w:style>
  <w:style w:type="paragraph" w:customStyle="1" w:styleId="270">
    <w:name w:val="样式 样式 正文文本缩进 + 四号 首行缩进:  2 字符 段前: 0.5 行1 + 首行缩进:  2 字符"/>
    <w:basedOn w:val="1"/>
    <w:qFormat/>
    <w:uiPriority w:val="99"/>
    <w:pPr>
      <w:autoSpaceDE/>
      <w:autoSpaceDN/>
      <w:snapToGrid w:val="0"/>
      <w:spacing w:beforeLines="50" w:line="360" w:lineRule="auto"/>
      <w:ind w:firstLine="480" w:firstLineChars="200"/>
    </w:pPr>
    <w:rPr>
      <w:rFonts w:ascii="Times New Roman" w:hAnsi="Times New Roman"/>
      <w:color w:val="000000"/>
      <w:kern w:val="2"/>
      <w:sz w:val="24"/>
      <w:szCs w:val="20"/>
      <w:lang w:val="en-US" w:bidi="ar-SA"/>
    </w:rPr>
  </w:style>
  <w:style w:type="paragraph" w:customStyle="1" w:styleId="271">
    <w:name w:val="正文新"/>
    <w:basedOn w:val="1"/>
    <w:qFormat/>
    <w:uiPriority w:val="99"/>
    <w:pPr>
      <w:autoSpaceDE/>
      <w:autoSpaceDN/>
      <w:snapToGrid w:val="0"/>
      <w:spacing w:line="460" w:lineRule="exact"/>
      <w:ind w:firstLine="480" w:firstLineChars="200"/>
    </w:pPr>
    <w:rPr>
      <w:rFonts w:ascii="Times New Roman" w:hAnsi="Times New Roman" w:cs="Times New Roman"/>
      <w:color w:val="000000"/>
      <w:sz w:val="24"/>
      <w:szCs w:val="24"/>
      <w:lang w:bidi="ar-SA"/>
    </w:rPr>
  </w:style>
  <w:style w:type="paragraph" w:customStyle="1" w:styleId="272">
    <w:name w:val="Z章标题"/>
    <w:basedOn w:val="4"/>
    <w:next w:val="4"/>
    <w:qFormat/>
    <w:uiPriority w:val="99"/>
    <w:pPr>
      <w:keepNext/>
      <w:widowControl/>
      <w:tabs>
        <w:tab w:val="left" w:pos="432"/>
      </w:tabs>
      <w:autoSpaceDE/>
      <w:autoSpaceDN/>
      <w:snapToGrid w:val="0"/>
      <w:spacing w:before="300" w:after="120" w:line="360" w:lineRule="auto"/>
      <w:ind w:left="766" w:right="0" w:hanging="526"/>
    </w:pPr>
    <w:rPr>
      <w:rFonts w:ascii="Times New Roman" w:hAnsi="Times New Roman" w:eastAsia="黑体" w:cs="Times New Roman"/>
      <w:b w:val="0"/>
      <w:kern w:val="44"/>
      <w:sz w:val="32"/>
      <w:lang w:val="en-US" w:bidi="ar-SA"/>
    </w:rPr>
  </w:style>
  <w:style w:type="paragraph" w:customStyle="1" w:styleId="273">
    <w:name w:val="样式 标题 1 + 二号 非加粗1"/>
    <w:basedOn w:val="4"/>
    <w:qFormat/>
    <w:uiPriority w:val="99"/>
    <w:pPr>
      <w:keepNext/>
      <w:pageBreakBefore/>
      <w:widowControl/>
      <w:autoSpaceDE/>
      <w:autoSpaceDN/>
      <w:adjustRightInd w:val="0"/>
      <w:snapToGrid w:val="0"/>
      <w:spacing w:before="0" w:after="240" w:line="578" w:lineRule="atLeast"/>
      <w:ind w:left="766" w:right="-64" w:rightChars="-64" w:firstLine="200"/>
    </w:pPr>
    <w:rPr>
      <w:rFonts w:ascii="黑体" w:hAnsi="Times New Roman" w:eastAsia="黑体" w:cs="Times New Roman"/>
      <w:bCs w:val="0"/>
      <w:kern w:val="44"/>
      <w:sz w:val="32"/>
      <w:szCs w:val="20"/>
      <w:lang w:val="en-US" w:bidi="ar-SA"/>
    </w:rPr>
  </w:style>
  <w:style w:type="paragraph" w:customStyle="1" w:styleId="274">
    <w:name w:val="xl97"/>
    <w:basedOn w:val="1"/>
    <w:qFormat/>
    <w:uiPriority w:val="99"/>
    <w:pPr>
      <w:widowControl/>
      <w:pBdr>
        <w:top w:val="single" w:color="auto" w:sz="4" w:space="0"/>
        <w:bottom w:val="single" w:color="auto" w:sz="4" w:space="0"/>
      </w:pBdr>
      <w:autoSpaceDE/>
      <w:autoSpaceDN/>
      <w:snapToGrid w:val="0"/>
      <w:spacing w:before="100" w:beforeAutospacing="1" w:after="100" w:afterAutospacing="1"/>
      <w:ind w:firstLine="480" w:firstLineChars="200"/>
      <w:jc w:val="center"/>
    </w:pPr>
    <w:rPr>
      <w:rFonts w:cs="Times New Roman"/>
      <w:color w:val="000000"/>
      <w:sz w:val="12"/>
      <w:szCs w:val="12"/>
      <w:lang w:val="en-US" w:bidi="ar-SA"/>
    </w:rPr>
  </w:style>
  <w:style w:type="character" w:customStyle="1" w:styleId="275">
    <w:name w:val="技术报告正文 Char"/>
    <w:link w:val="276"/>
    <w:qFormat/>
    <w:uiPriority w:val="0"/>
    <w:rPr>
      <w:sz w:val="24"/>
      <w:szCs w:val="24"/>
    </w:rPr>
  </w:style>
  <w:style w:type="paragraph" w:customStyle="1" w:styleId="276">
    <w:name w:val="技术报告正文"/>
    <w:basedOn w:val="123"/>
    <w:link w:val="275"/>
    <w:qFormat/>
    <w:uiPriority w:val="0"/>
    <w:pPr>
      <w:autoSpaceDE/>
      <w:autoSpaceDN/>
      <w:snapToGrid w:val="0"/>
      <w:spacing w:before="0" w:line="460" w:lineRule="exact"/>
      <w:ind w:left="0" w:firstLine="200" w:firstLineChars="200"/>
      <w:jc w:val="both"/>
    </w:pPr>
    <w:rPr>
      <w:rFonts w:ascii="Times New Roman" w:hAnsi="Times New Roman" w:cs="Times New Roman"/>
      <w:sz w:val="24"/>
      <w:szCs w:val="24"/>
      <w:lang w:val="en-US" w:bidi="ar-SA"/>
    </w:rPr>
  </w:style>
  <w:style w:type="paragraph" w:customStyle="1" w:styleId="277">
    <w:name w:val="xl1108"/>
    <w:basedOn w:val="1"/>
    <w:qFormat/>
    <w:uiPriority w:val="99"/>
    <w:pPr>
      <w:widowControl/>
      <w:pBdr>
        <w:left w:val="single" w:color="auto" w:sz="4" w:space="0"/>
        <w:bottom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278">
    <w:name w:val="gage"/>
    <w:qFormat/>
    <w:uiPriority w:val="99"/>
    <w:pPr>
      <w:spacing w:before="240" w:after="240" w:line="360" w:lineRule="auto"/>
    </w:pPr>
    <w:rPr>
      <w:rFonts w:ascii="宋体" w:hAnsi="宋体" w:eastAsia="宋体" w:cs="Times New Roman"/>
      <w:b/>
      <w:bCs/>
      <w:kern w:val="44"/>
      <w:sz w:val="32"/>
      <w:szCs w:val="32"/>
      <w:lang w:val="en-US" w:eastAsia="zh-CN" w:bidi="ar-SA"/>
    </w:rPr>
  </w:style>
  <w:style w:type="character" w:customStyle="1" w:styleId="279">
    <w:name w:val="AMDisplayEquation 字符"/>
    <w:link w:val="280"/>
    <w:qFormat/>
    <w:uiPriority w:val="0"/>
    <w:rPr>
      <w:sz w:val="24"/>
      <w:szCs w:val="24"/>
    </w:rPr>
  </w:style>
  <w:style w:type="paragraph" w:customStyle="1" w:styleId="280">
    <w:name w:val="AMDisplayEquation"/>
    <w:basedOn w:val="1"/>
    <w:next w:val="1"/>
    <w:link w:val="279"/>
    <w:qFormat/>
    <w:uiPriority w:val="0"/>
    <w:pPr>
      <w:tabs>
        <w:tab w:val="center" w:pos="4400"/>
        <w:tab w:val="right" w:pos="8780"/>
      </w:tabs>
      <w:autoSpaceDE/>
      <w:autoSpaceDN/>
      <w:snapToGrid w:val="0"/>
      <w:spacing w:line="460" w:lineRule="exact"/>
      <w:ind w:firstLine="200" w:firstLineChars="200"/>
      <w:jc w:val="both"/>
    </w:pPr>
    <w:rPr>
      <w:rFonts w:ascii="Times New Roman" w:hAnsi="Times New Roman" w:cs="Times New Roman"/>
      <w:sz w:val="24"/>
      <w:szCs w:val="24"/>
      <w:lang w:val="en-US" w:bidi="ar-SA"/>
    </w:rPr>
  </w:style>
  <w:style w:type="paragraph" w:customStyle="1" w:styleId="281">
    <w:name w:val="Char Char Char Char Char Char1 Char1"/>
    <w:basedOn w:val="1"/>
    <w:qFormat/>
    <w:uiPriority w:val="99"/>
    <w:pPr>
      <w:autoSpaceDE/>
      <w:autoSpaceDN/>
      <w:snapToGrid w:val="0"/>
      <w:spacing w:line="360" w:lineRule="auto"/>
      <w:ind w:firstLine="480" w:firstLineChars="200"/>
      <w:jc w:val="both"/>
    </w:pPr>
    <w:rPr>
      <w:rFonts w:ascii="Times New Roman" w:hAnsi="Times New Roman"/>
      <w:color w:val="000000"/>
      <w:kern w:val="2"/>
      <w:sz w:val="24"/>
      <w:szCs w:val="24"/>
      <w:lang w:val="en-US" w:bidi="ar-SA"/>
    </w:rPr>
  </w:style>
  <w:style w:type="paragraph" w:customStyle="1" w:styleId="282">
    <w:name w:val="YB题四号黑"/>
    <w:basedOn w:val="1"/>
    <w:qFormat/>
    <w:uiPriority w:val="99"/>
    <w:pPr>
      <w:snapToGrid w:val="0"/>
      <w:spacing w:line="600" w:lineRule="exact"/>
      <w:ind w:firstLine="480" w:firstLineChars="200"/>
      <w:jc w:val="center"/>
      <w:outlineLvl w:val="0"/>
    </w:pPr>
    <w:rPr>
      <w:rFonts w:ascii="Times New Roman" w:hAnsi="Times New Roman" w:eastAsia="黑体" w:cs="Times New Roman"/>
      <w:color w:val="000000"/>
      <w:kern w:val="2"/>
      <w:sz w:val="28"/>
      <w:szCs w:val="28"/>
      <w:lang w:val="en-US" w:bidi="ar-SA"/>
    </w:rPr>
  </w:style>
  <w:style w:type="paragraph" w:customStyle="1" w:styleId="283">
    <w:name w:val="gage标题1"/>
    <w:next w:val="4"/>
    <w:qFormat/>
    <w:uiPriority w:val="99"/>
    <w:pPr>
      <w:spacing w:before="240" w:after="240" w:line="360" w:lineRule="auto"/>
    </w:pPr>
    <w:rPr>
      <w:rFonts w:ascii="宋体" w:hAnsi="宋体" w:eastAsia="宋体" w:cs="Times New Roman"/>
      <w:b/>
      <w:bCs/>
      <w:kern w:val="44"/>
      <w:sz w:val="32"/>
      <w:szCs w:val="32"/>
      <w:lang w:val="en-US" w:eastAsia="zh-CN" w:bidi="ar-SA"/>
    </w:rPr>
  </w:style>
  <w:style w:type="paragraph" w:customStyle="1" w:styleId="284">
    <w:name w:val="HCH封面3"/>
    <w:next w:val="1"/>
    <w:qFormat/>
    <w:uiPriority w:val="99"/>
    <w:pPr>
      <w:jc w:val="center"/>
    </w:pPr>
    <w:rPr>
      <w:rFonts w:ascii="Times New Roman" w:hAnsi="Times New Roman" w:eastAsia="黑体" w:cs="Times New Roman"/>
      <w:kern w:val="2"/>
      <w:sz w:val="32"/>
      <w:szCs w:val="28"/>
      <w:lang w:val="en-US" w:eastAsia="zh-CN" w:bidi="ar-SA"/>
    </w:rPr>
  </w:style>
  <w:style w:type="paragraph" w:customStyle="1" w:styleId="285">
    <w:name w:val="Style1"/>
    <w:basedOn w:val="1"/>
    <w:qFormat/>
    <w:uiPriority w:val="99"/>
    <w:pPr>
      <w:widowControl/>
      <w:overflowPunct w:val="0"/>
      <w:adjustRightInd w:val="0"/>
      <w:snapToGrid w:val="0"/>
      <w:spacing w:line="360" w:lineRule="auto"/>
      <w:ind w:firstLine="480" w:firstLineChars="200"/>
    </w:pPr>
    <w:rPr>
      <w:rFonts w:hAnsi="Times New Roman" w:cs="Times New Roman"/>
      <w:color w:val="000000"/>
      <w:spacing w:val="6"/>
      <w:sz w:val="24"/>
      <w:szCs w:val="20"/>
      <w:lang w:val="en-US" w:bidi="ar-SA"/>
    </w:rPr>
  </w:style>
  <w:style w:type="paragraph" w:customStyle="1" w:styleId="286">
    <w:name w:val="Char Char Char Char Char Char Char Char Char Char11"/>
    <w:basedOn w:val="1"/>
    <w:qFormat/>
    <w:uiPriority w:val="99"/>
    <w:pPr>
      <w:tabs>
        <w:tab w:val="left" w:pos="425"/>
      </w:tabs>
      <w:autoSpaceDE/>
      <w:autoSpaceDN/>
      <w:snapToGrid w:val="0"/>
      <w:spacing w:line="460" w:lineRule="exact"/>
      <w:ind w:left="425" w:hanging="425" w:firstLineChars="200"/>
      <w:jc w:val="both"/>
    </w:pPr>
    <w:rPr>
      <w:rFonts w:ascii="Arial" w:hAnsi="Arial" w:eastAsia="黑体"/>
      <w:b/>
      <w:bCs/>
      <w:color w:val="000000"/>
      <w:kern w:val="2"/>
      <w:sz w:val="32"/>
      <w:szCs w:val="32"/>
      <w:lang w:val="en-US" w:bidi="ar-SA"/>
    </w:rPr>
  </w:style>
  <w:style w:type="paragraph" w:customStyle="1" w:styleId="287">
    <w:name w:val="TOC 71"/>
    <w:basedOn w:val="1"/>
    <w:next w:val="1"/>
    <w:qFormat/>
    <w:uiPriority w:val="39"/>
    <w:pPr>
      <w:autoSpaceDE/>
      <w:autoSpaceDN/>
      <w:snapToGrid w:val="0"/>
      <w:ind w:left="2520" w:leftChars="1200" w:firstLine="480" w:firstLineChars="200"/>
      <w:jc w:val="both"/>
    </w:pPr>
    <w:rPr>
      <w:rFonts w:ascii="等线" w:hAnsi="等线" w:eastAsia="等线" w:cs="Times New Roman"/>
      <w:color w:val="000000"/>
      <w:kern w:val="2"/>
      <w:sz w:val="21"/>
      <w:lang w:val="en-US" w:bidi="ar-SA"/>
    </w:rPr>
  </w:style>
  <w:style w:type="paragraph" w:customStyle="1" w:styleId="288">
    <w:name w:val="正文内容"/>
    <w:basedOn w:val="1"/>
    <w:qFormat/>
    <w:uiPriority w:val="99"/>
    <w:pPr>
      <w:tabs>
        <w:tab w:val="left" w:pos="1440"/>
      </w:tabs>
      <w:autoSpaceDE/>
      <w:autoSpaceDN/>
      <w:snapToGrid w:val="0"/>
      <w:ind w:firstLine="549" w:firstLineChars="177"/>
      <w:jc w:val="both"/>
    </w:pPr>
    <w:rPr>
      <w:rFonts w:ascii="仿宋_GB2312" w:hAnsi="Calibri" w:eastAsia="仿宋_GB2312" w:cs="Times New Roman"/>
      <w:color w:val="000000"/>
      <w:kern w:val="2"/>
      <w:sz w:val="31"/>
      <w:szCs w:val="31"/>
      <w:lang w:val="en-US" w:bidi="ar-SA"/>
    </w:rPr>
  </w:style>
  <w:style w:type="paragraph" w:customStyle="1" w:styleId="289">
    <w:name w:val="正文 -KB"/>
    <w:basedOn w:val="47"/>
    <w:next w:val="47"/>
    <w:qFormat/>
    <w:uiPriority w:val="99"/>
    <w:pPr>
      <w:widowControl/>
      <w:ind w:firstLine="200"/>
      <w:jc w:val="both"/>
    </w:pPr>
    <w:rPr>
      <w:rFonts w:ascii="Times New Roman" w:hAnsi="Times New Roman"/>
      <w:kern w:val="0"/>
      <w:sz w:val="24"/>
      <w:szCs w:val="21"/>
      <w:lang w:val="zh-CN"/>
    </w:rPr>
  </w:style>
  <w:style w:type="paragraph" w:customStyle="1" w:styleId="290">
    <w:name w:val="样式 标题 1 + 首行缩进:  2 字符"/>
    <w:basedOn w:val="4"/>
    <w:next w:val="88"/>
    <w:semiHidden/>
    <w:qFormat/>
    <w:uiPriority w:val="99"/>
    <w:pPr>
      <w:keepNext/>
      <w:widowControl/>
      <w:tabs>
        <w:tab w:val="left" w:pos="2040"/>
      </w:tabs>
      <w:autoSpaceDE/>
      <w:autoSpaceDN/>
      <w:snapToGrid w:val="0"/>
      <w:spacing w:before="300" w:after="120" w:line="460" w:lineRule="exact"/>
      <w:ind w:left="2040" w:leftChars="800" w:right="0" w:hanging="360" w:hangingChars="200"/>
    </w:pPr>
    <w:rPr>
      <w:rFonts w:ascii="Times New Roman" w:hAnsi="Times New Roman" w:eastAsia="黑体"/>
      <w:b w:val="0"/>
      <w:color w:val="000000"/>
      <w:kern w:val="44"/>
      <w:sz w:val="36"/>
      <w:szCs w:val="20"/>
      <w:lang w:val="en-US" w:bidi="ar-SA"/>
    </w:rPr>
  </w:style>
  <w:style w:type="paragraph" w:customStyle="1" w:styleId="291">
    <w:name w:val="列出段落11"/>
    <w:basedOn w:val="1"/>
    <w:qFormat/>
    <w:uiPriority w:val="99"/>
    <w:pPr>
      <w:autoSpaceDE/>
      <w:autoSpaceDN/>
      <w:snapToGrid w:val="0"/>
      <w:ind w:firstLine="420" w:firstLineChars="200"/>
      <w:jc w:val="both"/>
    </w:pPr>
    <w:rPr>
      <w:rFonts w:ascii="Calibri" w:hAnsi="Calibri" w:cs="Times New Roman"/>
      <w:color w:val="000000"/>
      <w:kern w:val="2"/>
      <w:sz w:val="21"/>
      <w:lang w:val="en-US" w:bidi="ar-SA"/>
    </w:rPr>
  </w:style>
  <w:style w:type="paragraph" w:customStyle="1" w:styleId="292">
    <w:name w:val="xl129"/>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4"/>
      <w:szCs w:val="24"/>
      <w:lang w:val="en-US" w:bidi="ar-SA"/>
    </w:rPr>
  </w:style>
  <w:style w:type="paragraph" w:customStyle="1" w:styleId="293">
    <w:name w:val="xl99"/>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rFonts w:ascii="楷体" w:eastAsia="楷体" w:cs="Times New Roman"/>
      <w:color w:val="0000FF"/>
      <w:sz w:val="12"/>
      <w:szCs w:val="12"/>
      <w:lang w:val="en-US" w:bidi="ar-SA"/>
    </w:rPr>
  </w:style>
  <w:style w:type="paragraph" w:customStyle="1" w:styleId="294">
    <w:name w:val="xl75"/>
    <w:basedOn w:val="1"/>
    <w:qFormat/>
    <w:uiPriority w:val="99"/>
    <w:pPr>
      <w:widowControl/>
      <w:pBdr>
        <w:top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ascii="楷体" w:eastAsia="楷体" w:cs="Times New Roman"/>
      <w:color w:val="000000"/>
      <w:sz w:val="12"/>
      <w:szCs w:val="12"/>
      <w:lang w:val="en-US" w:bidi="ar-SA"/>
    </w:rPr>
  </w:style>
  <w:style w:type="character" w:customStyle="1" w:styleId="295">
    <w:name w:val="YB表头小四黑体 Char"/>
    <w:link w:val="296"/>
    <w:qFormat/>
    <w:uiPriority w:val="0"/>
    <w:rPr>
      <w:rFonts w:ascii="黑体" w:hAnsi="黑体" w:eastAsia="黑体"/>
      <w:color w:val="000000"/>
      <w:kern w:val="2"/>
      <w:sz w:val="24"/>
    </w:rPr>
  </w:style>
  <w:style w:type="paragraph" w:customStyle="1" w:styleId="296">
    <w:name w:val="YB表头小四黑体"/>
    <w:basedOn w:val="1"/>
    <w:next w:val="1"/>
    <w:link w:val="295"/>
    <w:qFormat/>
    <w:uiPriority w:val="0"/>
    <w:pPr>
      <w:adjustRightInd w:val="0"/>
      <w:snapToGrid w:val="0"/>
      <w:spacing w:line="500" w:lineRule="exact"/>
      <w:ind w:firstLine="480" w:firstLineChars="200"/>
      <w:jc w:val="center"/>
    </w:pPr>
    <w:rPr>
      <w:rFonts w:ascii="黑体" w:hAnsi="黑体" w:eastAsia="黑体" w:cs="Times New Roman"/>
      <w:color w:val="000000"/>
      <w:kern w:val="2"/>
      <w:sz w:val="24"/>
      <w:szCs w:val="20"/>
      <w:lang w:val="en-US" w:bidi="ar-SA"/>
    </w:rPr>
  </w:style>
  <w:style w:type="paragraph" w:customStyle="1" w:styleId="297">
    <w:name w:val="TOC 42"/>
    <w:basedOn w:val="1"/>
    <w:next w:val="1"/>
    <w:qFormat/>
    <w:uiPriority w:val="39"/>
    <w:pPr>
      <w:autoSpaceDE/>
      <w:autoSpaceDN/>
      <w:snapToGrid w:val="0"/>
      <w:ind w:left="1260" w:leftChars="600" w:firstLine="480" w:firstLineChars="200"/>
      <w:jc w:val="both"/>
    </w:pPr>
    <w:rPr>
      <w:rFonts w:ascii="等线" w:hAnsi="等线" w:eastAsia="等线" w:cs="Times New Roman"/>
      <w:color w:val="000000"/>
      <w:kern w:val="2"/>
      <w:sz w:val="21"/>
      <w:lang w:val="en-US" w:bidi="ar-SA"/>
    </w:rPr>
  </w:style>
  <w:style w:type="paragraph" w:customStyle="1" w:styleId="298">
    <w:name w:val="样式 表格内文字 + 首行缩进:  0 字符1"/>
    <w:basedOn w:val="1"/>
    <w:qFormat/>
    <w:uiPriority w:val="99"/>
    <w:pPr>
      <w:autoSpaceDE/>
      <w:autoSpaceDN/>
      <w:adjustRightInd w:val="0"/>
      <w:snapToGrid w:val="0"/>
      <w:spacing w:line="360" w:lineRule="auto"/>
      <w:ind w:firstLine="480" w:firstLineChars="200"/>
    </w:pPr>
    <w:rPr>
      <w:rFonts w:ascii="Arial" w:hAnsi="Arial" w:eastAsia="楷体_GB2312"/>
      <w:color w:val="000000"/>
      <w:kern w:val="2"/>
      <w:sz w:val="24"/>
      <w:szCs w:val="20"/>
      <w:lang w:val="en-US" w:bidi="ar-SA"/>
    </w:rPr>
  </w:style>
  <w:style w:type="paragraph" w:customStyle="1" w:styleId="299">
    <w:name w:val="Char Char2 Char Char Char Char"/>
    <w:basedOn w:val="1"/>
    <w:qFormat/>
    <w:uiPriority w:val="99"/>
    <w:pPr>
      <w:autoSpaceDE/>
      <w:autoSpaceDN/>
      <w:snapToGrid w:val="0"/>
      <w:ind w:firstLine="480" w:firstLineChars="200"/>
      <w:jc w:val="both"/>
    </w:pPr>
    <w:rPr>
      <w:rFonts w:ascii="Times New Roman" w:hAnsi="Times New Roman" w:cs="Times New Roman"/>
      <w:color w:val="000000"/>
      <w:kern w:val="2"/>
      <w:sz w:val="21"/>
      <w:szCs w:val="24"/>
      <w:lang w:val="en-US" w:bidi="ar-SA"/>
    </w:rPr>
  </w:style>
  <w:style w:type="paragraph" w:customStyle="1" w:styleId="300">
    <w:name w:val="标题 11"/>
    <w:basedOn w:val="1"/>
    <w:qFormat/>
    <w:uiPriority w:val="1"/>
    <w:pPr>
      <w:autoSpaceDE/>
      <w:autoSpaceDN/>
      <w:snapToGrid w:val="0"/>
      <w:spacing w:line="460" w:lineRule="exact"/>
      <w:ind w:left="138" w:firstLine="200" w:firstLineChars="200"/>
      <w:outlineLvl w:val="1"/>
    </w:pPr>
    <w:rPr>
      <w:rFonts w:ascii="Microsoft JhengHei" w:hAnsi="Microsoft JhengHei" w:eastAsia="Microsoft JhengHei" w:cs="Times New Roman"/>
      <w:color w:val="000000"/>
      <w:sz w:val="30"/>
      <w:szCs w:val="30"/>
      <w:lang w:val="en-US" w:eastAsia="en-US" w:bidi="ar-SA"/>
    </w:rPr>
  </w:style>
  <w:style w:type="paragraph" w:customStyle="1" w:styleId="301">
    <w:name w:val="样式 YB目小四黑二 + 居中2"/>
    <w:basedOn w:val="1"/>
    <w:qFormat/>
    <w:uiPriority w:val="99"/>
    <w:pPr>
      <w:snapToGrid w:val="0"/>
      <w:spacing w:line="300" w:lineRule="atLeast"/>
      <w:ind w:firstLine="480" w:firstLineChars="200"/>
      <w:jc w:val="center"/>
      <w:outlineLvl w:val="1"/>
    </w:pPr>
    <w:rPr>
      <w:rFonts w:ascii="Times New Roman" w:hAnsi="Times New Roman"/>
      <w:color w:val="000000"/>
      <w:sz w:val="21"/>
      <w:szCs w:val="20"/>
      <w:lang w:val="en-US" w:bidi="ar-SA"/>
    </w:rPr>
  </w:style>
  <w:style w:type="paragraph" w:customStyle="1" w:styleId="302">
    <w:name w:val="标题5"/>
    <w:basedOn w:val="1"/>
    <w:next w:val="1"/>
    <w:qFormat/>
    <w:uiPriority w:val="99"/>
    <w:pPr>
      <w:keepNext/>
      <w:autoSpaceDE/>
      <w:autoSpaceDN/>
      <w:snapToGrid w:val="0"/>
      <w:spacing w:line="440" w:lineRule="exact"/>
      <w:ind w:right="-64" w:rightChars="-64" w:firstLine="200" w:firstLineChars="200"/>
    </w:pPr>
    <w:rPr>
      <w:rFonts w:ascii="黑体" w:hAnsi="Calibri" w:cs="Times New Roman"/>
      <w:color w:val="000000"/>
      <w:kern w:val="2"/>
      <w:sz w:val="24"/>
      <w:szCs w:val="24"/>
      <w:lang w:val="en-US" w:bidi="ar-SA"/>
    </w:rPr>
  </w:style>
  <w:style w:type="paragraph" w:customStyle="1" w:styleId="303">
    <w:name w:val="font11"/>
    <w:basedOn w:val="1"/>
    <w:qFormat/>
    <w:uiPriority w:val="99"/>
    <w:pPr>
      <w:widowControl/>
      <w:autoSpaceDE/>
      <w:autoSpaceDN/>
      <w:snapToGrid w:val="0"/>
      <w:spacing w:before="100" w:beforeAutospacing="1" w:after="100" w:afterAutospacing="1"/>
      <w:ind w:firstLine="480" w:firstLineChars="200"/>
    </w:pPr>
    <w:rPr>
      <w:rFonts w:ascii="楷体" w:eastAsia="楷体" w:cs="Times New Roman"/>
      <w:color w:val="0000FF"/>
      <w:sz w:val="12"/>
      <w:szCs w:val="12"/>
      <w:lang w:val="en-US" w:bidi="ar-SA"/>
    </w:rPr>
  </w:style>
  <w:style w:type="paragraph" w:customStyle="1" w:styleId="304">
    <w:name w:val="正文_改"/>
    <w:basedOn w:val="1"/>
    <w:qFormat/>
    <w:uiPriority w:val="99"/>
    <w:pPr>
      <w:autoSpaceDE/>
      <w:autoSpaceDN/>
      <w:snapToGrid w:val="0"/>
      <w:spacing w:beforeLines="30" w:line="312" w:lineRule="auto"/>
      <w:ind w:firstLine="202" w:firstLineChars="202"/>
      <w:jc w:val="both"/>
    </w:pPr>
    <w:rPr>
      <w:rFonts w:ascii="华文细黑" w:hAnsi="华文细黑" w:eastAsia="华文细黑" w:cs="Times New Roman"/>
      <w:color w:val="000000"/>
      <w:kern w:val="2"/>
      <w:lang w:val="en-US" w:bidi="ar-SA"/>
    </w:rPr>
  </w:style>
  <w:style w:type="character" w:customStyle="1" w:styleId="305">
    <w:name w:val="1.1 XXX Char"/>
    <w:link w:val="306"/>
    <w:qFormat/>
    <w:uiPriority w:val="0"/>
    <w:rPr>
      <w:rFonts w:ascii="黑体" w:hAnsi="黑体" w:eastAsia="黑体"/>
      <w:bCs/>
      <w:kern w:val="44"/>
      <w:sz w:val="28"/>
    </w:rPr>
  </w:style>
  <w:style w:type="paragraph" w:customStyle="1" w:styleId="306">
    <w:name w:val="1.1 XXX"/>
    <w:basedOn w:val="1"/>
    <w:next w:val="307"/>
    <w:link w:val="305"/>
    <w:qFormat/>
    <w:uiPriority w:val="0"/>
    <w:pPr>
      <w:keepNext/>
      <w:keepLines/>
      <w:autoSpaceDE/>
      <w:autoSpaceDN/>
      <w:snapToGrid w:val="0"/>
      <w:spacing w:before="120" w:after="60" w:line="460" w:lineRule="exact"/>
      <w:ind w:firstLine="200" w:firstLineChars="200"/>
      <w:outlineLvl w:val="1"/>
    </w:pPr>
    <w:rPr>
      <w:rFonts w:ascii="黑体" w:hAnsi="黑体" w:eastAsia="黑体" w:cs="Times New Roman"/>
      <w:bCs/>
      <w:kern w:val="44"/>
      <w:sz w:val="28"/>
      <w:szCs w:val="20"/>
      <w:lang w:val="en-US" w:bidi="ar-SA"/>
    </w:rPr>
  </w:style>
  <w:style w:type="paragraph" w:customStyle="1" w:styleId="307">
    <w:name w:val="正文 XXX"/>
    <w:basedOn w:val="1"/>
    <w:link w:val="501"/>
    <w:qFormat/>
    <w:uiPriority w:val="99"/>
    <w:pPr>
      <w:autoSpaceDE/>
      <w:autoSpaceDN/>
      <w:snapToGrid w:val="0"/>
      <w:spacing w:line="460" w:lineRule="exact"/>
      <w:ind w:firstLine="200" w:firstLineChars="200"/>
      <w:jc w:val="both"/>
    </w:pPr>
    <w:rPr>
      <w:rFonts w:ascii="Times New Roman" w:hAnsi="Times New Roman" w:cs="Times New Roman"/>
      <w:sz w:val="24"/>
      <w:szCs w:val="20"/>
      <w:lang w:val="en-US" w:bidi="ar-SA"/>
    </w:rPr>
  </w:style>
  <w:style w:type="paragraph" w:customStyle="1" w:styleId="308">
    <w:name w:val="xl70"/>
    <w:basedOn w:val="1"/>
    <w:qFormat/>
    <w:uiPriority w:val="99"/>
    <w:pPr>
      <w:widowControl/>
      <w:pBdr>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ascii="楷体" w:eastAsia="楷体" w:cs="Times New Roman"/>
      <w:color w:val="0000FF"/>
      <w:sz w:val="12"/>
      <w:szCs w:val="12"/>
      <w:lang w:val="en-US" w:bidi="ar-SA"/>
    </w:rPr>
  </w:style>
  <w:style w:type="paragraph" w:customStyle="1" w:styleId="309">
    <w:name w:val="封面标准号1"/>
    <w:qFormat/>
    <w:uiPriority w:val="99"/>
    <w:pPr>
      <w:widowControl w:val="0"/>
      <w:kinsoku w:val="0"/>
      <w:overflowPunct w:val="0"/>
      <w:autoSpaceDE w:val="0"/>
      <w:autoSpaceDN w:val="0"/>
      <w:spacing w:before="308"/>
      <w:jc w:val="right"/>
    </w:pPr>
    <w:rPr>
      <w:rFonts w:ascii="Times New Roman" w:hAnsi="Times New Roman" w:eastAsia="宋体" w:cs="Times New Roman"/>
      <w:sz w:val="28"/>
      <w:lang w:val="en-US" w:eastAsia="zh-CN" w:bidi="ar-SA"/>
    </w:rPr>
  </w:style>
  <w:style w:type="paragraph" w:customStyle="1" w:styleId="310">
    <w:name w:val="xl37"/>
    <w:basedOn w:val="1"/>
    <w:qFormat/>
    <w:uiPriority w:val="99"/>
    <w:pPr>
      <w:widowControl/>
      <w:pBdr>
        <w:top w:val="single" w:color="auto" w:sz="4" w:space="0"/>
        <w:bottom w:val="single" w:color="auto" w:sz="4" w:space="0"/>
      </w:pBdr>
      <w:autoSpaceDE/>
      <w:autoSpaceDN/>
      <w:snapToGrid w:val="0"/>
      <w:spacing w:before="100" w:beforeAutospacing="1" w:after="100" w:afterAutospacing="1"/>
      <w:ind w:firstLine="480" w:firstLineChars="200"/>
    </w:pPr>
    <w:rPr>
      <w:rFonts w:cs="Times New Roman"/>
      <w:b/>
      <w:bCs/>
      <w:color w:val="000000"/>
      <w:sz w:val="24"/>
      <w:szCs w:val="24"/>
      <w:lang w:val="en-US" w:bidi="ar-SA"/>
    </w:rPr>
  </w:style>
  <w:style w:type="paragraph" w:customStyle="1" w:styleId="311">
    <w:name w:val="TOC 51"/>
    <w:basedOn w:val="1"/>
    <w:next w:val="1"/>
    <w:qFormat/>
    <w:uiPriority w:val="39"/>
    <w:pPr>
      <w:autoSpaceDE/>
      <w:autoSpaceDN/>
      <w:snapToGrid w:val="0"/>
      <w:ind w:left="1680" w:leftChars="800" w:firstLine="480" w:firstLineChars="200"/>
      <w:jc w:val="both"/>
    </w:pPr>
    <w:rPr>
      <w:rFonts w:ascii="等线" w:hAnsi="等线" w:eastAsia="等线" w:cs="Times New Roman"/>
      <w:color w:val="000000"/>
      <w:kern w:val="2"/>
      <w:sz w:val="21"/>
      <w:lang w:val="en-US" w:bidi="ar-SA"/>
    </w:rPr>
  </w:style>
  <w:style w:type="paragraph" w:customStyle="1" w:styleId="312">
    <w:name w:val="xl94"/>
    <w:basedOn w:val="1"/>
    <w:qFormat/>
    <w:uiPriority w:val="99"/>
    <w:pPr>
      <w:widowControl/>
      <w:pBdr>
        <w:bottom w:val="single" w:color="auto" w:sz="4" w:space="0"/>
        <w:right w:val="single" w:color="auto" w:sz="4" w:space="0"/>
      </w:pBdr>
      <w:autoSpaceDE/>
      <w:autoSpaceDN/>
      <w:snapToGrid w:val="0"/>
      <w:spacing w:before="100" w:beforeAutospacing="1" w:after="100" w:afterAutospacing="1"/>
      <w:ind w:firstLine="480" w:firstLineChars="200"/>
    </w:pPr>
    <w:rPr>
      <w:rFonts w:ascii="楷体" w:eastAsia="楷体" w:cs="Times New Roman"/>
      <w:color w:val="000000"/>
      <w:sz w:val="12"/>
      <w:szCs w:val="12"/>
      <w:lang w:val="en-US" w:bidi="ar-SA"/>
    </w:rPr>
  </w:style>
  <w:style w:type="paragraph" w:customStyle="1" w:styleId="313">
    <w:name w:val="xl55"/>
    <w:basedOn w:val="1"/>
    <w:qFormat/>
    <w:uiPriority w:val="99"/>
    <w:pPr>
      <w:widowControl/>
      <w:autoSpaceDE/>
      <w:autoSpaceDN/>
      <w:snapToGrid w:val="0"/>
      <w:spacing w:before="100" w:beforeAutospacing="1" w:after="100" w:afterAutospacing="1"/>
      <w:ind w:firstLine="480" w:firstLineChars="200"/>
      <w:jc w:val="center"/>
    </w:pPr>
    <w:rPr>
      <w:rFonts w:ascii="楷体" w:eastAsia="楷体" w:cs="Times New Roman"/>
      <w:color w:val="0000FF"/>
      <w:sz w:val="12"/>
      <w:szCs w:val="12"/>
      <w:lang w:val="en-US" w:bidi="ar-SA"/>
    </w:rPr>
  </w:style>
  <w:style w:type="paragraph" w:customStyle="1" w:styleId="314">
    <w:name w:val="xl1098"/>
    <w:basedOn w:val="1"/>
    <w:qFormat/>
    <w:uiPriority w:val="99"/>
    <w:pPr>
      <w:widowControl/>
      <w:pBdr>
        <w:top w:val="single" w:color="auto" w:sz="4" w:space="0"/>
        <w:left w:val="single" w:color="auto" w:sz="4" w:space="0"/>
        <w:right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315">
    <w:name w:val="TOC 12"/>
    <w:basedOn w:val="1"/>
    <w:next w:val="1"/>
    <w:semiHidden/>
    <w:qFormat/>
    <w:uiPriority w:val="39"/>
    <w:pPr>
      <w:tabs>
        <w:tab w:val="right" w:leader="dot" w:pos="8296"/>
      </w:tabs>
      <w:autoSpaceDE/>
      <w:autoSpaceDN/>
      <w:adjustRightInd w:val="0"/>
      <w:snapToGrid w:val="0"/>
      <w:spacing w:line="360" w:lineRule="auto"/>
      <w:ind w:firstLine="482" w:firstLineChars="200"/>
    </w:pPr>
    <w:rPr>
      <w:rFonts w:ascii="Times New Roman" w:hAnsi="Times New Roman" w:eastAsia="等线" w:cs="Times New Roman"/>
      <w:b/>
      <w:bCs/>
      <w:caps/>
      <w:color w:val="000000"/>
      <w:kern w:val="2"/>
      <w:sz w:val="24"/>
      <w:szCs w:val="24"/>
      <w:lang w:val="en-US" w:bidi="ar-SA"/>
    </w:rPr>
  </w:style>
  <w:style w:type="paragraph" w:customStyle="1" w:styleId="316">
    <w:name w:val="Z节标题"/>
    <w:basedOn w:val="272"/>
    <w:qFormat/>
    <w:uiPriority w:val="99"/>
    <w:pPr>
      <w:spacing w:after="100" w:afterAutospacing="1" w:line="240" w:lineRule="auto"/>
      <w:jc w:val="left"/>
      <w:outlineLvl w:val="1"/>
    </w:pPr>
    <w:rPr>
      <w:sz w:val="30"/>
    </w:rPr>
  </w:style>
  <w:style w:type="character" w:customStyle="1" w:styleId="317">
    <w:name w:val="A表格文字 Char"/>
    <w:link w:val="318"/>
    <w:qFormat/>
    <w:uiPriority w:val="0"/>
    <w:rPr>
      <w:rFonts w:ascii="黑体" w:hAnsi="黑体" w:eastAsia="黑体"/>
      <w:sz w:val="21"/>
    </w:rPr>
  </w:style>
  <w:style w:type="paragraph" w:customStyle="1" w:styleId="318">
    <w:name w:val="A表格文字"/>
    <w:basedOn w:val="1"/>
    <w:link w:val="317"/>
    <w:qFormat/>
    <w:uiPriority w:val="0"/>
    <w:pPr>
      <w:keepNext/>
      <w:autoSpaceDE/>
      <w:autoSpaceDN/>
      <w:adjustRightInd w:val="0"/>
      <w:snapToGrid w:val="0"/>
      <w:spacing w:before="4" w:after="4"/>
      <w:ind w:right="-64" w:rightChars="-64" w:firstLine="200" w:firstLineChars="200"/>
      <w:jc w:val="center"/>
    </w:pPr>
    <w:rPr>
      <w:rFonts w:ascii="黑体" w:hAnsi="黑体" w:eastAsia="黑体" w:cs="Times New Roman"/>
      <w:sz w:val="21"/>
      <w:szCs w:val="20"/>
      <w:lang w:val="en-US" w:bidi="ar-SA"/>
    </w:rPr>
  </w:style>
  <w:style w:type="paragraph" w:customStyle="1" w:styleId="319">
    <w:name w:val="XW编号正文"/>
    <w:basedOn w:val="1"/>
    <w:semiHidden/>
    <w:qFormat/>
    <w:uiPriority w:val="99"/>
    <w:pPr>
      <w:keepNext/>
      <w:tabs>
        <w:tab w:val="left" w:pos="858"/>
        <w:tab w:val="left" w:pos="1035"/>
        <w:tab w:val="left" w:pos="1134"/>
      </w:tabs>
      <w:autoSpaceDE/>
      <w:autoSpaceDN/>
      <w:adjustRightInd w:val="0"/>
      <w:snapToGrid w:val="0"/>
      <w:spacing w:line="300" w:lineRule="auto"/>
      <w:ind w:left="1035" w:right="-64" w:rightChars="-64" w:hanging="720" w:firstLineChars="200"/>
    </w:pPr>
    <w:rPr>
      <w:rFonts w:ascii="黑体" w:hAnsi="黑体" w:cs="Times New Roman"/>
      <w:color w:val="000000"/>
      <w:sz w:val="21"/>
      <w:szCs w:val="24"/>
      <w:lang w:val="en-US" w:bidi="ar-SA"/>
    </w:rPr>
  </w:style>
  <w:style w:type="paragraph" w:customStyle="1" w:styleId="320">
    <w:name w:val="YB目小四黑四"/>
    <w:next w:val="1"/>
    <w:qFormat/>
    <w:uiPriority w:val="99"/>
    <w:pPr>
      <w:autoSpaceDE w:val="0"/>
      <w:autoSpaceDN w:val="0"/>
      <w:spacing w:line="500" w:lineRule="exact"/>
      <w:outlineLvl w:val="3"/>
    </w:pPr>
    <w:rPr>
      <w:rFonts w:ascii="Times New Roman" w:hAnsi="Times New Roman" w:eastAsia="黑体" w:cs="Times New Roman"/>
      <w:kern w:val="2"/>
      <w:sz w:val="24"/>
      <w:lang w:val="en-US" w:eastAsia="zh-CN" w:bidi="ar-SA"/>
    </w:rPr>
  </w:style>
  <w:style w:type="paragraph" w:customStyle="1" w:styleId="321">
    <w:name w:val="批注主题1"/>
    <w:basedOn w:val="29"/>
    <w:next w:val="29"/>
    <w:qFormat/>
    <w:uiPriority w:val="99"/>
    <w:pPr>
      <w:autoSpaceDE/>
      <w:autoSpaceDN/>
      <w:snapToGrid w:val="0"/>
      <w:spacing w:line="460" w:lineRule="exact"/>
      <w:ind w:firstLine="200" w:firstLineChars="200"/>
    </w:pPr>
    <w:rPr>
      <w:rFonts w:ascii="Times New Roman" w:hAnsi="Times New Roman" w:eastAsia="等线" w:cs="Times New Roman"/>
      <w:b/>
      <w:bCs/>
      <w:sz w:val="24"/>
      <w:lang w:bidi="ar-SA"/>
    </w:rPr>
  </w:style>
  <w:style w:type="paragraph" w:customStyle="1" w:styleId="322">
    <w:name w:val="样式 首行缩进:  2 字符"/>
    <w:basedOn w:val="1"/>
    <w:qFormat/>
    <w:uiPriority w:val="99"/>
    <w:pPr>
      <w:keepNext/>
      <w:autoSpaceDE/>
      <w:autoSpaceDN/>
      <w:snapToGrid w:val="0"/>
      <w:ind w:right="-64" w:rightChars="-64" w:firstLine="200" w:firstLineChars="200"/>
    </w:pPr>
    <w:rPr>
      <w:rFonts w:ascii="黑体" w:hAnsi="Calibri" w:cs="Times New Roman"/>
      <w:bCs/>
      <w:color w:val="000000"/>
      <w:sz w:val="21"/>
      <w:szCs w:val="24"/>
      <w:lang w:val="en-US" w:bidi="ar-SA"/>
    </w:rPr>
  </w:style>
  <w:style w:type="paragraph" w:customStyle="1" w:styleId="323">
    <w:name w:val="Char2 Char Char1 Char Char Char Char Char Char Char Char Char Char1"/>
    <w:basedOn w:val="8"/>
    <w:qFormat/>
    <w:uiPriority w:val="99"/>
    <w:pPr>
      <w:keepNext/>
      <w:keepLines/>
      <w:widowControl/>
      <w:autoSpaceDE/>
      <w:autoSpaceDN/>
      <w:snapToGrid w:val="0"/>
      <w:spacing w:before="280" w:after="160" w:line="240" w:lineRule="exact"/>
      <w:ind w:left="0" w:firstLine="0"/>
    </w:pPr>
    <w:rPr>
      <w:rFonts w:ascii="Verdana" w:hAnsi="Verdana" w:eastAsia="等线" w:cs="Times New Roman"/>
      <w:sz w:val="20"/>
      <w:szCs w:val="20"/>
      <w:lang w:eastAsia="en-US" w:bidi="ar-SA"/>
    </w:rPr>
  </w:style>
  <w:style w:type="character" w:customStyle="1" w:styleId="324">
    <w:name w:val="YB图表标题 Char"/>
    <w:link w:val="325"/>
    <w:qFormat/>
    <w:uiPriority w:val="0"/>
    <w:rPr>
      <w:rFonts w:ascii="黑体" w:hAnsi="黑体" w:eastAsia="黑体"/>
      <w:sz w:val="24"/>
    </w:rPr>
  </w:style>
  <w:style w:type="paragraph" w:customStyle="1" w:styleId="325">
    <w:name w:val="YB图表标题"/>
    <w:next w:val="1"/>
    <w:link w:val="324"/>
    <w:qFormat/>
    <w:uiPriority w:val="0"/>
    <w:pPr>
      <w:autoSpaceDE w:val="0"/>
      <w:autoSpaceDN w:val="0"/>
      <w:adjustRightInd w:val="0"/>
      <w:snapToGrid w:val="0"/>
      <w:spacing w:line="500" w:lineRule="exact"/>
      <w:jc w:val="center"/>
    </w:pPr>
    <w:rPr>
      <w:rFonts w:ascii="黑体" w:hAnsi="黑体" w:eastAsia="黑体" w:cs="Times New Roman"/>
      <w:sz w:val="24"/>
      <w:lang w:val="en-US" w:eastAsia="zh-CN" w:bidi="ar-SA"/>
    </w:rPr>
  </w:style>
  <w:style w:type="paragraph" w:customStyle="1" w:styleId="326">
    <w:name w:val="frank正文"/>
    <w:basedOn w:val="2"/>
    <w:qFormat/>
    <w:uiPriority w:val="99"/>
    <w:pPr>
      <w:autoSpaceDE/>
      <w:autoSpaceDN/>
      <w:snapToGrid w:val="0"/>
      <w:spacing w:before="0"/>
      <w:ind w:left="0" w:firstLine="480" w:firstLineChars="200"/>
      <w:jc w:val="both"/>
    </w:pPr>
    <w:rPr>
      <w:rFonts w:ascii="Arial" w:hAnsi="Arial" w:eastAsia="新宋体"/>
      <w:color w:val="000000"/>
      <w:kern w:val="28"/>
      <w:sz w:val="28"/>
      <w:szCs w:val="20"/>
      <w:lang w:val="en-US" w:bidi="ar-SA"/>
    </w:rPr>
  </w:style>
  <w:style w:type="paragraph" w:customStyle="1" w:styleId="327">
    <w:name w:val="Char Char Char Char Char Char Char Char Char Char Char Char Char Char Char Char Char Char Char Char Char Char Char Char2 Char"/>
    <w:basedOn w:val="1"/>
    <w:qFormat/>
    <w:uiPriority w:val="99"/>
    <w:pPr>
      <w:widowControl/>
      <w:autoSpaceDE/>
      <w:autoSpaceDN/>
      <w:snapToGrid w:val="0"/>
      <w:spacing w:after="160" w:line="240" w:lineRule="exact"/>
      <w:ind w:firstLine="480" w:firstLineChars="200"/>
      <w:jc w:val="center"/>
    </w:pPr>
    <w:rPr>
      <w:rFonts w:ascii="黑体" w:hAnsi="Verdana" w:eastAsia="黑体" w:cs="Times New Roman"/>
      <w:color w:val="000000"/>
      <w:sz w:val="32"/>
      <w:szCs w:val="32"/>
      <w:lang w:val="en-US" w:eastAsia="en-US" w:bidi="ar-SA"/>
    </w:rPr>
  </w:style>
  <w:style w:type="paragraph" w:customStyle="1" w:styleId="328">
    <w:name w:val="xl44"/>
    <w:basedOn w:val="1"/>
    <w:qFormat/>
    <w:uiPriority w:val="99"/>
    <w:pPr>
      <w:widowControl/>
      <w:pBdr>
        <w:top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rFonts w:ascii="楷体" w:eastAsia="楷体" w:cs="Times New Roman"/>
      <w:color w:val="0000FF"/>
      <w:sz w:val="12"/>
      <w:szCs w:val="12"/>
      <w:lang w:val="en-US" w:bidi="ar-SA"/>
    </w:rPr>
  </w:style>
  <w:style w:type="character" w:customStyle="1" w:styleId="329">
    <w:name w:val="陈竹包正文 Char"/>
    <w:link w:val="330"/>
    <w:qFormat/>
    <w:uiPriority w:val="0"/>
    <w:rPr>
      <w:sz w:val="24"/>
      <w:szCs w:val="24"/>
    </w:rPr>
  </w:style>
  <w:style w:type="paragraph" w:customStyle="1" w:styleId="330">
    <w:name w:val="陈竹包正文"/>
    <w:basedOn w:val="1"/>
    <w:next w:val="1"/>
    <w:link w:val="329"/>
    <w:qFormat/>
    <w:uiPriority w:val="0"/>
    <w:pPr>
      <w:autoSpaceDE/>
      <w:autoSpaceDN/>
      <w:snapToGrid w:val="0"/>
      <w:spacing w:line="460" w:lineRule="exact"/>
      <w:ind w:firstLine="480" w:firstLineChars="200"/>
      <w:jc w:val="both"/>
    </w:pPr>
    <w:rPr>
      <w:rFonts w:ascii="Times New Roman" w:hAnsi="Times New Roman" w:cs="Times New Roman"/>
      <w:sz w:val="24"/>
      <w:szCs w:val="24"/>
      <w:lang w:val="en-US" w:bidi="ar-SA"/>
    </w:rPr>
  </w:style>
  <w:style w:type="paragraph" w:customStyle="1" w:styleId="331">
    <w:name w:val="xl1132"/>
    <w:basedOn w:val="1"/>
    <w:qFormat/>
    <w:uiPriority w:val="99"/>
    <w:pPr>
      <w:widowControl/>
      <w:pBdr>
        <w:top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rFonts w:ascii="仿宋_GB2312" w:eastAsia="仿宋_GB2312" w:cs="Times New Roman"/>
      <w:color w:val="000000"/>
      <w:sz w:val="20"/>
      <w:szCs w:val="20"/>
      <w:lang w:val="en-US" w:bidi="ar-SA"/>
    </w:rPr>
  </w:style>
  <w:style w:type="paragraph" w:customStyle="1" w:styleId="332">
    <w:name w:val="xl1095"/>
    <w:basedOn w:val="1"/>
    <w:qFormat/>
    <w:uiPriority w:val="99"/>
    <w:pPr>
      <w:widowControl/>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333">
    <w:name w:val="默认段落字体 Para Char Char Char Char"/>
    <w:basedOn w:val="1"/>
    <w:qFormat/>
    <w:uiPriority w:val="99"/>
    <w:pPr>
      <w:autoSpaceDE/>
      <w:autoSpaceDN/>
      <w:snapToGrid w:val="0"/>
      <w:ind w:firstLine="480" w:firstLineChars="200"/>
      <w:jc w:val="both"/>
    </w:pPr>
    <w:rPr>
      <w:rFonts w:ascii="Times New Roman" w:hAnsi="Times New Roman" w:cs="Times New Roman"/>
      <w:color w:val="000000"/>
      <w:kern w:val="2"/>
      <w:sz w:val="21"/>
      <w:szCs w:val="24"/>
      <w:lang w:val="en-US" w:bidi="ar-SA"/>
    </w:rPr>
  </w:style>
  <w:style w:type="paragraph" w:customStyle="1" w:styleId="334">
    <w:name w:val="xl22"/>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cs="Times New Roman"/>
      <w:color w:val="000000"/>
      <w:sz w:val="24"/>
      <w:szCs w:val="24"/>
      <w:lang w:val="en-US" w:bidi="ar-SA"/>
    </w:rPr>
  </w:style>
  <w:style w:type="paragraph" w:customStyle="1" w:styleId="335">
    <w:name w:val="TOC 62"/>
    <w:basedOn w:val="1"/>
    <w:next w:val="1"/>
    <w:qFormat/>
    <w:uiPriority w:val="39"/>
    <w:pPr>
      <w:autoSpaceDE/>
      <w:autoSpaceDN/>
      <w:snapToGrid w:val="0"/>
      <w:ind w:left="2100" w:leftChars="1000" w:firstLine="480" w:firstLineChars="200"/>
      <w:jc w:val="both"/>
    </w:pPr>
    <w:rPr>
      <w:rFonts w:ascii="等线" w:hAnsi="等线" w:eastAsia="等线" w:cs="Times New Roman"/>
      <w:color w:val="000000"/>
      <w:kern w:val="2"/>
      <w:sz w:val="21"/>
      <w:lang w:val="en-US" w:bidi="ar-SA"/>
    </w:rPr>
  </w:style>
  <w:style w:type="paragraph" w:customStyle="1" w:styleId="336">
    <w:name w:val="正文首缩"/>
    <w:basedOn w:val="1"/>
    <w:semiHidden/>
    <w:qFormat/>
    <w:uiPriority w:val="99"/>
    <w:pPr>
      <w:autoSpaceDE/>
      <w:autoSpaceDN/>
      <w:snapToGrid w:val="0"/>
      <w:spacing w:line="360" w:lineRule="auto"/>
      <w:ind w:firstLine="480" w:firstLineChars="200"/>
      <w:jc w:val="both"/>
    </w:pPr>
    <w:rPr>
      <w:color w:val="000000"/>
      <w:sz w:val="28"/>
      <w:szCs w:val="20"/>
      <w:lang w:val="en-US" w:bidi="ar-SA"/>
    </w:rPr>
  </w:style>
  <w:style w:type="character" w:customStyle="1" w:styleId="337">
    <w:name w:val="沅江正文格式 字符"/>
    <w:link w:val="338"/>
    <w:qFormat/>
    <w:uiPriority w:val="0"/>
    <w:rPr>
      <w:iCs/>
      <w:kern w:val="2"/>
      <w:sz w:val="24"/>
      <w:szCs w:val="21"/>
    </w:rPr>
  </w:style>
  <w:style w:type="paragraph" w:customStyle="1" w:styleId="338">
    <w:name w:val="沅江正文格式"/>
    <w:basedOn w:val="1"/>
    <w:link w:val="337"/>
    <w:qFormat/>
    <w:uiPriority w:val="0"/>
    <w:pPr>
      <w:autoSpaceDE/>
      <w:autoSpaceDN/>
      <w:adjustRightInd w:val="0"/>
      <w:snapToGrid w:val="0"/>
      <w:spacing w:line="360" w:lineRule="auto"/>
      <w:ind w:firstLine="200" w:firstLineChars="200"/>
      <w:jc w:val="both"/>
    </w:pPr>
    <w:rPr>
      <w:rFonts w:ascii="Times New Roman" w:hAnsi="Times New Roman" w:cs="Times New Roman"/>
      <w:iCs/>
      <w:kern w:val="2"/>
      <w:sz w:val="24"/>
      <w:szCs w:val="21"/>
      <w:lang w:val="en-US" w:bidi="ar-SA"/>
    </w:rPr>
  </w:style>
  <w:style w:type="paragraph" w:customStyle="1" w:styleId="339">
    <w:name w:val="样式6"/>
    <w:basedOn w:val="46"/>
    <w:qFormat/>
    <w:uiPriority w:val="99"/>
    <w:pPr>
      <w:widowControl w:val="0"/>
      <w:tabs>
        <w:tab w:val="left" w:pos="1620"/>
      </w:tabs>
      <w:snapToGrid w:val="0"/>
      <w:spacing w:after="0" w:line="360" w:lineRule="auto"/>
      <w:ind w:left="567" w:firstLine="480" w:firstLineChars="200"/>
    </w:pPr>
    <w:rPr>
      <w:rFonts w:ascii="宋体" w:hAnsi="宋体" w:eastAsia="仿宋_GB2312" w:cs="宋体"/>
      <w:b/>
      <w:i/>
      <w:color w:val="000000"/>
      <w:kern w:val="2"/>
      <w:sz w:val="24"/>
      <w:szCs w:val="20"/>
    </w:rPr>
  </w:style>
  <w:style w:type="paragraph" w:customStyle="1" w:styleId="340">
    <w:name w:val="封面3"/>
    <w:basedOn w:val="1"/>
    <w:qFormat/>
    <w:uiPriority w:val="99"/>
    <w:pPr>
      <w:keepNext/>
      <w:autoSpaceDE/>
      <w:autoSpaceDN/>
      <w:snapToGrid w:val="0"/>
      <w:spacing w:line="440" w:lineRule="exact"/>
      <w:ind w:right="-64" w:rightChars="-64" w:firstLine="200" w:firstLineChars="200"/>
      <w:jc w:val="center"/>
    </w:pPr>
    <w:rPr>
      <w:rFonts w:ascii="楷体_GB2312" w:hAnsi="黑体" w:cs="Times New Roman"/>
      <w:color w:val="000000"/>
      <w:spacing w:val="40"/>
      <w:sz w:val="56"/>
      <w:szCs w:val="44"/>
      <w:lang w:val="en-US" w:bidi="ar-SA"/>
    </w:rPr>
  </w:style>
  <w:style w:type="paragraph" w:customStyle="1" w:styleId="341">
    <w:name w:val="chenzb标题1"/>
    <w:basedOn w:val="4"/>
    <w:qFormat/>
    <w:uiPriority w:val="99"/>
    <w:pPr>
      <w:widowControl/>
      <w:topLinePunct/>
      <w:autoSpaceDE/>
      <w:autoSpaceDN/>
      <w:snapToGrid w:val="0"/>
      <w:spacing w:before="300" w:after="120" w:line="480" w:lineRule="exact"/>
      <w:ind w:left="766" w:right="0" w:hanging="526"/>
    </w:pPr>
    <w:rPr>
      <w:rFonts w:ascii="黑体" w:hAnsi="等线" w:eastAsia="黑体" w:cs="Times New Roman"/>
      <w:bCs w:val="0"/>
      <w:color w:val="000000"/>
      <w:kern w:val="2"/>
      <w:sz w:val="24"/>
      <w:szCs w:val="20"/>
      <w:lang w:val="en-US" w:bidi="ar-SA"/>
    </w:rPr>
  </w:style>
  <w:style w:type="paragraph" w:customStyle="1" w:styleId="342">
    <w:name w:val="样式 纯文本普通文字普通文字 Char纯文本 Char + Times New Roman 小四 行距: 最小值 26..."/>
    <w:basedOn w:val="47"/>
    <w:qFormat/>
    <w:uiPriority w:val="99"/>
    <w:pPr>
      <w:spacing w:line="520" w:lineRule="atLeast"/>
      <w:jc w:val="both"/>
    </w:pPr>
    <w:rPr>
      <w:rFonts w:ascii="Times New Roman" w:hAnsi="宋体" w:cs="宋体"/>
      <w:kern w:val="0"/>
      <w:sz w:val="24"/>
      <w:szCs w:val="20"/>
      <w:lang w:val="zh-CN"/>
    </w:rPr>
  </w:style>
  <w:style w:type="paragraph" w:customStyle="1" w:styleId="343">
    <w:name w:val="批注框文本 Char Char"/>
    <w:basedOn w:val="1"/>
    <w:qFormat/>
    <w:uiPriority w:val="99"/>
    <w:pPr>
      <w:autoSpaceDE/>
      <w:autoSpaceDN/>
      <w:snapToGrid w:val="0"/>
      <w:ind w:firstLine="480" w:firstLineChars="200"/>
      <w:jc w:val="both"/>
    </w:pPr>
    <w:rPr>
      <w:rFonts w:ascii="Times New Roman" w:hAnsi="Times New Roman" w:cs="Times New Roman"/>
      <w:color w:val="000000"/>
      <w:kern w:val="2"/>
      <w:sz w:val="18"/>
      <w:szCs w:val="20"/>
      <w:lang w:val="en-US" w:bidi="ar-SA"/>
    </w:rPr>
  </w:style>
  <w:style w:type="paragraph" w:customStyle="1" w:styleId="344">
    <w:name w:val="0meng"/>
    <w:basedOn w:val="1"/>
    <w:qFormat/>
    <w:uiPriority w:val="99"/>
    <w:pPr>
      <w:widowControl/>
      <w:autoSpaceDE/>
      <w:autoSpaceDN/>
      <w:snapToGrid w:val="0"/>
      <w:spacing w:line="360" w:lineRule="auto"/>
      <w:ind w:firstLine="200" w:firstLineChars="200"/>
    </w:pPr>
    <w:rPr>
      <w:rFonts w:ascii="仿宋_GB2312" w:eastAsia="仿宋"/>
      <w:color w:val="000000"/>
      <w:sz w:val="32"/>
      <w:szCs w:val="21"/>
      <w:lang w:val="en-US" w:bidi="ar-SA"/>
    </w:rPr>
  </w:style>
  <w:style w:type="paragraph" w:customStyle="1" w:styleId="345">
    <w:name w:val="标宋2 + 段前: 0.5 行 段后: 0.5 行 + 浅橙色 段前: 0.5 行 段后: 0.5 行"/>
    <w:basedOn w:val="1"/>
    <w:qFormat/>
    <w:uiPriority w:val="99"/>
    <w:pPr>
      <w:widowControl/>
      <w:autoSpaceDE/>
      <w:autoSpaceDN/>
      <w:snapToGrid w:val="0"/>
      <w:spacing w:beforeLines="50" w:afterLines="50"/>
      <w:ind w:firstLine="480" w:firstLineChars="200"/>
      <w:jc w:val="both"/>
      <w:outlineLvl w:val="1"/>
    </w:pPr>
    <w:rPr>
      <w:rFonts w:ascii="Times New Roman" w:hAnsi="Times New Roman" w:cs="Times New Roman"/>
      <w:b/>
      <w:color w:val="FF9900"/>
      <w:kern w:val="2"/>
      <w:sz w:val="30"/>
      <w:szCs w:val="20"/>
      <w:lang w:val="en-US" w:bidi="ar-SA"/>
    </w:rPr>
  </w:style>
  <w:style w:type="paragraph" w:customStyle="1" w:styleId="346">
    <w:name w:val="xl1116"/>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347">
    <w:name w:val="xl109"/>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rFonts w:ascii="Times New Roman" w:hAnsi="Times New Roman" w:cs="Times New Roman"/>
      <w:color w:val="000000"/>
      <w:sz w:val="24"/>
      <w:szCs w:val="24"/>
      <w:lang w:val="en-US" w:bidi="ar-SA"/>
    </w:rPr>
  </w:style>
  <w:style w:type="paragraph" w:customStyle="1" w:styleId="348">
    <w:name w:val="封面7"/>
    <w:basedOn w:val="1"/>
    <w:qFormat/>
    <w:uiPriority w:val="99"/>
    <w:pPr>
      <w:keepNext/>
      <w:autoSpaceDE/>
      <w:autoSpaceDN/>
      <w:adjustRightInd w:val="0"/>
      <w:snapToGrid w:val="0"/>
      <w:spacing w:line="440" w:lineRule="exact"/>
      <w:ind w:left="340" w:right="-64" w:rightChars="-64" w:firstLine="200" w:firstLineChars="200"/>
      <w:jc w:val="center"/>
    </w:pPr>
    <w:rPr>
      <w:b/>
      <w:bCs/>
      <w:color w:val="000000"/>
      <w:sz w:val="36"/>
      <w:szCs w:val="36"/>
      <w:lang w:val="en-US" w:bidi="ar-SA"/>
    </w:rPr>
  </w:style>
  <w:style w:type="character" w:customStyle="1" w:styleId="349">
    <w:name w:val="标题1 Char"/>
    <w:link w:val="350"/>
    <w:qFormat/>
    <w:uiPriority w:val="0"/>
    <w:rPr>
      <w:rFonts w:ascii="黑体" w:hAnsi="黑体" w:eastAsia="黑体"/>
      <w:b/>
      <w:bCs/>
      <w:spacing w:val="20"/>
      <w:sz w:val="28"/>
      <w:szCs w:val="28"/>
    </w:rPr>
  </w:style>
  <w:style w:type="paragraph" w:customStyle="1" w:styleId="350">
    <w:name w:val="标题1"/>
    <w:basedOn w:val="1"/>
    <w:link w:val="349"/>
    <w:qFormat/>
    <w:uiPriority w:val="0"/>
    <w:pPr>
      <w:keepNext/>
      <w:widowControl/>
      <w:overflowPunct w:val="0"/>
      <w:adjustRightInd w:val="0"/>
      <w:snapToGrid w:val="0"/>
      <w:spacing w:beforeLines="50" w:line="360" w:lineRule="auto"/>
      <w:ind w:firstLine="480" w:firstLineChars="200"/>
      <w:jc w:val="center"/>
      <w:outlineLvl w:val="0"/>
    </w:pPr>
    <w:rPr>
      <w:rFonts w:ascii="黑体" w:hAnsi="黑体" w:eastAsia="黑体" w:cs="Times New Roman"/>
      <w:b/>
      <w:bCs/>
      <w:spacing w:val="20"/>
      <w:sz w:val="28"/>
      <w:szCs w:val="28"/>
      <w:lang w:val="en-US" w:bidi="ar-SA"/>
    </w:rPr>
  </w:style>
  <w:style w:type="paragraph" w:customStyle="1" w:styleId="351">
    <w:name w:val="鹰潭正文"/>
    <w:basedOn w:val="1"/>
    <w:qFormat/>
    <w:uiPriority w:val="99"/>
    <w:pPr>
      <w:widowControl/>
      <w:autoSpaceDE/>
      <w:autoSpaceDN/>
      <w:snapToGrid w:val="0"/>
      <w:spacing w:line="360" w:lineRule="auto"/>
      <w:ind w:firstLine="480" w:firstLineChars="200"/>
    </w:pPr>
    <w:rPr>
      <w:rFonts w:ascii="Times New Roman" w:hAnsi="Times New Roman" w:cs="Times New Roman"/>
      <w:color w:val="000000"/>
      <w:kern w:val="2"/>
      <w:sz w:val="24"/>
      <w:szCs w:val="24"/>
      <w:lang w:val="en-US" w:bidi="ar-SA"/>
    </w:rPr>
  </w:style>
  <w:style w:type="paragraph" w:customStyle="1" w:styleId="352">
    <w:name w:val="标题2正文"/>
    <w:basedOn w:val="5"/>
    <w:semiHidden/>
    <w:qFormat/>
    <w:uiPriority w:val="99"/>
    <w:pPr>
      <w:widowControl/>
      <w:tabs>
        <w:tab w:val="left" w:pos="0"/>
        <w:tab w:val="left" w:pos="3402"/>
      </w:tabs>
      <w:autoSpaceDE/>
      <w:autoSpaceDN/>
      <w:adjustRightInd w:val="0"/>
      <w:snapToGrid w:val="0"/>
      <w:spacing w:before="0" w:beforeLines="150" w:afterLines="50" w:line="400" w:lineRule="exact"/>
      <w:ind w:left="3740" w:right="200" w:rightChars="200" w:hanging="850"/>
      <w:jc w:val="both"/>
    </w:pPr>
    <w:rPr>
      <w:rFonts w:ascii="Times New Roman" w:hAnsi="Times New Roman" w:cs="Times New Roman"/>
      <w:kern w:val="2"/>
      <w:sz w:val="24"/>
      <w:szCs w:val="32"/>
      <w:lang w:val="en-US" w:bidi="ar-SA"/>
    </w:rPr>
  </w:style>
  <w:style w:type="paragraph" w:customStyle="1" w:styleId="353">
    <w:name w:val="xl1099"/>
    <w:basedOn w:val="1"/>
    <w:qFormat/>
    <w:uiPriority w:val="99"/>
    <w:pPr>
      <w:widowControl/>
      <w:pBdr>
        <w:top w:val="single" w:color="auto" w:sz="4" w:space="0"/>
        <w:left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354">
    <w:name w:val="xl25"/>
    <w:basedOn w:val="1"/>
    <w:qFormat/>
    <w:uiPriority w:val="99"/>
    <w:pPr>
      <w:widowControl/>
      <w:pBdr>
        <w:left w:val="single" w:color="auto" w:sz="4" w:space="0"/>
        <w:right w:val="single" w:color="auto" w:sz="4" w:space="0"/>
      </w:pBdr>
      <w:autoSpaceDE/>
      <w:autoSpaceDN/>
      <w:snapToGrid w:val="0"/>
      <w:spacing w:before="100" w:beforeAutospacing="1" w:after="100" w:afterAutospacing="1" w:line="360" w:lineRule="auto"/>
      <w:ind w:firstLine="480" w:firstLineChars="200"/>
    </w:pPr>
    <w:rPr>
      <w:rFonts w:cs="Times New Roman"/>
      <w:color w:val="000000"/>
      <w:sz w:val="24"/>
      <w:szCs w:val="24"/>
      <w:lang w:val="en-US" w:bidi="ar-SA"/>
    </w:rPr>
  </w:style>
  <w:style w:type="paragraph" w:customStyle="1" w:styleId="355">
    <w:name w:val="表格居中"/>
    <w:basedOn w:val="1"/>
    <w:next w:val="1"/>
    <w:semiHidden/>
    <w:qFormat/>
    <w:uiPriority w:val="99"/>
    <w:pPr>
      <w:autoSpaceDE/>
      <w:autoSpaceDN/>
      <w:snapToGrid w:val="0"/>
      <w:spacing w:line="320" w:lineRule="exact"/>
      <w:ind w:firstLine="480" w:firstLineChars="200"/>
      <w:jc w:val="center"/>
    </w:pPr>
    <w:rPr>
      <w:rFonts w:ascii="Times New Roman" w:hAnsi="Times New Roman" w:cs="Times New Roman"/>
      <w:color w:val="000000"/>
      <w:kern w:val="2"/>
      <w:sz w:val="21"/>
      <w:szCs w:val="20"/>
      <w:lang w:val="en-US" w:bidi="ar-SA"/>
    </w:rPr>
  </w:style>
  <w:style w:type="paragraph" w:customStyle="1" w:styleId="356">
    <w:name w:val="xl64"/>
    <w:basedOn w:val="1"/>
    <w:qFormat/>
    <w:uiPriority w:val="99"/>
    <w:pPr>
      <w:widowControl/>
      <w:pBdr>
        <w:left w:val="single" w:color="auto" w:sz="4" w:space="0"/>
        <w:bottom w:val="single" w:color="auto" w:sz="4" w:space="0"/>
      </w:pBdr>
      <w:autoSpaceDE/>
      <w:autoSpaceDN/>
      <w:snapToGrid w:val="0"/>
      <w:spacing w:before="100" w:beforeAutospacing="1" w:after="100" w:afterAutospacing="1"/>
      <w:ind w:firstLine="480" w:firstLineChars="200"/>
      <w:jc w:val="center"/>
    </w:pPr>
    <w:rPr>
      <w:rFonts w:ascii="楷体" w:eastAsia="楷体" w:cs="Times New Roman"/>
      <w:color w:val="0000FF"/>
      <w:sz w:val="12"/>
      <w:szCs w:val="12"/>
      <w:lang w:val="en-US" w:bidi="ar-SA"/>
    </w:rPr>
  </w:style>
  <w:style w:type="paragraph" w:customStyle="1" w:styleId="357">
    <w:name w:val="1表格"/>
    <w:basedOn w:val="1"/>
    <w:qFormat/>
    <w:uiPriority w:val="99"/>
    <w:pPr>
      <w:tabs>
        <w:tab w:val="left" w:pos="384"/>
        <w:tab w:val="left" w:pos="480"/>
        <w:tab w:val="left" w:pos="960"/>
        <w:tab w:val="left" w:pos="1440"/>
        <w:tab w:val="left" w:pos="1920"/>
        <w:tab w:val="left" w:pos="2400"/>
        <w:tab w:val="left" w:pos="2880"/>
        <w:tab w:val="left" w:pos="3360"/>
        <w:tab w:val="left" w:pos="3840"/>
        <w:tab w:val="left" w:pos="4320"/>
      </w:tabs>
      <w:autoSpaceDE/>
      <w:autoSpaceDN/>
      <w:snapToGrid w:val="0"/>
      <w:spacing w:line="360" w:lineRule="auto"/>
      <w:jc w:val="center"/>
    </w:pPr>
    <w:rPr>
      <w:rFonts w:ascii="Times New Roman" w:hAnsi="Times New Roman" w:cs="Times New Roman"/>
      <w:color w:val="000000"/>
      <w:kern w:val="2"/>
      <w:sz w:val="18"/>
      <w:szCs w:val="24"/>
      <w:lang w:val="en-US" w:bidi="ar-SA"/>
    </w:rPr>
  </w:style>
  <w:style w:type="paragraph" w:customStyle="1" w:styleId="358">
    <w:name w:val="xl126"/>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4"/>
      <w:szCs w:val="24"/>
      <w:lang w:val="en-US" w:bidi="ar-SA"/>
    </w:rPr>
  </w:style>
  <w:style w:type="paragraph" w:customStyle="1" w:styleId="359">
    <w:name w:val="font8"/>
    <w:basedOn w:val="1"/>
    <w:qFormat/>
    <w:uiPriority w:val="99"/>
    <w:pPr>
      <w:widowControl/>
      <w:autoSpaceDE/>
      <w:autoSpaceDN/>
      <w:snapToGrid w:val="0"/>
      <w:spacing w:before="100" w:beforeAutospacing="1" w:after="100" w:afterAutospacing="1"/>
      <w:ind w:firstLine="480" w:firstLineChars="200"/>
    </w:pPr>
    <w:rPr>
      <w:rFonts w:ascii="楷体" w:eastAsia="楷体" w:cs="Times New Roman"/>
      <w:color w:val="0000FF"/>
      <w:sz w:val="12"/>
      <w:szCs w:val="12"/>
      <w:lang w:val="en-US" w:bidi="ar-SA"/>
    </w:rPr>
  </w:style>
  <w:style w:type="paragraph" w:customStyle="1" w:styleId="360">
    <w:name w:val="正文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61">
    <w:name w:val="基准标题"/>
    <w:basedOn w:val="2"/>
    <w:next w:val="2"/>
    <w:qFormat/>
    <w:uiPriority w:val="99"/>
    <w:pPr>
      <w:keepNext/>
      <w:keepLines/>
      <w:widowControl/>
      <w:autoSpaceDE/>
      <w:autoSpaceDN/>
      <w:snapToGrid w:val="0"/>
      <w:spacing w:before="0" w:line="240" w:lineRule="atLeast"/>
      <w:ind w:left="0" w:firstLine="480" w:firstLineChars="200"/>
    </w:pPr>
    <w:rPr>
      <w:rFonts w:ascii="Garamond" w:hAnsi="Garamond" w:cs="Times New Roman"/>
      <w:kern w:val="20"/>
      <w:sz w:val="22"/>
      <w:szCs w:val="20"/>
      <w:lang w:val="en-US" w:bidi="he-IL"/>
    </w:rPr>
  </w:style>
  <w:style w:type="paragraph" w:customStyle="1" w:styleId="362">
    <w:name w:val="样式 标题 3 +"/>
    <w:basedOn w:val="6"/>
    <w:qFormat/>
    <w:uiPriority w:val="99"/>
    <w:pPr>
      <w:widowControl/>
      <w:tabs>
        <w:tab w:val="left" w:pos="980"/>
      </w:tabs>
      <w:autoSpaceDE/>
      <w:autoSpaceDN/>
      <w:adjustRightInd w:val="0"/>
      <w:snapToGrid w:val="0"/>
      <w:spacing w:before="60" w:after="60" w:line="460" w:lineRule="exact"/>
      <w:ind w:left="896" w:right="-64" w:rightChars="-64" w:firstLine="200"/>
    </w:pPr>
    <w:rPr>
      <w:rFonts w:ascii="黑体" w:hAnsi="Times New Roman" w:eastAsia="黑体"/>
      <w:b/>
      <w:bCs/>
      <w:sz w:val="24"/>
      <w:szCs w:val="20"/>
      <w:lang w:val="en-US" w:bidi="ar-SA"/>
    </w:rPr>
  </w:style>
  <w:style w:type="paragraph" w:customStyle="1" w:styleId="363">
    <w:name w:val="样式 标题 2 + 宋体"/>
    <w:basedOn w:val="5"/>
    <w:semiHidden/>
    <w:qFormat/>
    <w:uiPriority w:val="99"/>
    <w:pPr>
      <w:widowControl/>
      <w:tabs>
        <w:tab w:val="left" w:pos="0"/>
        <w:tab w:val="left" w:pos="576"/>
        <w:tab w:val="left" w:pos="2070"/>
      </w:tabs>
      <w:autoSpaceDE/>
      <w:autoSpaceDN/>
      <w:adjustRightInd w:val="0"/>
      <w:snapToGrid w:val="0"/>
      <w:spacing w:before="0" w:after="120" w:line="460" w:lineRule="exact"/>
      <w:ind w:left="2070" w:hanging="510"/>
      <w:jc w:val="both"/>
    </w:pPr>
    <w:rPr>
      <w:rFonts w:cs="Times New Roman"/>
      <w:b w:val="0"/>
      <w:sz w:val="24"/>
      <w:szCs w:val="32"/>
      <w:lang w:val="en-US" w:bidi="ar-SA"/>
    </w:rPr>
  </w:style>
  <w:style w:type="paragraph" w:customStyle="1" w:styleId="364">
    <w:name w:val="xl1121"/>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365">
    <w:name w:val="正文小标题 Char"/>
    <w:basedOn w:val="1"/>
    <w:next w:val="2"/>
    <w:qFormat/>
    <w:uiPriority w:val="99"/>
    <w:pPr>
      <w:keepNext/>
      <w:tabs>
        <w:tab w:val="left" w:pos="465"/>
        <w:tab w:val="left" w:pos="735"/>
      </w:tabs>
      <w:overflowPunct w:val="0"/>
      <w:adjustRightInd w:val="0"/>
      <w:snapToGrid w:val="0"/>
      <w:ind w:right="-64" w:rightChars="-64" w:firstLine="200" w:firstLineChars="200"/>
    </w:pPr>
    <w:rPr>
      <w:rFonts w:ascii="黑体" w:hAnsi="Calibri" w:cs="Times New Roman"/>
      <w:color w:val="000000"/>
      <w:sz w:val="21"/>
      <w:lang w:val="en-US" w:bidi="ar-SA"/>
    </w:rPr>
  </w:style>
  <w:style w:type="character" w:customStyle="1" w:styleId="366">
    <w:name w:val="B正文小四宋体 Char Char Char1"/>
    <w:link w:val="367"/>
    <w:qFormat/>
    <w:uiPriority w:val="0"/>
    <w:rPr>
      <w:sz w:val="24"/>
    </w:rPr>
  </w:style>
  <w:style w:type="paragraph" w:customStyle="1" w:styleId="367">
    <w:name w:val="B正文小四宋体 Char Char"/>
    <w:basedOn w:val="1"/>
    <w:link w:val="366"/>
    <w:qFormat/>
    <w:uiPriority w:val="0"/>
    <w:pPr>
      <w:snapToGrid w:val="0"/>
      <w:spacing w:line="500" w:lineRule="exact"/>
      <w:ind w:firstLine="200" w:firstLineChars="200"/>
      <w:jc w:val="both"/>
    </w:pPr>
    <w:rPr>
      <w:rFonts w:ascii="Times New Roman" w:hAnsi="Times New Roman" w:cs="Times New Roman"/>
      <w:sz w:val="24"/>
      <w:szCs w:val="20"/>
      <w:lang w:val="en-US" w:bidi="ar-SA"/>
    </w:rPr>
  </w:style>
  <w:style w:type="paragraph" w:customStyle="1" w:styleId="368">
    <w:name w:val="A表格"/>
    <w:basedOn w:val="3"/>
    <w:qFormat/>
    <w:uiPriority w:val="99"/>
  </w:style>
  <w:style w:type="paragraph" w:customStyle="1" w:styleId="369">
    <w:name w:val="正文 New New New"/>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370">
    <w:name w:val="xl57"/>
    <w:basedOn w:val="1"/>
    <w:qFormat/>
    <w:uiPriority w:val="99"/>
    <w:pPr>
      <w:widowControl/>
      <w:pBdr>
        <w:left w:val="single" w:color="auto" w:sz="4" w:space="0"/>
        <w:right w:val="single" w:color="auto" w:sz="4" w:space="0"/>
      </w:pBdr>
      <w:autoSpaceDE/>
      <w:autoSpaceDN/>
      <w:snapToGrid w:val="0"/>
      <w:spacing w:before="100" w:beforeAutospacing="1" w:after="100" w:afterAutospacing="1"/>
      <w:ind w:firstLine="480" w:firstLineChars="200"/>
    </w:pPr>
    <w:rPr>
      <w:rFonts w:ascii="楷体" w:eastAsia="楷体" w:cs="Times New Roman"/>
      <w:color w:val="0000FF"/>
      <w:sz w:val="12"/>
      <w:szCs w:val="12"/>
      <w:lang w:val="en-US" w:bidi="ar-SA"/>
    </w:rPr>
  </w:style>
  <w:style w:type="paragraph" w:customStyle="1" w:styleId="371">
    <w:name w:val="小标题7"/>
    <w:basedOn w:val="22"/>
    <w:semiHidden/>
    <w:qFormat/>
    <w:uiPriority w:val="99"/>
    <w:pPr>
      <w:tabs>
        <w:tab w:val="left" w:pos="3856"/>
      </w:tabs>
      <w:adjustRightInd w:val="0"/>
      <w:spacing w:beforeLines="20"/>
      <w:ind w:left="3856" w:right="567" w:hanging="454"/>
      <w:jc w:val="both"/>
    </w:pPr>
  </w:style>
  <w:style w:type="paragraph" w:customStyle="1" w:styleId="372">
    <w:name w:val="空行"/>
    <w:basedOn w:val="1"/>
    <w:qFormat/>
    <w:uiPriority w:val="99"/>
    <w:pPr>
      <w:widowControl/>
      <w:autoSpaceDE/>
      <w:autoSpaceDN/>
      <w:adjustRightInd w:val="0"/>
      <w:snapToGrid w:val="0"/>
      <w:spacing w:line="360" w:lineRule="auto"/>
      <w:ind w:firstLine="200" w:firstLineChars="200"/>
      <w:jc w:val="both"/>
    </w:pPr>
    <w:rPr>
      <w:rFonts w:ascii="Times New Roman" w:hAnsi="Times New Roman" w:cs="Times New Roman"/>
      <w:color w:val="000000"/>
      <w:sz w:val="28"/>
      <w:szCs w:val="20"/>
      <w:lang w:val="en-US" w:bidi="ar-SA"/>
    </w:rPr>
  </w:style>
  <w:style w:type="paragraph" w:customStyle="1" w:styleId="373">
    <w:name w:val="xl98"/>
    <w:basedOn w:val="1"/>
    <w:qFormat/>
    <w:uiPriority w:val="99"/>
    <w:pPr>
      <w:widowControl/>
      <w:pBdr>
        <w:top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rFonts w:cs="Times New Roman"/>
      <w:color w:val="000000"/>
      <w:sz w:val="12"/>
      <w:szCs w:val="12"/>
      <w:lang w:val="en-US" w:bidi="ar-SA"/>
    </w:rPr>
  </w:style>
  <w:style w:type="paragraph" w:customStyle="1" w:styleId="374">
    <w:name w:val="封面——资质证"/>
    <w:qFormat/>
    <w:uiPriority w:val="99"/>
    <w:pPr>
      <w:spacing w:line="360" w:lineRule="auto"/>
    </w:pPr>
    <w:rPr>
      <w:rFonts w:ascii="黑体" w:hAnsi="黑体" w:eastAsia="黑体" w:cs="Calibri"/>
      <w:bCs/>
      <w:spacing w:val="-4"/>
      <w:sz w:val="21"/>
      <w:szCs w:val="24"/>
      <w:lang w:val="en-US" w:eastAsia="zh-CN" w:bidi="ar-SA"/>
    </w:rPr>
  </w:style>
  <w:style w:type="character" w:customStyle="1" w:styleId="375">
    <w:name w:val="图头 -KB Char"/>
    <w:link w:val="376"/>
    <w:qFormat/>
    <w:uiPriority w:val="0"/>
    <w:rPr>
      <w:rFonts w:ascii="黑体" w:hAnsi="黑体" w:eastAsia="黑体" w:cs="Courier New"/>
      <w:sz w:val="24"/>
      <w:szCs w:val="21"/>
    </w:rPr>
  </w:style>
  <w:style w:type="paragraph" w:customStyle="1" w:styleId="376">
    <w:name w:val="图头 -KB"/>
    <w:basedOn w:val="47"/>
    <w:next w:val="47"/>
    <w:link w:val="375"/>
    <w:qFormat/>
    <w:uiPriority w:val="0"/>
    <w:pPr>
      <w:widowControl/>
      <w:jc w:val="center"/>
    </w:pPr>
    <w:rPr>
      <w:rFonts w:ascii="黑体" w:hAnsi="黑体" w:eastAsia="黑体" w:cs="Courier New"/>
      <w:kern w:val="0"/>
      <w:sz w:val="24"/>
      <w:szCs w:val="21"/>
    </w:rPr>
  </w:style>
  <w:style w:type="paragraph" w:customStyle="1" w:styleId="377">
    <w:name w:val="xl116"/>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4"/>
      <w:szCs w:val="24"/>
      <w:lang w:val="en-US" w:bidi="ar-SA"/>
    </w:rPr>
  </w:style>
  <w:style w:type="paragraph" w:customStyle="1" w:styleId="378">
    <w:name w:val="xl28"/>
    <w:basedOn w:val="1"/>
    <w:qFormat/>
    <w:uiPriority w:val="99"/>
    <w:pPr>
      <w:widowControl/>
      <w:pBdr>
        <w:top w:val="single" w:color="auto" w:sz="4" w:space="0"/>
        <w:left w:val="single" w:color="auto" w:sz="4" w:space="0"/>
        <w:bottom w:val="single" w:color="auto" w:sz="4" w:space="0"/>
      </w:pBdr>
      <w:autoSpaceDE/>
      <w:autoSpaceDN/>
      <w:snapToGrid w:val="0"/>
      <w:spacing w:before="100" w:beforeAutospacing="1" w:after="100" w:afterAutospacing="1"/>
      <w:ind w:firstLine="480" w:firstLineChars="200"/>
    </w:pPr>
    <w:rPr>
      <w:rFonts w:cs="Times New Roman"/>
      <w:color w:val="000000"/>
      <w:sz w:val="18"/>
      <w:szCs w:val="18"/>
      <w:lang w:val="en-US" w:bidi="ar-SA"/>
    </w:rPr>
  </w:style>
  <w:style w:type="paragraph" w:customStyle="1" w:styleId="379">
    <w:name w:val="p17"/>
    <w:basedOn w:val="1"/>
    <w:qFormat/>
    <w:uiPriority w:val="99"/>
    <w:pPr>
      <w:widowControl/>
      <w:autoSpaceDE/>
      <w:autoSpaceDN/>
      <w:snapToGrid w:val="0"/>
      <w:ind w:firstLine="480" w:firstLineChars="200"/>
      <w:jc w:val="both"/>
    </w:pPr>
    <w:rPr>
      <w:color w:val="000000"/>
      <w:sz w:val="21"/>
      <w:szCs w:val="21"/>
      <w:lang w:val="en-US" w:bidi="ar-SA"/>
    </w:rPr>
  </w:style>
  <w:style w:type="paragraph" w:customStyle="1" w:styleId="380">
    <w:name w:val="xl1131"/>
    <w:basedOn w:val="1"/>
    <w:qFormat/>
    <w:uiPriority w:val="99"/>
    <w:pPr>
      <w:widowControl/>
      <w:pBdr>
        <w:top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381">
    <w:name w:val="样式  + 四号 黑色"/>
    <w:basedOn w:val="1"/>
    <w:semiHidden/>
    <w:qFormat/>
    <w:uiPriority w:val="99"/>
    <w:pPr>
      <w:autoSpaceDE/>
      <w:autoSpaceDN/>
      <w:snapToGrid w:val="0"/>
      <w:ind w:firstLine="645" w:firstLineChars="200"/>
      <w:jc w:val="both"/>
    </w:pPr>
    <w:rPr>
      <w:rFonts w:ascii="楷体_GB2312"/>
      <w:color w:val="000000"/>
      <w:kern w:val="2"/>
      <w:sz w:val="28"/>
      <w:szCs w:val="20"/>
      <w:lang w:val="en-US" w:bidi="ar-SA"/>
    </w:rPr>
  </w:style>
  <w:style w:type="paragraph" w:customStyle="1" w:styleId="382">
    <w:name w:val="样式 标题 3 + 小四"/>
    <w:basedOn w:val="6"/>
    <w:qFormat/>
    <w:uiPriority w:val="99"/>
    <w:pPr>
      <w:widowControl/>
      <w:tabs>
        <w:tab w:val="left" w:pos="720"/>
      </w:tabs>
      <w:autoSpaceDE/>
      <w:autoSpaceDN/>
      <w:adjustRightInd w:val="0"/>
      <w:snapToGrid w:val="0"/>
      <w:spacing w:beforeLines="30" w:afterLines="30" w:line="460" w:lineRule="exact"/>
      <w:ind w:left="896" w:right="0" w:hanging="701"/>
    </w:pPr>
    <w:rPr>
      <w:rFonts w:ascii="Times New Roman" w:hAnsi="Times New Roman" w:eastAsia="黑体" w:cs="Times New Roman"/>
      <w:b/>
      <w:kern w:val="2"/>
      <w:sz w:val="24"/>
      <w:szCs w:val="24"/>
      <w:lang w:val="en-US" w:bidi="ar-SA"/>
    </w:rPr>
  </w:style>
  <w:style w:type="paragraph" w:customStyle="1" w:styleId="383">
    <w:name w:val="封面标准名称"/>
    <w:qFormat/>
    <w:uiPriority w:val="99"/>
    <w:pPr>
      <w:widowControl w:val="0"/>
      <w:spacing w:line="680" w:lineRule="exact"/>
      <w:jc w:val="center"/>
    </w:pPr>
    <w:rPr>
      <w:rFonts w:ascii="黑体" w:hAnsi="Times New Roman" w:eastAsia="黑体" w:cs="Times New Roman"/>
      <w:sz w:val="52"/>
      <w:lang w:val="en-US" w:eastAsia="zh-CN" w:bidi="ar-SA"/>
    </w:rPr>
  </w:style>
  <w:style w:type="paragraph" w:customStyle="1" w:styleId="384">
    <w:name w:val="陈竹包表格"/>
    <w:basedOn w:val="1"/>
    <w:next w:val="1"/>
    <w:qFormat/>
    <w:uiPriority w:val="99"/>
    <w:pPr>
      <w:pBdr>
        <w:top w:val="single" w:color="auto" w:sz="4" w:space="1"/>
        <w:left w:val="single" w:color="auto" w:sz="4" w:space="4"/>
        <w:bottom w:val="single" w:color="auto" w:sz="4" w:space="1"/>
        <w:right w:val="single" w:color="auto" w:sz="4" w:space="4"/>
      </w:pBdr>
      <w:autoSpaceDE/>
      <w:autoSpaceDN/>
      <w:snapToGrid w:val="0"/>
      <w:spacing w:line="300" w:lineRule="exact"/>
      <w:ind w:firstLine="480" w:firstLineChars="200"/>
      <w:jc w:val="both"/>
    </w:pPr>
    <w:rPr>
      <w:rFonts w:ascii="Times New Roman" w:hAnsi="Times New Roman" w:cs="Times New Roman"/>
      <w:color w:val="000000"/>
      <w:kern w:val="2"/>
      <w:sz w:val="24"/>
      <w:szCs w:val="24"/>
      <w:lang w:val="en-US" w:bidi="ar-SA"/>
    </w:rPr>
  </w:style>
  <w:style w:type="paragraph" w:customStyle="1" w:styleId="385">
    <w:name w:val="xl100"/>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ascii="楷体" w:eastAsia="楷体" w:cs="Times New Roman"/>
      <w:color w:val="0000FF"/>
      <w:sz w:val="12"/>
      <w:szCs w:val="12"/>
      <w:lang w:val="en-US" w:bidi="ar-SA"/>
    </w:rPr>
  </w:style>
  <w:style w:type="paragraph" w:customStyle="1" w:styleId="386">
    <w:name w:val="HCH标题2"/>
    <w:next w:val="1"/>
    <w:qFormat/>
    <w:uiPriority w:val="99"/>
    <w:pPr>
      <w:tabs>
        <w:tab w:val="left" w:pos="360"/>
      </w:tabs>
      <w:spacing w:line="500" w:lineRule="exact"/>
      <w:ind w:left="360" w:hanging="360"/>
      <w:outlineLvl w:val="1"/>
    </w:pPr>
    <w:rPr>
      <w:rFonts w:ascii="Times New Roman" w:hAnsi="Times New Roman" w:eastAsia="黑体" w:cs="Times New Roman"/>
      <w:kern w:val="2"/>
      <w:sz w:val="24"/>
      <w:lang w:val="en-US" w:eastAsia="zh-CN" w:bidi="ar-SA"/>
    </w:rPr>
  </w:style>
  <w:style w:type="paragraph" w:customStyle="1" w:styleId="387">
    <w:name w:val="xl111"/>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4"/>
      <w:szCs w:val="24"/>
      <w:lang w:val="en-US" w:bidi="ar-SA"/>
    </w:rPr>
  </w:style>
  <w:style w:type="paragraph" w:customStyle="1" w:styleId="388">
    <w:name w:val="一级标题"/>
    <w:basedOn w:val="1"/>
    <w:next w:val="22"/>
    <w:semiHidden/>
    <w:qFormat/>
    <w:uiPriority w:val="99"/>
    <w:pPr>
      <w:tabs>
        <w:tab w:val="left" w:pos="2070"/>
      </w:tabs>
      <w:autoSpaceDE/>
      <w:autoSpaceDN/>
      <w:snapToGrid w:val="0"/>
      <w:spacing w:line="560" w:lineRule="exact"/>
      <w:ind w:left="2070" w:hanging="510" w:firstLineChars="200"/>
      <w:jc w:val="center"/>
    </w:pPr>
    <w:rPr>
      <w:rFonts w:eastAsia="黑体"/>
      <w:color w:val="000000"/>
      <w:kern w:val="2"/>
      <w:sz w:val="32"/>
      <w:szCs w:val="24"/>
      <w:lang w:val="en-US" w:bidi="ar-SA"/>
    </w:rPr>
  </w:style>
  <w:style w:type="paragraph" w:customStyle="1" w:styleId="389">
    <w:name w:val="xl42"/>
    <w:basedOn w:val="1"/>
    <w:qFormat/>
    <w:uiPriority w:val="99"/>
    <w:pPr>
      <w:widowControl/>
      <w:pBdr>
        <w:top w:val="single" w:color="auto" w:sz="4" w:space="0"/>
        <w:left w:val="single" w:color="auto" w:sz="4" w:space="0"/>
        <w:bottom w:val="single" w:color="auto" w:sz="4" w:space="0"/>
      </w:pBdr>
      <w:autoSpaceDE/>
      <w:autoSpaceDN/>
      <w:snapToGrid w:val="0"/>
      <w:spacing w:before="100" w:beforeAutospacing="1" w:after="100" w:afterAutospacing="1"/>
      <w:ind w:firstLine="480" w:firstLineChars="200"/>
    </w:pPr>
    <w:rPr>
      <w:rFonts w:ascii="楷体" w:eastAsia="楷体" w:cs="Times New Roman"/>
      <w:color w:val="0000FF"/>
      <w:sz w:val="12"/>
      <w:szCs w:val="12"/>
      <w:lang w:val="en-US" w:bidi="ar-SA"/>
    </w:rPr>
  </w:style>
  <w:style w:type="paragraph" w:customStyle="1" w:styleId="390">
    <w:name w:val="1.1项目标题"/>
    <w:basedOn w:val="1"/>
    <w:next w:val="1"/>
    <w:qFormat/>
    <w:uiPriority w:val="99"/>
    <w:pPr>
      <w:numPr>
        <w:ilvl w:val="1"/>
        <w:numId w:val="3"/>
      </w:numPr>
      <w:autoSpaceDE/>
      <w:autoSpaceDN/>
      <w:snapToGrid w:val="0"/>
      <w:spacing w:before="120" w:after="60" w:line="460" w:lineRule="exact"/>
      <w:outlineLvl w:val="1"/>
    </w:pPr>
    <w:rPr>
      <w:rFonts w:ascii="Times New Roman" w:hAnsi="Times New Roman" w:eastAsia="黑体" w:cs="Times New Roman"/>
      <w:color w:val="000000"/>
      <w:kern w:val="2"/>
      <w:sz w:val="28"/>
      <w:szCs w:val="24"/>
      <w:lang w:val="en-US" w:bidi="ar-SA"/>
    </w:rPr>
  </w:style>
  <w:style w:type="paragraph" w:customStyle="1" w:styleId="391">
    <w:name w:val="样式  + Times New Roman 四号 首行缩进:  0.99 厘米"/>
    <w:basedOn w:val="5"/>
    <w:semiHidden/>
    <w:qFormat/>
    <w:uiPriority w:val="99"/>
    <w:pPr>
      <w:widowControl/>
      <w:tabs>
        <w:tab w:val="left" w:pos="0"/>
      </w:tabs>
      <w:autoSpaceDE/>
      <w:autoSpaceDN/>
      <w:snapToGrid w:val="0"/>
      <w:spacing w:before="0"/>
      <w:ind w:firstLine="560"/>
      <w:jc w:val="both"/>
      <w:outlineLvl w:val="9"/>
    </w:pPr>
    <w:rPr>
      <w:rFonts w:ascii="Times New Roman" w:hAnsi="Times New Roman"/>
      <w:b w:val="0"/>
      <w:bCs w:val="0"/>
      <w:color w:val="000000"/>
      <w:kern w:val="2"/>
      <w:sz w:val="28"/>
      <w:szCs w:val="32"/>
      <w:lang w:val="en-US" w:bidi="ar-SA"/>
    </w:rPr>
  </w:style>
  <w:style w:type="paragraph" w:customStyle="1" w:styleId="392">
    <w:name w:val="B表头小四黑体"/>
    <w:basedOn w:val="1"/>
    <w:next w:val="1"/>
    <w:qFormat/>
    <w:uiPriority w:val="99"/>
    <w:pPr>
      <w:adjustRightInd w:val="0"/>
      <w:snapToGrid w:val="0"/>
      <w:spacing w:line="500" w:lineRule="exact"/>
      <w:ind w:firstLine="480" w:firstLineChars="200"/>
      <w:jc w:val="center"/>
    </w:pPr>
    <w:rPr>
      <w:rFonts w:ascii="Times New Roman" w:hAnsi="Times New Roman" w:eastAsia="黑体" w:cs="Times New Roman"/>
      <w:color w:val="000000"/>
      <w:kern w:val="2"/>
      <w:sz w:val="24"/>
      <w:szCs w:val="20"/>
      <w:lang w:val="en-US" w:bidi="ar-SA"/>
    </w:rPr>
  </w:style>
  <w:style w:type="character" w:customStyle="1" w:styleId="393">
    <w:name w:val="图表1 Char"/>
    <w:link w:val="394"/>
    <w:qFormat/>
    <w:uiPriority w:val="0"/>
    <w:rPr>
      <w:b/>
      <w:sz w:val="24"/>
    </w:rPr>
  </w:style>
  <w:style w:type="paragraph" w:customStyle="1" w:styleId="394">
    <w:name w:val="图表1"/>
    <w:basedOn w:val="1"/>
    <w:link w:val="393"/>
    <w:qFormat/>
    <w:uiPriority w:val="0"/>
    <w:pPr>
      <w:keepNext/>
      <w:autoSpaceDE/>
      <w:autoSpaceDN/>
      <w:snapToGrid w:val="0"/>
      <w:spacing w:before="120" w:after="120" w:line="360" w:lineRule="auto"/>
      <w:ind w:firstLine="480" w:firstLineChars="200"/>
      <w:jc w:val="center"/>
      <w:outlineLvl w:val="4"/>
    </w:pPr>
    <w:rPr>
      <w:rFonts w:ascii="Times New Roman" w:hAnsi="Times New Roman" w:cs="Times New Roman"/>
      <w:b/>
      <w:sz w:val="24"/>
      <w:szCs w:val="20"/>
      <w:lang w:val="en-US" w:bidi="ar-SA"/>
    </w:rPr>
  </w:style>
  <w:style w:type="paragraph" w:customStyle="1" w:styleId="395">
    <w:name w:val="xl138"/>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4"/>
      <w:szCs w:val="24"/>
      <w:lang w:val="en-US" w:bidi="ar-SA"/>
    </w:rPr>
  </w:style>
  <w:style w:type="character" w:customStyle="1" w:styleId="396">
    <w:name w:val="图表头 Char"/>
    <w:link w:val="397"/>
    <w:qFormat/>
    <w:uiPriority w:val="0"/>
    <w:rPr>
      <w:rFonts w:ascii="黑体" w:hAnsi="黑体" w:eastAsia="黑体"/>
      <w:sz w:val="24"/>
      <w:szCs w:val="24"/>
    </w:rPr>
  </w:style>
  <w:style w:type="paragraph" w:customStyle="1" w:styleId="397">
    <w:name w:val="图表头"/>
    <w:basedOn w:val="1"/>
    <w:link w:val="396"/>
    <w:qFormat/>
    <w:uiPriority w:val="0"/>
    <w:pPr>
      <w:tabs>
        <w:tab w:val="center" w:pos="4140"/>
        <w:tab w:val="right" w:pos="8280"/>
      </w:tabs>
      <w:autoSpaceDE/>
      <w:autoSpaceDN/>
      <w:snapToGrid w:val="0"/>
      <w:spacing w:line="460" w:lineRule="exact"/>
      <w:ind w:firstLine="480" w:firstLineChars="200"/>
      <w:jc w:val="center"/>
    </w:pPr>
    <w:rPr>
      <w:rFonts w:ascii="黑体" w:hAnsi="黑体" w:eastAsia="黑体" w:cs="Times New Roman"/>
      <w:sz w:val="24"/>
      <w:szCs w:val="24"/>
      <w:lang w:val="en-US" w:bidi="ar-SA"/>
    </w:rPr>
  </w:style>
  <w:style w:type="character" w:customStyle="1" w:styleId="398">
    <w:name w:val="我的正文 Char"/>
    <w:link w:val="399"/>
    <w:qFormat/>
    <w:uiPriority w:val="0"/>
    <w:rPr>
      <w:rFonts w:ascii="仿宋_GB2312" w:hAnsi="仿宋" w:eastAsia="仿宋_GB2312" w:cs="仿宋"/>
      <w:sz w:val="28"/>
      <w:szCs w:val="28"/>
    </w:rPr>
  </w:style>
  <w:style w:type="paragraph" w:customStyle="1" w:styleId="399">
    <w:name w:val="我的正文"/>
    <w:basedOn w:val="1"/>
    <w:link w:val="398"/>
    <w:qFormat/>
    <w:uiPriority w:val="0"/>
    <w:pPr>
      <w:autoSpaceDE/>
      <w:autoSpaceDN/>
      <w:snapToGrid w:val="0"/>
      <w:ind w:firstLine="560" w:firstLineChars="200"/>
      <w:jc w:val="both"/>
    </w:pPr>
    <w:rPr>
      <w:rFonts w:ascii="仿宋_GB2312" w:hAnsi="仿宋" w:eastAsia="仿宋_GB2312" w:cs="仿宋"/>
      <w:sz w:val="28"/>
      <w:szCs w:val="28"/>
      <w:lang w:val="en-US" w:bidi="ar-SA"/>
    </w:rPr>
  </w:style>
  <w:style w:type="paragraph" w:customStyle="1" w:styleId="400">
    <w:name w:val="xl1129"/>
    <w:basedOn w:val="1"/>
    <w:qFormat/>
    <w:uiPriority w:val="99"/>
    <w:pPr>
      <w:widowControl/>
      <w:pBdr>
        <w:top w:val="single" w:color="auto" w:sz="4" w:space="0"/>
        <w:left w:val="single" w:color="auto" w:sz="4" w:space="0"/>
        <w:bottom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401">
    <w:name w:val="xl124"/>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4"/>
      <w:szCs w:val="24"/>
      <w:lang w:val="en-US" w:bidi="ar-SA"/>
    </w:rPr>
  </w:style>
  <w:style w:type="paragraph" w:customStyle="1" w:styleId="402">
    <w:name w:val="_Style 15"/>
    <w:basedOn w:val="1"/>
    <w:qFormat/>
    <w:uiPriority w:val="99"/>
    <w:pPr>
      <w:autoSpaceDE/>
      <w:autoSpaceDN/>
      <w:snapToGrid w:val="0"/>
      <w:spacing w:after="160" w:line="240" w:lineRule="exact"/>
      <w:ind w:firstLine="480" w:firstLineChars="200"/>
      <w:jc w:val="both"/>
    </w:pPr>
    <w:rPr>
      <w:rFonts w:ascii="Times New Roman" w:hAnsi="Times New Roman" w:cs="Times New Roman"/>
      <w:color w:val="000000"/>
      <w:kern w:val="2"/>
      <w:sz w:val="21"/>
      <w:szCs w:val="24"/>
      <w:lang w:val="en-US" w:bidi="ar-SA"/>
    </w:rPr>
  </w:style>
  <w:style w:type="paragraph" w:customStyle="1" w:styleId="403">
    <w:name w:val="xl1107"/>
    <w:basedOn w:val="1"/>
    <w:qFormat/>
    <w:uiPriority w:val="99"/>
    <w:pPr>
      <w:widowControl/>
      <w:pBdr>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404">
    <w:name w:val="样式 标题 1 + 小四"/>
    <w:basedOn w:val="4"/>
    <w:qFormat/>
    <w:uiPriority w:val="99"/>
    <w:pPr>
      <w:keepNext/>
      <w:widowControl/>
      <w:overflowPunct w:val="0"/>
      <w:adjustRightInd w:val="0"/>
      <w:snapToGrid w:val="0"/>
      <w:spacing w:before="0" w:beforeLines="50" w:afterLines="50" w:line="360" w:lineRule="auto"/>
      <w:ind w:left="766" w:right="0" w:hanging="526"/>
    </w:pPr>
    <w:rPr>
      <w:rFonts w:hAnsi="Times New Roman" w:eastAsia="黑体" w:cs="Times New Roman"/>
      <w:b w:val="0"/>
      <w:sz w:val="28"/>
      <w:szCs w:val="20"/>
      <w:lang w:val="en-US" w:bidi="ar-SA"/>
    </w:rPr>
  </w:style>
  <w:style w:type="paragraph" w:customStyle="1" w:styleId="405">
    <w:name w:val="xl1104"/>
    <w:basedOn w:val="1"/>
    <w:qFormat/>
    <w:uiPriority w:val="99"/>
    <w:pPr>
      <w:widowControl/>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character" w:customStyle="1" w:styleId="406">
    <w:name w:val="A表头 Char Char"/>
    <w:link w:val="407"/>
    <w:qFormat/>
    <w:uiPriority w:val="0"/>
    <w:rPr>
      <w:rFonts w:ascii="黑体" w:hAnsi="黑体" w:eastAsia="黑体"/>
      <w:sz w:val="24"/>
      <w:szCs w:val="24"/>
    </w:rPr>
  </w:style>
  <w:style w:type="paragraph" w:customStyle="1" w:styleId="407">
    <w:name w:val="A表头"/>
    <w:basedOn w:val="1"/>
    <w:link w:val="406"/>
    <w:qFormat/>
    <w:uiPriority w:val="0"/>
    <w:pPr>
      <w:keepNext/>
      <w:tabs>
        <w:tab w:val="left" w:pos="384"/>
      </w:tabs>
      <w:autoSpaceDE/>
      <w:autoSpaceDN/>
      <w:adjustRightInd w:val="0"/>
      <w:snapToGrid w:val="0"/>
      <w:spacing w:before="120"/>
      <w:jc w:val="center"/>
    </w:pPr>
    <w:rPr>
      <w:rFonts w:ascii="黑体" w:hAnsi="黑体" w:eastAsia="黑体" w:cs="Times New Roman"/>
      <w:sz w:val="24"/>
      <w:szCs w:val="24"/>
      <w:lang w:val="en-US" w:bidi="ar-SA"/>
    </w:rPr>
  </w:style>
  <w:style w:type="paragraph" w:customStyle="1" w:styleId="408">
    <w:name w:val="样式 (中文) 仿宋_GB2312 四号 行距: 固定值 28 磅"/>
    <w:basedOn w:val="1"/>
    <w:qFormat/>
    <w:uiPriority w:val="99"/>
    <w:pPr>
      <w:autoSpaceDE/>
      <w:autoSpaceDN/>
      <w:snapToGrid w:val="0"/>
      <w:spacing w:line="560" w:lineRule="exact"/>
      <w:ind w:firstLine="560" w:firstLineChars="200"/>
      <w:jc w:val="both"/>
    </w:pPr>
    <w:rPr>
      <w:rFonts w:ascii="Times New Roman" w:hAnsi="Times New Roman"/>
      <w:color w:val="000000"/>
      <w:kern w:val="2"/>
      <w:sz w:val="28"/>
      <w:szCs w:val="20"/>
      <w:lang w:val="en-US" w:bidi="ar-SA"/>
    </w:rPr>
  </w:style>
  <w:style w:type="paragraph" w:customStyle="1" w:styleId="409">
    <w:name w:val="xl79"/>
    <w:basedOn w:val="1"/>
    <w:qFormat/>
    <w:uiPriority w:val="99"/>
    <w:pPr>
      <w:widowControl/>
      <w:pBdr>
        <w:top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cs="Times New Roman"/>
      <w:color w:val="000000"/>
      <w:sz w:val="12"/>
      <w:szCs w:val="12"/>
      <w:lang w:val="en-US" w:bidi="ar-SA"/>
    </w:rPr>
  </w:style>
  <w:style w:type="paragraph" w:customStyle="1" w:styleId="410">
    <w:name w:val="A目录"/>
    <w:basedOn w:val="1"/>
    <w:qFormat/>
    <w:uiPriority w:val="99"/>
    <w:pPr>
      <w:keepNext/>
      <w:autoSpaceDE/>
      <w:autoSpaceDN/>
      <w:adjustRightInd w:val="0"/>
      <w:snapToGrid w:val="0"/>
      <w:spacing w:line="440" w:lineRule="exact"/>
      <w:ind w:right="-64" w:rightChars="-64" w:firstLine="200" w:firstLineChars="200"/>
      <w:jc w:val="center"/>
    </w:pPr>
    <w:rPr>
      <w:rFonts w:ascii="黑体" w:hAnsi="黑体" w:eastAsia="黑体"/>
      <w:color w:val="000000"/>
      <w:sz w:val="32"/>
      <w:szCs w:val="24"/>
      <w:lang w:val="en-US" w:bidi="ar-SA"/>
    </w:rPr>
  </w:style>
  <w:style w:type="paragraph" w:customStyle="1" w:styleId="411">
    <w:name w:val="xl34"/>
    <w:basedOn w:val="1"/>
    <w:qFormat/>
    <w:uiPriority w:val="99"/>
    <w:pPr>
      <w:widowControl/>
      <w:pBdr>
        <w:top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cs="Times New Roman"/>
      <w:color w:val="000000"/>
      <w:sz w:val="18"/>
      <w:szCs w:val="18"/>
      <w:lang w:val="en-US" w:bidi="ar-SA"/>
    </w:rPr>
  </w:style>
  <w:style w:type="paragraph" w:customStyle="1" w:styleId="412">
    <w:name w:val="列出段落3"/>
    <w:basedOn w:val="1"/>
    <w:qFormat/>
    <w:uiPriority w:val="34"/>
    <w:pPr>
      <w:autoSpaceDE/>
      <w:autoSpaceDN/>
      <w:snapToGrid w:val="0"/>
      <w:spacing w:before="120" w:after="120"/>
      <w:ind w:firstLine="420" w:firstLineChars="200"/>
    </w:pPr>
    <w:rPr>
      <w:rFonts w:hAnsi="Times New Roman" w:cs="Times New Roman"/>
      <w:color w:val="000000"/>
      <w:sz w:val="24"/>
      <w:szCs w:val="20"/>
      <w:lang w:val="en-US" w:bidi="ar-SA"/>
    </w:rPr>
  </w:style>
  <w:style w:type="paragraph" w:customStyle="1" w:styleId="413">
    <w:name w:val="样式 标题 3 + 左侧:  0.75 厘米 首行缩进:  0 厘米 段前: 1 行 段后: 0.5 行1"/>
    <w:basedOn w:val="6"/>
    <w:next w:val="22"/>
    <w:semiHidden/>
    <w:qFormat/>
    <w:uiPriority w:val="99"/>
    <w:pPr>
      <w:widowControl/>
      <w:autoSpaceDE/>
      <w:autoSpaceDN/>
      <w:adjustRightInd w:val="0"/>
      <w:snapToGrid w:val="0"/>
      <w:spacing w:beforeLines="100" w:afterLines="50" w:line="460" w:lineRule="exact"/>
      <w:ind w:left="1157" w:right="0" w:hanging="709"/>
      <w:jc w:val="both"/>
    </w:pPr>
    <w:rPr>
      <w:rFonts w:ascii="Arial" w:hAnsi="Arial" w:eastAsia="黑体" w:cs="Times New Roman"/>
      <w:bCs/>
      <w:sz w:val="24"/>
      <w:szCs w:val="20"/>
      <w:lang w:val="en-US" w:bidi="ar-SA"/>
    </w:rPr>
  </w:style>
  <w:style w:type="paragraph" w:customStyle="1" w:styleId="414">
    <w:name w:val="0-表格"/>
    <w:basedOn w:val="1"/>
    <w:link w:val="2955"/>
    <w:qFormat/>
    <w:uiPriority w:val="99"/>
    <w:pPr>
      <w:autoSpaceDE/>
      <w:autoSpaceDN/>
      <w:adjustRightInd w:val="0"/>
      <w:snapToGrid w:val="0"/>
      <w:spacing w:line="360" w:lineRule="auto"/>
      <w:ind w:firstLine="480" w:firstLineChars="200"/>
      <w:jc w:val="center"/>
    </w:pPr>
    <w:rPr>
      <w:rFonts w:ascii="Times New Roman" w:hAnsi="Times New Roman" w:cs="Times New Roman"/>
      <w:color w:val="000000"/>
      <w:kern w:val="2"/>
      <w:sz w:val="24"/>
      <w:szCs w:val="24"/>
      <w:lang w:val="en-US" w:bidi="ar-SA"/>
    </w:rPr>
  </w:style>
  <w:style w:type="paragraph" w:customStyle="1" w:styleId="415">
    <w:name w:val="三级标题"/>
    <w:basedOn w:val="1"/>
    <w:next w:val="22"/>
    <w:semiHidden/>
    <w:qFormat/>
    <w:uiPriority w:val="99"/>
    <w:pPr>
      <w:tabs>
        <w:tab w:val="left" w:pos="720"/>
        <w:tab w:val="left" w:pos="2070"/>
      </w:tabs>
      <w:autoSpaceDE/>
      <w:autoSpaceDN/>
      <w:snapToGrid w:val="0"/>
      <w:spacing w:line="560" w:lineRule="exact"/>
      <w:ind w:left="2070" w:hanging="510" w:firstLineChars="200"/>
      <w:jc w:val="both"/>
    </w:pPr>
    <w:rPr>
      <w:rFonts w:eastAsia="黑体"/>
      <w:color w:val="000000"/>
      <w:kern w:val="2"/>
      <w:sz w:val="28"/>
      <w:szCs w:val="24"/>
      <w:lang w:val="en-US" w:bidi="ar-SA"/>
    </w:rPr>
  </w:style>
  <w:style w:type="paragraph" w:customStyle="1" w:styleId="416">
    <w:name w:val="TOC 91"/>
    <w:basedOn w:val="1"/>
    <w:next w:val="1"/>
    <w:qFormat/>
    <w:uiPriority w:val="39"/>
    <w:pPr>
      <w:autoSpaceDE/>
      <w:autoSpaceDN/>
      <w:snapToGrid w:val="0"/>
      <w:ind w:left="3360" w:leftChars="1600" w:firstLine="480" w:firstLineChars="200"/>
      <w:jc w:val="both"/>
    </w:pPr>
    <w:rPr>
      <w:rFonts w:ascii="等线" w:hAnsi="等线" w:eastAsia="等线" w:cs="Times New Roman"/>
      <w:color w:val="000000"/>
      <w:kern w:val="2"/>
      <w:sz w:val="21"/>
      <w:lang w:val="en-US" w:bidi="ar-SA"/>
    </w:rPr>
  </w:style>
  <w:style w:type="paragraph" w:customStyle="1" w:styleId="417">
    <w:name w:val="xl91"/>
    <w:basedOn w:val="1"/>
    <w:qFormat/>
    <w:uiPriority w:val="99"/>
    <w:pPr>
      <w:widowControl/>
      <w:pBdr>
        <w:bottom w:val="single" w:color="auto" w:sz="4" w:space="0"/>
        <w:right w:val="single" w:color="auto" w:sz="4" w:space="0"/>
      </w:pBdr>
      <w:shd w:val="clear" w:color="auto" w:fill="FFFFFF"/>
      <w:autoSpaceDE/>
      <w:autoSpaceDN/>
      <w:snapToGrid w:val="0"/>
      <w:spacing w:before="100" w:beforeAutospacing="1" w:after="100" w:afterAutospacing="1"/>
      <w:ind w:firstLine="480" w:firstLineChars="200"/>
      <w:jc w:val="center"/>
    </w:pPr>
    <w:rPr>
      <w:rFonts w:ascii="楷体" w:eastAsia="楷体" w:cs="Times New Roman"/>
      <w:color w:val="FF0000"/>
      <w:sz w:val="12"/>
      <w:szCs w:val="12"/>
      <w:lang w:val="en-US" w:bidi="ar-SA"/>
    </w:rPr>
  </w:style>
  <w:style w:type="character" w:customStyle="1" w:styleId="418">
    <w:name w:val="0-表内/图 字符"/>
    <w:link w:val="419"/>
    <w:qFormat/>
    <w:uiPriority w:val="0"/>
    <w:rPr>
      <w:sz w:val="21"/>
    </w:rPr>
  </w:style>
  <w:style w:type="paragraph" w:customStyle="1" w:styleId="419">
    <w:name w:val="0-表内/图"/>
    <w:basedOn w:val="1"/>
    <w:link w:val="418"/>
    <w:qFormat/>
    <w:uiPriority w:val="0"/>
    <w:pPr>
      <w:autoSpaceDE/>
      <w:autoSpaceDN/>
      <w:snapToGrid w:val="0"/>
      <w:jc w:val="center"/>
    </w:pPr>
    <w:rPr>
      <w:rFonts w:ascii="Times New Roman" w:hAnsi="Times New Roman" w:cs="Times New Roman"/>
      <w:sz w:val="21"/>
      <w:szCs w:val="20"/>
      <w:lang w:val="en-US" w:bidi="ar-SA"/>
    </w:rPr>
  </w:style>
  <w:style w:type="paragraph" w:customStyle="1" w:styleId="420">
    <w:name w:val="xl45"/>
    <w:basedOn w:val="1"/>
    <w:qFormat/>
    <w:uiPriority w:val="99"/>
    <w:pPr>
      <w:widowControl/>
      <w:pBdr>
        <w:top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ascii="楷体" w:eastAsia="楷体" w:cs="Times New Roman"/>
      <w:color w:val="0000FF"/>
      <w:sz w:val="12"/>
      <w:szCs w:val="12"/>
      <w:lang w:val="en-US" w:bidi="ar-SA"/>
    </w:rPr>
  </w:style>
  <w:style w:type="character" w:customStyle="1" w:styleId="421">
    <w:name w:val="cucd-0 Char"/>
    <w:link w:val="422"/>
    <w:qFormat/>
    <w:uiPriority w:val="0"/>
    <w:rPr>
      <w:rFonts w:ascii="Arial" w:hAnsi="Arial" w:cs="宋体"/>
      <w:kern w:val="2"/>
      <w:sz w:val="24"/>
      <w:szCs w:val="24"/>
    </w:rPr>
  </w:style>
  <w:style w:type="paragraph" w:customStyle="1" w:styleId="422">
    <w:name w:val="cucd-0"/>
    <w:link w:val="421"/>
    <w:qFormat/>
    <w:uiPriority w:val="0"/>
    <w:pPr>
      <w:spacing w:line="360" w:lineRule="auto"/>
      <w:ind w:firstLine="480" w:firstLineChars="200"/>
    </w:pPr>
    <w:rPr>
      <w:rFonts w:ascii="Arial" w:hAnsi="Arial" w:eastAsia="宋体" w:cs="宋体"/>
      <w:kern w:val="2"/>
      <w:sz w:val="24"/>
      <w:szCs w:val="24"/>
      <w:lang w:val="en-US" w:eastAsia="zh-CN" w:bidi="ar-SA"/>
    </w:rPr>
  </w:style>
  <w:style w:type="paragraph" w:customStyle="1" w:styleId="423">
    <w:name w:val="xl39"/>
    <w:basedOn w:val="1"/>
    <w:qFormat/>
    <w:uiPriority w:val="99"/>
    <w:pPr>
      <w:widowControl/>
      <w:pBdr>
        <w:top w:val="single" w:color="auto" w:sz="4" w:space="0"/>
        <w:left w:val="single" w:color="auto" w:sz="4" w:space="0"/>
      </w:pBdr>
      <w:autoSpaceDE/>
      <w:autoSpaceDN/>
      <w:snapToGrid w:val="0"/>
      <w:spacing w:before="100" w:beforeAutospacing="1" w:after="100" w:afterAutospacing="1"/>
      <w:ind w:firstLine="480" w:firstLineChars="200"/>
      <w:jc w:val="center"/>
    </w:pPr>
    <w:rPr>
      <w:rFonts w:ascii="楷体" w:eastAsia="楷体" w:cs="Times New Roman"/>
      <w:color w:val="0000FF"/>
      <w:sz w:val="12"/>
      <w:szCs w:val="12"/>
      <w:lang w:val="en-US" w:bidi="ar-SA"/>
    </w:rPr>
  </w:style>
  <w:style w:type="character" w:customStyle="1" w:styleId="424">
    <w:name w:val="标题 #1_"/>
    <w:link w:val="425"/>
    <w:qFormat/>
    <w:uiPriority w:val="0"/>
    <w:rPr>
      <w:rFonts w:ascii="MingLiU" w:hAnsi="MingLiU" w:eastAsia="MingLiU" w:cs="MingLiU"/>
      <w:spacing w:val="50"/>
      <w:sz w:val="34"/>
      <w:szCs w:val="34"/>
      <w:shd w:val="clear" w:color="auto" w:fill="FFFFFF"/>
    </w:rPr>
  </w:style>
  <w:style w:type="paragraph" w:customStyle="1" w:styleId="425">
    <w:name w:val="标题 #1"/>
    <w:basedOn w:val="1"/>
    <w:link w:val="424"/>
    <w:qFormat/>
    <w:uiPriority w:val="0"/>
    <w:pPr>
      <w:shd w:val="clear" w:color="auto" w:fill="FFFFFF"/>
      <w:autoSpaceDE/>
      <w:autoSpaceDN/>
      <w:snapToGrid w:val="0"/>
      <w:spacing w:before="300" w:after="480" w:line="0" w:lineRule="atLeast"/>
      <w:ind w:firstLine="480" w:firstLineChars="200"/>
      <w:outlineLvl w:val="0"/>
    </w:pPr>
    <w:rPr>
      <w:rFonts w:ascii="MingLiU" w:hAnsi="MingLiU" w:eastAsia="MingLiU" w:cs="MingLiU"/>
      <w:spacing w:val="50"/>
      <w:sz w:val="34"/>
      <w:szCs w:val="34"/>
      <w:lang w:val="en-US" w:bidi="ar-SA"/>
    </w:rPr>
  </w:style>
  <w:style w:type="paragraph" w:customStyle="1" w:styleId="426">
    <w:name w:val="样式 (符号) 宋体 四号 行距: 1.5 倍行距"/>
    <w:basedOn w:val="1"/>
    <w:qFormat/>
    <w:uiPriority w:val="99"/>
    <w:pPr>
      <w:numPr>
        <w:ilvl w:val="0"/>
        <w:numId w:val="4"/>
      </w:numPr>
      <w:autoSpaceDE/>
      <w:autoSpaceDN/>
      <w:snapToGrid w:val="0"/>
      <w:spacing w:line="360" w:lineRule="auto"/>
      <w:ind w:firstLine="200"/>
      <w:jc w:val="both"/>
    </w:pPr>
    <w:rPr>
      <w:rFonts w:ascii="Times New Roman" w:hAnsi="Times New Roman"/>
      <w:color w:val="000000"/>
      <w:kern w:val="10"/>
      <w:sz w:val="28"/>
      <w:szCs w:val="20"/>
      <w:lang w:val="en-US" w:bidi="ar-SA"/>
    </w:rPr>
  </w:style>
  <w:style w:type="paragraph" w:customStyle="1" w:styleId="427">
    <w:name w:val="Document Label"/>
    <w:next w:val="1"/>
    <w:qFormat/>
    <w:uiPriority w:val="99"/>
    <w:pPr>
      <w:pBdr>
        <w:top w:val="double" w:color="808080" w:sz="6" w:space="8"/>
        <w:bottom w:val="double" w:color="808080" w:sz="6" w:space="8"/>
      </w:pBdr>
      <w:spacing w:after="40" w:line="240" w:lineRule="atLeast"/>
      <w:jc w:val="center"/>
    </w:pPr>
    <w:rPr>
      <w:rFonts w:ascii="Garamond" w:hAnsi="Garamond" w:eastAsia="宋体" w:cs="Times New Roman"/>
      <w:b/>
      <w:bCs/>
      <w:caps/>
      <w:spacing w:val="20"/>
      <w:sz w:val="18"/>
      <w:szCs w:val="18"/>
      <w:lang w:val="en-US" w:eastAsia="zh-CN" w:bidi="ar-SA"/>
    </w:rPr>
  </w:style>
  <w:style w:type="paragraph" w:customStyle="1" w:styleId="428">
    <w:name w:val="xl32"/>
    <w:basedOn w:val="1"/>
    <w:qFormat/>
    <w:uiPriority w:val="99"/>
    <w:pPr>
      <w:widowControl/>
      <w:pBdr>
        <w:top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cs="Times New Roman"/>
      <w:color w:val="000000"/>
      <w:sz w:val="18"/>
      <w:szCs w:val="18"/>
      <w:lang w:val="en-US" w:bidi="ar-SA"/>
    </w:rPr>
  </w:style>
  <w:style w:type="paragraph" w:customStyle="1" w:styleId="429">
    <w:name w:val="Char1 Char Char Char"/>
    <w:basedOn w:val="1"/>
    <w:qFormat/>
    <w:uiPriority w:val="99"/>
    <w:pPr>
      <w:autoSpaceDE/>
      <w:autoSpaceDN/>
      <w:snapToGrid w:val="0"/>
      <w:spacing w:line="360" w:lineRule="auto"/>
      <w:ind w:firstLine="480" w:firstLineChars="200"/>
    </w:pPr>
    <w:rPr>
      <w:rFonts w:ascii="Times New Roman" w:hAnsi="Times New Roman" w:cs="Times New Roman"/>
      <w:color w:val="000000"/>
      <w:kern w:val="2"/>
      <w:sz w:val="24"/>
      <w:szCs w:val="24"/>
      <w:lang w:val="en-US" w:bidi="ar-SA"/>
    </w:rPr>
  </w:style>
  <w:style w:type="paragraph" w:customStyle="1" w:styleId="430">
    <w:name w:val="正文小标题 Char Char Char"/>
    <w:basedOn w:val="1"/>
    <w:next w:val="2"/>
    <w:qFormat/>
    <w:uiPriority w:val="99"/>
    <w:pPr>
      <w:keepNext/>
      <w:tabs>
        <w:tab w:val="left" w:pos="735"/>
        <w:tab w:val="left" w:pos="885"/>
      </w:tabs>
      <w:overflowPunct w:val="0"/>
      <w:adjustRightInd w:val="0"/>
      <w:snapToGrid w:val="0"/>
      <w:ind w:left="900" w:right="-64" w:rightChars="-64" w:firstLine="200" w:firstLineChars="200"/>
    </w:pPr>
    <w:rPr>
      <w:rFonts w:ascii="黑体" w:hAnsi="Calibri" w:cs="Times New Roman"/>
      <w:color w:val="000000"/>
      <w:kern w:val="2"/>
      <w:sz w:val="21"/>
      <w:szCs w:val="24"/>
      <w:lang w:val="en-US" w:bidi="ar-SA"/>
    </w:rPr>
  </w:style>
  <w:style w:type="paragraph" w:customStyle="1" w:styleId="431">
    <w:name w:val="xl118"/>
    <w:basedOn w:val="1"/>
    <w:qFormat/>
    <w:uiPriority w:val="99"/>
    <w:pPr>
      <w:widowControl/>
      <w:autoSpaceDE/>
      <w:autoSpaceDN/>
      <w:snapToGrid w:val="0"/>
      <w:spacing w:before="100" w:beforeAutospacing="1" w:after="100" w:afterAutospacing="1"/>
      <w:ind w:firstLine="480" w:firstLineChars="200"/>
    </w:pPr>
    <w:rPr>
      <w:color w:val="000000"/>
      <w:sz w:val="24"/>
      <w:szCs w:val="24"/>
      <w:lang w:val="en-US" w:bidi="ar-SA"/>
    </w:rPr>
  </w:style>
  <w:style w:type="paragraph" w:customStyle="1" w:styleId="432">
    <w:name w:val="样式 标题 1标题 1 Char + 两端对齐"/>
    <w:basedOn w:val="4"/>
    <w:semiHidden/>
    <w:qFormat/>
    <w:uiPriority w:val="99"/>
    <w:pPr>
      <w:keepNext/>
      <w:widowControl/>
      <w:autoSpaceDE/>
      <w:autoSpaceDN/>
      <w:adjustRightInd w:val="0"/>
      <w:snapToGrid w:val="0"/>
      <w:spacing w:before="360" w:after="240" w:line="360" w:lineRule="auto"/>
      <w:ind w:left="1275" w:right="0" w:hanging="425"/>
      <w:jc w:val="both"/>
    </w:pPr>
    <w:rPr>
      <w:rFonts w:ascii="黑体" w:hAnsi="Times New Roman" w:eastAsia="黑体"/>
      <w:b w:val="0"/>
      <w:color w:val="000000"/>
      <w:kern w:val="2"/>
      <w:sz w:val="36"/>
      <w:szCs w:val="20"/>
      <w:lang w:val="en-US" w:bidi="ar-SA"/>
    </w:rPr>
  </w:style>
  <w:style w:type="paragraph" w:customStyle="1" w:styleId="433">
    <w:name w:val="样式 (西文) 黑体 小四 居中"/>
    <w:basedOn w:val="1"/>
    <w:qFormat/>
    <w:uiPriority w:val="99"/>
    <w:pPr>
      <w:widowControl/>
      <w:autoSpaceDE/>
      <w:autoSpaceDN/>
      <w:snapToGrid w:val="0"/>
      <w:spacing w:beforeLines="50"/>
      <w:ind w:firstLine="480" w:firstLineChars="200"/>
      <w:jc w:val="center"/>
    </w:pPr>
    <w:rPr>
      <w:rFonts w:ascii="Times New Roman" w:hAnsi="Times New Roman" w:eastAsia="黑体"/>
      <w:color w:val="000000"/>
      <w:sz w:val="24"/>
      <w:szCs w:val="20"/>
      <w:lang w:val="en-US" w:bidi="ar-SA"/>
    </w:rPr>
  </w:style>
  <w:style w:type="paragraph" w:customStyle="1" w:styleId="434">
    <w:name w:val="报告1"/>
    <w:basedOn w:val="1"/>
    <w:next w:val="65"/>
    <w:qFormat/>
    <w:uiPriority w:val="99"/>
    <w:pPr>
      <w:autoSpaceDE/>
      <w:autoSpaceDN/>
      <w:snapToGrid w:val="0"/>
      <w:spacing w:line="460" w:lineRule="exact"/>
      <w:ind w:firstLine="200" w:firstLineChars="200"/>
    </w:pPr>
    <w:rPr>
      <w:rFonts w:ascii="等线" w:hAnsi="等线" w:eastAsia="等线" w:cs="Times New Roman"/>
      <w:bCs/>
      <w:color w:val="000000"/>
      <w:kern w:val="28"/>
      <w:sz w:val="24"/>
      <w:szCs w:val="32"/>
      <w:lang w:val="en-US" w:bidi="ar-SA"/>
    </w:rPr>
  </w:style>
  <w:style w:type="character" w:customStyle="1" w:styleId="435">
    <w:name w:val="LLL Char"/>
    <w:link w:val="436"/>
    <w:qFormat/>
    <w:uiPriority w:val="0"/>
    <w:rPr>
      <w:color w:val="000000"/>
      <w:sz w:val="24"/>
      <w:szCs w:val="24"/>
    </w:rPr>
  </w:style>
  <w:style w:type="paragraph" w:customStyle="1" w:styleId="436">
    <w:name w:val="LLL"/>
    <w:basedOn w:val="1"/>
    <w:link w:val="435"/>
    <w:qFormat/>
    <w:uiPriority w:val="0"/>
    <w:pPr>
      <w:autoSpaceDE/>
      <w:autoSpaceDN/>
      <w:adjustRightInd w:val="0"/>
      <w:snapToGrid w:val="0"/>
      <w:spacing w:line="460" w:lineRule="exact"/>
      <w:ind w:firstLine="200" w:firstLineChars="200"/>
      <w:jc w:val="both"/>
    </w:pPr>
    <w:rPr>
      <w:rFonts w:ascii="Times New Roman" w:hAnsi="Times New Roman" w:cs="Times New Roman"/>
      <w:color w:val="000000"/>
      <w:sz w:val="24"/>
      <w:szCs w:val="24"/>
      <w:lang w:val="en-US" w:bidi="ar-SA"/>
    </w:rPr>
  </w:style>
  <w:style w:type="paragraph" w:customStyle="1" w:styleId="437">
    <w:name w:val="xl1118"/>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438">
    <w:name w:val="TOC 41"/>
    <w:basedOn w:val="1"/>
    <w:next w:val="1"/>
    <w:qFormat/>
    <w:uiPriority w:val="39"/>
    <w:pPr>
      <w:autoSpaceDE/>
      <w:autoSpaceDN/>
      <w:snapToGrid w:val="0"/>
      <w:ind w:left="1260" w:leftChars="600" w:firstLine="480" w:firstLineChars="200"/>
      <w:jc w:val="both"/>
    </w:pPr>
    <w:rPr>
      <w:rFonts w:ascii="等线" w:hAnsi="等线" w:eastAsia="等线" w:cs="Times New Roman"/>
      <w:color w:val="000000"/>
      <w:kern w:val="2"/>
      <w:sz w:val="21"/>
      <w:lang w:val="en-US" w:bidi="ar-SA"/>
    </w:rPr>
  </w:style>
  <w:style w:type="paragraph" w:customStyle="1" w:styleId="439">
    <w:name w:val="xl96"/>
    <w:basedOn w:val="1"/>
    <w:qFormat/>
    <w:uiPriority w:val="99"/>
    <w:pPr>
      <w:widowControl/>
      <w:pBdr>
        <w:top w:val="single" w:color="auto" w:sz="4" w:space="0"/>
        <w:left w:val="single" w:color="auto" w:sz="4" w:space="0"/>
        <w:bottom w:val="single" w:color="auto" w:sz="4" w:space="0"/>
      </w:pBdr>
      <w:autoSpaceDE/>
      <w:autoSpaceDN/>
      <w:snapToGrid w:val="0"/>
      <w:spacing w:before="100" w:beforeAutospacing="1" w:after="100" w:afterAutospacing="1"/>
      <w:ind w:firstLine="480" w:firstLineChars="200"/>
      <w:jc w:val="center"/>
    </w:pPr>
    <w:rPr>
      <w:rFonts w:cs="Times New Roman"/>
      <w:color w:val="000000"/>
      <w:sz w:val="12"/>
      <w:szCs w:val="12"/>
      <w:lang w:val="en-US" w:bidi="ar-SA"/>
    </w:rPr>
  </w:style>
  <w:style w:type="paragraph" w:customStyle="1" w:styleId="440">
    <w:name w:val="xl26"/>
    <w:basedOn w:val="1"/>
    <w:qFormat/>
    <w:uiPriority w:val="99"/>
    <w:pPr>
      <w:widowControl/>
      <w:pBdr>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cs="Times New Roman"/>
      <w:color w:val="000000"/>
      <w:sz w:val="24"/>
      <w:szCs w:val="24"/>
      <w:lang w:val="en-US" w:bidi="ar-SA"/>
    </w:rPr>
  </w:style>
  <w:style w:type="paragraph" w:customStyle="1" w:styleId="441">
    <w:name w:val="xl95"/>
    <w:basedOn w:val="1"/>
    <w:qFormat/>
    <w:uiPriority w:val="99"/>
    <w:pPr>
      <w:widowControl/>
      <w:pBdr>
        <w:left w:val="single" w:color="auto" w:sz="4" w:space="0"/>
        <w:bottom w:val="single" w:color="auto" w:sz="4" w:space="0"/>
        <w:right w:val="single" w:color="auto" w:sz="4" w:space="0"/>
      </w:pBdr>
      <w:shd w:val="clear" w:color="auto" w:fill="FFFFFF"/>
      <w:autoSpaceDE/>
      <w:autoSpaceDN/>
      <w:snapToGrid w:val="0"/>
      <w:spacing w:before="100" w:beforeAutospacing="1" w:after="100" w:afterAutospacing="1"/>
      <w:ind w:firstLine="480" w:firstLineChars="200"/>
    </w:pPr>
    <w:rPr>
      <w:rFonts w:ascii="楷体" w:eastAsia="楷体" w:cs="Times New Roman"/>
      <w:color w:val="FF0000"/>
      <w:sz w:val="12"/>
      <w:szCs w:val="12"/>
      <w:lang w:val="en-US" w:bidi="ar-SA"/>
    </w:rPr>
  </w:style>
  <w:style w:type="paragraph" w:customStyle="1" w:styleId="442">
    <w:name w:val="font12"/>
    <w:basedOn w:val="1"/>
    <w:qFormat/>
    <w:uiPriority w:val="99"/>
    <w:pPr>
      <w:widowControl/>
      <w:autoSpaceDE/>
      <w:autoSpaceDN/>
      <w:snapToGrid w:val="0"/>
      <w:spacing w:before="100" w:beforeAutospacing="1" w:after="100" w:afterAutospacing="1"/>
      <w:ind w:firstLine="480" w:firstLineChars="200"/>
    </w:pPr>
    <w:rPr>
      <w:rFonts w:cs="Times New Roman"/>
      <w:color w:val="000000"/>
      <w:sz w:val="12"/>
      <w:szCs w:val="12"/>
      <w:lang w:val="en-US" w:bidi="ar-SA"/>
    </w:rPr>
  </w:style>
  <w:style w:type="paragraph" w:customStyle="1" w:styleId="443">
    <w:name w:val="xl140"/>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4"/>
      <w:szCs w:val="24"/>
      <w:lang w:val="en-US" w:bidi="ar-SA"/>
    </w:rPr>
  </w:style>
  <w:style w:type="paragraph" w:customStyle="1" w:styleId="444">
    <w:name w:val="HCH封面4"/>
    <w:next w:val="263"/>
    <w:qFormat/>
    <w:uiPriority w:val="99"/>
    <w:pPr>
      <w:spacing w:beforeLines="50" w:afterLines="50" w:line="500" w:lineRule="exact"/>
      <w:jc w:val="center"/>
    </w:pPr>
    <w:rPr>
      <w:rFonts w:ascii="Times New Roman" w:hAnsi="Times New Roman" w:eastAsia="黑体" w:cs="Times New Roman"/>
      <w:kern w:val="2"/>
      <w:sz w:val="36"/>
      <w:lang w:val="en-US" w:eastAsia="zh-CN" w:bidi="ar-SA"/>
    </w:rPr>
  </w:style>
  <w:style w:type="character" w:customStyle="1" w:styleId="445">
    <w:name w:val="规划表 Char"/>
    <w:link w:val="446"/>
    <w:qFormat/>
    <w:uiPriority w:val="0"/>
    <w:rPr>
      <w:rFonts w:ascii="黑体" w:hAnsi="黑体" w:eastAsia="黑体"/>
      <w:kern w:val="2"/>
      <w:sz w:val="28"/>
      <w:szCs w:val="28"/>
    </w:rPr>
  </w:style>
  <w:style w:type="paragraph" w:customStyle="1" w:styleId="446">
    <w:name w:val="规划表"/>
    <w:basedOn w:val="1"/>
    <w:link w:val="445"/>
    <w:qFormat/>
    <w:uiPriority w:val="0"/>
    <w:pPr>
      <w:autoSpaceDE/>
      <w:autoSpaceDN/>
      <w:snapToGrid w:val="0"/>
      <w:spacing w:line="360" w:lineRule="auto"/>
      <w:ind w:firstLine="480" w:firstLineChars="200"/>
      <w:outlineLvl w:val="3"/>
    </w:pPr>
    <w:rPr>
      <w:rFonts w:ascii="黑体" w:hAnsi="黑体" w:eastAsia="黑体" w:cs="Times New Roman"/>
      <w:kern w:val="2"/>
      <w:sz w:val="28"/>
      <w:szCs w:val="28"/>
      <w:lang w:val="en-US" w:bidi="ar-SA"/>
    </w:rPr>
  </w:style>
  <w:style w:type="character" w:customStyle="1" w:styleId="447">
    <w:name w:val="YB表格五号宋体 Char"/>
    <w:link w:val="448"/>
    <w:qFormat/>
    <w:uiPriority w:val="0"/>
    <w:rPr>
      <w:color w:val="000000"/>
      <w:sz w:val="21"/>
    </w:rPr>
  </w:style>
  <w:style w:type="paragraph" w:customStyle="1" w:styleId="448">
    <w:name w:val="YB表格五号宋体"/>
    <w:link w:val="447"/>
    <w:qFormat/>
    <w:uiPriority w:val="0"/>
    <w:pPr>
      <w:widowControl w:val="0"/>
      <w:adjustRightInd w:val="0"/>
      <w:snapToGrid w:val="0"/>
      <w:jc w:val="center"/>
    </w:pPr>
    <w:rPr>
      <w:rFonts w:ascii="Times New Roman" w:hAnsi="Times New Roman" w:eastAsia="宋体" w:cs="Times New Roman"/>
      <w:color w:val="000000"/>
      <w:sz w:val="21"/>
      <w:lang w:val="en-US" w:eastAsia="zh-CN" w:bidi="ar-SA"/>
    </w:rPr>
  </w:style>
  <w:style w:type="paragraph" w:customStyle="1" w:styleId="449">
    <w:name w:val="xl110"/>
    <w:basedOn w:val="1"/>
    <w:qFormat/>
    <w:uiPriority w:val="99"/>
    <w:pPr>
      <w:widowControl/>
      <w:autoSpaceDE/>
      <w:autoSpaceDN/>
      <w:snapToGrid w:val="0"/>
      <w:spacing w:before="100" w:beforeAutospacing="1" w:after="100" w:afterAutospacing="1"/>
      <w:ind w:firstLine="480" w:firstLineChars="200"/>
    </w:pPr>
    <w:rPr>
      <w:color w:val="000000"/>
      <w:sz w:val="24"/>
      <w:szCs w:val="24"/>
      <w:lang w:val="en-US" w:bidi="ar-SA"/>
    </w:rPr>
  </w:style>
  <w:style w:type="character" w:customStyle="1" w:styleId="450">
    <w:name w:val="~图片格式 Char"/>
    <w:link w:val="451"/>
    <w:qFormat/>
    <w:uiPriority w:val="0"/>
    <w:rPr>
      <w:sz w:val="24"/>
      <w:szCs w:val="21"/>
    </w:rPr>
  </w:style>
  <w:style w:type="paragraph" w:customStyle="1" w:styleId="451">
    <w:name w:val="~图片格式"/>
    <w:basedOn w:val="1"/>
    <w:link w:val="450"/>
    <w:qFormat/>
    <w:uiPriority w:val="0"/>
    <w:pPr>
      <w:autoSpaceDE/>
      <w:autoSpaceDN/>
      <w:adjustRightInd w:val="0"/>
      <w:snapToGrid w:val="0"/>
      <w:spacing w:line="360" w:lineRule="auto"/>
      <w:ind w:firstLine="480" w:firstLineChars="200"/>
      <w:jc w:val="center"/>
    </w:pPr>
    <w:rPr>
      <w:rFonts w:ascii="Times New Roman" w:hAnsi="Times New Roman" w:cs="Times New Roman"/>
      <w:sz w:val="24"/>
      <w:szCs w:val="21"/>
      <w:lang w:val="en-US" w:bidi="ar-SA"/>
    </w:rPr>
  </w:style>
  <w:style w:type="paragraph" w:customStyle="1" w:styleId="452">
    <w:name w:val="样式 样式 小四 首行缩进:  0.85 厘米 + 首行缩进:  2 字符"/>
    <w:basedOn w:val="1"/>
    <w:qFormat/>
    <w:uiPriority w:val="99"/>
    <w:pPr>
      <w:autoSpaceDE/>
      <w:autoSpaceDN/>
      <w:adjustRightInd w:val="0"/>
      <w:snapToGrid w:val="0"/>
      <w:spacing w:line="360" w:lineRule="auto"/>
      <w:ind w:firstLine="584" w:firstLineChars="200"/>
    </w:pPr>
    <w:rPr>
      <w:rFonts w:ascii="Times New Roman" w:hAnsi="Times New Roman"/>
      <w:color w:val="000000"/>
      <w:sz w:val="28"/>
      <w:szCs w:val="28"/>
      <w:lang w:val="en-US" w:bidi="ar-SA"/>
    </w:rPr>
  </w:style>
  <w:style w:type="paragraph" w:customStyle="1" w:styleId="453">
    <w:name w:val="HCH封面6"/>
    <w:basedOn w:val="284"/>
    <w:qFormat/>
    <w:uiPriority w:val="99"/>
    <w:pPr>
      <w:spacing w:line="500" w:lineRule="exact"/>
      <w:ind w:firstLine="200" w:firstLineChars="200"/>
      <w:jc w:val="left"/>
    </w:pPr>
    <w:rPr>
      <w:sz w:val="30"/>
    </w:rPr>
  </w:style>
  <w:style w:type="paragraph" w:customStyle="1" w:styleId="454">
    <w:name w:val="样式 普通文字表格文字 + 四号 居中 行距: 固定值 12 磅"/>
    <w:basedOn w:val="47"/>
    <w:qFormat/>
    <w:uiPriority w:val="99"/>
    <w:pPr>
      <w:spacing w:line="300" w:lineRule="exact"/>
      <w:jc w:val="center"/>
    </w:pPr>
    <w:rPr>
      <w:rFonts w:ascii="Times New Roman" w:hAnsi="Times New Roman" w:cs="宋体"/>
      <w:szCs w:val="20"/>
    </w:rPr>
  </w:style>
  <w:style w:type="paragraph" w:customStyle="1" w:styleId="455">
    <w:name w:val="xl65"/>
    <w:basedOn w:val="1"/>
    <w:qFormat/>
    <w:uiPriority w:val="99"/>
    <w:pPr>
      <w:widowControl/>
      <w:pBdr>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rFonts w:ascii="楷体" w:eastAsia="楷体" w:cs="Times New Roman"/>
      <w:color w:val="0000FF"/>
      <w:sz w:val="12"/>
      <w:szCs w:val="12"/>
      <w:lang w:val="en-US" w:bidi="ar-SA"/>
    </w:rPr>
  </w:style>
  <w:style w:type="paragraph" w:customStyle="1" w:styleId="456">
    <w:name w:val="xl122"/>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rFonts w:ascii="Arial" w:hAnsi="Arial" w:cs="Arial"/>
      <w:color w:val="000000"/>
      <w:sz w:val="20"/>
      <w:szCs w:val="20"/>
      <w:lang w:val="en-US" w:bidi="ar-SA"/>
    </w:rPr>
  </w:style>
  <w:style w:type="paragraph" w:customStyle="1" w:styleId="457">
    <w:name w:val="样式 样式 首行缩进:  2 字符 + 小四"/>
    <w:basedOn w:val="322"/>
    <w:qFormat/>
    <w:uiPriority w:val="99"/>
    <w:rPr>
      <w:bCs w:val="0"/>
      <w:sz w:val="24"/>
    </w:rPr>
  </w:style>
  <w:style w:type="character" w:customStyle="1" w:styleId="458">
    <w:name w:val="样式4 Char Char"/>
    <w:link w:val="459"/>
    <w:qFormat/>
    <w:uiPriority w:val="0"/>
    <w:rPr>
      <w:rFonts w:ascii="宋体" w:hAnsi="宋体" w:eastAsia="黑体" w:cs="宋体"/>
      <w:b/>
      <w:bCs/>
      <w:caps/>
      <w:color w:val="000000"/>
      <w:kern w:val="2"/>
      <w:sz w:val="24"/>
      <w:szCs w:val="24"/>
    </w:rPr>
  </w:style>
  <w:style w:type="paragraph" w:customStyle="1" w:styleId="459">
    <w:name w:val="样式4"/>
    <w:basedOn w:val="60"/>
    <w:link w:val="458"/>
    <w:qFormat/>
    <w:uiPriority w:val="0"/>
    <w:pPr>
      <w:tabs>
        <w:tab w:val="left" w:pos="280"/>
        <w:tab w:val="right" w:leader="dot" w:pos="8505"/>
      </w:tabs>
      <w:autoSpaceDE/>
      <w:autoSpaceDN/>
      <w:snapToGrid w:val="0"/>
      <w:spacing w:before="240" w:after="120" w:line="480" w:lineRule="auto"/>
      <w:ind w:left="0" w:right="0" w:firstLine="480" w:firstLineChars="200"/>
      <w:jc w:val="left"/>
    </w:pPr>
    <w:rPr>
      <w:rFonts w:eastAsia="黑体"/>
      <w:b/>
      <w:bCs/>
      <w:caps/>
      <w:color w:val="000000"/>
      <w:kern w:val="2"/>
      <w:lang w:val="en-US" w:bidi="ar-SA"/>
    </w:rPr>
  </w:style>
  <w:style w:type="paragraph" w:customStyle="1" w:styleId="460">
    <w:name w:val="YB正文小四宋体"/>
    <w:basedOn w:val="1"/>
    <w:link w:val="490"/>
    <w:qFormat/>
    <w:uiPriority w:val="99"/>
    <w:pPr>
      <w:snapToGrid w:val="0"/>
      <w:spacing w:line="500" w:lineRule="exact"/>
      <w:ind w:firstLine="480" w:firstLineChars="200"/>
      <w:jc w:val="both"/>
    </w:pPr>
    <w:rPr>
      <w:rFonts w:ascii="Times New Roman" w:hAnsi="Times New Roman" w:cs="Times New Roman"/>
      <w:kern w:val="2"/>
      <w:sz w:val="24"/>
      <w:szCs w:val="20"/>
      <w:lang w:val="en-US" w:bidi="ar-SA"/>
    </w:rPr>
  </w:style>
  <w:style w:type="paragraph" w:customStyle="1" w:styleId="461">
    <w:name w:val="YB目小四黑一"/>
    <w:basedOn w:val="1"/>
    <w:next w:val="460"/>
    <w:qFormat/>
    <w:uiPriority w:val="99"/>
    <w:pPr>
      <w:tabs>
        <w:tab w:val="left" w:pos="360"/>
      </w:tabs>
      <w:snapToGrid w:val="0"/>
      <w:spacing w:line="500" w:lineRule="exact"/>
      <w:ind w:left="360" w:hanging="360" w:firstLineChars="200"/>
      <w:jc w:val="center"/>
      <w:outlineLvl w:val="0"/>
    </w:pPr>
    <w:rPr>
      <w:rFonts w:ascii="Times New Roman" w:hAnsi="Times New Roman" w:eastAsia="黑体" w:cs="Times New Roman"/>
      <w:color w:val="000000"/>
      <w:kern w:val="2"/>
      <w:sz w:val="24"/>
      <w:szCs w:val="20"/>
      <w:lang w:val="en-US" w:bidi="ar-SA"/>
    </w:rPr>
  </w:style>
  <w:style w:type="character" w:customStyle="1" w:styleId="462">
    <w:name w:val="样式 标题 4 + (符号) 宋体 Char"/>
    <w:link w:val="463"/>
    <w:qFormat/>
    <w:uiPriority w:val="0"/>
    <w:rPr>
      <w:rFonts w:ascii="黑体" w:hAnsi="黑体" w:eastAsia="黑体"/>
      <w:kern w:val="2"/>
      <w:sz w:val="24"/>
      <w:szCs w:val="24"/>
    </w:rPr>
  </w:style>
  <w:style w:type="paragraph" w:customStyle="1" w:styleId="463">
    <w:name w:val="样式 标题 4 + (符号) 宋体"/>
    <w:basedOn w:val="7"/>
    <w:link w:val="462"/>
    <w:qFormat/>
    <w:uiPriority w:val="0"/>
    <w:pPr>
      <w:keepNext/>
      <w:keepLines/>
      <w:autoSpaceDE/>
      <w:autoSpaceDN/>
      <w:adjustRightInd w:val="0"/>
      <w:snapToGrid w:val="0"/>
      <w:spacing w:before="0" w:beforeLines="50" w:after="60"/>
      <w:ind w:left="0" w:right="-64" w:rightChars="-64" w:firstLine="0"/>
    </w:pPr>
    <w:rPr>
      <w:rFonts w:ascii="黑体" w:hAnsi="黑体" w:eastAsia="黑体" w:cs="Times New Roman"/>
      <w:b w:val="0"/>
      <w:bCs w:val="0"/>
      <w:kern w:val="2"/>
      <w:sz w:val="24"/>
      <w:szCs w:val="24"/>
      <w:lang w:val="en-US" w:bidi="ar-SA"/>
    </w:rPr>
  </w:style>
  <w:style w:type="paragraph" w:customStyle="1" w:styleId="464">
    <w:name w:val="xl1109"/>
    <w:basedOn w:val="1"/>
    <w:qFormat/>
    <w:uiPriority w:val="99"/>
    <w:pPr>
      <w:widowControl/>
      <w:pBdr>
        <w:bottom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465">
    <w:name w:val="正文小四"/>
    <w:basedOn w:val="1"/>
    <w:qFormat/>
    <w:uiPriority w:val="99"/>
    <w:pPr>
      <w:snapToGrid w:val="0"/>
      <w:spacing w:line="500" w:lineRule="exact"/>
      <w:ind w:firstLine="200" w:firstLineChars="200"/>
      <w:jc w:val="both"/>
    </w:pPr>
    <w:rPr>
      <w:rFonts w:ascii="Times New Roman" w:hAnsi="Times New Roman" w:cs="Times New Roman"/>
      <w:color w:val="000000"/>
      <w:kern w:val="2"/>
      <w:sz w:val="24"/>
      <w:szCs w:val="20"/>
      <w:lang w:val="en-US" w:bidi="ar-SA"/>
    </w:rPr>
  </w:style>
  <w:style w:type="paragraph" w:customStyle="1" w:styleId="466">
    <w:name w:val="xl141"/>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8"/>
      <w:szCs w:val="28"/>
      <w:lang w:val="en-US" w:bidi="ar-SA"/>
    </w:rPr>
  </w:style>
  <w:style w:type="paragraph" w:customStyle="1" w:styleId="467">
    <w:name w:val="xl1097"/>
    <w:basedOn w:val="1"/>
    <w:qFormat/>
    <w:uiPriority w:val="99"/>
    <w:pPr>
      <w:widowControl/>
      <w:autoSpaceDE/>
      <w:autoSpaceDN/>
      <w:snapToGrid w:val="0"/>
      <w:spacing w:before="100" w:beforeAutospacing="1" w:after="100" w:afterAutospacing="1"/>
      <w:ind w:firstLine="480" w:firstLineChars="200"/>
    </w:pPr>
    <w:rPr>
      <w:rFonts w:ascii="仿宋_GB2312" w:eastAsia="仿宋_GB2312" w:cs="Times New Roman"/>
      <w:color w:val="000000"/>
      <w:sz w:val="24"/>
      <w:szCs w:val="28"/>
      <w:lang w:val="en-US" w:bidi="ar-SA"/>
    </w:rPr>
  </w:style>
  <w:style w:type="character" w:customStyle="1" w:styleId="468">
    <w:name w:val="0-表/图名 字符"/>
    <w:link w:val="469"/>
    <w:qFormat/>
    <w:uiPriority w:val="0"/>
    <w:rPr>
      <w:rFonts w:ascii="黑体" w:hAnsi="黑体" w:eastAsia="黑体"/>
      <w:sz w:val="24"/>
    </w:rPr>
  </w:style>
  <w:style w:type="paragraph" w:customStyle="1" w:styleId="469">
    <w:name w:val="0-表/图名"/>
    <w:basedOn w:val="419"/>
    <w:link w:val="468"/>
    <w:qFormat/>
    <w:uiPriority w:val="0"/>
    <w:rPr>
      <w:rFonts w:ascii="黑体" w:hAnsi="黑体" w:eastAsia="黑体"/>
      <w:sz w:val="24"/>
    </w:rPr>
  </w:style>
  <w:style w:type="paragraph" w:customStyle="1" w:styleId="470">
    <w:name w:val="YB目小四黑三"/>
    <w:basedOn w:val="1"/>
    <w:next w:val="1"/>
    <w:qFormat/>
    <w:uiPriority w:val="99"/>
    <w:pPr>
      <w:snapToGrid w:val="0"/>
      <w:spacing w:line="500" w:lineRule="exact"/>
      <w:ind w:firstLine="480" w:firstLineChars="200"/>
      <w:outlineLvl w:val="2"/>
    </w:pPr>
    <w:rPr>
      <w:rFonts w:ascii="Times New Roman" w:hAnsi="Times New Roman" w:eastAsia="黑体" w:cs="Times New Roman"/>
      <w:color w:val="000000"/>
      <w:kern w:val="2"/>
      <w:sz w:val="24"/>
      <w:szCs w:val="20"/>
      <w:lang w:val="en-US" w:bidi="ar-SA"/>
    </w:rPr>
  </w:style>
  <w:style w:type="paragraph" w:customStyle="1" w:styleId="471">
    <w:name w:val="font17"/>
    <w:basedOn w:val="1"/>
    <w:qFormat/>
    <w:uiPriority w:val="99"/>
    <w:pPr>
      <w:widowControl/>
      <w:autoSpaceDE/>
      <w:autoSpaceDN/>
      <w:snapToGrid w:val="0"/>
      <w:spacing w:before="100" w:beforeAutospacing="1" w:after="100" w:afterAutospacing="1"/>
      <w:ind w:firstLine="480" w:firstLineChars="200"/>
    </w:pPr>
    <w:rPr>
      <w:b/>
      <w:bCs/>
      <w:color w:val="000000"/>
      <w:sz w:val="48"/>
      <w:szCs w:val="48"/>
      <w:lang w:val="en-US" w:bidi="ar-SA"/>
    </w:rPr>
  </w:style>
  <w:style w:type="paragraph" w:customStyle="1" w:styleId="472">
    <w:name w:val="首缩"/>
    <w:basedOn w:val="1"/>
    <w:qFormat/>
    <w:uiPriority w:val="99"/>
    <w:pPr>
      <w:tabs>
        <w:tab w:val="left" w:pos="540"/>
      </w:tabs>
      <w:adjustRightInd w:val="0"/>
      <w:snapToGrid w:val="0"/>
      <w:spacing w:line="360" w:lineRule="auto"/>
      <w:ind w:firstLine="482" w:firstLineChars="200"/>
    </w:pPr>
    <w:rPr>
      <w:rFonts w:cs="Times New Roman"/>
      <w:color w:val="000000"/>
      <w:sz w:val="24"/>
      <w:szCs w:val="20"/>
      <w:lang w:val="en-US" w:bidi="ar-SA"/>
    </w:rPr>
  </w:style>
  <w:style w:type="paragraph" w:customStyle="1" w:styleId="473">
    <w:name w:val="Heading"/>
    <w:basedOn w:val="1"/>
    <w:qFormat/>
    <w:uiPriority w:val="99"/>
    <w:pPr>
      <w:widowControl/>
      <w:autoSpaceDE/>
      <w:autoSpaceDN/>
      <w:snapToGrid w:val="0"/>
      <w:spacing w:before="120" w:after="120"/>
      <w:ind w:firstLine="480" w:firstLineChars="200"/>
    </w:pPr>
    <w:rPr>
      <w:rFonts w:ascii="Calibri" w:hAnsi="Calibri" w:cs="Times New Roman"/>
      <w:b/>
      <w:color w:val="000000"/>
      <w:sz w:val="44"/>
      <w:szCs w:val="20"/>
      <w:u w:val="single"/>
      <w:lang w:val="en-US" w:bidi="ar-SA"/>
    </w:rPr>
  </w:style>
  <w:style w:type="character" w:customStyle="1" w:styleId="474">
    <w:name w:val="表内容 Char"/>
    <w:link w:val="475"/>
    <w:qFormat/>
    <w:uiPriority w:val="0"/>
    <w:rPr>
      <w:rFonts w:ascii="仿宋_GB2312" w:eastAsia="仿宋_GB2312"/>
      <w:color w:val="000000"/>
      <w:sz w:val="24"/>
    </w:rPr>
  </w:style>
  <w:style w:type="paragraph" w:customStyle="1" w:styleId="475">
    <w:name w:val="表内容"/>
    <w:basedOn w:val="351"/>
    <w:next w:val="476"/>
    <w:link w:val="474"/>
    <w:qFormat/>
    <w:uiPriority w:val="0"/>
    <w:pPr>
      <w:tabs>
        <w:tab w:val="left" w:pos="8640"/>
      </w:tabs>
      <w:autoSpaceDE w:val="0"/>
      <w:autoSpaceDN w:val="0"/>
      <w:adjustRightInd w:val="0"/>
      <w:spacing w:line="324" w:lineRule="auto"/>
      <w:jc w:val="both"/>
    </w:pPr>
    <w:rPr>
      <w:rFonts w:ascii="仿宋_GB2312" w:eastAsia="仿宋_GB2312"/>
      <w:kern w:val="0"/>
      <w:szCs w:val="20"/>
    </w:rPr>
  </w:style>
  <w:style w:type="paragraph" w:customStyle="1" w:styleId="476">
    <w:name w:val="！正文"/>
    <w:basedOn w:val="1"/>
    <w:qFormat/>
    <w:uiPriority w:val="99"/>
    <w:pPr>
      <w:autoSpaceDE/>
      <w:autoSpaceDN/>
      <w:snapToGrid w:val="0"/>
      <w:spacing w:line="360" w:lineRule="auto"/>
      <w:ind w:firstLine="480" w:firstLineChars="200"/>
      <w:jc w:val="both"/>
    </w:pPr>
    <w:rPr>
      <w:rFonts w:ascii="Times New Roman" w:hAnsi="Times New Roman" w:cs="Times New Roman"/>
      <w:color w:val="000000"/>
      <w:kern w:val="2"/>
      <w:sz w:val="24"/>
      <w:lang w:val="en-US" w:bidi="ar-SA"/>
    </w:rPr>
  </w:style>
  <w:style w:type="paragraph" w:customStyle="1" w:styleId="477">
    <w:name w:val="样式 (中文) 楷体_GB2312 小四 黑色 首行缩进:  2 字符"/>
    <w:basedOn w:val="1"/>
    <w:semiHidden/>
    <w:qFormat/>
    <w:uiPriority w:val="99"/>
    <w:pPr>
      <w:autoSpaceDE/>
      <w:autoSpaceDN/>
      <w:snapToGrid w:val="0"/>
      <w:ind w:firstLine="480" w:firstLineChars="200"/>
      <w:jc w:val="both"/>
    </w:pPr>
    <w:rPr>
      <w:color w:val="000000"/>
      <w:kern w:val="2"/>
      <w:sz w:val="24"/>
      <w:szCs w:val="20"/>
      <w:lang w:val="en-US" w:bidi="ar-SA"/>
    </w:rPr>
  </w:style>
  <w:style w:type="paragraph" w:customStyle="1" w:styleId="478">
    <w:name w:val="标题四"/>
    <w:basedOn w:val="413"/>
    <w:next w:val="1"/>
    <w:qFormat/>
    <w:uiPriority w:val="99"/>
    <w:pPr>
      <w:tabs>
        <w:tab w:val="left" w:pos="1701"/>
      </w:tabs>
      <w:ind w:left="2149" w:hanging="851"/>
      <w:outlineLvl w:val="3"/>
    </w:pPr>
    <w:rPr>
      <w:rFonts w:ascii="Times New Roman" w:hAnsi="Times New Roman"/>
      <w:bCs w:val="0"/>
    </w:rPr>
  </w:style>
  <w:style w:type="paragraph" w:customStyle="1" w:styleId="479">
    <w:name w:val="Char Char Char Char Char Char Char Char Char Char Char Char1 Char Char Char Char"/>
    <w:basedOn w:val="1"/>
    <w:qFormat/>
    <w:uiPriority w:val="99"/>
    <w:pPr>
      <w:widowControl/>
      <w:autoSpaceDE/>
      <w:autoSpaceDN/>
      <w:snapToGrid w:val="0"/>
      <w:spacing w:after="160" w:line="240" w:lineRule="exact"/>
      <w:ind w:firstLine="480" w:firstLineChars="200"/>
      <w:jc w:val="center"/>
    </w:pPr>
    <w:rPr>
      <w:rFonts w:ascii="黑体" w:hAnsi="Verdana" w:eastAsia="黑体"/>
      <w:color w:val="000000"/>
      <w:sz w:val="32"/>
      <w:szCs w:val="32"/>
      <w:lang w:val="en-US" w:eastAsia="en-US" w:bidi="ar-SA"/>
    </w:rPr>
  </w:style>
  <w:style w:type="paragraph" w:customStyle="1" w:styleId="480">
    <w:name w:val="xl1126"/>
    <w:basedOn w:val="1"/>
    <w:qFormat/>
    <w:uiPriority w:val="99"/>
    <w:pPr>
      <w:widowControl/>
      <w:pBdr>
        <w:right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FFFFFF"/>
      <w:sz w:val="20"/>
      <w:szCs w:val="20"/>
      <w:lang w:val="en-US" w:bidi="ar-SA"/>
    </w:rPr>
  </w:style>
  <w:style w:type="paragraph" w:customStyle="1" w:styleId="481">
    <w:name w:val="Char1"/>
    <w:basedOn w:val="1"/>
    <w:qFormat/>
    <w:uiPriority w:val="99"/>
    <w:pPr>
      <w:autoSpaceDE/>
      <w:autoSpaceDN/>
      <w:snapToGrid w:val="0"/>
      <w:ind w:firstLine="480" w:firstLineChars="200"/>
      <w:jc w:val="both"/>
    </w:pPr>
    <w:rPr>
      <w:rFonts w:ascii="Times New Roman" w:hAnsi="Times New Roman" w:cs="Times New Roman"/>
      <w:color w:val="000000"/>
      <w:kern w:val="2"/>
      <w:sz w:val="24"/>
      <w:szCs w:val="24"/>
      <w:lang w:val="en-US" w:bidi="ar-SA"/>
    </w:rPr>
  </w:style>
  <w:style w:type="paragraph" w:customStyle="1" w:styleId="482">
    <w:name w:val="xl1105"/>
    <w:basedOn w:val="1"/>
    <w:qFormat/>
    <w:uiPriority w:val="99"/>
    <w:pPr>
      <w:widowControl/>
      <w:pBdr>
        <w:right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483">
    <w:name w:val="1表"/>
    <w:basedOn w:val="1"/>
    <w:qFormat/>
    <w:uiPriority w:val="99"/>
    <w:pPr>
      <w:autoSpaceDE/>
      <w:autoSpaceDN/>
      <w:snapToGrid w:val="0"/>
      <w:spacing w:line="360" w:lineRule="auto"/>
      <w:ind w:left="360" w:right="210" w:firstLine="480" w:firstLineChars="200"/>
      <w:jc w:val="center"/>
    </w:pPr>
    <w:rPr>
      <w:rFonts w:ascii="Times New Roman" w:hAnsi="Times New Roman" w:cs="Times New Roman"/>
      <w:color w:val="000000"/>
      <w:sz w:val="28"/>
      <w:szCs w:val="20"/>
      <w:lang w:val="en-US" w:bidi="ar-SA"/>
    </w:rPr>
  </w:style>
  <w:style w:type="paragraph" w:customStyle="1" w:styleId="484">
    <w:name w:val="Char Char Char Char Char Char Char1"/>
    <w:basedOn w:val="1"/>
    <w:qFormat/>
    <w:uiPriority w:val="99"/>
    <w:pPr>
      <w:autoSpaceDE/>
      <w:autoSpaceDN/>
      <w:adjustRightInd w:val="0"/>
      <w:snapToGrid w:val="0"/>
      <w:spacing w:line="360" w:lineRule="auto"/>
      <w:ind w:firstLine="200" w:firstLineChars="200"/>
      <w:jc w:val="both"/>
    </w:pPr>
    <w:rPr>
      <w:rFonts w:ascii="Times New Roman" w:hAnsi="Times New Roman" w:cs="Times New Roman"/>
      <w:color w:val="000000"/>
      <w:kern w:val="2"/>
      <w:sz w:val="28"/>
      <w:szCs w:val="20"/>
      <w:lang w:val="en-US" w:bidi="ar-SA"/>
    </w:rPr>
  </w:style>
  <w:style w:type="paragraph" w:customStyle="1" w:styleId="485">
    <w:name w:val="列表编号1"/>
    <w:basedOn w:val="1"/>
    <w:semiHidden/>
    <w:qFormat/>
    <w:uiPriority w:val="99"/>
    <w:pPr>
      <w:tabs>
        <w:tab w:val="left" w:pos="2070"/>
      </w:tabs>
      <w:suppressAutoHyphens/>
      <w:autoSpaceDE/>
      <w:autoSpaceDN/>
      <w:snapToGrid w:val="0"/>
      <w:spacing w:line="360" w:lineRule="auto"/>
      <w:ind w:left="2070" w:hanging="510" w:firstLineChars="200"/>
    </w:pPr>
    <w:rPr>
      <w:color w:val="000000"/>
      <w:kern w:val="2"/>
      <w:sz w:val="28"/>
      <w:szCs w:val="28"/>
      <w:lang w:val="en-US" w:eastAsia="ar-SA" w:bidi="ar-SA"/>
    </w:rPr>
  </w:style>
  <w:style w:type="paragraph" w:customStyle="1" w:styleId="486">
    <w:name w:val="正文文字( 首段缩进两字）"/>
    <w:basedOn w:val="1"/>
    <w:next w:val="32"/>
    <w:qFormat/>
    <w:uiPriority w:val="99"/>
    <w:pPr>
      <w:autoSpaceDE/>
      <w:autoSpaceDN/>
      <w:snapToGrid w:val="0"/>
      <w:spacing w:after="120" w:line="360" w:lineRule="auto"/>
      <w:ind w:firstLine="480" w:firstLineChars="200"/>
      <w:jc w:val="both"/>
    </w:pPr>
    <w:rPr>
      <w:rFonts w:ascii="Times New Roman" w:hAnsi="Times New Roman" w:cs="Times New Roman"/>
      <w:color w:val="000000"/>
      <w:kern w:val="2"/>
      <w:sz w:val="16"/>
      <w:szCs w:val="20"/>
      <w:lang w:val="en-US" w:bidi="ar-SA"/>
    </w:rPr>
  </w:style>
  <w:style w:type="paragraph" w:customStyle="1" w:styleId="487">
    <w:name w:val="正文文字0"/>
    <w:basedOn w:val="1"/>
    <w:qFormat/>
    <w:uiPriority w:val="99"/>
    <w:pPr>
      <w:keepNext/>
      <w:autoSpaceDE/>
      <w:autoSpaceDN/>
      <w:adjustRightInd w:val="0"/>
      <w:snapToGrid w:val="0"/>
      <w:spacing w:line="430" w:lineRule="exact"/>
      <w:ind w:right="-64" w:rightChars="-64" w:firstLine="480" w:firstLineChars="200"/>
    </w:pPr>
    <w:rPr>
      <w:rFonts w:ascii="黑体" w:hAnsi="Calibri" w:cs="Times New Roman"/>
      <w:color w:val="000000"/>
      <w:sz w:val="24"/>
      <w:szCs w:val="24"/>
      <w:lang w:val="en-US" w:bidi="ar-SA"/>
    </w:rPr>
  </w:style>
  <w:style w:type="paragraph" w:customStyle="1" w:styleId="488">
    <w:name w:val="xl40"/>
    <w:basedOn w:val="1"/>
    <w:qFormat/>
    <w:uiPriority w:val="99"/>
    <w:pPr>
      <w:widowControl/>
      <w:pBdr>
        <w:top w:val="single" w:color="auto" w:sz="4" w:space="0"/>
        <w:left w:val="single" w:color="auto" w:sz="4" w:space="0"/>
        <w:right w:val="single" w:color="auto" w:sz="4" w:space="0"/>
      </w:pBdr>
      <w:autoSpaceDE/>
      <w:autoSpaceDN/>
      <w:snapToGrid w:val="0"/>
      <w:spacing w:before="100" w:beforeAutospacing="1" w:after="100" w:afterAutospacing="1"/>
      <w:ind w:firstLine="480" w:firstLineChars="200"/>
    </w:pPr>
    <w:rPr>
      <w:rFonts w:cs="Times New Roman"/>
      <w:color w:val="0000FF"/>
      <w:sz w:val="12"/>
      <w:szCs w:val="12"/>
      <w:lang w:val="en-US" w:bidi="ar-SA"/>
    </w:rPr>
  </w:style>
  <w:style w:type="paragraph" w:customStyle="1" w:styleId="489">
    <w:name w:val="YB附图图头小四黑体-用于目录"/>
    <w:basedOn w:val="296"/>
    <w:next w:val="460"/>
    <w:qFormat/>
    <w:uiPriority w:val="99"/>
    <w:rPr>
      <w:color w:val="auto"/>
      <w:lang w:val="zh-CN"/>
    </w:rPr>
  </w:style>
  <w:style w:type="character" w:customStyle="1" w:styleId="490">
    <w:name w:val="YB正文小四宋体 Char"/>
    <w:link w:val="460"/>
    <w:qFormat/>
    <w:uiPriority w:val="99"/>
    <w:rPr>
      <w:kern w:val="2"/>
      <w:sz w:val="24"/>
    </w:rPr>
  </w:style>
  <w:style w:type="character" w:customStyle="1" w:styleId="491">
    <w:name w:val="+正文 Char"/>
    <w:link w:val="492"/>
    <w:qFormat/>
    <w:uiPriority w:val="0"/>
    <w:rPr>
      <w:kern w:val="2"/>
      <w:sz w:val="24"/>
      <w:szCs w:val="28"/>
    </w:rPr>
  </w:style>
  <w:style w:type="paragraph" w:customStyle="1" w:styleId="492">
    <w:name w:val="+正文"/>
    <w:basedOn w:val="1"/>
    <w:link w:val="491"/>
    <w:qFormat/>
    <w:uiPriority w:val="0"/>
    <w:pPr>
      <w:autoSpaceDE/>
      <w:autoSpaceDN/>
      <w:snapToGrid w:val="0"/>
      <w:spacing w:line="360" w:lineRule="auto"/>
      <w:ind w:firstLine="480" w:firstLineChars="200"/>
    </w:pPr>
    <w:rPr>
      <w:rFonts w:ascii="Times New Roman" w:hAnsi="Times New Roman" w:cs="Times New Roman"/>
      <w:kern w:val="2"/>
      <w:sz w:val="24"/>
      <w:szCs w:val="28"/>
      <w:lang w:val="en-US" w:bidi="ar-SA"/>
    </w:rPr>
  </w:style>
  <w:style w:type="paragraph" w:customStyle="1" w:styleId="493">
    <w:name w:val="xl1136"/>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494">
    <w:name w:val="Char2 Char Char1 Char Char Char Char Char Char Char Char Char Char"/>
    <w:basedOn w:val="8"/>
    <w:qFormat/>
    <w:uiPriority w:val="99"/>
    <w:pPr>
      <w:keepNext/>
      <w:keepLines/>
      <w:widowControl/>
      <w:autoSpaceDE/>
      <w:autoSpaceDN/>
      <w:snapToGrid w:val="0"/>
      <w:spacing w:before="280" w:after="160" w:line="240" w:lineRule="exact"/>
      <w:ind w:left="0" w:firstLine="0"/>
    </w:pPr>
    <w:rPr>
      <w:rFonts w:ascii="Verdana" w:hAnsi="Verdana" w:eastAsia="等线" w:cs="Times New Roman"/>
      <w:sz w:val="20"/>
      <w:szCs w:val="20"/>
      <w:lang w:eastAsia="en-US" w:bidi="ar-SA"/>
    </w:rPr>
  </w:style>
  <w:style w:type="paragraph" w:customStyle="1" w:styleId="495">
    <w:name w:val="Char2 Char Char"/>
    <w:basedOn w:val="1"/>
    <w:qFormat/>
    <w:uiPriority w:val="99"/>
    <w:pPr>
      <w:autoSpaceDE/>
      <w:autoSpaceDN/>
      <w:snapToGrid w:val="0"/>
      <w:spacing w:line="360" w:lineRule="auto"/>
      <w:ind w:firstLine="200" w:firstLineChars="200"/>
      <w:jc w:val="both"/>
    </w:pPr>
    <w:rPr>
      <w:rFonts w:cs="Times New Roman"/>
      <w:color w:val="000000"/>
      <w:kern w:val="2"/>
      <w:sz w:val="24"/>
      <w:szCs w:val="20"/>
      <w:lang w:val="en-US" w:bidi="ar-SA"/>
    </w:rPr>
  </w:style>
  <w:style w:type="paragraph" w:customStyle="1" w:styleId="496">
    <w:name w:val="表格对中"/>
    <w:basedOn w:val="1"/>
    <w:qFormat/>
    <w:uiPriority w:val="99"/>
    <w:pPr>
      <w:keepNext/>
      <w:autoSpaceDE/>
      <w:autoSpaceDN/>
      <w:adjustRightInd w:val="0"/>
      <w:snapToGrid w:val="0"/>
      <w:spacing w:line="360" w:lineRule="exact"/>
      <w:ind w:right="-64" w:rightChars="-64" w:firstLine="200" w:firstLineChars="200"/>
      <w:jc w:val="center"/>
    </w:pPr>
    <w:rPr>
      <w:rFonts w:ascii="黑体" w:hAnsi="Calibri" w:cs="Times New Roman"/>
      <w:color w:val="000000"/>
      <w:sz w:val="24"/>
      <w:lang w:val="en-US" w:bidi="ar-SA"/>
    </w:rPr>
  </w:style>
  <w:style w:type="paragraph" w:customStyle="1" w:styleId="497">
    <w:name w:val="样式 表格2 + 宋体"/>
    <w:basedOn w:val="1"/>
    <w:qFormat/>
    <w:uiPriority w:val="99"/>
    <w:pPr>
      <w:autoSpaceDE/>
      <w:autoSpaceDN/>
      <w:adjustRightInd w:val="0"/>
      <w:snapToGrid w:val="0"/>
      <w:spacing w:line="460" w:lineRule="exact"/>
      <w:ind w:firstLine="480" w:firstLineChars="200"/>
      <w:jc w:val="center"/>
    </w:pPr>
    <w:rPr>
      <w:rFonts w:cs="Times New Roman"/>
      <w:color w:val="000000"/>
      <w:kern w:val="2"/>
      <w:sz w:val="21"/>
      <w:szCs w:val="21"/>
      <w:lang w:val="en-US" w:bidi="ar-SA"/>
    </w:rPr>
  </w:style>
  <w:style w:type="paragraph" w:customStyle="1" w:styleId="498">
    <w:name w:val="z正文 Char Char Char Char Char Char Char"/>
    <w:basedOn w:val="1"/>
    <w:semiHidden/>
    <w:qFormat/>
    <w:uiPriority w:val="99"/>
    <w:pPr>
      <w:autoSpaceDE/>
      <w:autoSpaceDN/>
      <w:snapToGrid w:val="0"/>
      <w:spacing w:line="460" w:lineRule="exact"/>
      <w:ind w:firstLine="200" w:firstLineChars="200"/>
      <w:jc w:val="both"/>
    </w:pPr>
    <w:rPr>
      <w:color w:val="000000"/>
      <w:kern w:val="2"/>
      <w:sz w:val="24"/>
      <w:szCs w:val="24"/>
      <w:lang w:val="en-US" w:bidi="ar-SA"/>
    </w:rPr>
  </w:style>
  <w:style w:type="character" w:customStyle="1" w:styleId="499">
    <w:name w:val="1.1.1.1 XXX Char"/>
    <w:link w:val="500"/>
    <w:qFormat/>
    <w:uiPriority w:val="0"/>
    <w:rPr>
      <w:sz w:val="24"/>
      <w:szCs w:val="52"/>
    </w:rPr>
  </w:style>
  <w:style w:type="paragraph" w:customStyle="1" w:styleId="500">
    <w:name w:val="1.1.1.1 XXX"/>
    <w:basedOn w:val="307"/>
    <w:next w:val="307"/>
    <w:link w:val="499"/>
    <w:qFormat/>
    <w:uiPriority w:val="0"/>
    <w:pPr>
      <w:adjustRightInd w:val="0"/>
      <w:ind w:firstLine="0" w:firstLineChars="0"/>
      <w:jc w:val="left"/>
      <w:outlineLvl w:val="3"/>
    </w:pPr>
    <w:rPr>
      <w:szCs w:val="52"/>
    </w:rPr>
  </w:style>
  <w:style w:type="character" w:customStyle="1" w:styleId="501">
    <w:name w:val="正文 XXX Char"/>
    <w:link w:val="307"/>
    <w:qFormat/>
    <w:uiPriority w:val="99"/>
    <w:rPr>
      <w:sz w:val="24"/>
    </w:rPr>
  </w:style>
  <w:style w:type="paragraph" w:customStyle="1" w:styleId="502">
    <w:name w:val="t1"/>
    <w:basedOn w:val="1"/>
    <w:qFormat/>
    <w:uiPriority w:val="99"/>
    <w:pPr>
      <w:adjustRightInd w:val="0"/>
      <w:snapToGrid w:val="0"/>
      <w:spacing w:line="440" w:lineRule="atLeast"/>
      <w:ind w:firstLine="480" w:firstLineChars="200"/>
    </w:pPr>
    <w:rPr>
      <w:rFonts w:ascii="Times New Roman" w:hAnsi="Times New Roman" w:eastAsia="PMingLiU" w:cs="Times New Roman"/>
      <w:color w:val="000000"/>
      <w:sz w:val="24"/>
      <w:szCs w:val="20"/>
      <w:lang w:val="en-US" w:eastAsia="zh-TW" w:bidi="ar-SA"/>
    </w:rPr>
  </w:style>
  <w:style w:type="paragraph" w:customStyle="1" w:styleId="503">
    <w:name w:val="标准正文"/>
    <w:basedOn w:val="1"/>
    <w:qFormat/>
    <w:uiPriority w:val="99"/>
    <w:pPr>
      <w:keepNext/>
      <w:autoSpaceDE/>
      <w:autoSpaceDN/>
      <w:snapToGrid w:val="0"/>
      <w:spacing w:line="440" w:lineRule="exact"/>
      <w:ind w:right="-64" w:rightChars="-64" w:firstLine="560" w:firstLineChars="200"/>
    </w:pPr>
    <w:rPr>
      <w:rFonts w:ascii="仿宋_GB2312" w:hAnsi="Calibri" w:eastAsia="仿宋_GB2312" w:cs="Times New Roman"/>
      <w:color w:val="000000"/>
      <w:kern w:val="2"/>
      <w:sz w:val="28"/>
      <w:lang w:val="en-US" w:bidi="ar-SA"/>
    </w:rPr>
  </w:style>
  <w:style w:type="paragraph" w:customStyle="1" w:styleId="504">
    <w:name w:val="TOC 92"/>
    <w:basedOn w:val="1"/>
    <w:next w:val="1"/>
    <w:qFormat/>
    <w:uiPriority w:val="39"/>
    <w:pPr>
      <w:autoSpaceDE/>
      <w:autoSpaceDN/>
      <w:snapToGrid w:val="0"/>
      <w:ind w:left="3360" w:leftChars="1600" w:firstLine="480" w:firstLineChars="200"/>
      <w:jc w:val="both"/>
    </w:pPr>
    <w:rPr>
      <w:rFonts w:ascii="等线" w:hAnsi="等线" w:eastAsia="等线" w:cs="Times New Roman"/>
      <w:color w:val="000000"/>
      <w:kern w:val="2"/>
      <w:sz w:val="21"/>
      <w:lang w:val="en-US" w:bidi="ar-SA"/>
    </w:rPr>
  </w:style>
  <w:style w:type="paragraph" w:customStyle="1" w:styleId="505">
    <w:name w:val="Char Char Char Char Char Char1 Char4"/>
    <w:basedOn w:val="1"/>
    <w:qFormat/>
    <w:uiPriority w:val="99"/>
    <w:pPr>
      <w:autoSpaceDE/>
      <w:autoSpaceDN/>
      <w:snapToGrid w:val="0"/>
      <w:spacing w:line="360" w:lineRule="auto"/>
      <w:ind w:firstLine="480" w:firstLineChars="200"/>
      <w:jc w:val="both"/>
    </w:pPr>
    <w:rPr>
      <w:rFonts w:ascii="Times New Roman" w:hAnsi="Times New Roman"/>
      <w:color w:val="000000"/>
      <w:kern w:val="2"/>
      <w:sz w:val="24"/>
      <w:szCs w:val="24"/>
      <w:lang w:val="en-US" w:bidi="ar-SA"/>
    </w:rPr>
  </w:style>
  <w:style w:type="paragraph" w:customStyle="1" w:styleId="506">
    <w:name w:val="标准中文版式_正文"/>
    <w:basedOn w:val="1"/>
    <w:semiHidden/>
    <w:qFormat/>
    <w:uiPriority w:val="99"/>
    <w:pPr>
      <w:autoSpaceDE/>
      <w:autoSpaceDN/>
      <w:snapToGrid w:val="0"/>
      <w:spacing w:before="30" w:line="360" w:lineRule="auto"/>
      <w:ind w:firstLine="480" w:firstLineChars="200"/>
      <w:jc w:val="both"/>
    </w:pPr>
    <w:rPr>
      <w:rFonts w:ascii="Arial" w:hAnsi="Arial"/>
      <w:color w:val="000000"/>
      <w:kern w:val="2"/>
      <w:sz w:val="28"/>
      <w:szCs w:val="20"/>
      <w:lang w:val="en-US" w:bidi="ar-SA"/>
    </w:rPr>
  </w:style>
  <w:style w:type="paragraph" w:customStyle="1" w:styleId="507">
    <w:name w:val="xl77"/>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autoSpaceDE/>
      <w:autoSpaceDN/>
      <w:snapToGrid w:val="0"/>
      <w:spacing w:before="100" w:beforeAutospacing="1" w:after="100" w:afterAutospacing="1"/>
      <w:ind w:firstLine="480" w:firstLineChars="200"/>
      <w:jc w:val="center"/>
    </w:pPr>
    <w:rPr>
      <w:rFonts w:ascii="楷体" w:eastAsia="楷体" w:cs="Times New Roman"/>
      <w:color w:val="FF0000"/>
      <w:sz w:val="12"/>
      <w:szCs w:val="12"/>
      <w:lang w:val="en-US" w:bidi="ar-SA"/>
    </w:rPr>
  </w:style>
  <w:style w:type="paragraph" w:customStyle="1" w:styleId="508">
    <w:name w:val="1.1.1"/>
    <w:basedOn w:val="6"/>
    <w:qFormat/>
    <w:uiPriority w:val="99"/>
    <w:pPr>
      <w:widowControl/>
      <w:autoSpaceDE/>
      <w:autoSpaceDN/>
      <w:adjustRightInd w:val="0"/>
      <w:snapToGrid w:val="0"/>
      <w:spacing w:before="60" w:after="60" w:line="460" w:lineRule="exact"/>
      <w:ind w:left="941" w:right="0" w:hanging="701"/>
    </w:pPr>
    <w:rPr>
      <w:rFonts w:ascii="Times New Roman" w:hAnsi="Times New Roman" w:eastAsia="黑体" w:cs="Times New Roman"/>
      <w:b/>
      <w:bCs/>
      <w:kern w:val="10"/>
      <w:sz w:val="24"/>
      <w:szCs w:val="32"/>
      <w:lang w:val="en-US" w:bidi="ar-SA"/>
    </w:rPr>
  </w:style>
  <w:style w:type="character" w:customStyle="1" w:styleId="509">
    <w:name w:val="样式 2正文宋 + 浅橙色 首行缩进:  2 字符 段后: 0.25 行 Char Char"/>
    <w:link w:val="510"/>
    <w:qFormat/>
    <w:uiPriority w:val="0"/>
    <w:rPr>
      <w:rFonts w:ascii="宋体" w:hAnsi="宋体" w:cs="宋体"/>
      <w:sz w:val="28"/>
      <w:szCs w:val="28"/>
    </w:rPr>
  </w:style>
  <w:style w:type="paragraph" w:customStyle="1" w:styleId="510">
    <w:name w:val="样式 2正文宋 + 浅橙色 首行缩进:  2 字符 段后: 0.25 行"/>
    <w:basedOn w:val="1"/>
    <w:link w:val="509"/>
    <w:qFormat/>
    <w:uiPriority w:val="0"/>
    <w:pPr>
      <w:autoSpaceDE/>
      <w:autoSpaceDN/>
      <w:snapToGrid w:val="0"/>
      <w:spacing w:afterLines="25"/>
      <w:ind w:firstLine="560" w:firstLineChars="200"/>
      <w:jc w:val="both"/>
    </w:pPr>
    <w:rPr>
      <w:sz w:val="28"/>
      <w:szCs w:val="28"/>
      <w:lang w:val="en-US" w:bidi="ar-SA"/>
    </w:rPr>
  </w:style>
  <w:style w:type="character" w:customStyle="1" w:styleId="511">
    <w:name w:val="表格标题 (4)_"/>
    <w:link w:val="512"/>
    <w:qFormat/>
    <w:uiPriority w:val="0"/>
    <w:rPr>
      <w:rFonts w:ascii="MingLiU" w:hAnsi="MingLiU" w:eastAsia="MingLiU" w:cs="MingLiU"/>
      <w:spacing w:val="60"/>
      <w:sz w:val="16"/>
      <w:szCs w:val="16"/>
      <w:shd w:val="clear" w:color="auto" w:fill="FFFFFF"/>
    </w:rPr>
  </w:style>
  <w:style w:type="paragraph" w:customStyle="1" w:styleId="512">
    <w:name w:val="表格标题 (4)"/>
    <w:basedOn w:val="1"/>
    <w:link w:val="511"/>
    <w:qFormat/>
    <w:uiPriority w:val="0"/>
    <w:pPr>
      <w:shd w:val="clear" w:color="auto" w:fill="FFFFFF"/>
      <w:autoSpaceDE/>
      <w:autoSpaceDN/>
      <w:snapToGrid w:val="0"/>
      <w:spacing w:line="0" w:lineRule="atLeast"/>
      <w:ind w:firstLine="480" w:firstLineChars="200"/>
    </w:pPr>
    <w:rPr>
      <w:rFonts w:ascii="MingLiU" w:hAnsi="MingLiU" w:eastAsia="MingLiU" w:cs="MingLiU"/>
      <w:spacing w:val="60"/>
      <w:sz w:val="16"/>
      <w:szCs w:val="16"/>
      <w:lang w:val="en-US" w:bidi="ar-SA"/>
    </w:rPr>
  </w:style>
  <w:style w:type="paragraph" w:customStyle="1" w:styleId="513">
    <w:name w:val="陈竹包2号标题"/>
    <w:basedOn w:val="1"/>
    <w:next w:val="87"/>
    <w:qFormat/>
    <w:uiPriority w:val="99"/>
    <w:pPr>
      <w:keepNext/>
      <w:keepLines/>
      <w:autoSpaceDE/>
      <w:autoSpaceDN/>
      <w:snapToGrid w:val="0"/>
      <w:spacing w:before="360" w:after="200" w:line="560" w:lineRule="exact"/>
      <w:ind w:firstLine="480" w:firstLineChars="200"/>
      <w:jc w:val="both"/>
      <w:outlineLvl w:val="1"/>
    </w:pPr>
    <w:rPr>
      <w:rFonts w:ascii="Times New Roman" w:hAnsi="Times New Roman" w:eastAsia="黑体" w:cs="Times New Roman"/>
      <w:bCs/>
      <w:color w:val="000000"/>
      <w:kern w:val="2"/>
      <w:sz w:val="28"/>
      <w:szCs w:val="28"/>
      <w:lang w:val="en-US" w:bidi="ar-SA"/>
    </w:rPr>
  </w:style>
  <w:style w:type="paragraph" w:customStyle="1" w:styleId="514">
    <w:name w:val="表标题"/>
    <w:basedOn w:val="1"/>
    <w:next w:val="1"/>
    <w:qFormat/>
    <w:uiPriority w:val="99"/>
    <w:pPr>
      <w:autoSpaceDE/>
      <w:autoSpaceDN/>
      <w:snapToGrid w:val="0"/>
      <w:ind w:firstLine="480" w:firstLineChars="200"/>
      <w:jc w:val="center"/>
    </w:pPr>
    <w:rPr>
      <w:rFonts w:ascii="Times New Roman" w:hAnsi="Times New Roman" w:cs="Times New Roman"/>
      <w:color w:val="000000"/>
      <w:kern w:val="2"/>
      <w:sz w:val="21"/>
      <w:szCs w:val="24"/>
      <w:lang w:val="en-US" w:bidi="ar-SA"/>
    </w:rPr>
  </w:style>
  <w:style w:type="character" w:customStyle="1" w:styleId="515">
    <w:name w:val="表&amp;图 Char"/>
    <w:link w:val="516"/>
    <w:qFormat/>
    <w:uiPriority w:val="0"/>
    <w:rPr>
      <w:rFonts w:ascii="黑体" w:hAnsi="黑体" w:eastAsia="黑体"/>
      <w:kern w:val="2"/>
      <w:sz w:val="24"/>
      <w:szCs w:val="21"/>
    </w:rPr>
  </w:style>
  <w:style w:type="paragraph" w:customStyle="1" w:styleId="516">
    <w:name w:val="表&amp;图"/>
    <w:basedOn w:val="1"/>
    <w:link w:val="515"/>
    <w:qFormat/>
    <w:uiPriority w:val="0"/>
    <w:pPr>
      <w:autoSpaceDE/>
      <w:autoSpaceDN/>
      <w:snapToGrid w:val="0"/>
      <w:spacing w:line="360" w:lineRule="auto"/>
      <w:ind w:firstLine="480" w:firstLineChars="200"/>
      <w:jc w:val="center"/>
    </w:pPr>
    <w:rPr>
      <w:rFonts w:ascii="黑体" w:hAnsi="黑体" w:eastAsia="黑体" w:cs="Times New Roman"/>
      <w:kern w:val="2"/>
      <w:sz w:val="24"/>
      <w:szCs w:val="21"/>
      <w:lang w:val="en-US" w:bidi="ar-SA"/>
    </w:rPr>
  </w:style>
  <w:style w:type="character" w:customStyle="1" w:styleId="517">
    <w:name w:val="第三级标题 Char"/>
    <w:link w:val="518"/>
    <w:qFormat/>
    <w:uiPriority w:val="1"/>
    <w:rPr>
      <w:rFonts w:eastAsia="黑体"/>
      <w:bCs/>
      <w:kern w:val="2"/>
      <w:sz w:val="28"/>
      <w:szCs w:val="32"/>
    </w:rPr>
  </w:style>
  <w:style w:type="paragraph" w:customStyle="1" w:styleId="518">
    <w:name w:val="第三级标题"/>
    <w:basedOn w:val="6"/>
    <w:next w:val="519"/>
    <w:link w:val="517"/>
    <w:qFormat/>
    <w:uiPriority w:val="1"/>
    <w:pPr>
      <w:widowControl/>
      <w:autoSpaceDE/>
      <w:autoSpaceDN/>
      <w:snapToGrid w:val="0"/>
      <w:spacing w:line="460" w:lineRule="exact"/>
      <w:ind w:left="941" w:right="0" w:hanging="701"/>
    </w:pPr>
    <w:rPr>
      <w:rFonts w:ascii="Times New Roman" w:hAnsi="Times New Roman" w:eastAsia="黑体" w:cs="Times New Roman"/>
      <w:bCs/>
      <w:kern w:val="2"/>
      <w:sz w:val="28"/>
      <w:szCs w:val="32"/>
      <w:lang w:val="en-US" w:bidi="ar-SA"/>
    </w:rPr>
  </w:style>
  <w:style w:type="paragraph" w:customStyle="1" w:styleId="519">
    <w:name w:val="文档正文"/>
    <w:basedOn w:val="1"/>
    <w:link w:val="539"/>
    <w:qFormat/>
    <w:uiPriority w:val="1"/>
    <w:pPr>
      <w:autoSpaceDE/>
      <w:autoSpaceDN/>
      <w:snapToGrid w:val="0"/>
      <w:spacing w:line="360" w:lineRule="auto"/>
      <w:ind w:firstLine="200" w:firstLineChars="200"/>
    </w:pPr>
    <w:rPr>
      <w:rFonts w:ascii="Times New Roman" w:hAnsi="Times New Roman" w:cs="Times New Roman"/>
      <w:sz w:val="24"/>
      <w:szCs w:val="20"/>
      <w:lang w:val="en-US" w:bidi="ar-SA"/>
    </w:rPr>
  </w:style>
  <w:style w:type="character" w:customStyle="1" w:styleId="520">
    <w:name w:val="fy正文 字符"/>
    <w:link w:val="521"/>
    <w:qFormat/>
    <w:uiPriority w:val="0"/>
    <w:rPr>
      <w:rFonts w:ascii="Calibri" w:hAnsi="Calibri" w:cs="Calibri"/>
      <w:kern w:val="2"/>
      <w:sz w:val="24"/>
      <w:szCs w:val="21"/>
    </w:rPr>
  </w:style>
  <w:style w:type="paragraph" w:customStyle="1" w:styleId="521">
    <w:name w:val="fy正文"/>
    <w:basedOn w:val="1"/>
    <w:link w:val="520"/>
    <w:qFormat/>
    <w:uiPriority w:val="0"/>
    <w:pPr>
      <w:autoSpaceDE/>
      <w:autoSpaceDN/>
      <w:snapToGrid w:val="0"/>
      <w:spacing w:line="360" w:lineRule="auto"/>
      <w:ind w:firstLine="200" w:firstLineChars="200"/>
    </w:pPr>
    <w:rPr>
      <w:rFonts w:ascii="Calibri" w:hAnsi="Calibri" w:cs="Calibri"/>
      <w:kern w:val="2"/>
      <w:sz w:val="24"/>
      <w:szCs w:val="21"/>
      <w:lang w:val="en-US" w:bidi="ar-SA"/>
    </w:rPr>
  </w:style>
  <w:style w:type="paragraph" w:customStyle="1" w:styleId="522">
    <w:name w:val="Char Char Char Char"/>
    <w:basedOn w:val="1"/>
    <w:qFormat/>
    <w:uiPriority w:val="99"/>
    <w:pPr>
      <w:autoSpaceDE/>
      <w:autoSpaceDN/>
      <w:snapToGrid w:val="0"/>
      <w:spacing w:line="360" w:lineRule="auto"/>
      <w:ind w:firstLine="480" w:firstLineChars="200"/>
    </w:pPr>
    <w:rPr>
      <w:rFonts w:ascii="Times New Roman" w:hAnsi="Times New Roman" w:cs="Times New Roman"/>
      <w:color w:val="000000"/>
      <w:kern w:val="2"/>
      <w:sz w:val="24"/>
      <w:szCs w:val="24"/>
      <w:lang w:val="en-US" w:bidi="ar-SA"/>
    </w:rPr>
  </w:style>
  <w:style w:type="paragraph" w:customStyle="1" w:styleId="523">
    <w:name w:val="xl56"/>
    <w:basedOn w:val="1"/>
    <w:qFormat/>
    <w:uiPriority w:val="99"/>
    <w:pPr>
      <w:widowControl/>
      <w:pBdr>
        <w:left w:val="single" w:color="auto" w:sz="4" w:space="0"/>
        <w:right w:val="single" w:color="auto" w:sz="4" w:space="0"/>
      </w:pBdr>
      <w:autoSpaceDE/>
      <w:autoSpaceDN/>
      <w:snapToGrid w:val="0"/>
      <w:spacing w:before="100" w:beforeAutospacing="1" w:after="100" w:afterAutospacing="1"/>
      <w:ind w:firstLine="480" w:firstLineChars="200"/>
    </w:pPr>
    <w:rPr>
      <w:rFonts w:ascii="楷体" w:eastAsia="楷体" w:cs="Times New Roman"/>
      <w:color w:val="0000FF"/>
      <w:sz w:val="12"/>
      <w:szCs w:val="12"/>
      <w:lang w:val="en-US" w:bidi="ar-SA"/>
    </w:rPr>
  </w:style>
  <w:style w:type="character" w:customStyle="1" w:styleId="524">
    <w:name w:val="文本格式 Char"/>
    <w:link w:val="525"/>
    <w:qFormat/>
    <w:uiPriority w:val="0"/>
    <w:rPr>
      <w:kern w:val="2"/>
      <w:sz w:val="24"/>
      <w:szCs w:val="24"/>
    </w:rPr>
  </w:style>
  <w:style w:type="paragraph" w:customStyle="1" w:styleId="525">
    <w:name w:val="文本格式"/>
    <w:basedOn w:val="492"/>
    <w:next w:val="1"/>
    <w:link w:val="524"/>
    <w:qFormat/>
    <w:uiPriority w:val="0"/>
    <w:pPr>
      <w:ind w:firstLine="200"/>
    </w:pPr>
    <w:rPr>
      <w:szCs w:val="24"/>
    </w:rPr>
  </w:style>
  <w:style w:type="paragraph" w:customStyle="1" w:styleId="526">
    <w:name w:val="批注框文本1"/>
    <w:basedOn w:val="1"/>
    <w:next w:val="55"/>
    <w:qFormat/>
    <w:uiPriority w:val="99"/>
    <w:pPr>
      <w:autoSpaceDE/>
      <w:autoSpaceDN/>
      <w:snapToGrid w:val="0"/>
      <w:spacing w:line="460" w:lineRule="exact"/>
      <w:ind w:firstLine="200" w:firstLineChars="200"/>
      <w:jc w:val="both"/>
    </w:pPr>
    <w:rPr>
      <w:rFonts w:ascii="Times New Roman" w:hAnsi="Times New Roman" w:cs="Times New Roman"/>
      <w:color w:val="000000"/>
      <w:sz w:val="18"/>
      <w:szCs w:val="18"/>
      <w:lang w:bidi="ar-SA"/>
    </w:rPr>
  </w:style>
  <w:style w:type="paragraph" w:customStyle="1" w:styleId="527">
    <w:name w:val="正文文本缩进 21"/>
    <w:basedOn w:val="1"/>
    <w:qFormat/>
    <w:uiPriority w:val="99"/>
    <w:pPr>
      <w:autoSpaceDE/>
      <w:autoSpaceDN/>
      <w:adjustRightInd w:val="0"/>
      <w:snapToGrid w:val="0"/>
      <w:ind w:firstLine="585" w:firstLineChars="200"/>
    </w:pPr>
    <w:rPr>
      <w:color w:val="000000"/>
      <w:kern w:val="2"/>
      <w:sz w:val="28"/>
      <w:szCs w:val="20"/>
      <w:lang w:val="en-US" w:bidi="ar-SA"/>
    </w:rPr>
  </w:style>
  <w:style w:type="paragraph" w:customStyle="1" w:styleId="528">
    <w:name w:val="char"/>
    <w:basedOn w:val="1"/>
    <w:qFormat/>
    <w:uiPriority w:val="99"/>
    <w:pPr>
      <w:keepNext/>
      <w:autoSpaceDE/>
      <w:autoSpaceDN/>
      <w:snapToGrid w:val="0"/>
      <w:spacing w:line="440" w:lineRule="exact"/>
      <w:ind w:firstLine="200" w:firstLineChars="200"/>
    </w:pPr>
    <w:rPr>
      <w:rFonts w:ascii="Calibri" w:hAnsi="Calibri" w:cs="Times New Roman"/>
      <w:color w:val="000000"/>
      <w:kern w:val="2"/>
      <w:sz w:val="24"/>
      <w:szCs w:val="24"/>
      <w:lang w:val="en-US" w:bidi="ar-SA"/>
    </w:rPr>
  </w:style>
  <w:style w:type="paragraph" w:customStyle="1" w:styleId="529">
    <w:name w:val="样式 目录 3 +"/>
    <w:semiHidden/>
    <w:qFormat/>
    <w:uiPriority w:val="99"/>
    <w:pPr>
      <w:adjustRightInd w:val="0"/>
      <w:snapToGrid w:val="0"/>
    </w:pPr>
    <w:rPr>
      <w:rFonts w:ascii="宋体" w:hAnsi="宋体" w:eastAsia="宋体" w:cs="宋体"/>
      <w:color w:val="000000"/>
      <w:kern w:val="2"/>
      <w:sz w:val="28"/>
      <w:szCs w:val="24"/>
      <w:lang w:val="en-US" w:eastAsia="zh-CN" w:bidi="ar-SA"/>
    </w:rPr>
  </w:style>
  <w:style w:type="paragraph" w:customStyle="1" w:styleId="530">
    <w:name w:val="样式 纯文本 + (符号) 宋体 小四 非加粗"/>
    <w:basedOn w:val="47"/>
    <w:semiHidden/>
    <w:qFormat/>
    <w:uiPriority w:val="99"/>
    <w:pPr>
      <w:spacing w:beforeLines="50"/>
    </w:pPr>
    <w:rPr>
      <w:rFonts w:hAnsi="Plotter"/>
      <w:b/>
      <w:sz w:val="24"/>
      <w:szCs w:val="21"/>
    </w:rPr>
  </w:style>
  <w:style w:type="paragraph" w:customStyle="1" w:styleId="531">
    <w:name w:val="插图"/>
    <w:basedOn w:val="74"/>
    <w:next w:val="1"/>
    <w:qFormat/>
    <w:uiPriority w:val="99"/>
    <w:pPr>
      <w:spacing w:beforeLines="50" w:line="240" w:lineRule="auto"/>
      <w:ind w:left="0" w:leftChars="0" w:firstLine="0" w:firstLineChars="0"/>
      <w:jc w:val="center"/>
    </w:pPr>
    <w:rPr>
      <w:rFonts w:ascii="仿宋_GB2312" w:hAnsi="宋体" w:eastAsia="仿宋_GB2312" w:cs="宋体"/>
      <w:szCs w:val="20"/>
    </w:rPr>
  </w:style>
  <w:style w:type="character" w:customStyle="1" w:styleId="532">
    <w:name w:val="正文01 Char"/>
    <w:link w:val="533"/>
    <w:qFormat/>
    <w:uiPriority w:val="0"/>
    <w:rPr>
      <w:sz w:val="24"/>
      <w:szCs w:val="24"/>
    </w:rPr>
  </w:style>
  <w:style w:type="paragraph" w:customStyle="1" w:styleId="533">
    <w:name w:val="正文01"/>
    <w:basedOn w:val="1"/>
    <w:link w:val="532"/>
    <w:qFormat/>
    <w:uiPriority w:val="0"/>
    <w:pPr>
      <w:autoSpaceDE/>
      <w:autoSpaceDN/>
      <w:snapToGrid w:val="0"/>
      <w:spacing w:before="60" w:line="460" w:lineRule="exact"/>
      <w:ind w:firstLine="200" w:firstLineChars="200"/>
      <w:jc w:val="both"/>
    </w:pPr>
    <w:rPr>
      <w:rFonts w:ascii="Times New Roman" w:hAnsi="Times New Roman" w:cs="Times New Roman"/>
      <w:sz w:val="24"/>
      <w:szCs w:val="24"/>
      <w:lang w:val="en-US" w:bidi="ar-SA"/>
    </w:rPr>
  </w:style>
  <w:style w:type="character" w:customStyle="1" w:styleId="534">
    <w:name w:val="内容 Char"/>
    <w:link w:val="535"/>
    <w:qFormat/>
    <w:uiPriority w:val="0"/>
    <w:rPr>
      <w:rFonts w:ascii="宋体" w:hAnsi="宋体" w:cs="宋体"/>
      <w:sz w:val="24"/>
      <w:szCs w:val="28"/>
    </w:rPr>
  </w:style>
  <w:style w:type="paragraph" w:customStyle="1" w:styleId="535">
    <w:name w:val="内容"/>
    <w:basedOn w:val="1"/>
    <w:link w:val="534"/>
    <w:qFormat/>
    <w:uiPriority w:val="0"/>
    <w:pPr>
      <w:autoSpaceDE/>
      <w:autoSpaceDN/>
      <w:snapToGrid w:val="0"/>
      <w:spacing w:line="360" w:lineRule="auto"/>
      <w:ind w:firstLine="200" w:firstLineChars="200"/>
      <w:jc w:val="both"/>
    </w:pPr>
    <w:rPr>
      <w:sz w:val="24"/>
      <w:szCs w:val="28"/>
      <w:lang w:val="en-US" w:bidi="ar-SA"/>
    </w:rPr>
  </w:style>
  <w:style w:type="paragraph" w:customStyle="1" w:styleId="536">
    <w:name w:val="xl1113"/>
    <w:basedOn w:val="1"/>
    <w:qFormat/>
    <w:uiPriority w:val="99"/>
    <w:pPr>
      <w:widowControl/>
      <w:pBdr>
        <w:top w:val="single" w:color="auto" w:sz="4" w:space="0"/>
        <w:bottom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808080"/>
      <w:sz w:val="20"/>
      <w:szCs w:val="20"/>
      <w:lang w:val="en-US" w:bidi="ar-SA"/>
    </w:rPr>
  </w:style>
  <w:style w:type="paragraph" w:customStyle="1" w:styleId="537">
    <w:name w:val="列表项目编号"/>
    <w:semiHidden/>
    <w:qFormat/>
    <w:uiPriority w:val="99"/>
    <w:pPr>
      <w:adjustRightInd w:val="0"/>
      <w:ind w:firstLine="200" w:firstLineChars="200"/>
      <w:jc w:val="both"/>
    </w:pPr>
    <w:rPr>
      <w:rFonts w:ascii="宋体" w:hAnsi="宋体" w:eastAsia="宋体" w:cs="宋体"/>
      <w:color w:val="000000"/>
      <w:sz w:val="28"/>
      <w:lang w:val="en-US" w:eastAsia="zh-CN" w:bidi="ar-SA"/>
    </w:rPr>
  </w:style>
  <w:style w:type="paragraph" w:customStyle="1" w:styleId="538">
    <w:name w:val="样式 宋体 小四 行距: 固定值 26 磅"/>
    <w:basedOn w:val="1"/>
    <w:qFormat/>
    <w:uiPriority w:val="99"/>
    <w:pPr>
      <w:autoSpaceDE/>
      <w:autoSpaceDN/>
      <w:snapToGrid w:val="0"/>
      <w:spacing w:line="460" w:lineRule="exact"/>
      <w:ind w:firstLine="480" w:firstLineChars="200"/>
      <w:jc w:val="both"/>
    </w:pPr>
    <w:rPr>
      <w:rFonts w:ascii="Times New Roman" w:hAnsi="Times New Roman"/>
      <w:color w:val="000000"/>
      <w:kern w:val="2"/>
      <w:sz w:val="24"/>
      <w:szCs w:val="20"/>
      <w:lang w:val="en-US" w:bidi="ar-SA"/>
    </w:rPr>
  </w:style>
  <w:style w:type="character" w:customStyle="1" w:styleId="539">
    <w:name w:val="文档正文 Char"/>
    <w:link w:val="519"/>
    <w:qFormat/>
    <w:uiPriority w:val="1"/>
    <w:rPr>
      <w:sz w:val="24"/>
    </w:rPr>
  </w:style>
  <w:style w:type="paragraph" w:customStyle="1" w:styleId="540">
    <w:name w:val="Char Char Char Char Char Char1 Char2"/>
    <w:basedOn w:val="1"/>
    <w:qFormat/>
    <w:uiPriority w:val="99"/>
    <w:pPr>
      <w:autoSpaceDE/>
      <w:autoSpaceDN/>
      <w:snapToGrid w:val="0"/>
      <w:spacing w:line="360" w:lineRule="auto"/>
      <w:ind w:firstLine="480" w:firstLineChars="200"/>
      <w:jc w:val="both"/>
    </w:pPr>
    <w:rPr>
      <w:rFonts w:ascii="Times New Roman" w:hAnsi="Times New Roman"/>
      <w:color w:val="000000"/>
      <w:kern w:val="2"/>
      <w:sz w:val="24"/>
      <w:szCs w:val="24"/>
      <w:lang w:val="en-US" w:bidi="ar-SA"/>
    </w:rPr>
  </w:style>
  <w:style w:type="paragraph" w:customStyle="1" w:styleId="541">
    <w:name w:val="页眉2"/>
    <w:basedOn w:val="58"/>
    <w:qFormat/>
    <w:uiPriority w:val="99"/>
    <w:pPr>
      <w:pBdr>
        <w:bottom w:val="none" w:color="auto" w:sz="0" w:space="0"/>
      </w:pBdr>
      <w:autoSpaceDE/>
      <w:autoSpaceDN/>
      <w:adjustRightInd w:val="0"/>
      <w:spacing w:line="240" w:lineRule="atLeast"/>
      <w:ind w:firstLine="360" w:firstLineChars="200"/>
    </w:pPr>
    <w:rPr>
      <w:rFonts w:cs="Times New Roman"/>
      <w:kern w:val="2"/>
      <w:szCs w:val="22"/>
      <w:lang w:val="en-US" w:bidi="ar-SA"/>
    </w:rPr>
  </w:style>
  <w:style w:type="paragraph" w:customStyle="1" w:styleId="542">
    <w:name w:val="Header Base"/>
    <w:basedOn w:val="2"/>
    <w:qFormat/>
    <w:uiPriority w:val="99"/>
    <w:pPr>
      <w:keepNext/>
      <w:keepLines/>
      <w:widowControl/>
      <w:tabs>
        <w:tab w:val="left" w:pos="0"/>
        <w:tab w:val="center" w:pos="4320"/>
        <w:tab w:val="right" w:pos="8640"/>
      </w:tabs>
      <w:autoSpaceDE/>
      <w:autoSpaceDN/>
      <w:snapToGrid w:val="0"/>
      <w:spacing w:before="0" w:line="240" w:lineRule="atLeast"/>
      <w:ind w:left="0" w:right="-64" w:rightChars="-64" w:firstLine="360" w:firstLineChars="200"/>
      <w:jc w:val="both"/>
    </w:pPr>
    <w:rPr>
      <w:rFonts w:ascii="Garamond" w:hAnsi="Garamond" w:cs="Times New Roman"/>
      <w:sz w:val="22"/>
      <w:szCs w:val="22"/>
      <w:lang w:val="en-US" w:bidi="ar-SA"/>
    </w:rPr>
  </w:style>
  <w:style w:type="paragraph" w:customStyle="1" w:styleId="543">
    <w:name w:val="TOC 11"/>
    <w:basedOn w:val="1"/>
    <w:next w:val="1"/>
    <w:qFormat/>
    <w:uiPriority w:val="39"/>
    <w:pPr>
      <w:tabs>
        <w:tab w:val="right" w:leader="dot" w:pos="8296"/>
      </w:tabs>
      <w:autoSpaceDE/>
      <w:autoSpaceDN/>
      <w:adjustRightInd w:val="0"/>
      <w:snapToGrid w:val="0"/>
      <w:spacing w:line="360" w:lineRule="auto"/>
      <w:ind w:firstLine="482" w:firstLineChars="200"/>
    </w:pPr>
    <w:rPr>
      <w:rFonts w:ascii="Times New Roman" w:hAnsi="Times New Roman" w:eastAsia="等线" w:cs="Times New Roman"/>
      <w:b/>
      <w:bCs/>
      <w:caps/>
      <w:color w:val="000000"/>
      <w:kern w:val="2"/>
      <w:sz w:val="24"/>
      <w:szCs w:val="24"/>
      <w:lang w:val="en-US" w:bidi="ar-SA"/>
    </w:rPr>
  </w:style>
  <w:style w:type="paragraph" w:customStyle="1" w:styleId="544">
    <w:name w:val="Style Heading 2 + (Latin) Arial Narrow (Asian) 宋体 Char"/>
    <w:basedOn w:val="5"/>
    <w:qFormat/>
    <w:uiPriority w:val="99"/>
    <w:pPr>
      <w:widowControl/>
      <w:tabs>
        <w:tab w:val="left" w:pos="0"/>
      </w:tabs>
      <w:autoSpaceDE/>
      <w:autoSpaceDN/>
      <w:adjustRightInd w:val="0"/>
      <w:snapToGrid w:val="0"/>
      <w:spacing w:before="260" w:after="260"/>
    </w:pPr>
    <w:rPr>
      <w:rFonts w:cs="Times New Roman"/>
      <w:b w:val="0"/>
      <w:bCs w:val="0"/>
      <w:sz w:val="28"/>
      <w:szCs w:val="32"/>
      <w:lang w:val="en-US" w:bidi="ar-SA"/>
    </w:rPr>
  </w:style>
  <w:style w:type="paragraph" w:customStyle="1" w:styleId="545">
    <w:name w:val="Char Char Char Char Char Char Char Char Char Char Char Char Char Char Char Char Char Char Char Char Char Char"/>
    <w:basedOn w:val="1"/>
    <w:qFormat/>
    <w:uiPriority w:val="99"/>
    <w:pPr>
      <w:autoSpaceDE/>
      <w:autoSpaceDN/>
      <w:snapToGrid w:val="0"/>
      <w:ind w:firstLine="480" w:firstLineChars="200"/>
    </w:pPr>
    <w:rPr>
      <w:rFonts w:ascii="Times New Roman" w:hAnsi="Times New Roman" w:cs="Times New Roman"/>
      <w:color w:val="000000"/>
      <w:kern w:val="2"/>
      <w:sz w:val="28"/>
      <w:szCs w:val="24"/>
      <w:lang w:val="en-US" w:bidi="ar-SA"/>
    </w:rPr>
  </w:style>
  <w:style w:type="character" w:customStyle="1" w:styleId="546">
    <w:name w:val="l_text Char"/>
    <w:link w:val="547"/>
    <w:qFormat/>
    <w:uiPriority w:val="0"/>
    <w:rPr>
      <w:sz w:val="28"/>
      <w:lang w:val="en-GB"/>
    </w:rPr>
  </w:style>
  <w:style w:type="paragraph" w:customStyle="1" w:styleId="547">
    <w:name w:val="l_text"/>
    <w:basedOn w:val="1"/>
    <w:link w:val="546"/>
    <w:qFormat/>
    <w:uiPriority w:val="0"/>
    <w:pPr>
      <w:widowControl/>
      <w:overflowPunct w:val="0"/>
      <w:adjustRightInd w:val="0"/>
      <w:snapToGrid w:val="0"/>
      <w:spacing w:line="480" w:lineRule="exact"/>
      <w:ind w:firstLine="567" w:firstLineChars="200"/>
    </w:pPr>
    <w:rPr>
      <w:rFonts w:ascii="Times New Roman" w:hAnsi="Times New Roman" w:cs="Times New Roman"/>
      <w:sz w:val="28"/>
      <w:szCs w:val="20"/>
      <w:lang w:val="en-GB" w:bidi="ar-SA"/>
    </w:rPr>
  </w:style>
  <w:style w:type="paragraph" w:customStyle="1" w:styleId="548">
    <w:name w:val="标4"/>
    <w:basedOn w:val="1"/>
    <w:qFormat/>
    <w:uiPriority w:val="99"/>
    <w:pPr>
      <w:autoSpaceDE/>
      <w:autoSpaceDN/>
      <w:adjustRightInd w:val="0"/>
      <w:snapToGrid w:val="0"/>
      <w:spacing w:line="480" w:lineRule="exact"/>
      <w:ind w:firstLine="480" w:firstLineChars="200"/>
      <w:outlineLvl w:val="3"/>
    </w:pPr>
    <w:rPr>
      <w:rFonts w:ascii="Times New Roman" w:hAnsi="Times New Roman" w:eastAsia="黑体" w:cs="Times New Roman"/>
      <w:color w:val="000000"/>
      <w:kern w:val="2"/>
      <w:sz w:val="28"/>
      <w:szCs w:val="24"/>
      <w:lang w:val="en-US" w:bidi="ar-SA"/>
    </w:rPr>
  </w:style>
  <w:style w:type="paragraph" w:customStyle="1" w:styleId="549">
    <w:name w:val="页眉1"/>
    <w:basedOn w:val="58"/>
    <w:semiHidden/>
    <w:qFormat/>
    <w:uiPriority w:val="99"/>
    <w:pPr>
      <w:pBdr>
        <w:bottom w:val="none" w:color="auto" w:sz="0" w:space="0"/>
      </w:pBdr>
      <w:autoSpaceDE/>
      <w:autoSpaceDN/>
      <w:adjustRightInd w:val="0"/>
      <w:spacing w:line="240" w:lineRule="atLeast"/>
      <w:ind w:firstLine="480" w:firstLineChars="200"/>
      <w:jc w:val="both"/>
    </w:pPr>
    <w:rPr>
      <w:rFonts w:cs="Times New Roman"/>
      <w:kern w:val="2"/>
      <w:szCs w:val="22"/>
      <w:lang w:val="en-US" w:bidi="ar-SA"/>
    </w:rPr>
  </w:style>
  <w:style w:type="paragraph" w:customStyle="1" w:styleId="550">
    <w:name w:val="样式10"/>
    <w:basedOn w:val="1"/>
    <w:qFormat/>
    <w:uiPriority w:val="99"/>
    <w:pPr>
      <w:autoSpaceDE/>
      <w:autoSpaceDN/>
      <w:adjustRightInd w:val="0"/>
      <w:snapToGrid w:val="0"/>
      <w:spacing w:beforeLines="20" w:line="420" w:lineRule="exact"/>
      <w:ind w:firstLine="480" w:firstLineChars="200"/>
      <w:jc w:val="center"/>
    </w:pPr>
    <w:rPr>
      <w:rFonts w:ascii="Times New Roman" w:hAnsi="Times New Roman" w:eastAsia="黑体" w:cs="Times New Roman"/>
      <w:color w:val="000000"/>
      <w:kern w:val="2"/>
      <w:sz w:val="24"/>
      <w:szCs w:val="24"/>
      <w:lang w:val="en-US" w:bidi="ar-SA"/>
    </w:rPr>
  </w:style>
  <w:style w:type="paragraph" w:customStyle="1" w:styleId="551">
    <w:name w:val="xl71"/>
    <w:basedOn w:val="1"/>
    <w:qFormat/>
    <w:uiPriority w:val="99"/>
    <w:pPr>
      <w:widowControl/>
      <w:pBdr>
        <w:bottom w:val="single" w:color="auto" w:sz="4" w:space="0"/>
        <w:right w:val="single" w:color="auto" w:sz="4" w:space="0"/>
      </w:pBdr>
      <w:autoSpaceDE/>
      <w:autoSpaceDN/>
      <w:snapToGrid w:val="0"/>
      <w:spacing w:before="100" w:beforeAutospacing="1" w:after="100" w:afterAutospacing="1"/>
      <w:ind w:firstLine="480" w:firstLineChars="200"/>
    </w:pPr>
    <w:rPr>
      <w:rFonts w:ascii="楷体" w:eastAsia="楷体" w:cs="Times New Roman"/>
      <w:color w:val="0000FF"/>
      <w:sz w:val="12"/>
      <w:szCs w:val="12"/>
      <w:lang w:val="en-US" w:bidi="ar-SA"/>
    </w:rPr>
  </w:style>
  <w:style w:type="paragraph" w:customStyle="1" w:styleId="552">
    <w:name w:val="标准正文格式"/>
    <w:basedOn w:val="1"/>
    <w:qFormat/>
    <w:uiPriority w:val="99"/>
    <w:pPr>
      <w:autoSpaceDE/>
      <w:autoSpaceDN/>
      <w:snapToGrid w:val="0"/>
      <w:spacing w:line="500" w:lineRule="exact"/>
      <w:ind w:firstLine="560" w:firstLineChars="200"/>
    </w:pPr>
    <w:rPr>
      <w:rFonts w:ascii="仿宋_GB2312" w:hAnsi="仿宋_GB2312" w:eastAsia="仿宋_GB2312"/>
      <w:color w:val="000000"/>
      <w:kern w:val="2"/>
      <w:sz w:val="28"/>
      <w:szCs w:val="20"/>
      <w:lang w:val="en-US" w:bidi="ar-SA"/>
    </w:rPr>
  </w:style>
  <w:style w:type="paragraph" w:customStyle="1" w:styleId="553">
    <w:name w:val="样式 标题 3 + 左侧:  0.75 厘米 首行缩进:  0 厘米 段前: 1 行 段后: 0.5 行"/>
    <w:basedOn w:val="6"/>
    <w:semiHidden/>
    <w:qFormat/>
    <w:uiPriority w:val="99"/>
    <w:pPr>
      <w:widowControl/>
      <w:tabs>
        <w:tab w:val="left" w:pos="1984"/>
      </w:tabs>
      <w:autoSpaceDE/>
      <w:autoSpaceDN/>
      <w:adjustRightInd w:val="0"/>
      <w:snapToGrid w:val="0"/>
      <w:spacing w:beforeLines="100" w:afterLines="50" w:line="460" w:lineRule="exact"/>
      <w:ind w:left="2432" w:right="0" w:hanging="709"/>
      <w:jc w:val="both"/>
    </w:pPr>
    <w:rPr>
      <w:rFonts w:ascii="Times New Roman" w:hAnsi="Times New Roman" w:eastAsia="黑体" w:cs="Times New Roman"/>
      <w:b/>
      <w:sz w:val="24"/>
      <w:szCs w:val="20"/>
      <w:lang w:val="en-US" w:bidi="ar-SA"/>
    </w:rPr>
  </w:style>
  <w:style w:type="paragraph" w:customStyle="1" w:styleId="554">
    <w:name w:val="xl84"/>
    <w:basedOn w:val="1"/>
    <w:qFormat/>
    <w:uiPriority w:val="99"/>
    <w:pPr>
      <w:widowControl/>
      <w:pBdr>
        <w:top w:val="single" w:color="auto" w:sz="4" w:space="0"/>
        <w:bottom w:val="single" w:color="auto" w:sz="4" w:space="0"/>
        <w:right w:val="single" w:color="auto" w:sz="4" w:space="0"/>
      </w:pBdr>
      <w:shd w:val="clear" w:color="auto" w:fill="FFFFFF"/>
      <w:autoSpaceDE/>
      <w:autoSpaceDN/>
      <w:snapToGrid w:val="0"/>
      <w:spacing w:before="100" w:beforeAutospacing="1" w:after="100" w:afterAutospacing="1"/>
      <w:ind w:firstLine="480" w:firstLineChars="200"/>
    </w:pPr>
    <w:rPr>
      <w:rFonts w:ascii="楷体" w:eastAsia="楷体" w:cs="Times New Roman"/>
      <w:color w:val="FF0000"/>
      <w:sz w:val="12"/>
      <w:szCs w:val="12"/>
      <w:lang w:val="en-US" w:bidi="ar-SA"/>
    </w:rPr>
  </w:style>
  <w:style w:type="character" w:customStyle="1" w:styleId="555">
    <w:name w:val="标宋3 + 浅橙色 段前: 0.5 行 段后: 0.5 行 + 段前: 0.5 行 段后: 0.5 行 +... Char"/>
    <w:link w:val="556"/>
    <w:qFormat/>
    <w:uiPriority w:val="0"/>
    <w:rPr>
      <w:rFonts w:ascii="宋体" w:hAnsi="宋体" w:cs="宋体"/>
      <w:b/>
      <w:bCs/>
      <w:sz w:val="28"/>
    </w:rPr>
  </w:style>
  <w:style w:type="paragraph" w:customStyle="1" w:styleId="556">
    <w:name w:val="标宋3 + 浅橙色 段前: 0.5 行 段后: 0.5 行 + 段前: 0.5 行 段后: 0.5 行 +..."/>
    <w:basedOn w:val="1"/>
    <w:link w:val="555"/>
    <w:qFormat/>
    <w:uiPriority w:val="0"/>
    <w:pPr>
      <w:autoSpaceDE/>
      <w:autoSpaceDN/>
      <w:snapToGrid w:val="0"/>
      <w:spacing w:beforeLines="50" w:afterLines="50"/>
      <w:ind w:firstLine="480" w:firstLineChars="200"/>
      <w:jc w:val="both"/>
      <w:outlineLvl w:val="2"/>
    </w:pPr>
    <w:rPr>
      <w:b/>
      <w:bCs/>
      <w:sz w:val="28"/>
      <w:szCs w:val="20"/>
      <w:lang w:val="en-US" w:bidi="ar-SA"/>
    </w:rPr>
  </w:style>
  <w:style w:type="character" w:customStyle="1" w:styleId="557">
    <w:name w:val="1.1.1 XXX Char"/>
    <w:link w:val="558"/>
    <w:qFormat/>
    <w:uiPriority w:val="0"/>
    <w:rPr>
      <w:rFonts w:ascii="黑体" w:hAnsi="黑体" w:eastAsia="黑体"/>
      <w:bCs/>
      <w:kern w:val="44"/>
      <w:sz w:val="28"/>
    </w:rPr>
  </w:style>
  <w:style w:type="paragraph" w:customStyle="1" w:styleId="558">
    <w:name w:val="1.1.1 XXX"/>
    <w:basedOn w:val="1"/>
    <w:next w:val="307"/>
    <w:link w:val="557"/>
    <w:qFormat/>
    <w:uiPriority w:val="0"/>
    <w:pPr>
      <w:keepNext/>
      <w:keepLines/>
      <w:autoSpaceDE/>
      <w:autoSpaceDN/>
      <w:snapToGrid w:val="0"/>
      <w:spacing w:before="60" w:after="60" w:line="460" w:lineRule="exact"/>
      <w:ind w:firstLine="480" w:firstLineChars="200"/>
      <w:outlineLvl w:val="2"/>
    </w:pPr>
    <w:rPr>
      <w:rFonts w:ascii="黑体" w:hAnsi="黑体" w:eastAsia="黑体" w:cs="Times New Roman"/>
      <w:bCs/>
      <w:kern w:val="44"/>
      <w:sz w:val="28"/>
      <w:szCs w:val="20"/>
      <w:lang w:val="en-US" w:bidi="ar-SA"/>
    </w:rPr>
  </w:style>
  <w:style w:type="paragraph" w:customStyle="1" w:styleId="559">
    <w:name w:val="xl52"/>
    <w:basedOn w:val="1"/>
    <w:qFormat/>
    <w:uiPriority w:val="99"/>
    <w:pPr>
      <w:widowControl/>
      <w:pBdr>
        <w:left w:val="single" w:color="auto" w:sz="4" w:space="0"/>
      </w:pBdr>
      <w:autoSpaceDE/>
      <w:autoSpaceDN/>
      <w:snapToGrid w:val="0"/>
      <w:spacing w:before="100" w:beforeAutospacing="1" w:after="100" w:afterAutospacing="1"/>
      <w:ind w:firstLine="480" w:firstLineChars="200"/>
      <w:jc w:val="center"/>
    </w:pPr>
    <w:rPr>
      <w:rFonts w:ascii="楷体" w:eastAsia="楷体" w:cs="Times New Roman"/>
      <w:color w:val="0000FF"/>
      <w:sz w:val="12"/>
      <w:szCs w:val="12"/>
      <w:lang w:val="en-US" w:bidi="ar-SA"/>
    </w:rPr>
  </w:style>
  <w:style w:type="paragraph" w:customStyle="1" w:styleId="560">
    <w:name w:val="正文 宋体 2字"/>
    <w:basedOn w:val="1"/>
    <w:qFormat/>
    <w:uiPriority w:val="99"/>
    <w:pPr>
      <w:keepNext/>
      <w:autoSpaceDE/>
      <w:autoSpaceDN/>
      <w:snapToGrid w:val="0"/>
      <w:spacing w:line="360" w:lineRule="auto"/>
      <w:ind w:firstLine="480" w:firstLineChars="200"/>
    </w:pPr>
    <w:rPr>
      <w:color w:val="FF0000"/>
      <w:kern w:val="2"/>
      <w:sz w:val="24"/>
      <w:szCs w:val="24"/>
      <w:lang w:val="en-US" w:bidi="ar-SA"/>
    </w:rPr>
  </w:style>
  <w:style w:type="paragraph" w:customStyle="1" w:styleId="561">
    <w:name w:val="正文001 Char Char"/>
    <w:basedOn w:val="1"/>
    <w:next w:val="560"/>
    <w:semiHidden/>
    <w:qFormat/>
    <w:uiPriority w:val="99"/>
    <w:pPr>
      <w:autoSpaceDE/>
      <w:autoSpaceDN/>
      <w:adjustRightInd w:val="0"/>
      <w:snapToGrid w:val="0"/>
      <w:spacing w:line="360" w:lineRule="auto"/>
      <w:ind w:firstLine="200" w:firstLineChars="200"/>
    </w:pPr>
    <w:rPr>
      <w:color w:val="000000"/>
      <w:kern w:val="2"/>
      <w:sz w:val="24"/>
      <w:szCs w:val="24"/>
      <w:lang w:val="en-US" w:bidi="ar-SA"/>
    </w:rPr>
  </w:style>
  <w:style w:type="paragraph" w:customStyle="1" w:styleId="562">
    <w:name w:val="Char3"/>
    <w:basedOn w:val="1"/>
    <w:qFormat/>
    <w:uiPriority w:val="99"/>
    <w:pPr>
      <w:tabs>
        <w:tab w:val="left" w:pos="794"/>
        <w:tab w:val="left" w:pos="1191"/>
        <w:tab w:val="left" w:pos="1588"/>
        <w:tab w:val="left" w:pos="1985"/>
      </w:tabs>
      <w:adjustRightInd w:val="0"/>
      <w:snapToGrid w:val="0"/>
      <w:spacing w:before="136" w:line="360" w:lineRule="auto"/>
      <w:ind w:firstLine="480" w:firstLineChars="200"/>
    </w:pPr>
    <w:rPr>
      <w:rFonts w:ascii="Tahoma" w:hAnsi="Tahoma" w:cs="Times New Roman"/>
      <w:color w:val="000000"/>
      <w:sz w:val="24"/>
      <w:szCs w:val="20"/>
      <w:lang w:val="en-GB" w:bidi="ar-SA"/>
    </w:rPr>
  </w:style>
  <w:style w:type="paragraph" w:customStyle="1" w:styleId="563">
    <w:name w:val="style3"/>
    <w:basedOn w:val="1"/>
    <w:qFormat/>
    <w:uiPriority w:val="99"/>
    <w:pPr>
      <w:widowControl/>
      <w:autoSpaceDE/>
      <w:autoSpaceDN/>
      <w:snapToGrid w:val="0"/>
      <w:spacing w:before="100" w:beforeAutospacing="1" w:after="100" w:afterAutospacing="1"/>
      <w:ind w:firstLine="480" w:firstLineChars="200"/>
    </w:pPr>
    <w:rPr>
      <w:color w:val="000000"/>
      <w:sz w:val="24"/>
      <w:szCs w:val="24"/>
      <w:lang w:val="en-US" w:bidi="ar-SA"/>
    </w:rPr>
  </w:style>
  <w:style w:type="character" w:customStyle="1" w:styleId="564">
    <w:name w:val="报告正文 Char1"/>
    <w:link w:val="133"/>
    <w:qFormat/>
    <w:uiPriority w:val="0"/>
    <w:rPr>
      <w:snapToGrid w:val="0"/>
      <w:kern w:val="24"/>
      <w:sz w:val="24"/>
      <w:szCs w:val="21"/>
    </w:rPr>
  </w:style>
  <w:style w:type="paragraph" w:customStyle="1" w:styleId="565">
    <w:name w:val="样式12"/>
    <w:basedOn w:val="1"/>
    <w:qFormat/>
    <w:uiPriority w:val="99"/>
    <w:pPr>
      <w:autoSpaceDE/>
      <w:autoSpaceDN/>
      <w:adjustRightInd w:val="0"/>
      <w:snapToGrid w:val="0"/>
      <w:spacing w:line="360" w:lineRule="auto"/>
      <w:ind w:firstLine="480" w:firstLineChars="200"/>
    </w:pPr>
    <w:rPr>
      <w:rFonts w:ascii="Times New Roman" w:cs="Times New Roman"/>
      <w:color w:val="000000"/>
      <w:kern w:val="2"/>
      <w:sz w:val="24"/>
      <w:szCs w:val="21"/>
      <w:lang w:val="en-US" w:bidi="ar-SA"/>
    </w:rPr>
  </w:style>
  <w:style w:type="paragraph" w:customStyle="1" w:styleId="566">
    <w:name w:val="默认段落字体 Para Char"/>
    <w:basedOn w:val="1"/>
    <w:qFormat/>
    <w:uiPriority w:val="99"/>
    <w:pPr>
      <w:autoSpaceDE/>
      <w:autoSpaceDN/>
      <w:snapToGrid w:val="0"/>
      <w:spacing w:line="360" w:lineRule="auto"/>
      <w:ind w:firstLine="480" w:firstLineChars="200"/>
    </w:pPr>
    <w:rPr>
      <w:rFonts w:ascii="Times New Roman" w:hAnsi="Times New Roman" w:cs="Times New Roman"/>
      <w:color w:val="000000"/>
      <w:kern w:val="2"/>
      <w:sz w:val="24"/>
      <w:szCs w:val="24"/>
      <w:lang w:val="en-US" w:bidi="ar-SA"/>
    </w:rPr>
  </w:style>
  <w:style w:type="character" w:customStyle="1" w:styleId="567">
    <w:name w:val="规正文 Char"/>
    <w:link w:val="568"/>
    <w:qFormat/>
    <w:uiPriority w:val="0"/>
    <w:rPr>
      <w:kern w:val="2"/>
      <w:sz w:val="28"/>
      <w:szCs w:val="28"/>
    </w:rPr>
  </w:style>
  <w:style w:type="paragraph" w:customStyle="1" w:styleId="568">
    <w:name w:val="规正文"/>
    <w:basedOn w:val="1"/>
    <w:link w:val="567"/>
    <w:qFormat/>
    <w:uiPriority w:val="0"/>
    <w:pPr>
      <w:autoSpaceDE/>
      <w:autoSpaceDN/>
      <w:snapToGrid w:val="0"/>
      <w:spacing w:line="360" w:lineRule="auto"/>
      <w:ind w:firstLine="560" w:firstLineChars="200"/>
    </w:pPr>
    <w:rPr>
      <w:rFonts w:ascii="Times New Roman" w:hAnsi="Times New Roman" w:cs="Times New Roman"/>
      <w:kern w:val="2"/>
      <w:sz w:val="28"/>
      <w:szCs w:val="28"/>
      <w:lang w:val="en-US" w:bidi="ar-SA"/>
    </w:rPr>
  </w:style>
  <w:style w:type="paragraph" w:customStyle="1" w:styleId="569">
    <w:name w:val="样式7"/>
    <w:basedOn w:val="531"/>
    <w:qFormat/>
    <w:uiPriority w:val="99"/>
    <w:pPr>
      <w:spacing w:beforeLines="100"/>
    </w:pPr>
    <w:rPr>
      <w:rFonts w:ascii="宋体" w:eastAsia="宋体"/>
      <w:sz w:val="28"/>
    </w:rPr>
  </w:style>
  <w:style w:type="paragraph" w:customStyle="1" w:styleId="570">
    <w:name w:val="样式 四号 左 行距: 1.5 倍行距 首行缩进:  2 字符"/>
    <w:basedOn w:val="1"/>
    <w:qFormat/>
    <w:uiPriority w:val="99"/>
    <w:pPr>
      <w:widowControl/>
      <w:autoSpaceDE/>
      <w:autoSpaceDN/>
      <w:snapToGrid w:val="0"/>
      <w:spacing w:before="260" w:after="260" w:line="360" w:lineRule="auto"/>
      <w:ind w:left="152" w:leftChars="152" w:firstLine="560" w:firstLineChars="200"/>
    </w:pPr>
    <w:rPr>
      <w:rFonts w:ascii="Times New Roman" w:hAnsi="Times New Roman"/>
      <w:color w:val="000000"/>
      <w:kern w:val="2"/>
      <w:sz w:val="24"/>
      <w:szCs w:val="20"/>
      <w:lang w:val="en-US" w:bidi="ar-SA"/>
    </w:rPr>
  </w:style>
  <w:style w:type="paragraph" w:customStyle="1" w:styleId="571">
    <w:name w:val="xl90"/>
    <w:basedOn w:val="1"/>
    <w:qFormat/>
    <w:uiPriority w:val="99"/>
    <w:pPr>
      <w:widowControl/>
      <w:pBdr>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cs="Times New Roman"/>
      <w:color w:val="000000"/>
      <w:sz w:val="12"/>
      <w:szCs w:val="12"/>
      <w:lang w:val="en-US" w:bidi="ar-SA"/>
    </w:rPr>
  </w:style>
  <w:style w:type="paragraph" w:customStyle="1" w:styleId="572">
    <w:name w:val="xl1101"/>
    <w:basedOn w:val="1"/>
    <w:qFormat/>
    <w:uiPriority w:val="99"/>
    <w:pPr>
      <w:widowControl/>
      <w:pBdr>
        <w:top w:val="single" w:color="auto" w:sz="4" w:space="0"/>
        <w:right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573">
    <w:name w:val="xl23"/>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cs="Times New Roman"/>
      <w:color w:val="000000"/>
      <w:sz w:val="18"/>
      <w:szCs w:val="18"/>
      <w:lang w:val="en-US" w:bidi="ar-SA"/>
    </w:rPr>
  </w:style>
  <w:style w:type="paragraph" w:customStyle="1" w:styleId="574">
    <w:name w:val="列出段落8"/>
    <w:basedOn w:val="1"/>
    <w:qFormat/>
    <w:uiPriority w:val="99"/>
    <w:pPr>
      <w:autoSpaceDE/>
      <w:autoSpaceDN/>
      <w:snapToGrid w:val="0"/>
      <w:ind w:firstLine="420" w:firstLineChars="200"/>
      <w:jc w:val="both"/>
    </w:pPr>
    <w:rPr>
      <w:rFonts w:ascii="Calibri" w:hAnsi="Calibri" w:cs="Times New Roman"/>
      <w:color w:val="000000"/>
      <w:kern w:val="2"/>
      <w:sz w:val="21"/>
      <w:lang w:val="en-US" w:bidi="ar-SA"/>
    </w:rPr>
  </w:style>
  <w:style w:type="paragraph" w:customStyle="1" w:styleId="575">
    <w:name w:val="xl54"/>
    <w:basedOn w:val="1"/>
    <w:qFormat/>
    <w:uiPriority w:val="99"/>
    <w:pPr>
      <w:widowControl/>
      <w:pBdr>
        <w:left w:val="single" w:color="auto" w:sz="4" w:space="0"/>
        <w:right w:val="single" w:color="auto" w:sz="4" w:space="0"/>
      </w:pBdr>
      <w:autoSpaceDE/>
      <w:autoSpaceDN/>
      <w:snapToGrid w:val="0"/>
      <w:spacing w:before="100" w:beforeAutospacing="1" w:after="100" w:afterAutospacing="1"/>
      <w:ind w:firstLine="480" w:firstLineChars="200"/>
    </w:pPr>
    <w:rPr>
      <w:rFonts w:cs="Times New Roman"/>
      <w:color w:val="000000"/>
      <w:sz w:val="12"/>
      <w:szCs w:val="12"/>
      <w:lang w:val="en-US" w:bidi="ar-SA"/>
    </w:rPr>
  </w:style>
  <w:style w:type="character" w:customStyle="1" w:styleId="576">
    <w:name w:val="图名 Char"/>
    <w:link w:val="577"/>
    <w:qFormat/>
    <w:uiPriority w:val="0"/>
    <w:rPr>
      <w:rFonts w:eastAsia="Times New Roman"/>
      <w:kern w:val="2"/>
      <w:sz w:val="24"/>
      <w:szCs w:val="22"/>
    </w:rPr>
  </w:style>
  <w:style w:type="paragraph" w:customStyle="1" w:styleId="577">
    <w:name w:val="图名"/>
    <w:basedOn w:val="1"/>
    <w:link w:val="576"/>
    <w:qFormat/>
    <w:uiPriority w:val="0"/>
    <w:pPr>
      <w:autoSpaceDE/>
      <w:autoSpaceDN/>
      <w:snapToGrid w:val="0"/>
      <w:spacing w:before="120" w:after="120" w:line="360" w:lineRule="auto"/>
      <w:ind w:firstLine="422" w:firstLineChars="200"/>
      <w:jc w:val="center"/>
    </w:pPr>
    <w:rPr>
      <w:rFonts w:ascii="Times New Roman" w:hAnsi="Times New Roman" w:eastAsia="Times New Roman" w:cs="Times New Roman"/>
      <w:kern w:val="2"/>
      <w:sz w:val="24"/>
      <w:lang w:val="en-US" w:bidi="ar-SA"/>
    </w:rPr>
  </w:style>
  <w:style w:type="character" w:customStyle="1" w:styleId="578">
    <w:name w:val="标题4 Char"/>
    <w:link w:val="579"/>
    <w:qFormat/>
    <w:uiPriority w:val="0"/>
    <w:rPr>
      <w:bCs/>
      <w:kern w:val="28"/>
      <w:sz w:val="28"/>
      <w:szCs w:val="32"/>
    </w:rPr>
  </w:style>
  <w:style w:type="paragraph" w:customStyle="1" w:styleId="579">
    <w:name w:val="标题4"/>
    <w:next w:val="1"/>
    <w:link w:val="578"/>
    <w:qFormat/>
    <w:uiPriority w:val="0"/>
    <w:pPr>
      <w:spacing w:line="360" w:lineRule="auto"/>
    </w:pPr>
    <w:rPr>
      <w:rFonts w:ascii="Times New Roman" w:hAnsi="Times New Roman" w:eastAsia="宋体" w:cs="Times New Roman"/>
      <w:bCs/>
      <w:kern w:val="28"/>
      <w:sz w:val="28"/>
      <w:szCs w:val="32"/>
      <w:lang w:val="en-US" w:eastAsia="zh-CN" w:bidi="ar-SA"/>
    </w:rPr>
  </w:style>
  <w:style w:type="paragraph" w:customStyle="1" w:styleId="580">
    <w:name w:val="xl112"/>
    <w:basedOn w:val="1"/>
    <w:qFormat/>
    <w:uiPriority w:val="99"/>
    <w:pPr>
      <w:widowControl/>
      <w:autoSpaceDE/>
      <w:autoSpaceDN/>
      <w:snapToGrid w:val="0"/>
      <w:spacing w:before="100" w:beforeAutospacing="1" w:after="100" w:afterAutospacing="1"/>
      <w:ind w:firstLine="480" w:firstLineChars="200"/>
    </w:pPr>
    <w:rPr>
      <w:color w:val="000000"/>
      <w:sz w:val="20"/>
      <w:szCs w:val="20"/>
      <w:lang w:val="en-US" w:bidi="ar-SA"/>
    </w:rPr>
  </w:style>
  <w:style w:type="paragraph" w:customStyle="1" w:styleId="581">
    <w:name w:val="正文文本 21"/>
    <w:basedOn w:val="1"/>
    <w:qFormat/>
    <w:uiPriority w:val="99"/>
    <w:pPr>
      <w:autoSpaceDE/>
      <w:autoSpaceDN/>
      <w:adjustRightInd w:val="0"/>
      <w:snapToGrid w:val="0"/>
      <w:spacing w:line="312" w:lineRule="auto"/>
      <w:ind w:firstLine="720" w:firstLineChars="200"/>
      <w:jc w:val="both"/>
    </w:pPr>
    <w:rPr>
      <w:rFonts w:hAnsi="Times New Roman" w:cs="Times New Roman"/>
      <w:color w:val="000000"/>
      <w:spacing w:val="16"/>
      <w:sz w:val="24"/>
      <w:szCs w:val="20"/>
      <w:lang w:val="en-US" w:bidi="ar-SA"/>
    </w:rPr>
  </w:style>
  <w:style w:type="paragraph" w:customStyle="1" w:styleId="582">
    <w:name w:val="HCH封面5"/>
    <w:next w:val="263"/>
    <w:qFormat/>
    <w:uiPriority w:val="99"/>
    <w:pPr>
      <w:spacing w:beforeLines="50" w:afterLines="50" w:line="500" w:lineRule="exact"/>
      <w:ind w:firstLine="1100" w:firstLineChars="1100"/>
    </w:pPr>
    <w:rPr>
      <w:rFonts w:ascii="Times New Roman" w:hAnsi="Times New Roman" w:eastAsia="宋体" w:cs="Times New Roman"/>
      <w:kern w:val="2"/>
      <w:sz w:val="28"/>
      <w:lang w:val="en-US" w:eastAsia="zh-CN" w:bidi="ar-SA"/>
    </w:rPr>
  </w:style>
  <w:style w:type="paragraph" w:customStyle="1" w:styleId="583">
    <w:name w:val="xl30"/>
    <w:basedOn w:val="1"/>
    <w:qFormat/>
    <w:uiPriority w:val="99"/>
    <w:pPr>
      <w:widowControl/>
      <w:pBdr>
        <w:top w:val="single" w:color="auto" w:sz="4" w:space="0"/>
        <w:bottom w:val="single" w:color="auto" w:sz="4" w:space="0"/>
      </w:pBdr>
      <w:autoSpaceDE/>
      <w:autoSpaceDN/>
      <w:snapToGrid w:val="0"/>
      <w:spacing w:before="100" w:beforeAutospacing="1" w:after="100" w:afterAutospacing="1"/>
      <w:ind w:firstLine="480" w:firstLineChars="200"/>
    </w:pPr>
    <w:rPr>
      <w:rFonts w:cs="Times New Roman"/>
      <w:color w:val="000000"/>
      <w:sz w:val="24"/>
      <w:szCs w:val="24"/>
      <w:lang w:val="en-US" w:bidi="ar-SA"/>
    </w:rPr>
  </w:style>
  <w:style w:type="paragraph" w:customStyle="1" w:styleId="584">
    <w:name w:val="样式 题注 + 四号 居中"/>
    <w:basedOn w:val="23"/>
    <w:qFormat/>
    <w:uiPriority w:val="99"/>
    <w:pPr>
      <w:autoSpaceDE/>
      <w:autoSpaceDN/>
      <w:snapToGrid w:val="0"/>
      <w:ind w:firstLine="480" w:firstLineChars="200"/>
      <w:jc w:val="center"/>
    </w:pPr>
    <w:rPr>
      <w:rFonts w:hint="eastAsia" w:ascii="Arial" w:hAnsi="Arial" w:cs="宋体"/>
      <w:color w:val="000000"/>
      <w:kern w:val="2"/>
      <w:sz w:val="24"/>
      <w:lang w:val="en-US" w:bidi="ar-SA"/>
    </w:rPr>
  </w:style>
  <w:style w:type="paragraph" w:customStyle="1" w:styleId="585">
    <w:name w:val="font15"/>
    <w:basedOn w:val="1"/>
    <w:qFormat/>
    <w:uiPriority w:val="99"/>
    <w:pPr>
      <w:widowControl/>
      <w:autoSpaceDE/>
      <w:autoSpaceDN/>
      <w:snapToGrid w:val="0"/>
      <w:spacing w:before="100" w:beforeAutospacing="1" w:after="100" w:afterAutospacing="1"/>
      <w:ind w:firstLine="480" w:firstLineChars="200"/>
    </w:pPr>
    <w:rPr>
      <w:b/>
      <w:bCs/>
      <w:color w:val="000000"/>
      <w:sz w:val="48"/>
      <w:szCs w:val="48"/>
      <w:lang w:val="en-US" w:bidi="ar-SA"/>
    </w:rPr>
  </w:style>
  <w:style w:type="character" w:customStyle="1" w:styleId="586">
    <w:name w:val="第二级标题 Char"/>
    <w:link w:val="587"/>
    <w:qFormat/>
    <w:uiPriority w:val="1"/>
    <w:rPr>
      <w:rFonts w:eastAsia="黑体"/>
      <w:bCs/>
      <w:kern w:val="2"/>
      <w:sz w:val="30"/>
      <w:szCs w:val="32"/>
    </w:rPr>
  </w:style>
  <w:style w:type="paragraph" w:customStyle="1" w:styleId="587">
    <w:name w:val="第二级标题"/>
    <w:basedOn w:val="5"/>
    <w:next w:val="518"/>
    <w:link w:val="586"/>
    <w:qFormat/>
    <w:uiPriority w:val="1"/>
    <w:pPr>
      <w:widowControl/>
      <w:tabs>
        <w:tab w:val="left" w:pos="0"/>
      </w:tabs>
      <w:autoSpaceDE/>
      <w:autoSpaceDN/>
      <w:snapToGrid w:val="0"/>
      <w:spacing w:before="0" w:line="460" w:lineRule="exact"/>
    </w:pPr>
    <w:rPr>
      <w:rFonts w:ascii="Times New Roman" w:hAnsi="Times New Roman" w:eastAsia="黑体" w:cs="Times New Roman"/>
      <w:b w:val="0"/>
      <w:kern w:val="2"/>
      <w:szCs w:val="32"/>
      <w:lang w:val="en-US" w:bidi="ar-SA"/>
    </w:rPr>
  </w:style>
  <w:style w:type="paragraph" w:customStyle="1" w:styleId="588">
    <w:name w:val="xl1122"/>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character" w:customStyle="1" w:styleId="589">
    <w:name w:val="AAA图表标题 字符"/>
    <w:link w:val="590"/>
    <w:qFormat/>
    <w:uiPriority w:val="0"/>
    <w:rPr>
      <w:rFonts w:ascii="黑体" w:hAnsi="黑体" w:eastAsia="黑体"/>
      <w:kern w:val="2"/>
      <w:sz w:val="24"/>
      <w:szCs w:val="22"/>
    </w:rPr>
  </w:style>
  <w:style w:type="paragraph" w:customStyle="1" w:styleId="590">
    <w:name w:val="AAA图表标题"/>
    <w:basedOn w:val="1"/>
    <w:link w:val="589"/>
    <w:qFormat/>
    <w:uiPriority w:val="0"/>
    <w:pPr>
      <w:autoSpaceDE/>
      <w:autoSpaceDN/>
      <w:snapToGrid w:val="0"/>
      <w:spacing w:line="460" w:lineRule="exact"/>
      <w:ind w:firstLine="480" w:firstLineChars="200"/>
      <w:jc w:val="center"/>
    </w:pPr>
    <w:rPr>
      <w:rFonts w:ascii="黑体" w:hAnsi="黑体" w:eastAsia="黑体" w:cs="Times New Roman"/>
      <w:kern w:val="2"/>
      <w:sz w:val="24"/>
      <w:lang w:val="en-US" w:bidi="ar-SA"/>
    </w:rPr>
  </w:style>
  <w:style w:type="character" w:customStyle="1" w:styleId="591">
    <w:name w:val="文件正文00 Char"/>
    <w:link w:val="592"/>
    <w:qFormat/>
    <w:uiPriority w:val="0"/>
    <w:rPr>
      <w:rFonts w:ascii="TimesNewRomanPSMT" w:hAnsi="TimesNewRomanPSMT" w:eastAsia="TimesNewRomanPSMT"/>
      <w:sz w:val="24"/>
    </w:rPr>
  </w:style>
  <w:style w:type="paragraph" w:customStyle="1" w:styleId="592">
    <w:name w:val="文件正文00"/>
    <w:basedOn w:val="1"/>
    <w:link w:val="591"/>
    <w:qFormat/>
    <w:uiPriority w:val="0"/>
    <w:pPr>
      <w:autoSpaceDE/>
      <w:autoSpaceDN/>
      <w:snapToGrid w:val="0"/>
      <w:spacing w:line="420" w:lineRule="exact"/>
      <w:ind w:firstLine="480" w:firstLineChars="200"/>
    </w:pPr>
    <w:rPr>
      <w:rFonts w:ascii="TimesNewRomanPSMT" w:hAnsi="TimesNewRomanPSMT" w:eastAsia="TimesNewRomanPSMT" w:cs="Times New Roman"/>
      <w:sz w:val="24"/>
      <w:szCs w:val="20"/>
      <w:lang w:val="en-US" w:bidi="ar-SA"/>
    </w:rPr>
  </w:style>
  <w:style w:type="paragraph" w:customStyle="1" w:styleId="593">
    <w:name w:val="xl49"/>
    <w:basedOn w:val="1"/>
    <w:qFormat/>
    <w:uiPriority w:val="99"/>
    <w:pPr>
      <w:widowControl/>
      <w:pBdr>
        <w:top w:val="single" w:color="auto" w:sz="4" w:space="0"/>
        <w:right w:val="single" w:color="auto" w:sz="4" w:space="0"/>
      </w:pBdr>
      <w:autoSpaceDE/>
      <w:autoSpaceDN/>
      <w:snapToGrid w:val="0"/>
      <w:spacing w:before="100" w:beforeAutospacing="1" w:after="100" w:afterAutospacing="1"/>
      <w:ind w:firstLine="480" w:firstLineChars="200"/>
    </w:pPr>
    <w:rPr>
      <w:rFonts w:ascii="楷体" w:eastAsia="楷体" w:cs="Times New Roman"/>
      <w:color w:val="0000FF"/>
      <w:sz w:val="12"/>
      <w:szCs w:val="12"/>
      <w:lang w:val="en-US" w:bidi="ar-SA"/>
    </w:rPr>
  </w:style>
  <w:style w:type="paragraph" w:customStyle="1" w:styleId="594">
    <w:name w:val="样式 四号 首行缩进:  1.14 厘米 段前: 5 磅 段后: 5 磅 行距: 1.5 倍行距"/>
    <w:basedOn w:val="1"/>
    <w:semiHidden/>
    <w:qFormat/>
    <w:uiPriority w:val="99"/>
    <w:pPr>
      <w:autoSpaceDE/>
      <w:autoSpaceDN/>
      <w:snapToGrid w:val="0"/>
      <w:spacing w:before="100" w:beforeAutospacing="1" w:after="100" w:afterAutospacing="1" w:line="360" w:lineRule="auto"/>
      <w:ind w:firstLine="646" w:firstLineChars="200"/>
      <w:jc w:val="both"/>
    </w:pPr>
    <w:rPr>
      <w:color w:val="000000"/>
      <w:sz w:val="28"/>
      <w:szCs w:val="20"/>
      <w:lang w:val="en-US" w:bidi="ar-SA"/>
    </w:rPr>
  </w:style>
  <w:style w:type="paragraph" w:customStyle="1" w:styleId="595">
    <w:name w:val="YB表（正文五号宋体）"/>
    <w:basedOn w:val="465"/>
    <w:qFormat/>
    <w:uiPriority w:val="99"/>
    <w:pPr>
      <w:spacing w:line="400" w:lineRule="exact"/>
      <w:ind w:firstLine="0" w:firstLineChars="0"/>
      <w:jc w:val="center"/>
    </w:pPr>
    <w:rPr>
      <w:sz w:val="21"/>
    </w:rPr>
  </w:style>
  <w:style w:type="paragraph" w:customStyle="1" w:styleId="596">
    <w:name w:val="样式 标题 3 + 左侧:  2 字符 右侧:  1 字符1"/>
    <w:basedOn w:val="6"/>
    <w:qFormat/>
    <w:uiPriority w:val="99"/>
    <w:pPr>
      <w:widowControl/>
      <w:autoSpaceDE/>
      <w:autoSpaceDN/>
      <w:snapToGrid w:val="0"/>
      <w:spacing w:before="60" w:after="60" w:line="460" w:lineRule="exact"/>
      <w:ind w:left="200" w:leftChars="200" w:right="100" w:rightChars="100" w:hanging="701"/>
    </w:pPr>
    <w:rPr>
      <w:rFonts w:ascii="Times New Roman" w:hAnsi="Times New Roman" w:eastAsia="黑体"/>
      <w:b/>
      <w:kern w:val="2"/>
      <w:sz w:val="24"/>
      <w:szCs w:val="20"/>
      <w:lang w:val="en-US" w:bidi="ar-SA"/>
    </w:rPr>
  </w:style>
  <w:style w:type="paragraph" w:customStyle="1" w:styleId="597">
    <w:name w:val="xl61"/>
    <w:basedOn w:val="1"/>
    <w:qFormat/>
    <w:uiPriority w:val="99"/>
    <w:pPr>
      <w:widowControl/>
      <w:pBdr>
        <w:left w:val="single" w:color="auto" w:sz="4" w:space="0"/>
        <w:right w:val="single" w:color="auto" w:sz="4" w:space="0"/>
      </w:pBdr>
      <w:autoSpaceDE/>
      <w:autoSpaceDN/>
      <w:snapToGrid w:val="0"/>
      <w:spacing w:before="100" w:beforeAutospacing="1" w:after="100" w:afterAutospacing="1"/>
      <w:ind w:firstLine="480" w:firstLineChars="200"/>
    </w:pPr>
    <w:rPr>
      <w:rFonts w:cs="Times New Roman"/>
      <w:color w:val="0000FF"/>
      <w:sz w:val="12"/>
      <w:szCs w:val="12"/>
      <w:lang w:val="en-US" w:bidi="ar-SA"/>
    </w:rPr>
  </w:style>
  <w:style w:type="character" w:customStyle="1" w:styleId="598">
    <w:name w:val="样式 样式 样式 样式 楷体_GB2312 首行缩进:  2 字符 + 首行缩进:  2 字符 + 首行缩进:  2 字符 + ... Char"/>
    <w:link w:val="599"/>
    <w:qFormat/>
    <w:uiPriority w:val="0"/>
    <w:rPr>
      <w:rFonts w:ascii="楷体_GB2312" w:eastAsia="楷体_GB2312" w:cs="宋体"/>
      <w:kern w:val="2"/>
      <w:sz w:val="24"/>
    </w:rPr>
  </w:style>
  <w:style w:type="paragraph" w:customStyle="1" w:styleId="599">
    <w:name w:val="样式 样式 样式 样式 楷体_GB2312 首行缩进:  2 字符 + 首行缩进:  2 字符 + 首行缩进:  2 字符 + ..."/>
    <w:basedOn w:val="1"/>
    <w:link w:val="598"/>
    <w:qFormat/>
    <w:uiPriority w:val="0"/>
    <w:pPr>
      <w:autoSpaceDE/>
      <w:autoSpaceDN/>
      <w:snapToGrid w:val="0"/>
      <w:spacing w:line="440" w:lineRule="exact"/>
      <w:ind w:firstLine="480" w:firstLineChars="200"/>
    </w:pPr>
    <w:rPr>
      <w:rFonts w:ascii="楷体_GB2312" w:hAnsi="Times New Roman" w:eastAsia="楷体_GB2312"/>
      <w:kern w:val="2"/>
      <w:sz w:val="24"/>
      <w:szCs w:val="20"/>
      <w:lang w:val="en-US" w:bidi="ar-SA"/>
    </w:rPr>
  </w:style>
  <w:style w:type="character" w:customStyle="1" w:styleId="600">
    <w:name w:val="表格标题 (2)_"/>
    <w:link w:val="601"/>
    <w:qFormat/>
    <w:uiPriority w:val="0"/>
    <w:rPr>
      <w:rFonts w:ascii="MingLiU" w:hAnsi="MingLiU" w:eastAsia="MingLiU" w:cs="MingLiU"/>
      <w:spacing w:val="30"/>
      <w:sz w:val="32"/>
      <w:szCs w:val="32"/>
      <w:shd w:val="clear" w:color="auto" w:fill="FFFFFF"/>
    </w:rPr>
  </w:style>
  <w:style w:type="paragraph" w:customStyle="1" w:styleId="601">
    <w:name w:val="表格标题 (2)"/>
    <w:basedOn w:val="1"/>
    <w:link w:val="600"/>
    <w:qFormat/>
    <w:uiPriority w:val="0"/>
    <w:pPr>
      <w:shd w:val="clear" w:color="auto" w:fill="FFFFFF"/>
      <w:autoSpaceDE/>
      <w:autoSpaceDN/>
      <w:snapToGrid w:val="0"/>
      <w:spacing w:line="0" w:lineRule="atLeast"/>
      <w:ind w:firstLine="480" w:firstLineChars="200"/>
    </w:pPr>
    <w:rPr>
      <w:rFonts w:ascii="MingLiU" w:hAnsi="MingLiU" w:eastAsia="MingLiU" w:cs="MingLiU"/>
      <w:spacing w:val="30"/>
      <w:sz w:val="32"/>
      <w:szCs w:val="32"/>
      <w:lang w:val="en-US" w:bidi="ar-SA"/>
    </w:rPr>
  </w:style>
  <w:style w:type="paragraph" w:customStyle="1" w:styleId="602">
    <w:name w:val="xl1135"/>
    <w:basedOn w:val="1"/>
    <w:qFormat/>
    <w:uiPriority w:val="99"/>
    <w:pPr>
      <w:widowControl/>
      <w:pBdr>
        <w:top w:val="single" w:color="auto" w:sz="4" w:space="0"/>
        <w:bottom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603">
    <w:name w:val="xl101"/>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autoSpaceDE/>
      <w:autoSpaceDN/>
      <w:snapToGrid w:val="0"/>
      <w:spacing w:before="100" w:beforeAutospacing="1" w:after="100" w:afterAutospacing="1"/>
      <w:ind w:firstLine="480" w:firstLineChars="200"/>
    </w:pPr>
    <w:rPr>
      <w:rFonts w:ascii="楷体" w:eastAsia="楷体" w:cs="Times New Roman"/>
      <w:color w:val="FF0000"/>
      <w:sz w:val="12"/>
      <w:szCs w:val="12"/>
      <w:lang w:val="en-US" w:bidi="ar-SA"/>
    </w:rPr>
  </w:style>
  <w:style w:type="paragraph" w:customStyle="1" w:styleId="604">
    <w:name w:val="Style2"/>
    <w:basedOn w:val="1"/>
    <w:qFormat/>
    <w:uiPriority w:val="99"/>
    <w:pPr>
      <w:widowControl/>
      <w:overflowPunct w:val="0"/>
      <w:adjustRightInd w:val="0"/>
      <w:snapToGrid w:val="0"/>
      <w:spacing w:line="360" w:lineRule="auto"/>
      <w:ind w:firstLine="480" w:firstLineChars="200"/>
    </w:pPr>
    <w:rPr>
      <w:rFonts w:hAnsi="Times New Roman" w:cs="Times New Roman"/>
      <w:color w:val="000000"/>
      <w:spacing w:val="10"/>
      <w:sz w:val="28"/>
      <w:szCs w:val="20"/>
      <w:lang w:val="en-US" w:bidi="ar-SA"/>
    </w:rPr>
  </w:style>
  <w:style w:type="paragraph" w:customStyle="1" w:styleId="605">
    <w:name w:val="样式 标题 2 + 首行缩进:  1.13 厘米"/>
    <w:basedOn w:val="5"/>
    <w:qFormat/>
    <w:uiPriority w:val="99"/>
    <w:pPr>
      <w:widowControl/>
      <w:tabs>
        <w:tab w:val="left" w:pos="0"/>
        <w:tab w:val="left" w:pos="900"/>
      </w:tabs>
      <w:autoSpaceDE/>
      <w:autoSpaceDN/>
      <w:adjustRightInd w:val="0"/>
      <w:snapToGrid w:val="0"/>
      <w:spacing w:before="300" w:after="120" w:line="460" w:lineRule="exact"/>
      <w:ind w:left="676" w:right="-64" w:rightChars="-64" w:firstLine="200"/>
    </w:pPr>
    <w:rPr>
      <w:rFonts w:ascii="黑体" w:hAnsi="Times New Roman" w:eastAsia="黑体"/>
      <w:b w:val="0"/>
      <w:bCs w:val="0"/>
      <w:sz w:val="28"/>
      <w:szCs w:val="32"/>
      <w:lang w:val="en-US" w:bidi="ar-SA"/>
    </w:rPr>
  </w:style>
  <w:style w:type="paragraph" w:customStyle="1" w:styleId="606">
    <w:name w:val="xl115"/>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4"/>
      <w:szCs w:val="24"/>
      <w:lang w:val="en-US" w:bidi="ar-SA"/>
    </w:rPr>
  </w:style>
  <w:style w:type="paragraph" w:customStyle="1" w:styleId="607">
    <w:name w:val="HCH标题3"/>
    <w:next w:val="263"/>
    <w:qFormat/>
    <w:uiPriority w:val="99"/>
    <w:pPr>
      <w:tabs>
        <w:tab w:val="left" w:pos="1035"/>
      </w:tabs>
      <w:spacing w:line="500" w:lineRule="exact"/>
      <w:ind w:left="1035" w:hanging="720"/>
      <w:outlineLvl w:val="2"/>
    </w:pPr>
    <w:rPr>
      <w:rFonts w:ascii="Times New Roman" w:hAnsi="Times New Roman" w:eastAsia="黑体" w:cs="Times New Roman"/>
      <w:bCs/>
      <w:kern w:val="2"/>
      <w:sz w:val="24"/>
      <w:szCs w:val="24"/>
      <w:lang w:val="en-US" w:eastAsia="zh-CN" w:bidi="ar-SA"/>
    </w:rPr>
  </w:style>
  <w:style w:type="paragraph" w:customStyle="1" w:styleId="608">
    <w:name w:val="1.1.1.1项目标题"/>
    <w:basedOn w:val="1"/>
    <w:next w:val="1"/>
    <w:qFormat/>
    <w:uiPriority w:val="99"/>
    <w:pPr>
      <w:numPr>
        <w:ilvl w:val="3"/>
        <w:numId w:val="5"/>
      </w:numPr>
      <w:autoSpaceDE/>
      <w:autoSpaceDN/>
      <w:snapToGrid w:val="0"/>
      <w:spacing w:line="460" w:lineRule="exact"/>
      <w:outlineLvl w:val="3"/>
    </w:pPr>
    <w:rPr>
      <w:rFonts w:ascii="Times New Roman" w:hAnsi="Times New Roman" w:cs="Times New Roman"/>
      <w:color w:val="000000"/>
      <w:kern w:val="2"/>
      <w:sz w:val="24"/>
      <w:szCs w:val="24"/>
      <w:lang w:val="en-US" w:bidi="ar-SA"/>
    </w:rPr>
  </w:style>
  <w:style w:type="paragraph" w:customStyle="1" w:styleId="609">
    <w:name w:val="Char Char Char Char Char Char Char Char Char Char1"/>
    <w:basedOn w:val="1"/>
    <w:qFormat/>
    <w:uiPriority w:val="99"/>
    <w:pPr>
      <w:tabs>
        <w:tab w:val="left" w:pos="425"/>
      </w:tabs>
      <w:autoSpaceDE/>
      <w:autoSpaceDN/>
      <w:snapToGrid w:val="0"/>
      <w:spacing w:line="460" w:lineRule="exact"/>
      <w:ind w:left="425" w:hanging="425" w:firstLineChars="200"/>
      <w:jc w:val="both"/>
    </w:pPr>
    <w:rPr>
      <w:rFonts w:ascii="Arial" w:hAnsi="Arial" w:eastAsia="黑体"/>
      <w:b/>
      <w:bCs/>
      <w:color w:val="000000"/>
      <w:kern w:val="2"/>
      <w:sz w:val="32"/>
      <w:szCs w:val="32"/>
      <w:lang w:val="en-US" w:bidi="ar-SA"/>
    </w:rPr>
  </w:style>
  <w:style w:type="character" w:customStyle="1" w:styleId="610">
    <w:name w:val="正文宋 + 首行缩进:  2 字符 + 首行缩进:  2 字符 Char"/>
    <w:link w:val="611"/>
    <w:qFormat/>
    <w:uiPriority w:val="0"/>
    <w:rPr>
      <w:kern w:val="2"/>
      <w:sz w:val="28"/>
    </w:rPr>
  </w:style>
  <w:style w:type="paragraph" w:customStyle="1" w:styleId="611">
    <w:name w:val="正文宋 + 首行缩进:  2 字符 + 首行缩进:  2 字符"/>
    <w:basedOn w:val="1"/>
    <w:link w:val="610"/>
    <w:qFormat/>
    <w:uiPriority w:val="0"/>
    <w:pPr>
      <w:autoSpaceDE/>
      <w:autoSpaceDN/>
      <w:snapToGrid w:val="0"/>
      <w:ind w:firstLine="560" w:firstLineChars="200"/>
      <w:jc w:val="both"/>
    </w:pPr>
    <w:rPr>
      <w:rFonts w:ascii="Times New Roman" w:hAnsi="Times New Roman" w:cs="Times New Roman"/>
      <w:kern w:val="2"/>
      <w:sz w:val="28"/>
      <w:szCs w:val="20"/>
      <w:lang w:val="en-US" w:bidi="ar-SA"/>
    </w:rPr>
  </w:style>
  <w:style w:type="paragraph" w:customStyle="1" w:styleId="612">
    <w:name w:val="xl82"/>
    <w:basedOn w:val="1"/>
    <w:qFormat/>
    <w:uiPriority w:val="99"/>
    <w:pPr>
      <w:widowControl/>
      <w:pBdr>
        <w:top w:val="single" w:color="auto" w:sz="4" w:space="0"/>
        <w:left w:val="single" w:color="auto" w:sz="4" w:space="0"/>
        <w:bottom w:val="single" w:color="auto" w:sz="4" w:space="0"/>
      </w:pBdr>
      <w:autoSpaceDE/>
      <w:autoSpaceDN/>
      <w:snapToGrid w:val="0"/>
      <w:spacing w:before="100" w:beforeAutospacing="1" w:after="100" w:afterAutospacing="1"/>
      <w:ind w:firstLine="480" w:firstLineChars="200"/>
      <w:jc w:val="center"/>
    </w:pPr>
    <w:rPr>
      <w:rFonts w:cs="Times New Roman"/>
      <w:color w:val="000000"/>
      <w:sz w:val="12"/>
      <w:szCs w:val="12"/>
      <w:lang w:val="en-US" w:bidi="ar-SA"/>
    </w:rPr>
  </w:style>
  <w:style w:type="paragraph" w:customStyle="1" w:styleId="613">
    <w:name w:val="xl62"/>
    <w:basedOn w:val="1"/>
    <w:qFormat/>
    <w:uiPriority w:val="99"/>
    <w:pPr>
      <w:widowControl/>
      <w:pBdr>
        <w:right w:val="single" w:color="auto" w:sz="4" w:space="0"/>
      </w:pBdr>
      <w:autoSpaceDE/>
      <w:autoSpaceDN/>
      <w:snapToGrid w:val="0"/>
      <w:spacing w:before="100" w:beforeAutospacing="1" w:after="100" w:afterAutospacing="1"/>
      <w:ind w:firstLine="480" w:firstLineChars="200"/>
      <w:jc w:val="center"/>
    </w:pPr>
    <w:rPr>
      <w:rFonts w:ascii="楷体" w:eastAsia="楷体" w:cs="Times New Roman"/>
      <w:color w:val="0000FF"/>
      <w:sz w:val="12"/>
      <w:szCs w:val="12"/>
      <w:lang w:val="en-US" w:bidi="ar-SA"/>
    </w:rPr>
  </w:style>
  <w:style w:type="paragraph" w:customStyle="1" w:styleId="614">
    <w:name w:val="样式 标题 4 + 自动设置"/>
    <w:basedOn w:val="7"/>
    <w:qFormat/>
    <w:uiPriority w:val="99"/>
    <w:pPr>
      <w:tabs>
        <w:tab w:val="left" w:pos="2100"/>
      </w:tabs>
      <w:autoSpaceDE/>
      <w:autoSpaceDN/>
      <w:adjustRightInd w:val="0"/>
      <w:snapToGrid w:val="0"/>
      <w:spacing w:before="0" w:beforeLines="50"/>
      <w:ind w:left="0" w:right="-64" w:rightChars="-64" w:firstLine="0"/>
      <w:jc w:val="center"/>
    </w:pPr>
    <w:rPr>
      <w:rFonts w:ascii="黑体" w:eastAsia="黑体" w:cs="Times New Roman"/>
      <w:bCs w:val="0"/>
      <w:i/>
      <w:sz w:val="24"/>
      <w:szCs w:val="24"/>
      <w:lang w:val="en-US" w:bidi="ar-SA"/>
    </w:rPr>
  </w:style>
  <w:style w:type="character" w:customStyle="1" w:styleId="615">
    <w:name w:val="样式 标题 3h3Heading 3 - oldLevel 3 HeadH3level_3PIM 3sect1.2... Char"/>
    <w:link w:val="616"/>
    <w:semiHidden/>
    <w:qFormat/>
    <w:uiPriority w:val="99"/>
    <w:rPr>
      <w:rFonts w:ascii="黑体" w:hAnsi="黑体" w:eastAsia="黑体"/>
      <w:b/>
      <w:bCs/>
      <w:sz w:val="28"/>
      <w:szCs w:val="28"/>
    </w:rPr>
  </w:style>
  <w:style w:type="paragraph" w:customStyle="1" w:styleId="616">
    <w:name w:val="样式 标题 3h3Heading 3 - oldLevel 3 HeadH3level_3PIM 3sect1.2..."/>
    <w:basedOn w:val="6"/>
    <w:link w:val="615"/>
    <w:semiHidden/>
    <w:qFormat/>
    <w:uiPriority w:val="99"/>
    <w:pPr>
      <w:widowControl/>
      <w:autoSpaceDE/>
      <w:autoSpaceDN/>
      <w:snapToGrid w:val="0"/>
      <w:spacing w:before="260" w:after="260" w:line="410" w:lineRule="auto"/>
      <w:ind w:left="941" w:right="0" w:hanging="701"/>
      <w:jc w:val="both"/>
    </w:pPr>
    <w:rPr>
      <w:rFonts w:ascii="黑体" w:hAnsi="黑体" w:eastAsia="黑体" w:cs="Times New Roman"/>
      <w:b/>
      <w:bCs/>
      <w:sz w:val="28"/>
      <w:szCs w:val="28"/>
      <w:lang w:val="en-US" w:bidi="ar-SA"/>
    </w:rPr>
  </w:style>
  <w:style w:type="paragraph" w:customStyle="1" w:styleId="617">
    <w:name w:val="图头"/>
    <w:basedOn w:val="1"/>
    <w:qFormat/>
    <w:uiPriority w:val="99"/>
    <w:pPr>
      <w:autoSpaceDE/>
      <w:autoSpaceDN/>
      <w:snapToGrid w:val="0"/>
      <w:spacing w:line="460" w:lineRule="exact"/>
      <w:ind w:firstLine="480" w:firstLineChars="200"/>
      <w:jc w:val="center"/>
    </w:pPr>
    <w:rPr>
      <w:rFonts w:ascii="Times New Roman" w:hAnsi="Times New Roman" w:eastAsia="黑体" w:cs="Times New Roman"/>
      <w:color w:val="000000"/>
      <w:kern w:val="2"/>
      <w:sz w:val="24"/>
      <w:szCs w:val="24"/>
      <w:lang w:bidi="ar-SA"/>
    </w:rPr>
  </w:style>
  <w:style w:type="character" w:customStyle="1" w:styleId="618">
    <w:name w:val="L表格 Char"/>
    <w:link w:val="619"/>
    <w:qFormat/>
    <w:uiPriority w:val="0"/>
    <w:rPr>
      <w:rFonts w:ascii="宋体" w:hAnsi="宋体" w:cs="宋体"/>
      <w:color w:val="000000"/>
      <w:szCs w:val="24"/>
    </w:rPr>
  </w:style>
  <w:style w:type="paragraph" w:customStyle="1" w:styleId="619">
    <w:name w:val="L表格"/>
    <w:basedOn w:val="1"/>
    <w:link w:val="618"/>
    <w:qFormat/>
    <w:uiPriority w:val="0"/>
    <w:pPr>
      <w:widowControl/>
      <w:tabs>
        <w:tab w:val="left" w:pos="385"/>
      </w:tabs>
      <w:autoSpaceDE/>
      <w:autoSpaceDN/>
      <w:snapToGrid w:val="0"/>
      <w:spacing w:line="360" w:lineRule="exact"/>
      <w:ind w:firstLine="480" w:firstLineChars="200"/>
      <w:jc w:val="center"/>
    </w:pPr>
    <w:rPr>
      <w:color w:val="000000"/>
      <w:sz w:val="20"/>
      <w:szCs w:val="24"/>
      <w:lang w:val="en-US" w:bidi="ar-SA"/>
    </w:rPr>
  </w:style>
  <w:style w:type="paragraph" w:customStyle="1" w:styleId="620">
    <w:name w:val="YB目小四黑五"/>
    <w:next w:val="460"/>
    <w:qFormat/>
    <w:uiPriority w:val="99"/>
    <w:pPr>
      <w:spacing w:line="500" w:lineRule="exact"/>
      <w:outlineLvl w:val="4"/>
    </w:pPr>
    <w:rPr>
      <w:rFonts w:ascii="Times New Roman" w:hAnsi="Times New Roman" w:eastAsia="黑体" w:cs="Times New Roman"/>
      <w:kern w:val="2"/>
      <w:sz w:val="24"/>
      <w:lang w:val="en-US" w:eastAsia="zh-CN" w:bidi="ar-SA"/>
    </w:rPr>
  </w:style>
  <w:style w:type="paragraph" w:customStyle="1" w:styleId="621">
    <w:name w:val="Char Char Char1 Char1"/>
    <w:basedOn w:val="1"/>
    <w:qFormat/>
    <w:uiPriority w:val="99"/>
    <w:pPr>
      <w:autoSpaceDE/>
      <w:autoSpaceDN/>
      <w:snapToGrid w:val="0"/>
      <w:spacing w:line="460" w:lineRule="exact"/>
      <w:ind w:firstLine="200" w:firstLineChars="200"/>
      <w:jc w:val="both"/>
    </w:pPr>
    <w:rPr>
      <w:rFonts w:ascii="Times New Roman" w:hAnsi="Times New Roman" w:cs="Times New Roman"/>
      <w:color w:val="000000"/>
      <w:kern w:val="2"/>
      <w:sz w:val="24"/>
      <w:szCs w:val="24"/>
      <w:lang w:val="en-US" w:bidi="ar-SA"/>
    </w:rPr>
  </w:style>
  <w:style w:type="paragraph" w:customStyle="1" w:styleId="622">
    <w:name w:val="xl1111"/>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rFonts w:ascii="仿宋_GB2312" w:eastAsia="仿宋_GB2312" w:cs="Times New Roman"/>
      <w:color w:val="000000"/>
      <w:sz w:val="20"/>
      <w:szCs w:val="20"/>
      <w:lang w:val="en-US" w:bidi="ar-SA"/>
    </w:rPr>
  </w:style>
  <w:style w:type="paragraph" w:customStyle="1" w:styleId="623">
    <w:name w:val="xl1096"/>
    <w:basedOn w:val="1"/>
    <w:qFormat/>
    <w:uiPriority w:val="99"/>
    <w:pPr>
      <w:widowControl/>
      <w:autoSpaceDE/>
      <w:autoSpaceDN/>
      <w:snapToGrid w:val="0"/>
      <w:spacing w:before="100" w:beforeAutospacing="1" w:after="100" w:afterAutospacing="1"/>
      <w:ind w:firstLine="480" w:firstLineChars="200"/>
      <w:jc w:val="right"/>
    </w:pPr>
    <w:rPr>
      <w:rFonts w:ascii="仿宋_GB2312" w:eastAsia="仿宋_GB2312" w:cs="Times New Roman"/>
      <w:color w:val="000000"/>
      <w:sz w:val="20"/>
      <w:szCs w:val="20"/>
      <w:lang w:val="en-US" w:bidi="ar-SA"/>
    </w:rPr>
  </w:style>
  <w:style w:type="character" w:customStyle="1" w:styleId="624">
    <w:name w:val="4正文 Char"/>
    <w:link w:val="625"/>
    <w:qFormat/>
    <w:uiPriority w:val="0"/>
    <w:rPr>
      <w:sz w:val="24"/>
      <w:szCs w:val="24"/>
      <w:lang w:val="zh-CN"/>
    </w:rPr>
  </w:style>
  <w:style w:type="paragraph" w:customStyle="1" w:styleId="625">
    <w:name w:val="4正文"/>
    <w:basedOn w:val="1"/>
    <w:link w:val="624"/>
    <w:qFormat/>
    <w:uiPriority w:val="0"/>
    <w:pPr>
      <w:autoSpaceDE/>
      <w:autoSpaceDN/>
      <w:snapToGrid w:val="0"/>
      <w:spacing w:line="360" w:lineRule="auto"/>
      <w:ind w:firstLine="200" w:firstLineChars="200"/>
      <w:jc w:val="both"/>
    </w:pPr>
    <w:rPr>
      <w:rFonts w:ascii="Times New Roman" w:hAnsi="Times New Roman" w:cs="Times New Roman"/>
      <w:sz w:val="24"/>
      <w:szCs w:val="24"/>
      <w:lang w:bidi="ar-SA"/>
    </w:rPr>
  </w:style>
  <w:style w:type="character" w:customStyle="1" w:styleId="626">
    <w:name w:val="小四1.5 字符"/>
    <w:link w:val="627"/>
    <w:qFormat/>
    <w:uiPriority w:val="0"/>
    <w:rPr>
      <w:sz w:val="24"/>
    </w:rPr>
  </w:style>
  <w:style w:type="paragraph" w:customStyle="1" w:styleId="627">
    <w:name w:val="小四1.5"/>
    <w:basedOn w:val="1"/>
    <w:link w:val="626"/>
    <w:qFormat/>
    <w:uiPriority w:val="0"/>
    <w:pPr>
      <w:autoSpaceDE/>
      <w:autoSpaceDN/>
      <w:snapToGrid w:val="0"/>
      <w:spacing w:line="360" w:lineRule="auto"/>
      <w:ind w:firstLine="200" w:firstLineChars="200"/>
      <w:jc w:val="both"/>
    </w:pPr>
    <w:rPr>
      <w:rFonts w:ascii="Times New Roman" w:hAnsi="Times New Roman" w:cs="Times New Roman"/>
      <w:sz w:val="24"/>
      <w:szCs w:val="20"/>
      <w:lang w:val="en-US" w:bidi="ar-SA"/>
    </w:rPr>
  </w:style>
  <w:style w:type="paragraph" w:customStyle="1" w:styleId="628">
    <w:name w:val="陈竹包1号标题"/>
    <w:basedOn w:val="4"/>
    <w:next w:val="1"/>
    <w:qFormat/>
    <w:uiPriority w:val="99"/>
    <w:pPr>
      <w:keepNext/>
      <w:widowControl/>
      <w:adjustRightInd w:val="0"/>
      <w:snapToGrid w:val="0"/>
      <w:spacing w:before="300" w:after="120" w:line="460" w:lineRule="exact"/>
      <w:ind w:left="766" w:right="0" w:hanging="526"/>
    </w:pPr>
    <w:rPr>
      <w:rFonts w:ascii="等线" w:hAnsi="等线" w:eastAsia="黑体" w:cs="Times New Roman"/>
      <w:color w:val="FF0000"/>
      <w:sz w:val="32"/>
      <w:szCs w:val="30"/>
      <w:lang w:val="en-US" w:bidi="ar-SA"/>
    </w:rPr>
  </w:style>
  <w:style w:type="paragraph" w:customStyle="1" w:styleId="629">
    <w:name w:val="xl132"/>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4"/>
      <w:szCs w:val="24"/>
      <w:lang w:val="en-US" w:bidi="ar-SA"/>
    </w:rPr>
  </w:style>
  <w:style w:type="paragraph" w:customStyle="1" w:styleId="630">
    <w:name w:val="A正文四号宋体"/>
    <w:basedOn w:val="1"/>
    <w:qFormat/>
    <w:uiPriority w:val="99"/>
    <w:pPr>
      <w:adjustRightInd w:val="0"/>
      <w:snapToGrid w:val="0"/>
      <w:spacing w:line="500" w:lineRule="atLeast"/>
      <w:ind w:firstLine="480" w:firstLineChars="200"/>
      <w:jc w:val="both"/>
    </w:pPr>
    <w:rPr>
      <w:rFonts w:ascii="Times New Roman" w:hAnsi="Times New Roman" w:cs="Times New Roman"/>
      <w:color w:val="000000"/>
      <w:sz w:val="24"/>
      <w:szCs w:val="28"/>
      <w:lang w:val="en-US" w:bidi="ar-SA"/>
    </w:rPr>
  </w:style>
  <w:style w:type="character" w:customStyle="1" w:styleId="631">
    <w:name w:val="表格标题 (3)_"/>
    <w:link w:val="632"/>
    <w:qFormat/>
    <w:uiPriority w:val="0"/>
    <w:rPr>
      <w:rFonts w:ascii="MingLiU" w:hAnsi="MingLiU" w:eastAsia="MingLiU" w:cs="MingLiU"/>
      <w:spacing w:val="30"/>
      <w:sz w:val="26"/>
      <w:szCs w:val="26"/>
      <w:shd w:val="clear" w:color="auto" w:fill="FFFFFF"/>
    </w:rPr>
  </w:style>
  <w:style w:type="paragraph" w:customStyle="1" w:styleId="632">
    <w:name w:val="表格标题 (3)"/>
    <w:basedOn w:val="1"/>
    <w:link w:val="631"/>
    <w:qFormat/>
    <w:uiPriority w:val="0"/>
    <w:pPr>
      <w:shd w:val="clear" w:color="auto" w:fill="FFFFFF"/>
      <w:autoSpaceDE/>
      <w:autoSpaceDN/>
      <w:snapToGrid w:val="0"/>
      <w:spacing w:line="0" w:lineRule="atLeast"/>
      <w:ind w:firstLine="480" w:firstLineChars="200"/>
    </w:pPr>
    <w:rPr>
      <w:rFonts w:ascii="MingLiU" w:hAnsi="MingLiU" w:eastAsia="MingLiU" w:cs="MingLiU"/>
      <w:spacing w:val="30"/>
      <w:sz w:val="26"/>
      <w:szCs w:val="26"/>
      <w:lang w:val="en-US" w:bidi="ar-SA"/>
    </w:rPr>
  </w:style>
  <w:style w:type="paragraph" w:customStyle="1" w:styleId="633">
    <w:name w:val="HCH标题1"/>
    <w:next w:val="263"/>
    <w:qFormat/>
    <w:uiPriority w:val="99"/>
    <w:pPr>
      <w:tabs>
        <w:tab w:val="left" w:pos="285"/>
      </w:tabs>
      <w:spacing w:line="500" w:lineRule="exact"/>
      <w:ind w:left="1"/>
      <w:jc w:val="center"/>
      <w:outlineLvl w:val="0"/>
    </w:pPr>
    <w:rPr>
      <w:rFonts w:ascii="Times New Roman" w:hAnsi="Times New Roman" w:eastAsia="黑体" w:cs="Times New Roman"/>
      <w:bCs/>
      <w:kern w:val="44"/>
      <w:sz w:val="24"/>
      <w:szCs w:val="32"/>
      <w:lang w:val="en-US" w:eastAsia="zh-CN" w:bidi="ar-SA"/>
    </w:rPr>
  </w:style>
  <w:style w:type="character" w:customStyle="1" w:styleId="634">
    <w:name w:val="HCH正文 Char"/>
    <w:link w:val="263"/>
    <w:qFormat/>
    <w:uiPriority w:val="99"/>
    <w:rPr>
      <w:rFonts w:ascii="宋体" w:hAnsi="宋体"/>
      <w:bCs/>
      <w:kern w:val="2"/>
      <w:sz w:val="28"/>
      <w:szCs w:val="24"/>
    </w:rPr>
  </w:style>
  <w:style w:type="paragraph" w:customStyle="1" w:styleId="635">
    <w:name w:val="4表"/>
    <w:basedOn w:val="1"/>
    <w:qFormat/>
    <w:uiPriority w:val="99"/>
    <w:pPr>
      <w:autoSpaceDE/>
      <w:autoSpaceDN/>
      <w:adjustRightInd w:val="0"/>
      <w:snapToGrid w:val="0"/>
      <w:spacing w:line="360" w:lineRule="auto"/>
      <w:ind w:firstLine="480" w:firstLineChars="200"/>
      <w:jc w:val="both"/>
    </w:pPr>
    <w:rPr>
      <w:rFonts w:ascii="黑体" w:hAnsi="Times New Roman" w:cs="Times New Roman"/>
      <w:color w:val="000000"/>
      <w:sz w:val="28"/>
      <w:szCs w:val="24"/>
      <w:lang w:val="en-US" w:bidi="ar-SA"/>
    </w:rPr>
  </w:style>
  <w:style w:type="paragraph" w:customStyle="1" w:styleId="636">
    <w:name w:val="xl46"/>
    <w:basedOn w:val="1"/>
    <w:qFormat/>
    <w:uiPriority w:val="99"/>
    <w:pPr>
      <w:widowControl/>
      <w:pBdr>
        <w:top w:val="single" w:color="auto" w:sz="4" w:space="0"/>
        <w:bottom w:val="single" w:color="auto" w:sz="4" w:space="0"/>
      </w:pBdr>
      <w:autoSpaceDE/>
      <w:autoSpaceDN/>
      <w:snapToGrid w:val="0"/>
      <w:spacing w:before="100" w:beforeAutospacing="1" w:after="100" w:afterAutospacing="1"/>
      <w:ind w:firstLine="480" w:firstLineChars="200"/>
      <w:jc w:val="center"/>
    </w:pPr>
    <w:rPr>
      <w:rFonts w:ascii="楷体" w:eastAsia="楷体" w:cs="Times New Roman"/>
      <w:color w:val="0000FF"/>
      <w:sz w:val="12"/>
      <w:szCs w:val="12"/>
      <w:lang w:val="en-US" w:bidi="ar-SA"/>
    </w:rPr>
  </w:style>
  <w:style w:type="paragraph" w:customStyle="1" w:styleId="637">
    <w:name w:val="样式 标题 1标题 1 Char + 两端对齐1"/>
    <w:basedOn w:val="4"/>
    <w:semiHidden/>
    <w:qFormat/>
    <w:uiPriority w:val="99"/>
    <w:pPr>
      <w:keepNext/>
      <w:widowControl/>
      <w:autoSpaceDE/>
      <w:autoSpaceDN/>
      <w:adjustRightInd w:val="0"/>
      <w:snapToGrid w:val="0"/>
      <w:spacing w:before="360" w:after="240" w:line="360" w:lineRule="auto"/>
      <w:ind w:left="1275" w:right="0" w:hanging="425"/>
      <w:jc w:val="both"/>
    </w:pPr>
    <w:rPr>
      <w:rFonts w:ascii="黑体" w:hAnsi="Times New Roman" w:eastAsia="黑体"/>
      <w:b w:val="0"/>
      <w:color w:val="000000"/>
      <w:kern w:val="2"/>
      <w:sz w:val="36"/>
      <w:szCs w:val="20"/>
      <w:lang w:val="en-US" w:bidi="ar-SA"/>
    </w:rPr>
  </w:style>
  <w:style w:type="character" w:customStyle="1" w:styleId="638">
    <w:name w:val="正文样式1 Char"/>
    <w:link w:val="639"/>
    <w:qFormat/>
    <w:uiPriority w:val="0"/>
    <w:rPr>
      <w:rFonts w:ascii="仿宋" w:hAnsi="仿宋" w:eastAsia="仿宋"/>
      <w:sz w:val="32"/>
    </w:rPr>
  </w:style>
  <w:style w:type="paragraph" w:customStyle="1" w:styleId="639">
    <w:name w:val="正文样式1"/>
    <w:basedOn w:val="1"/>
    <w:link w:val="638"/>
    <w:qFormat/>
    <w:uiPriority w:val="0"/>
    <w:pPr>
      <w:autoSpaceDE/>
      <w:autoSpaceDN/>
      <w:snapToGrid w:val="0"/>
      <w:ind w:firstLine="1120" w:firstLineChars="200"/>
      <w:jc w:val="both"/>
    </w:pPr>
    <w:rPr>
      <w:rFonts w:ascii="仿宋" w:hAnsi="仿宋" w:eastAsia="仿宋" w:cs="Times New Roman"/>
      <w:sz w:val="32"/>
      <w:szCs w:val="20"/>
      <w:lang w:val="en-US" w:bidi="ar-SA"/>
    </w:rPr>
  </w:style>
  <w:style w:type="paragraph" w:customStyle="1" w:styleId="640">
    <w:name w:val="样式8"/>
    <w:basedOn w:val="4"/>
    <w:qFormat/>
    <w:uiPriority w:val="99"/>
    <w:pPr>
      <w:keepNext/>
      <w:widowControl/>
      <w:tabs>
        <w:tab w:val="left" w:pos="2070"/>
      </w:tabs>
      <w:autoSpaceDE/>
      <w:autoSpaceDN/>
      <w:adjustRightInd w:val="0"/>
      <w:snapToGrid w:val="0"/>
      <w:spacing w:before="0" w:line="360" w:lineRule="auto"/>
      <w:ind w:left="2070" w:right="0" w:hanging="510"/>
    </w:pPr>
    <w:rPr>
      <w:rFonts w:ascii="Times New Roman" w:hAnsi="Times New Roman" w:eastAsia="黑体"/>
      <w:bCs w:val="0"/>
      <w:color w:val="000000"/>
      <w:kern w:val="44"/>
      <w:sz w:val="32"/>
      <w:szCs w:val="32"/>
      <w:lang w:val="en-US" w:bidi="ar-SA"/>
    </w:rPr>
  </w:style>
  <w:style w:type="character" w:customStyle="1" w:styleId="641">
    <w:name w:val="表格（5号字体） 字符"/>
    <w:link w:val="642"/>
    <w:qFormat/>
    <w:uiPriority w:val="0"/>
    <w:rPr>
      <w:rFonts w:ascii="宋体" w:hAnsi="宋体" w:cs="宋体"/>
      <w:color w:val="000000"/>
      <w:sz w:val="21"/>
      <w:szCs w:val="21"/>
    </w:rPr>
  </w:style>
  <w:style w:type="paragraph" w:customStyle="1" w:styleId="642">
    <w:name w:val="表格（5号字体）"/>
    <w:basedOn w:val="1"/>
    <w:link w:val="641"/>
    <w:qFormat/>
    <w:uiPriority w:val="0"/>
    <w:pPr>
      <w:widowControl/>
      <w:autoSpaceDE/>
      <w:autoSpaceDN/>
      <w:snapToGrid w:val="0"/>
      <w:spacing w:line="300" w:lineRule="auto"/>
      <w:ind w:firstLine="480" w:firstLineChars="200"/>
      <w:jc w:val="center"/>
    </w:pPr>
    <w:rPr>
      <w:color w:val="000000"/>
      <w:sz w:val="21"/>
      <w:szCs w:val="21"/>
      <w:lang w:val="en-US" w:bidi="ar-SA"/>
    </w:rPr>
  </w:style>
  <w:style w:type="paragraph" w:customStyle="1" w:styleId="643">
    <w:name w:val="Char Char Char Char Char Char1 Char"/>
    <w:basedOn w:val="1"/>
    <w:qFormat/>
    <w:uiPriority w:val="99"/>
    <w:pPr>
      <w:autoSpaceDE/>
      <w:autoSpaceDN/>
      <w:snapToGrid w:val="0"/>
      <w:spacing w:line="360" w:lineRule="auto"/>
      <w:ind w:firstLine="480" w:firstLineChars="200"/>
      <w:jc w:val="both"/>
    </w:pPr>
    <w:rPr>
      <w:rFonts w:ascii="Times New Roman" w:hAnsi="Times New Roman"/>
      <w:color w:val="000000"/>
      <w:kern w:val="2"/>
      <w:sz w:val="24"/>
      <w:szCs w:val="24"/>
      <w:lang w:val="en-US" w:bidi="ar-SA"/>
    </w:rPr>
  </w:style>
  <w:style w:type="paragraph" w:customStyle="1" w:styleId="644">
    <w:name w:val="xl121"/>
    <w:basedOn w:val="1"/>
    <w:qFormat/>
    <w:uiPriority w:val="99"/>
    <w:pPr>
      <w:widowControl/>
      <w:pBdr>
        <w:top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color w:val="000000"/>
      <w:sz w:val="24"/>
      <w:szCs w:val="24"/>
      <w:lang w:val="en-US" w:bidi="ar-SA"/>
    </w:rPr>
  </w:style>
  <w:style w:type="character" w:customStyle="1" w:styleId="645">
    <w:name w:val="正文应用 Char"/>
    <w:link w:val="646"/>
    <w:qFormat/>
    <w:uiPriority w:val="0"/>
    <w:rPr>
      <w:kern w:val="2"/>
      <w:sz w:val="24"/>
      <w:szCs w:val="24"/>
    </w:rPr>
  </w:style>
  <w:style w:type="paragraph" w:customStyle="1" w:styleId="646">
    <w:name w:val="正文应用"/>
    <w:basedOn w:val="1"/>
    <w:link w:val="645"/>
    <w:qFormat/>
    <w:uiPriority w:val="0"/>
    <w:pPr>
      <w:autoSpaceDE/>
      <w:autoSpaceDN/>
      <w:snapToGrid w:val="0"/>
      <w:spacing w:line="360" w:lineRule="auto"/>
      <w:ind w:firstLine="480" w:firstLineChars="200"/>
    </w:pPr>
    <w:rPr>
      <w:rFonts w:ascii="Times New Roman" w:hAnsi="Times New Roman" w:cs="Times New Roman"/>
      <w:kern w:val="2"/>
      <w:sz w:val="24"/>
      <w:szCs w:val="24"/>
      <w:lang w:val="en-US" w:bidi="ar-SA"/>
    </w:rPr>
  </w:style>
  <w:style w:type="paragraph" w:customStyle="1" w:styleId="647">
    <w:name w:val="Char3 Char Char Char Char Char Char"/>
    <w:basedOn w:val="1"/>
    <w:qFormat/>
    <w:uiPriority w:val="99"/>
    <w:pPr>
      <w:autoSpaceDE/>
      <w:autoSpaceDN/>
      <w:snapToGrid w:val="0"/>
      <w:spacing w:line="360" w:lineRule="auto"/>
      <w:ind w:firstLine="200" w:firstLineChars="200"/>
      <w:jc w:val="both"/>
    </w:pPr>
    <w:rPr>
      <w:color w:val="000000"/>
      <w:kern w:val="2"/>
      <w:sz w:val="24"/>
      <w:szCs w:val="24"/>
      <w:lang w:val="en-US" w:bidi="ar-SA"/>
    </w:rPr>
  </w:style>
  <w:style w:type="paragraph" w:customStyle="1" w:styleId="648">
    <w:name w:val="font7"/>
    <w:basedOn w:val="1"/>
    <w:qFormat/>
    <w:uiPriority w:val="99"/>
    <w:pPr>
      <w:widowControl/>
      <w:autoSpaceDE/>
      <w:autoSpaceDN/>
      <w:snapToGrid w:val="0"/>
      <w:spacing w:before="100" w:beforeAutospacing="1" w:after="100" w:afterAutospacing="1"/>
      <w:ind w:firstLine="480" w:firstLineChars="200"/>
    </w:pPr>
    <w:rPr>
      <w:rFonts w:cs="Times New Roman"/>
      <w:b/>
      <w:bCs/>
      <w:color w:val="000000"/>
      <w:sz w:val="24"/>
      <w:szCs w:val="24"/>
      <w:lang w:val="en-US" w:bidi="ar-SA"/>
    </w:rPr>
  </w:style>
  <w:style w:type="paragraph" w:customStyle="1" w:styleId="649">
    <w:name w:val="样式 样式 标题 2 + 首行缩进:  1.13 厘米 + 首行缩进:  1.13 厘米"/>
    <w:basedOn w:val="605"/>
    <w:qFormat/>
    <w:uiPriority w:val="99"/>
  </w:style>
  <w:style w:type="paragraph" w:customStyle="1" w:styleId="650">
    <w:name w:val="表格式"/>
    <w:basedOn w:val="525"/>
    <w:next w:val="525"/>
    <w:qFormat/>
    <w:uiPriority w:val="99"/>
    <w:pPr>
      <w:spacing w:line="240" w:lineRule="auto"/>
      <w:ind w:firstLine="0"/>
      <w:jc w:val="center"/>
    </w:pPr>
    <w:rPr>
      <w:rFonts w:hAnsi="宋体"/>
      <w:kern w:val="0"/>
      <w:sz w:val="21"/>
    </w:rPr>
  </w:style>
  <w:style w:type="paragraph" w:customStyle="1" w:styleId="651">
    <w:name w:val="样式 首行缩进:  2 字符 行距: 1.5 倍行距"/>
    <w:basedOn w:val="1"/>
    <w:qFormat/>
    <w:uiPriority w:val="99"/>
    <w:pPr>
      <w:keepNext/>
      <w:autoSpaceDE/>
      <w:autoSpaceDN/>
      <w:snapToGrid w:val="0"/>
      <w:spacing w:line="440" w:lineRule="exact"/>
      <w:ind w:right="-64" w:rightChars="-64" w:firstLine="480" w:firstLineChars="200"/>
    </w:pPr>
    <w:rPr>
      <w:rFonts w:ascii="黑体" w:hAnsi="Calibri" w:cs="Times New Roman"/>
      <w:color w:val="000000"/>
      <w:kern w:val="2"/>
      <w:sz w:val="24"/>
      <w:lang w:val="en-US" w:bidi="ar-SA"/>
    </w:rPr>
  </w:style>
  <w:style w:type="paragraph" w:customStyle="1" w:styleId="652">
    <w:name w:val="样式3"/>
    <w:basedOn w:val="67"/>
    <w:qFormat/>
    <w:uiPriority w:val="99"/>
    <w:pPr>
      <w:spacing w:before="0"/>
    </w:pPr>
    <w:rPr>
      <w:rFonts w:eastAsia="黑体"/>
      <w:sz w:val="24"/>
    </w:rPr>
  </w:style>
  <w:style w:type="character" w:customStyle="1" w:styleId="653">
    <w:name w:val="HCH图表1 Char Char"/>
    <w:link w:val="654"/>
    <w:qFormat/>
    <w:uiPriority w:val="0"/>
    <w:rPr>
      <w:rFonts w:ascii="黑体" w:hAnsi="黑体" w:eastAsia="黑体"/>
      <w:kern w:val="2"/>
      <w:sz w:val="24"/>
      <w:szCs w:val="24"/>
    </w:rPr>
  </w:style>
  <w:style w:type="paragraph" w:customStyle="1" w:styleId="654">
    <w:name w:val="HCH图表1"/>
    <w:next w:val="1"/>
    <w:link w:val="653"/>
    <w:qFormat/>
    <w:uiPriority w:val="0"/>
    <w:pPr>
      <w:widowControl w:val="0"/>
      <w:spacing w:line="500" w:lineRule="exact"/>
      <w:jc w:val="center"/>
    </w:pPr>
    <w:rPr>
      <w:rFonts w:ascii="黑体" w:hAnsi="黑体" w:eastAsia="黑体" w:cs="Times New Roman"/>
      <w:kern w:val="2"/>
      <w:sz w:val="24"/>
      <w:szCs w:val="24"/>
      <w:lang w:val="en-US" w:eastAsia="zh-CN" w:bidi="ar-SA"/>
    </w:rPr>
  </w:style>
  <w:style w:type="character" w:customStyle="1" w:styleId="655">
    <w:name w:val="列出段落 Char"/>
    <w:link w:val="656"/>
    <w:qFormat/>
    <w:uiPriority w:val="34"/>
    <w:rPr>
      <w:rFonts w:ascii="Calibri" w:hAnsi="Calibri" w:cs="Calibri"/>
      <w:kern w:val="2"/>
      <w:sz w:val="21"/>
      <w:szCs w:val="22"/>
    </w:rPr>
  </w:style>
  <w:style w:type="paragraph" w:customStyle="1" w:styleId="656">
    <w:name w:val="_Style 739"/>
    <w:basedOn w:val="1"/>
    <w:next w:val="123"/>
    <w:link w:val="655"/>
    <w:qFormat/>
    <w:uiPriority w:val="34"/>
    <w:pPr>
      <w:autoSpaceDE/>
      <w:autoSpaceDN/>
      <w:snapToGrid w:val="0"/>
      <w:ind w:firstLine="420" w:firstLineChars="200"/>
      <w:jc w:val="both"/>
    </w:pPr>
    <w:rPr>
      <w:rFonts w:ascii="Calibri" w:hAnsi="Calibri" w:cs="Calibri"/>
      <w:kern w:val="2"/>
      <w:sz w:val="21"/>
      <w:lang w:val="en-US" w:bidi="ar-SA"/>
    </w:rPr>
  </w:style>
  <w:style w:type="paragraph" w:customStyle="1" w:styleId="657">
    <w:name w:val="土工表格正文"/>
    <w:basedOn w:val="1"/>
    <w:qFormat/>
    <w:uiPriority w:val="99"/>
    <w:pPr>
      <w:autoSpaceDE/>
      <w:autoSpaceDN/>
      <w:snapToGrid w:val="0"/>
      <w:ind w:firstLine="480" w:firstLineChars="200"/>
      <w:jc w:val="center"/>
    </w:pPr>
    <w:rPr>
      <w:rFonts w:cs="Times New Roman"/>
      <w:color w:val="000000"/>
      <w:kern w:val="2"/>
      <w:sz w:val="21"/>
      <w:szCs w:val="24"/>
      <w:lang w:val="en-US" w:bidi="ar-SA"/>
    </w:rPr>
  </w:style>
  <w:style w:type="paragraph" w:customStyle="1" w:styleId="658">
    <w:name w:val="p0"/>
    <w:basedOn w:val="1"/>
    <w:qFormat/>
    <w:uiPriority w:val="99"/>
    <w:pPr>
      <w:widowControl/>
      <w:autoSpaceDE/>
      <w:autoSpaceDN/>
      <w:snapToGrid w:val="0"/>
      <w:ind w:firstLine="480" w:firstLineChars="200"/>
    </w:pPr>
    <w:rPr>
      <w:rFonts w:ascii="Times New Roman" w:hAnsi="Times New Roman" w:cs="Times New Roman"/>
      <w:color w:val="000000"/>
      <w:sz w:val="21"/>
      <w:szCs w:val="21"/>
      <w:lang w:val="en-US" w:bidi="ar-SA"/>
    </w:rPr>
  </w:style>
  <w:style w:type="paragraph" w:customStyle="1" w:styleId="659">
    <w:name w:val="标题-表"/>
    <w:basedOn w:val="1"/>
    <w:next w:val="176"/>
    <w:qFormat/>
    <w:uiPriority w:val="99"/>
    <w:pPr>
      <w:autoSpaceDE/>
      <w:autoSpaceDN/>
      <w:snapToGrid w:val="0"/>
      <w:spacing w:line="360" w:lineRule="auto"/>
      <w:ind w:firstLine="480" w:firstLineChars="200"/>
      <w:jc w:val="center"/>
    </w:pPr>
    <w:rPr>
      <w:rFonts w:ascii="Times New Roman" w:hAnsi="Times New Roman" w:eastAsia="黑体" w:cs="Times New Roman"/>
      <w:color w:val="6600CC"/>
      <w:kern w:val="2"/>
      <w:sz w:val="24"/>
      <w:szCs w:val="24"/>
      <w:lang w:val="en-US" w:bidi="ar-SA"/>
    </w:rPr>
  </w:style>
  <w:style w:type="character" w:customStyle="1" w:styleId="660">
    <w:name w:val="表头、图名 Char"/>
    <w:link w:val="661"/>
    <w:qFormat/>
    <w:uiPriority w:val="0"/>
    <w:rPr>
      <w:rFonts w:ascii="黑体" w:hAnsi="黑体" w:eastAsia="黑体"/>
      <w:bCs/>
      <w:sz w:val="24"/>
      <w:szCs w:val="28"/>
    </w:rPr>
  </w:style>
  <w:style w:type="paragraph" w:customStyle="1" w:styleId="661">
    <w:name w:val="表头、图名"/>
    <w:basedOn w:val="1"/>
    <w:link w:val="660"/>
    <w:qFormat/>
    <w:uiPriority w:val="0"/>
    <w:pPr>
      <w:autoSpaceDE/>
      <w:autoSpaceDN/>
      <w:adjustRightInd w:val="0"/>
      <w:snapToGrid w:val="0"/>
      <w:spacing w:beforeLines="50" w:afterLines="50"/>
      <w:ind w:firstLine="480" w:firstLineChars="200"/>
      <w:jc w:val="center"/>
    </w:pPr>
    <w:rPr>
      <w:rFonts w:ascii="黑体" w:hAnsi="黑体" w:eastAsia="黑体" w:cs="Times New Roman"/>
      <w:bCs/>
      <w:sz w:val="24"/>
      <w:szCs w:val="28"/>
      <w:lang w:val="en-US" w:bidi="ar-SA"/>
    </w:rPr>
  </w:style>
  <w:style w:type="paragraph" w:customStyle="1" w:styleId="662">
    <w:name w:val="样式 首行缩进:  0.99 厘米"/>
    <w:basedOn w:val="1"/>
    <w:semiHidden/>
    <w:qFormat/>
    <w:uiPriority w:val="99"/>
    <w:pPr>
      <w:autoSpaceDE/>
      <w:autoSpaceDN/>
      <w:snapToGrid w:val="0"/>
      <w:spacing w:line="360" w:lineRule="auto"/>
      <w:ind w:firstLine="561" w:firstLineChars="200"/>
      <w:jc w:val="both"/>
    </w:pPr>
    <w:rPr>
      <w:color w:val="000000"/>
      <w:kern w:val="2"/>
      <w:sz w:val="28"/>
      <w:szCs w:val="20"/>
      <w:lang w:val="en-US" w:bidi="ar-SA"/>
    </w:rPr>
  </w:style>
  <w:style w:type="paragraph" w:customStyle="1" w:styleId="663">
    <w:name w:val="xl1137"/>
    <w:basedOn w:val="1"/>
    <w:qFormat/>
    <w:uiPriority w:val="99"/>
    <w:pPr>
      <w:widowControl/>
      <w:autoSpaceDE/>
      <w:autoSpaceDN/>
      <w:snapToGrid w:val="0"/>
      <w:spacing w:before="100" w:beforeAutospacing="1" w:after="100" w:afterAutospacing="1"/>
      <w:ind w:firstLine="480" w:firstLineChars="200"/>
      <w:jc w:val="center"/>
    </w:pPr>
    <w:rPr>
      <w:rFonts w:ascii="仿宋_GB2312" w:eastAsia="仿宋_GB2312" w:cs="Times New Roman"/>
      <w:color w:val="000000"/>
      <w:sz w:val="24"/>
      <w:szCs w:val="28"/>
      <w:lang w:val="en-US" w:bidi="ar-SA"/>
    </w:rPr>
  </w:style>
  <w:style w:type="paragraph" w:customStyle="1" w:styleId="664">
    <w:name w:val="样式 表内容 +"/>
    <w:basedOn w:val="1"/>
    <w:qFormat/>
    <w:uiPriority w:val="99"/>
    <w:pPr>
      <w:widowControl/>
      <w:autoSpaceDE/>
      <w:autoSpaceDN/>
      <w:snapToGrid w:val="0"/>
      <w:spacing w:line="360" w:lineRule="atLeast"/>
      <w:ind w:firstLine="480" w:firstLineChars="200"/>
      <w:jc w:val="center"/>
    </w:pPr>
    <w:rPr>
      <w:rFonts w:ascii="Arial" w:hAnsi="Arial" w:cs="Times New Roman"/>
      <w:color w:val="000000"/>
      <w:sz w:val="24"/>
      <w:szCs w:val="20"/>
      <w:lang w:val="en-US" w:bidi="ar-SA"/>
    </w:rPr>
  </w:style>
  <w:style w:type="paragraph" w:customStyle="1" w:styleId="665">
    <w:name w:val="xl106"/>
    <w:basedOn w:val="1"/>
    <w:qFormat/>
    <w:uiPriority w:val="99"/>
    <w:pPr>
      <w:widowControl/>
      <w:autoSpaceDE/>
      <w:autoSpaceDN/>
      <w:snapToGrid w:val="0"/>
      <w:spacing w:before="100" w:beforeAutospacing="1" w:after="100" w:afterAutospacing="1"/>
      <w:ind w:firstLine="480" w:firstLineChars="200"/>
      <w:jc w:val="center"/>
    </w:pPr>
    <w:rPr>
      <w:color w:val="000000"/>
      <w:sz w:val="24"/>
      <w:szCs w:val="24"/>
      <w:lang w:val="en-US" w:bidi="ar-SA"/>
    </w:rPr>
  </w:style>
  <w:style w:type="paragraph" w:customStyle="1" w:styleId="666">
    <w:name w:val="样式 标题 2节标题 2 Char Char Char Char标题 2 Char Char Char标题 2 Char..."/>
    <w:basedOn w:val="5"/>
    <w:qFormat/>
    <w:uiPriority w:val="99"/>
    <w:pPr>
      <w:widowControl/>
      <w:tabs>
        <w:tab w:val="left" w:pos="0"/>
        <w:tab w:val="left" w:pos="540"/>
      </w:tabs>
      <w:autoSpaceDE/>
      <w:autoSpaceDN/>
      <w:snapToGrid w:val="0"/>
      <w:spacing w:before="0" w:line="460" w:lineRule="exact"/>
      <w:jc w:val="both"/>
      <w:outlineLvl w:val="2"/>
    </w:pPr>
    <w:rPr>
      <w:rFonts w:cs="Times New Roman"/>
      <w:b w:val="0"/>
      <w:kern w:val="24"/>
      <w:sz w:val="24"/>
      <w:szCs w:val="24"/>
      <w:lang w:val="en-US" w:bidi="ar-SA"/>
    </w:rPr>
  </w:style>
  <w:style w:type="paragraph" w:customStyle="1" w:styleId="667">
    <w:name w:val="xl87"/>
    <w:basedOn w:val="1"/>
    <w:qFormat/>
    <w:uiPriority w:val="99"/>
    <w:pPr>
      <w:widowControl/>
      <w:pBdr>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rFonts w:ascii="楷体" w:eastAsia="楷体" w:cs="Times New Roman"/>
      <w:color w:val="000000"/>
      <w:sz w:val="12"/>
      <w:szCs w:val="12"/>
      <w:lang w:val="en-US" w:bidi="ar-SA"/>
    </w:rPr>
  </w:style>
  <w:style w:type="paragraph" w:customStyle="1" w:styleId="668">
    <w:name w:val="正文 New New New New New New New New New New New New New New New New New New New New New New New"/>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669">
    <w:name w:val="xl48"/>
    <w:basedOn w:val="1"/>
    <w:qFormat/>
    <w:uiPriority w:val="99"/>
    <w:pPr>
      <w:widowControl/>
      <w:pBdr>
        <w:top w:val="single" w:color="auto" w:sz="4" w:space="0"/>
        <w:left w:val="single" w:color="auto" w:sz="4" w:space="0"/>
        <w:right w:val="single" w:color="auto" w:sz="4" w:space="0"/>
      </w:pBdr>
      <w:autoSpaceDE/>
      <w:autoSpaceDN/>
      <w:snapToGrid w:val="0"/>
      <w:spacing w:before="100" w:beforeAutospacing="1" w:after="100" w:afterAutospacing="1"/>
      <w:ind w:firstLine="480" w:firstLineChars="200"/>
    </w:pPr>
    <w:rPr>
      <w:rFonts w:ascii="楷体" w:eastAsia="楷体" w:cs="Times New Roman"/>
      <w:color w:val="0000FF"/>
      <w:sz w:val="12"/>
      <w:szCs w:val="12"/>
      <w:lang w:val="en-US" w:bidi="ar-SA"/>
    </w:rPr>
  </w:style>
  <w:style w:type="paragraph" w:customStyle="1" w:styleId="670">
    <w:name w:val="样式 标题 4 + 首行缩进:  0.87 厘米"/>
    <w:basedOn w:val="7"/>
    <w:qFormat/>
    <w:uiPriority w:val="99"/>
    <w:pPr>
      <w:keepNext/>
      <w:keepLines/>
      <w:autoSpaceDE/>
      <w:autoSpaceDN/>
      <w:adjustRightInd w:val="0"/>
      <w:snapToGrid w:val="0"/>
      <w:spacing w:before="0" w:beforeLines="50" w:after="60"/>
      <w:ind w:left="0" w:right="-64" w:rightChars="-64" w:firstLine="480"/>
    </w:pPr>
    <w:rPr>
      <w:rFonts w:ascii="黑体" w:hAnsi="Calibri" w:eastAsia="黑体"/>
      <w:bCs w:val="0"/>
      <w:i/>
      <w:sz w:val="24"/>
      <w:szCs w:val="20"/>
      <w:lang w:val="en-US" w:bidi="ar-SA"/>
    </w:rPr>
  </w:style>
  <w:style w:type="paragraph" w:customStyle="1" w:styleId="671">
    <w:name w:val="样式 样式10 + 段前: 0.2 行"/>
    <w:basedOn w:val="550"/>
    <w:qFormat/>
    <w:uiPriority w:val="99"/>
    <w:rPr>
      <w:rFonts w:cs="宋体"/>
      <w:szCs w:val="20"/>
    </w:rPr>
  </w:style>
  <w:style w:type="paragraph" w:customStyle="1" w:styleId="672">
    <w:name w:val="目次、标准名称标题"/>
    <w:basedOn w:val="1"/>
    <w:next w:val="1"/>
    <w:qFormat/>
    <w:uiPriority w:val="99"/>
    <w:pPr>
      <w:widowControl/>
      <w:shd w:val="clear" w:color="auto" w:fill="FFFFFF"/>
      <w:autoSpaceDE/>
      <w:autoSpaceDN/>
      <w:snapToGrid w:val="0"/>
      <w:spacing w:before="640" w:after="560" w:line="460" w:lineRule="exact"/>
      <w:ind w:firstLine="480" w:firstLineChars="200"/>
      <w:jc w:val="center"/>
      <w:outlineLvl w:val="0"/>
    </w:pPr>
    <w:rPr>
      <w:rFonts w:ascii="黑体" w:hAnsi="Times New Roman" w:eastAsia="黑体" w:cs="Times New Roman"/>
      <w:color w:val="000000"/>
      <w:sz w:val="32"/>
      <w:szCs w:val="20"/>
      <w:lang w:val="en-US" w:bidi="ar-SA"/>
    </w:rPr>
  </w:style>
  <w:style w:type="paragraph" w:customStyle="1" w:styleId="673">
    <w:name w:val="xl114"/>
    <w:basedOn w:val="1"/>
    <w:qFormat/>
    <w:uiPriority w:val="99"/>
    <w:pPr>
      <w:widowControl/>
      <w:pBdr>
        <w:top w:val="single" w:color="auto" w:sz="4" w:space="0"/>
        <w:left w:val="single" w:color="auto" w:sz="4" w:space="0"/>
        <w:bottom w:val="single" w:color="auto" w:sz="4" w:space="0"/>
      </w:pBdr>
      <w:autoSpaceDE/>
      <w:autoSpaceDN/>
      <w:snapToGrid w:val="0"/>
      <w:spacing w:before="100" w:beforeAutospacing="1" w:after="100" w:afterAutospacing="1"/>
      <w:ind w:firstLine="480" w:firstLineChars="200"/>
    </w:pPr>
    <w:rPr>
      <w:color w:val="000000"/>
      <w:sz w:val="24"/>
      <w:szCs w:val="24"/>
      <w:lang w:val="en-US" w:bidi="ar-SA"/>
    </w:rPr>
  </w:style>
  <w:style w:type="paragraph" w:customStyle="1" w:styleId="674">
    <w:name w:val="xl1103"/>
    <w:basedOn w:val="1"/>
    <w:qFormat/>
    <w:uiPriority w:val="99"/>
    <w:pPr>
      <w:widowControl/>
      <w:pBdr>
        <w:left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675">
    <w:name w:val="Char Char Char Char Char Char Char2"/>
    <w:basedOn w:val="1"/>
    <w:qFormat/>
    <w:uiPriority w:val="99"/>
    <w:pPr>
      <w:autoSpaceDE/>
      <w:autoSpaceDN/>
      <w:adjustRightInd w:val="0"/>
      <w:snapToGrid w:val="0"/>
      <w:spacing w:line="360" w:lineRule="auto"/>
      <w:ind w:firstLine="200" w:firstLineChars="200"/>
      <w:jc w:val="both"/>
    </w:pPr>
    <w:rPr>
      <w:rFonts w:ascii="Times New Roman" w:hAnsi="Times New Roman" w:cs="Times New Roman"/>
      <w:color w:val="000000"/>
      <w:kern w:val="2"/>
      <w:sz w:val="28"/>
      <w:szCs w:val="20"/>
      <w:lang w:val="en-US" w:bidi="ar-SA"/>
    </w:rPr>
  </w:style>
  <w:style w:type="paragraph" w:customStyle="1" w:styleId="676">
    <w:name w:val="TOC 61"/>
    <w:basedOn w:val="1"/>
    <w:next w:val="1"/>
    <w:qFormat/>
    <w:uiPriority w:val="39"/>
    <w:pPr>
      <w:autoSpaceDE/>
      <w:autoSpaceDN/>
      <w:snapToGrid w:val="0"/>
      <w:ind w:left="2100" w:leftChars="1000" w:firstLine="480" w:firstLineChars="200"/>
      <w:jc w:val="both"/>
    </w:pPr>
    <w:rPr>
      <w:rFonts w:ascii="等线" w:hAnsi="等线" w:eastAsia="等线" w:cs="Times New Roman"/>
      <w:color w:val="000000"/>
      <w:kern w:val="2"/>
      <w:sz w:val="21"/>
      <w:lang w:val="en-US" w:bidi="ar-SA"/>
    </w:rPr>
  </w:style>
  <w:style w:type="character" w:customStyle="1" w:styleId="677">
    <w:name w:val="标书正文 Char"/>
    <w:link w:val="678"/>
    <w:qFormat/>
    <w:uiPriority w:val="0"/>
    <w:rPr>
      <w:rFonts w:ascii="宋体" w:hAnsi="宋体"/>
      <w:sz w:val="24"/>
    </w:rPr>
  </w:style>
  <w:style w:type="paragraph" w:customStyle="1" w:styleId="678">
    <w:name w:val="标书正文"/>
    <w:basedOn w:val="1"/>
    <w:link w:val="677"/>
    <w:qFormat/>
    <w:uiPriority w:val="0"/>
    <w:pPr>
      <w:autoSpaceDE/>
      <w:autoSpaceDN/>
      <w:snapToGrid w:val="0"/>
      <w:spacing w:line="360" w:lineRule="auto"/>
      <w:ind w:firstLine="480" w:firstLineChars="200"/>
    </w:pPr>
    <w:rPr>
      <w:rFonts w:cs="Times New Roman"/>
      <w:sz w:val="24"/>
      <w:szCs w:val="20"/>
      <w:lang w:val="en-US" w:bidi="ar-SA"/>
    </w:rPr>
  </w:style>
  <w:style w:type="paragraph" w:customStyle="1" w:styleId="679">
    <w:name w:val="xl36"/>
    <w:basedOn w:val="1"/>
    <w:qFormat/>
    <w:uiPriority w:val="99"/>
    <w:pPr>
      <w:widowControl/>
      <w:autoSpaceDE/>
      <w:autoSpaceDN/>
      <w:snapToGrid w:val="0"/>
      <w:spacing w:before="100" w:beforeAutospacing="1" w:after="100" w:afterAutospacing="1"/>
      <w:ind w:firstLine="480" w:firstLineChars="200"/>
    </w:pPr>
    <w:rPr>
      <w:rFonts w:cs="Times New Roman"/>
      <w:b/>
      <w:bCs/>
      <w:color w:val="000000"/>
      <w:sz w:val="24"/>
      <w:szCs w:val="24"/>
      <w:lang w:val="en-US" w:bidi="ar-SA"/>
    </w:rPr>
  </w:style>
  <w:style w:type="paragraph" w:customStyle="1" w:styleId="680">
    <w:name w:val="列出段落2"/>
    <w:basedOn w:val="1"/>
    <w:qFormat/>
    <w:uiPriority w:val="99"/>
    <w:pPr>
      <w:autoSpaceDE/>
      <w:autoSpaceDN/>
      <w:snapToGrid w:val="0"/>
      <w:ind w:firstLine="420" w:firstLineChars="200"/>
      <w:jc w:val="both"/>
    </w:pPr>
    <w:rPr>
      <w:rFonts w:ascii="Times New Roman" w:hAnsi="Times New Roman" w:cs="Times New Roman"/>
      <w:color w:val="000000"/>
      <w:kern w:val="2"/>
      <w:sz w:val="21"/>
      <w:lang w:val="en-US" w:bidi="ar-SA"/>
    </w:rPr>
  </w:style>
  <w:style w:type="paragraph" w:customStyle="1" w:styleId="681">
    <w:name w:val="正文 New New"/>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682">
    <w:name w:val="样式1 Char"/>
    <w:link w:val="120"/>
    <w:qFormat/>
    <w:uiPriority w:val="0"/>
    <w:rPr>
      <w:rFonts w:ascii="楷体_GB2312" w:eastAsia="楷体_GB2312"/>
      <w:b/>
      <w:sz w:val="28"/>
    </w:rPr>
  </w:style>
  <w:style w:type="character" w:customStyle="1" w:styleId="683">
    <w:name w:val="标题 #2_"/>
    <w:link w:val="684"/>
    <w:qFormat/>
    <w:uiPriority w:val="0"/>
    <w:rPr>
      <w:rFonts w:ascii="MingLiU" w:hAnsi="MingLiU" w:eastAsia="MingLiU" w:cs="MingLiU"/>
      <w:b/>
      <w:bCs/>
      <w:spacing w:val="20"/>
      <w:sz w:val="22"/>
      <w:shd w:val="clear" w:color="auto" w:fill="FFFFFF"/>
      <w:lang w:eastAsia="en-US" w:bidi="en-US"/>
    </w:rPr>
  </w:style>
  <w:style w:type="paragraph" w:customStyle="1" w:styleId="684">
    <w:name w:val="标题 #2"/>
    <w:basedOn w:val="1"/>
    <w:link w:val="683"/>
    <w:qFormat/>
    <w:uiPriority w:val="0"/>
    <w:pPr>
      <w:shd w:val="clear" w:color="auto" w:fill="FFFFFF"/>
      <w:autoSpaceDE/>
      <w:autoSpaceDN/>
      <w:snapToGrid w:val="0"/>
      <w:spacing w:before="300" w:after="300" w:line="0" w:lineRule="atLeast"/>
      <w:ind w:firstLine="480" w:firstLineChars="200"/>
      <w:outlineLvl w:val="1"/>
    </w:pPr>
    <w:rPr>
      <w:rFonts w:ascii="MingLiU" w:hAnsi="MingLiU" w:eastAsia="MingLiU" w:cs="MingLiU"/>
      <w:b/>
      <w:bCs/>
      <w:spacing w:val="20"/>
      <w:szCs w:val="20"/>
      <w:lang w:val="en-US" w:eastAsia="en-US" w:bidi="en-US"/>
    </w:rPr>
  </w:style>
  <w:style w:type="character" w:customStyle="1" w:styleId="685">
    <w:name w:val="A表格文字左对齐 Char"/>
    <w:link w:val="686"/>
    <w:qFormat/>
    <w:uiPriority w:val="0"/>
    <w:rPr>
      <w:rFonts w:ascii="黑体" w:hAnsi="黑体" w:eastAsia="黑体"/>
      <w:sz w:val="21"/>
    </w:rPr>
  </w:style>
  <w:style w:type="paragraph" w:customStyle="1" w:styleId="686">
    <w:name w:val="A表格文字左对齐"/>
    <w:basedOn w:val="318"/>
    <w:link w:val="685"/>
    <w:qFormat/>
    <w:uiPriority w:val="0"/>
    <w:pPr>
      <w:jc w:val="left"/>
    </w:pPr>
  </w:style>
  <w:style w:type="paragraph" w:customStyle="1" w:styleId="687">
    <w:name w:val="表文字最终"/>
    <w:basedOn w:val="1"/>
    <w:qFormat/>
    <w:uiPriority w:val="99"/>
    <w:pPr>
      <w:keepNext/>
      <w:widowControl/>
      <w:adjustRightInd w:val="0"/>
      <w:snapToGrid w:val="0"/>
      <w:spacing w:line="360" w:lineRule="auto"/>
      <w:ind w:firstLine="200" w:firstLineChars="200"/>
    </w:pPr>
    <w:rPr>
      <w:rFonts w:hAnsi="Times New Roman"/>
      <w:color w:val="000000"/>
      <w:kern w:val="2"/>
      <w:sz w:val="24"/>
      <w:szCs w:val="24"/>
      <w:lang w:val="en-US" w:bidi="ar-SA"/>
    </w:rPr>
  </w:style>
  <w:style w:type="character" w:customStyle="1" w:styleId="688">
    <w:name w:val="ZX-3级 Char"/>
    <w:link w:val="689"/>
    <w:qFormat/>
    <w:uiPriority w:val="0"/>
    <w:rPr>
      <w:rFonts w:ascii="黑体" w:hAnsi="黑体" w:eastAsia="黑体"/>
      <w:sz w:val="32"/>
      <w:szCs w:val="32"/>
    </w:rPr>
  </w:style>
  <w:style w:type="paragraph" w:customStyle="1" w:styleId="689">
    <w:name w:val="ZX-3级"/>
    <w:basedOn w:val="1"/>
    <w:link w:val="688"/>
    <w:qFormat/>
    <w:uiPriority w:val="0"/>
    <w:pPr>
      <w:snapToGrid w:val="0"/>
      <w:spacing w:beforeLines="50" w:line="360" w:lineRule="auto"/>
      <w:ind w:firstLine="480" w:firstLineChars="200"/>
      <w:jc w:val="both"/>
      <w:outlineLvl w:val="2"/>
    </w:pPr>
    <w:rPr>
      <w:rFonts w:ascii="黑体" w:hAnsi="黑体" w:eastAsia="黑体" w:cs="Times New Roman"/>
      <w:sz w:val="32"/>
      <w:szCs w:val="32"/>
      <w:lang w:val="en-US" w:bidi="ar-SA"/>
    </w:rPr>
  </w:style>
  <w:style w:type="paragraph" w:customStyle="1" w:styleId="690">
    <w:name w:val="xl68"/>
    <w:basedOn w:val="1"/>
    <w:qFormat/>
    <w:uiPriority w:val="99"/>
    <w:pPr>
      <w:widowControl/>
      <w:pBdr>
        <w:bottom w:val="single" w:color="auto" w:sz="4" w:space="0"/>
      </w:pBdr>
      <w:autoSpaceDE/>
      <w:autoSpaceDN/>
      <w:snapToGrid w:val="0"/>
      <w:spacing w:before="100" w:beforeAutospacing="1" w:after="100" w:afterAutospacing="1"/>
      <w:ind w:firstLine="480" w:firstLineChars="200"/>
      <w:jc w:val="center"/>
    </w:pPr>
    <w:rPr>
      <w:rFonts w:ascii="楷体" w:eastAsia="楷体" w:cs="Times New Roman"/>
      <w:color w:val="0000FF"/>
      <w:sz w:val="12"/>
      <w:szCs w:val="12"/>
      <w:lang w:val="en-US" w:bidi="ar-SA"/>
    </w:rPr>
  </w:style>
  <w:style w:type="character" w:customStyle="1" w:styleId="691">
    <w:name w:val="ZX-正文 Char"/>
    <w:link w:val="692"/>
    <w:qFormat/>
    <w:uiPriority w:val="0"/>
    <w:rPr>
      <w:sz w:val="30"/>
      <w:szCs w:val="24"/>
    </w:rPr>
  </w:style>
  <w:style w:type="paragraph" w:customStyle="1" w:styleId="692">
    <w:name w:val="ZX-正文"/>
    <w:basedOn w:val="1"/>
    <w:link w:val="691"/>
    <w:qFormat/>
    <w:uiPriority w:val="0"/>
    <w:pPr>
      <w:widowControl/>
      <w:autoSpaceDE/>
      <w:autoSpaceDN/>
      <w:snapToGrid w:val="0"/>
      <w:spacing w:line="360" w:lineRule="auto"/>
      <w:ind w:firstLine="200" w:firstLineChars="200"/>
      <w:jc w:val="both"/>
    </w:pPr>
    <w:rPr>
      <w:rFonts w:ascii="Times New Roman" w:hAnsi="Times New Roman" w:cs="Times New Roman"/>
      <w:sz w:val="30"/>
      <w:szCs w:val="24"/>
      <w:lang w:val="en-US" w:bidi="ar-SA"/>
    </w:rPr>
  </w:style>
  <w:style w:type="paragraph" w:customStyle="1" w:styleId="693">
    <w:name w:val="表内文字"/>
    <w:basedOn w:val="1"/>
    <w:qFormat/>
    <w:uiPriority w:val="99"/>
    <w:pPr>
      <w:autoSpaceDE/>
      <w:autoSpaceDN/>
      <w:adjustRightInd w:val="0"/>
      <w:snapToGrid w:val="0"/>
      <w:spacing w:line="312" w:lineRule="auto"/>
      <w:ind w:firstLine="480" w:firstLineChars="200"/>
      <w:jc w:val="center"/>
    </w:pPr>
    <w:rPr>
      <w:rFonts w:ascii="Times New Roman" w:hAnsi="Times New Roman" w:cs="Times New Roman"/>
      <w:color w:val="000000"/>
      <w:kern w:val="2"/>
      <w:sz w:val="21"/>
      <w:szCs w:val="20"/>
      <w:lang w:val="en-US" w:bidi="ar-SA"/>
    </w:rPr>
  </w:style>
  <w:style w:type="paragraph" w:customStyle="1" w:styleId="694">
    <w:name w:val="xl119"/>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4"/>
      <w:szCs w:val="24"/>
      <w:lang w:val="en-US" w:bidi="ar-SA"/>
    </w:rPr>
  </w:style>
  <w:style w:type="paragraph" w:customStyle="1" w:styleId="695">
    <w:name w:val="xl78"/>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autoSpaceDE/>
      <w:autoSpaceDN/>
      <w:snapToGrid w:val="0"/>
      <w:spacing w:before="100" w:beforeAutospacing="1" w:after="100" w:afterAutospacing="1"/>
      <w:ind w:firstLine="480" w:firstLineChars="200"/>
    </w:pPr>
    <w:rPr>
      <w:rFonts w:ascii="楷体" w:eastAsia="楷体" w:cs="Times New Roman"/>
      <w:color w:val="FF0000"/>
      <w:sz w:val="12"/>
      <w:szCs w:val="12"/>
      <w:lang w:val="en-US" w:bidi="ar-SA"/>
    </w:rPr>
  </w:style>
  <w:style w:type="paragraph" w:customStyle="1" w:styleId="696">
    <w:name w:val="B表格五号宋体"/>
    <w:basedOn w:val="1"/>
    <w:qFormat/>
    <w:uiPriority w:val="99"/>
    <w:pPr>
      <w:autoSpaceDE/>
      <w:autoSpaceDN/>
      <w:adjustRightInd w:val="0"/>
      <w:snapToGrid w:val="0"/>
      <w:ind w:firstLine="480" w:firstLineChars="200"/>
      <w:jc w:val="center"/>
    </w:pPr>
    <w:rPr>
      <w:rFonts w:ascii="Times New Roman" w:hAnsi="Times New Roman" w:cs="Times New Roman"/>
      <w:color w:val="000000"/>
      <w:kern w:val="2"/>
      <w:sz w:val="24"/>
      <w:szCs w:val="20"/>
      <w:lang w:val="en-US" w:bidi="ar-SA"/>
    </w:rPr>
  </w:style>
  <w:style w:type="paragraph" w:customStyle="1" w:styleId="697">
    <w:name w:val="xl1094"/>
    <w:basedOn w:val="1"/>
    <w:qFormat/>
    <w:uiPriority w:val="99"/>
    <w:pPr>
      <w:widowControl/>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698">
    <w:name w:val="style1"/>
    <w:basedOn w:val="1"/>
    <w:qFormat/>
    <w:uiPriority w:val="99"/>
    <w:pPr>
      <w:widowControl/>
      <w:autoSpaceDE/>
      <w:autoSpaceDN/>
      <w:snapToGrid w:val="0"/>
      <w:spacing w:before="100" w:beforeAutospacing="1" w:after="100" w:afterAutospacing="1"/>
      <w:ind w:firstLine="480" w:firstLineChars="200"/>
    </w:pPr>
    <w:rPr>
      <w:rFonts w:cs="Times New Roman"/>
      <w:color w:val="000000"/>
      <w:sz w:val="24"/>
      <w:szCs w:val="20"/>
      <w:lang w:val="en-US" w:bidi="ar-SA"/>
    </w:rPr>
  </w:style>
  <w:style w:type="paragraph" w:customStyle="1" w:styleId="699">
    <w:name w:val="－标题2"/>
    <w:basedOn w:val="5"/>
    <w:qFormat/>
    <w:uiPriority w:val="99"/>
    <w:pPr>
      <w:widowControl/>
      <w:tabs>
        <w:tab w:val="left" w:pos="0"/>
        <w:tab w:val="left" w:pos="1441"/>
      </w:tabs>
      <w:autoSpaceDE/>
      <w:autoSpaceDN/>
      <w:snapToGrid w:val="0"/>
      <w:spacing w:before="0" w:line="480" w:lineRule="auto"/>
      <w:ind w:left="1441" w:hanging="420"/>
    </w:pPr>
    <w:rPr>
      <w:rFonts w:ascii="Times New Roman" w:hAnsi="Times New Roman" w:eastAsia="黑体" w:cs="Times New Roman"/>
      <w:color w:val="000000"/>
      <w:kern w:val="2"/>
      <w:sz w:val="28"/>
      <w:szCs w:val="28"/>
      <w:lang w:val="en-US" w:bidi="ar-SA"/>
    </w:rPr>
  </w:style>
  <w:style w:type="paragraph" w:customStyle="1" w:styleId="700">
    <w:name w:val="xl1117"/>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rFonts w:ascii="仿宋_GB2312" w:eastAsia="仿宋_GB2312" w:cs="Times New Roman"/>
      <w:color w:val="000000"/>
      <w:sz w:val="20"/>
      <w:szCs w:val="20"/>
      <w:lang w:val="en-US" w:bidi="ar-SA"/>
    </w:rPr>
  </w:style>
  <w:style w:type="paragraph" w:customStyle="1" w:styleId="701">
    <w:name w:val="xl139"/>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4"/>
      <w:szCs w:val="24"/>
      <w:lang w:val="en-US" w:bidi="ar-SA"/>
    </w:rPr>
  </w:style>
  <w:style w:type="paragraph" w:customStyle="1" w:styleId="702">
    <w:name w:val="正文 New New New New New New New New"/>
    <w:qFormat/>
    <w:uiPriority w:val="99"/>
    <w:pPr>
      <w:widowControl w:val="0"/>
      <w:jc w:val="both"/>
    </w:pPr>
    <w:rPr>
      <w:rFonts w:ascii="Times New Roman" w:hAnsi="Times New Roman" w:eastAsia="仿宋_GB2312" w:cs="Times New Roman"/>
      <w:kern w:val="2"/>
      <w:sz w:val="32"/>
      <w:lang w:val="en-US" w:eastAsia="zh-CN" w:bidi="ar-SA"/>
    </w:rPr>
  </w:style>
  <w:style w:type="paragraph" w:customStyle="1" w:styleId="703">
    <w:name w:val="样式 首行缩进:  1.92 字符"/>
    <w:basedOn w:val="1"/>
    <w:semiHidden/>
    <w:qFormat/>
    <w:uiPriority w:val="99"/>
    <w:pPr>
      <w:autoSpaceDE/>
      <w:autoSpaceDN/>
      <w:snapToGrid w:val="0"/>
      <w:spacing w:line="360" w:lineRule="auto"/>
      <w:ind w:firstLine="538" w:firstLineChars="192"/>
      <w:jc w:val="both"/>
    </w:pPr>
    <w:rPr>
      <w:rFonts w:ascii="Times New Roman" w:hAnsi="Times New Roman"/>
      <w:color w:val="000000"/>
      <w:kern w:val="2"/>
      <w:sz w:val="24"/>
      <w:szCs w:val="20"/>
      <w:lang w:val="en-US" w:bidi="ar-SA"/>
    </w:rPr>
  </w:style>
  <w:style w:type="paragraph" w:customStyle="1" w:styleId="704">
    <w:name w:val="xl53"/>
    <w:basedOn w:val="1"/>
    <w:qFormat/>
    <w:uiPriority w:val="99"/>
    <w:pPr>
      <w:widowControl/>
      <w:pBdr>
        <w:left w:val="single" w:color="auto" w:sz="4" w:space="0"/>
        <w:right w:val="single" w:color="auto" w:sz="4" w:space="0"/>
      </w:pBdr>
      <w:autoSpaceDE/>
      <w:autoSpaceDN/>
      <w:snapToGrid w:val="0"/>
      <w:spacing w:before="100" w:beforeAutospacing="1" w:after="100" w:afterAutospacing="1"/>
      <w:ind w:firstLine="480" w:firstLineChars="200"/>
      <w:jc w:val="center"/>
    </w:pPr>
    <w:rPr>
      <w:rFonts w:ascii="楷体" w:eastAsia="楷体" w:cs="Times New Roman"/>
      <w:color w:val="0000FF"/>
      <w:sz w:val="12"/>
      <w:szCs w:val="12"/>
      <w:lang w:val="en-US" w:bidi="ar-SA"/>
    </w:rPr>
  </w:style>
  <w:style w:type="paragraph" w:customStyle="1" w:styleId="705">
    <w:name w:val="小标题5"/>
    <w:basedOn w:val="22"/>
    <w:semiHidden/>
    <w:qFormat/>
    <w:uiPriority w:val="99"/>
    <w:pPr>
      <w:tabs>
        <w:tab w:val="left" w:pos="4366"/>
      </w:tabs>
      <w:adjustRightInd w:val="0"/>
      <w:spacing w:beforeLines="50"/>
      <w:ind w:left="4366" w:right="567" w:hanging="397"/>
      <w:jc w:val="both"/>
    </w:pPr>
    <w:rPr>
      <w:rFonts w:eastAsia="黑体"/>
    </w:rPr>
  </w:style>
  <w:style w:type="paragraph" w:customStyle="1" w:styleId="706">
    <w:name w:val="样式 四号 首行缩进:  2 字符"/>
    <w:basedOn w:val="1"/>
    <w:qFormat/>
    <w:uiPriority w:val="99"/>
    <w:pPr>
      <w:autoSpaceDE/>
      <w:autoSpaceDN/>
      <w:snapToGrid w:val="0"/>
      <w:spacing w:line="360" w:lineRule="auto"/>
      <w:ind w:firstLine="560" w:firstLineChars="200"/>
      <w:jc w:val="both"/>
    </w:pPr>
    <w:rPr>
      <w:color w:val="000000"/>
      <w:kern w:val="2"/>
      <w:sz w:val="28"/>
      <w:szCs w:val="20"/>
      <w:lang w:val="en-US" w:bidi="ar-SA"/>
    </w:rPr>
  </w:style>
  <w:style w:type="paragraph" w:customStyle="1" w:styleId="707">
    <w:name w:val="1.1"/>
    <w:basedOn w:val="4"/>
    <w:qFormat/>
    <w:uiPriority w:val="99"/>
    <w:pPr>
      <w:keepNext/>
      <w:widowControl/>
      <w:overflowPunct w:val="0"/>
      <w:adjustRightInd w:val="0"/>
      <w:snapToGrid w:val="0"/>
      <w:spacing w:before="0" w:line="360" w:lineRule="auto"/>
      <w:ind w:left="766" w:right="0" w:hanging="526"/>
      <w:jc w:val="left"/>
      <w:outlineLvl w:val="1"/>
    </w:pPr>
    <w:rPr>
      <w:rFonts w:hAnsi="Times New Roman" w:eastAsia="黑体" w:cs="Times New Roman"/>
      <w:b w:val="0"/>
      <w:bCs w:val="0"/>
      <w:sz w:val="30"/>
      <w:szCs w:val="20"/>
      <w:lang w:val="en-US" w:bidi="ar-SA"/>
    </w:rPr>
  </w:style>
  <w:style w:type="paragraph" w:customStyle="1" w:styleId="708">
    <w:name w:val="xl120"/>
    <w:basedOn w:val="1"/>
    <w:qFormat/>
    <w:uiPriority w:val="99"/>
    <w:pPr>
      <w:widowControl/>
      <w:pBdr>
        <w:top w:val="single" w:color="auto" w:sz="4" w:space="0"/>
        <w:left w:val="single" w:color="auto" w:sz="4" w:space="0"/>
        <w:bottom w:val="single" w:color="auto" w:sz="4" w:space="0"/>
      </w:pBdr>
      <w:autoSpaceDE/>
      <w:autoSpaceDN/>
      <w:snapToGrid w:val="0"/>
      <w:spacing w:before="100" w:beforeAutospacing="1" w:after="100" w:afterAutospacing="1"/>
      <w:ind w:firstLine="480" w:firstLineChars="200"/>
    </w:pPr>
    <w:rPr>
      <w:color w:val="000000"/>
      <w:sz w:val="24"/>
      <w:szCs w:val="24"/>
      <w:lang w:val="en-US" w:bidi="ar-SA"/>
    </w:rPr>
  </w:style>
  <w:style w:type="paragraph" w:customStyle="1" w:styleId="709">
    <w:name w:val="表格文字－中"/>
    <w:basedOn w:val="1"/>
    <w:qFormat/>
    <w:uiPriority w:val="99"/>
    <w:pPr>
      <w:keepNext/>
      <w:autoSpaceDE/>
      <w:autoSpaceDN/>
      <w:adjustRightInd w:val="0"/>
      <w:snapToGrid w:val="0"/>
      <w:spacing w:before="40" w:line="240" w:lineRule="atLeast"/>
      <w:ind w:left="-48" w:leftChars="-20" w:right="-48" w:rightChars="-20" w:firstLine="480" w:firstLineChars="200"/>
      <w:jc w:val="center"/>
    </w:pPr>
    <w:rPr>
      <w:rFonts w:ascii="Arial" w:hAnsi="Arial" w:cs="Times New Roman"/>
      <w:color w:val="000000"/>
      <w:sz w:val="21"/>
      <w:szCs w:val="21"/>
      <w:lang w:val="en-US" w:bidi="ar-SA"/>
    </w:rPr>
  </w:style>
  <w:style w:type="paragraph" w:customStyle="1" w:styleId="710">
    <w:name w:val="正文中的表名"/>
    <w:basedOn w:val="1"/>
    <w:next w:val="1"/>
    <w:qFormat/>
    <w:uiPriority w:val="99"/>
    <w:pPr>
      <w:topLinePunct/>
      <w:autoSpaceDE/>
      <w:autoSpaceDN/>
      <w:snapToGrid w:val="0"/>
      <w:ind w:firstLine="480" w:firstLineChars="200"/>
      <w:jc w:val="center"/>
    </w:pPr>
    <w:rPr>
      <w:rFonts w:cs="Times New Roman"/>
      <w:b/>
      <w:color w:val="000000"/>
      <w:kern w:val="2"/>
      <w:sz w:val="28"/>
      <w:szCs w:val="20"/>
      <w:lang w:val="en-US" w:bidi="ar-SA"/>
    </w:rPr>
  </w:style>
  <w:style w:type="paragraph" w:customStyle="1" w:styleId="711">
    <w:name w:val="－标题1"/>
    <w:basedOn w:val="4"/>
    <w:qFormat/>
    <w:uiPriority w:val="99"/>
    <w:pPr>
      <w:keepNext/>
      <w:pageBreakBefore/>
      <w:widowControl/>
      <w:tabs>
        <w:tab w:val="left" w:pos="961"/>
      </w:tabs>
      <w:autoSpaceDE/>
      <w:autoSpaceDN/>
      <w:snapToGrid w:val="0"/>
      <w:spacing w:before="0" w:beforeLines="100" w:afterLines="100" w:line="360" w:lineRule="auto"/>
      <w:ind w:left="961" w:right="0" w:hanging="360"/>
      <w:jc w:val="both"/>
    </w:pPr>
    <w:rPr>
      <w:rFonts w:ascii="Times New Roman" w:hAnsi="Times New Roman" w:eastAsia="黑体" w:cs="Times New Roman"/>
      <w:b w:val="0"/>
      <w:kern w:val="44"/>
      <w:sz w:val="28"/>
      <w:szCs w:val="32"/>
      <w:lang w:val="en-US" w:bidi="ar-SA"/>
    </w:rPr>
  </w:style>
  <w:style w:type="paragraph" w:customStyle="1" w:styleId="712">
    <w:name w:val="xl60"/>
    <w:basedOn w:val="1"/>
    <w:qFormat/>
    <w:uiPriority w:val="99"/>
    <w:pPr>
      <w:widowControl/>
      <w:pBdr>
        <w:left w:val="single" w:color="auto" w:sz="4" w:space="0"/>
        <w:right w:val="single" w:color="auto" w:sz="4" w:space="0"/>
      </w:pBdr>
      <w:autoSpaceDE/>
      <w:autoSpaceDN/>
      <w:snapToGrid w:val="0"/>
      <w:spacing w:before="100" w:beforeAutospacing="1" w:after="100" w:afterAutospacing="1"/>
      <w:ind w:firstLine="480" w:firstLineChars="200"/>
      <w:jc w:val="center"/>
    </w:pPr>
    <w:rPr>
      <w:rFonts w:cs="Times New Roman"/>
      <w:color w:val="000000"/>
      <w:sz w:val="12"/>
      <w:szCs w:val="12"/>
      <w:lang w:val="en-US" w:bidi="ar-SA"/>
    </w:rPr>
  </w:style>
  <w:style w:type="character" w:customStyle="1" w:styleId="713">
    <w:name w:val="正文 Char"/>
    <w:link w:val="714"/>
    <w:qFormat/>
    <w:uiPriority w:val="0"/>
    <w:rPr>
      <w:rFonts w:ascii="Arial" w:hAnsi="Arial" w:cs="Arial"/>
      <w:sz w:val="24"/>
      <w:szCs w:val="24"/>
    </w:rPr>
  </w:style>
  <w:style w:type="paragraph" w:customStyle="1" w:styleId="714">
    <w:name w:val="正文2"/>
    <w:basedOn w:val="1"/>
    <w:link w:val="713"/>
    <w:qFormat/>
    <w:uiPriority w:val="0"/>
    <w:pPr>
      <w:widowControl/>
      <w:autoSpaceDE/>
      <w:autoSpaceDN/>
      <w:snapToGrid w:val="0"/>
      <w:spacing w:line="360" w:lineRule="auto"/>
      <w:ind w:firstLine="480" w:firstLineChars="200"/>
    </w:pPr>
    <w:rPr>
      <w:rFonts w:ascii="Arial" w:hAnsi="Arial" w:cs="Arial"/>
      <w:sz w:val="24"/>
      <w:szCs w:val="24"/>
      <w:lang w:val="en-US" w:bidi="ar-SA"/>
    </w:rPr>
  </w:style>
  <w:style w:type="character" w:customStyle="1" w:styleId="715">
    <w:name w:val="正文12 Char"/>
    <w:link w:val="716"/>
    <w:qFormat/>
    <w:uiPriority w:val="0"/>
    <w:rPr>
      <w:rFonts w:ascii="宋体" w:hAnsi="宋体" w:cs="宋体"/>
      <w:lang w:eastAsia="en-US" w:bidi="en-US"/>
    </w:rPr>
  </w:style>
  <w:style w:type="paragraph" w:customStyle="1" w:styleId="716">
    <w:name w:val="正文12"/>
    <w:basedOn w:val="1"/>
    <w:link w:val="715"/>
    <w:qFormat/>
    <w:uiPriority w:val="0"/>
    <w:pPr>
      <w:keepNext/>
      <w:widowControl/>
      <w:autoSpaceDE/>
      <w:autoSpaceDN/>
      <w:snapToGrid w:val="0"/>
      <w:ind w:firstLine="480" w:firstLineChars="200"/>
      <w:jc w:val="center"/>
    </w:pPr>
    <w:rPr>
      <w:sz w:val="20"/>
      <w:szCs w:val="20"/>
      <w:lang w:val="en-US" w:eastAsia="en-US" w:bidi="en-US"/>
    </w:rPr>
  </w:style>
  <w:style w:type="character" w:customStyle="1" w:styleId="717">
    <w:name w:val="ZX-2级 Char"/>
    <w:link w:val="718"/>
    <w:qFormat/>
    <w:uiPriority w:val="0"/>
    <w:rPr>
      <w:rFonts w:ascii="黑体" w:hAnsi="黑体" w:eastAsia="黑体"/>
      <w:sz w:val="32"/>
      <w:szCs w:val="24"/>
    </w:rPr>
  </w:style>
  <w:style w:type="paragraph" w:customStyle="1" w:styleId="718">
    <w:name w:val="ZX-2级"/>
    <w:basedOn w:val="1"/>
    <w:link w:val="717"/>
    <w:qFormat/>
    <w:uiPriority w:val="0"/>
    <w:pPr>
      <w:widowControl/>
      <w:autoSpaceDE/>
      <w:autoSpaceDN/>
      <w:snapToGrid w:val="0"/>
      <w:spacing w:beforeLines="50" w:line="360" w:lineRule="auto"/>
      <w:ind w:firstLine="200" w:firstLineChars="200"/>
      <w:outlineLvl w:val="1"/>
    </w:pPr>
    <w:rPr>
      <w:rFonts w:ascii="黑体" w:hAnsi="黑体" w:eastAsia="黑体" w:cs="Times New Roman"/>
      <w:sz w:val="32"/>
      <w:szCs w:val="24"/>
      <w:lang w:val="en-US" w:bidi="ar-SA"/>
    </w:rPr>
  </w:style>
  <w:style w:type="paragraph" w:customStyle="1" w:styleId="719">
    <w:name w:val="样式 标题 3 + (中文) 黑体 段前: 8.6 磅 段后: 8.6 磅 行距: 1.5 倍行距"/>
    <w:basedOn w:val="6"/>
    <w:qFormat/>
    <w:uiPriority w:val="99"/>
    <w:pPr>
      <w:widowControl/>
      <w:autoSpaceDE/>
      <w:autoSpaceDN/>
      <w:adjustRightInd w:val="0"/>
      <w:snapToGrid w:val="0"/>
      <w:spacing w:before="60" w:after="60" w:line="460" w:lineRule="exact"/>
      <w:ind w:left="1078" w:right="-64" w:rightChars="-64" w:firstLine="200"/>
    </w:pPr>
    <w:rPr>
      <w:rFonts w:ascii="黑体" w:hAnsi="Times New Roman" w:eastAsia="黑体" w:cs="Times New Roman"/>
      <w:b/>
      <w:bCs/>
      <w:sz w:val="24"/>
      <w:szCs w:val="24"/>
      <w:lang w:val="en-US" w:bidi="ar-SA"/>
    </w:rPr>
  </w:style>
  <w:style w:type="paragraph" w:customStyle="1" w:styleId="720">
    <w:name w:val="正文 New New New New New New New New New New New New New New New New New"/>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721">
    <w:name w:val="正文 New New New New New New New New New New New"/>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722">
    <w:name w:val="1 Char"/>
    <w:basedOn w:val="1"/>
    <w:semiHidden/>
    <w:qFormat/>
    <w:uiPriority w:val="99"/>
    <w:pPr>
      <w:autoSpaceDE/>
      <w:autoSpaceDN/>
      <w:snapToGrid w:val="0"/>
      <w:spacing w:line="400" w:lineRule="exact"/>
      <w:ind w:firstLine="200" w:firstLineChars="200"/>
    </w:pPr>
    <w:rPr>
      <w:rFonts w:hAnsi="Calibri"/>
      <w:color w:val="000000"/>
      <w:kern w:val="2"/>
      <w:sz w:val="24"/>
      <w:szCs w:val="24"/>
      <w:lang w:val="en-US" w:bidi="ar-SA"/>
    </w:rPr>
  </w:style>
  <w:style w:type="paragraph" w:customStyle="1" w:styleId="723">
    <w:name w:val="样式 标题 3 + (中文) 黑体 段前: 0 磅 段后: 0 磅 行距: 1.5 倍行距"/>
    <w:basedOn w:val="6"/>
    <w:qFormat/>
    <w:uiPriority w:val="99"/>
    <w:pPr>
      <w:widowControl/>
      <w:autoSpaceDE/>
      <w:autoSpaceDN/>
      <w:adjustRightInd w:val="0"/>
      <w:snapToGrid w:val="0"/>
      <w:spacing w:before="60" w:after="60" w:line="460" w:lineRule="exact"/>
      <w:ind w:left="1078" w:right="-64" w:rightChars="-64" w:firstLine="200"/>
    </w:pPr>
    <w:rPr>
      <w:rFonts w:ascii="黑体" w:hAnsi="Times New Roman" w:eastAsia="黑体" w:cs="Times New Roman"/>
      <w:b/>
      <w:bCs/>
      <w:sz w:val="24"/>
      <w:szCs w:val="24"/>
      <w:lang w:val="en-US" w:bidi="ar-SA"/>
    </w:rPr>
  </w:style>
  <w:style w:type="paragraph" w:customStyle="1" w:styleId="724">
    <w:name w:val="样式 正文缩进正文（首行缩进两字） + 首行缩进:  0.99 厘米"/>
    <w:basedOn w:val="22"/>
    <w:semiHidden/>
    <w:qFormat/>
    <w:uiPriority w:val="99"/>
    <w:pPr>
      <w:spacing w:beforeLines="50" w:line="400" w:lineRule="exact"/>
      <w:ind w:firstLine="561"/>
    </w:pPr>
    <w:rPr>
      <w:sz w:val="28"/>
      <w:szCs w:val="24"/>
    </w:rPr>
  </w:style>
  <w:style w:type="paragraph" w:customStyle="1" w:styleId="725">
    <w:name w:val="正文 New New New New New New New New New New New New New New New New"/>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726">
    <w:name w:val="xl137"/>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4"/>
      <w:szCs w:val="24"/>
      <w:lang w:val="en-US" w:bidi="ar-SA"/>
    </w:rPr>
  </w:style>
  <w:style w:type="character" w:customStyle="1" w:styleId="727">
    <w:name w:val="2正文宋 + 浅橙色 首行缩进:  2 字符 段后: 0.25 行 Char Char"/>
    <w:link w:val="728"/>
    <w:qFormat/>
    <w:uiPriority w:val="0"/>
    <w:rPr>
      <w:rFonts w:ascii="宋体" w:hAnsi="宋体" w:cs="宋体"/>
      <w:sz w:val="28"/>
      <w:szCs w:val="28"/>
    </w:rPr>
  </w:style>
  <w:style w:type="paragraph" w:customStyle="1" w:styleId="728">
    <w:name w:val="2正文宋 + 浅橙色 首行缩进:  2 字符 段后: 0.25 行"/>
    <w:basedOn w:val="1"/>
    <w:link w:val="727"/>
    <w:qFormat/>
    <w:uiPriority w:val="0"/>
    <w:pPr>
      <w:autoSpaceDE/>
      <w:autoSpaceDN/>
      <w:snapToGrid w:val="0"/>
      <w:spacing w:afterLines="25"/>
      <w:ind w:firstLine="560" w:firstLineChars="200"/>
      <w:jc w:val="both"/>
    </w:pPr>
    <w:rPr>
      <w:sz w:val="28"/>
      <w:szCs w:val="28"/>
      <w:lang w:val="en-US" w:bidi="ar-SA"/>
    </w:rPr>
  </w:style>
  <w:style w:type="paragraph" w:customStyle="1" w:styleId="729">
    <w:name w:val="111正文"/>
    <w:basedOn w:val="1"/>
    <w:qFormat/>
    <w:uiPriority w:val="99"/>
    <w:pPr>
      <w:widowControl/>
      <w:autoSpaceDE/>
      <w:autoSpaceDN/>
      <w:snapToGrid w:val="0"/>
      <w:spacing w:line="460" w:lineRule="exact"/>
      <w:ind w:firstLine="200" w:firstLineChars="200"/>
    </w:pPr>
    <w:rPr>
      <w:rFonts w:ascii="Times New Roman" w:hAnsi="Times New Roman" w:cs="Times New Roman"/>
      <w:color w:val="000000"/>
      <w:kern w:val="2"/>
      <w:sz w:val="24"/>
      <w:szCs w:val="24"/>
      <w:lang w:val="en-US" w:bidi="ar-SA"/>
    </w:rPr>
  </w:style>
  <w:style w:type="paragraph" w:customStyle="1" w:styleId="730">
    <w:name w:val="xl125"/>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autoSpaceDE/>
      <w:autoSpaceDN/>
      <w:snapToGrid w:val="0"/>
      <w:spacing w:before="100" w:beforeAutospacing="1" w:after="100" w:afterAutospacing="1"/>
      <w:ind w:firstLine="480" w:firstLineChars="200"/>
      <w:jc w:val="center"/>
    </w:pPr>
    <w:rPr>
      <w:color w:val="000000"/>
      <w:sz w:val="24"/>
      <w:szCs w:val="24"/>
      <w:lang w:val="en-US" w:bidi="ar-SA"/>
    </w:rPr>
  </w:style>
  <w:style w:type="paragraph" w:customStyle="1" w:styleId="731">
    <w:name w:val="正文小标题 Char Char Char Char Char Char Char Char"/>
    <w:basedOn w:val="1"/>
    <w:next w:val="2"/>
    <w:qFormat/>
    <w:uiPriority w:val="99"/>
    <w:pPr>
      <w:keepNext/>
      <w:tabs>
        <w:tab w:val="left" w:pos="735"/>
      </w:tabs>
      <w:overflowPunct w:val="0"/>
      <w:adjustRightInd w:val="0"/>
      <w:snapToGrid w:val="0"/>
      <w:ind w:right="-64" w:rightChars="-64" w:firstLine="200" w:firstLineChars="200"/>
    </w:pPr>
    <w:rPr>
      <w:rFonts w:ascii="黑体" w:hAnsi="Calibri" w:cs="Times New Roman"/>
      <w:color w:val="000000"/>
      <w:sz w:val="21"/>
      <w:lang w:val="en-US" w:bidi="ar-SA"/>
    </w:rPr>
  </w:style>
  <w:style w:type="paragraph" w:customStyle="1" w:styleId="732">
    <w:name w:val="gege标题3"/>
    <w:basedOn w:val="2"/>
    <w:qFormat/>
    <w:uiPriority w:val="99"/>
    <w:pPr>
      <w:autoSpaceDE/>
      <w:autoSpaceDN/>
      <w:snapToGrid w:val="0"/>
      <w:spacing w:before="0" w:line="360" w:lineRule="auto"/>
      <w:ind w:left="0" w:firstLine="480" w:firstLineChars="200"/>
      <w:jc w:val="both"/>
    </w:pPr>
    <w:rPr>
      <w:rFonts w:ascii="Times New Roman" w:hAnsi="Times New Roman" w:cs="Times New Roman"/>
      <w:kern w:val="2"/>
      <w:sz w:val="21"/>
      <w:lang w:bidi="ar-SA"/>
    </w:rPr>
  </w:style>
  <w:style w:type="character" w:customStyle="1" w:styleId="733">
    <w:name w:val="表格注脚 字符"/>
    <w:link w:val="734"/>
    <w:qFormat/>
    <w:uiPriority w:val="0"/>
    <w:rPr>
      <w:rFonts w:ascii="Courier New" w:hAnsi="Courier New" w:cs="Courier New"/>
      <w:bCs/>
      <w:kern w:val="44"/>
      <w:sz w:val="32"/>
      <w:szCs w:val="44"/>
    </w:rPr>
  </w:style>
  <w:style w:type="paragraph" w:customStyle="1" w:styleId="734">
    <w:name w:val="表格注脚"/>
    <w:basedOn w:val="1"/>
    <w:next w:val="1"/>
    <w:link w:val="733"/>
    <w:qFormat/>
    <w:uiPriority w:val="0"/>
    <w:pPr>
      <w:autoSpaceDE/>
      <w:autoSpaceDN/>
      <w:snapToGrid w:val="0"/>
      <w:ind w:firstLine="480" w:firstLineChars="200"/>
      <w:jc w:val="both"/>
    </w:pPr>
    <w:rPr>
      <w:rFonts w:ascii="Courier New" w:hAnsi="Courier New" w:cs="Courier New"/>
      <w:bCs/>
      <w:kern w:val="44"/>
      <w:sz w:val="32"/>
      <w:szCs w:val="44"/>
      <w:lang w:val="en-US" w:bidi="ar-SA"/>
    </w:rPr>
  </w:style>
  <w:style w:type="paragraph" w:customStyle="1" w:styleId="735">
    <w:name w:val="Char Char Char Char Char Char Char Char Char1 Char Char Char Char Char Char Char"/>
    <w:basedOn w:val="1"/>
    <w:qFormat/>
    <w:uiPriority w:val="99"/>
    <w:pPr>
      <w:autoSpaceDE/>
      <w:autoSpaceDN/>
      <w:adjustRightInd w:val="0"/>
      <w:snapToGrid w:val="0"/>
      <w:spacing w:line="360" w:lineRule="auto"/>
      <w:ind w:firstLine="480" w:firstLineChars="200"/>
      <w:jc w:val="both"/>
    </w:pPr>
    <w:rPr>
      <w:color w:val="000000"/>
      <w:kern w:val="2"/>
      <w:sz w:val="24"/>
      <w:szCs w:val="24"/>
      <w:lang w:val="en-US" w:bidi="ar-SA"/>
    </w:rPr>
  </w:style>
  <w:style w:type="paragraph" w:customStyle="1" w:styleId="736">
    <w:name w:val="chenzb标题3"/>
    <w:basedOn w:val="6"/>
    <w:qFormat/>
    <w:uiPriority w:val="99"/>
    <w:pPr>
      <w:widowControl/>
      <w:autoSpaceDE/>
      <w:autoSpaceDN/>
      <w:snapToGrid w:val="0"/>
      <w:spacing w:before="260" w:after="260" w:line="415" w:lineRule="auto"/>
      <w:ind w:left="941" w:right="0" w:hanging="701"/>
    </w:pPr>
    <w:rPr>
      <w:rFonts w:ascii="Times New Roman" w:hAnsi="Times New Roman" w:eastAsia="黑体" w:cs="Times New Roman"/>
      <w:b/>
      <w:kern w:val="2"/>
      <w:sz w:val="32"/>
      <w:szCs w:val="32"/>
      <w:lang w:val="en-US" w:bidi="ar-SA"/>
    </w:rPr>
  </w:style>
  <w:style w:type="paragraph" w:customStyle="1" w:styleId="737">
    <w:name w:val="xl92"/>
    <w:basedOn w:val="1"/>
    <w:qFormat/>
    <w:uiPriority w:val="99"/>
    <w:pPr>
      <w:widowControl/>
      <w:pBdr>
        <w:bottom w:val="single" w:color="auto" w:sz="4" w:space="0"/>
        <w:right w:val="single" w:color="auto" w:sz="4" w:space="0"/>
      </w:pBdr>
      <w:shd w:val="clear" w:color="auto" w:fill="FFFFFF"/>
      <w:autoSpaceDE/>
      <w:autoSpaceDN/>
      <w:snapToGrid w:val="0"/>
      <w:spacing w:before="100" w:beforeAutospacing="1" w:after="100" w:afterAutospacing="1"/>
      <w:ind w:firstLine="480" w:firstLineChars="200"/>
    </w:pPr>
    <w:rPr>
      <w:rFonts w:ascii="楷体" w:eastAsia="楷体" w:cs="Times New Roman"/>
      <w:color w:val="FF0000"/>
      <w:sz w:val="12"/>
      <w:szCs w:val="12"/>
      <w:lang w:val="en-US" w:bidi="ar-SA"/>
    </w:rPr>
  </w:style>
  <w:style w:type="paragraph" w:customStyle="1" w:styleId="738">
    <w:name w:val="－标题3"/>
    <w:basedOn w:val="6"/>
    <w:qFormat/>
    <w:uiPriority w:val="99"/>
    <w:pPr>
      <w:widowControl/>
      <w:tabs>
        <w:tab w:val="left" w:pos="1861"/>
      </w:tabs>
      <w:autoSpaceDE/>
      <w:autoSpaceDN/>
      <w:snapToGrid w:val="0"/>
      <w:spacing w:line="460" w:lineRule="exact"/>
      <w:ind w:left="1861" w:right="0" w:hanging="420"/>
    </w:pPr>
    <w:rPr>
      <w:rFonts w:ascii="Times New Roman" w:hAnsi="Times New Roman" w:eastAsia="黑体" w:cs="Times New Roman"/>
      <w:color w:val="000000"/>
      <w:kern w:val="2"/>
      <w:sz w:val="24"/>
      <w:szCs w:val="32"/>
      <w:lang w:val="en-US" w:bidi="ar-SA"/>
    </w:rPr>
  </w:style>
  <w:style w:type="character" w:customStyle="1" w:styleId="739">
    <w:name w:val="图表公式 Char"/>
    <w:link w:val="740"/>
    <w:qFormat/>
    <w:uiPriority w:val="0"/>
    <w:rPr>
      <w:rFonts w:ascii="宋体" w:hAnsi="宋体" w:cs="宋体"/>
      <w:sz w:val="24"/>
    </w:rPr>
  </w:style>
  <w:style w:type="paragraph" w:customStyle="1" w:styleId="740">
    <w:name w:val="图表公式"/>
    <w:basedOn w:val="521"/>
    <w:link w:val="739"/>
    <w:qFormat/>
    <w:uiPriority w:val="0"/>
    <w:pPr>
      <w:spacing w:line="240" w:lineRule="auto"/>
      <w:ind w:firstLine="0" w:firstLineChars="0"/>
      <w:jc w:val="center"/>
    </w:pPr>
    <w:rPr>
      <w:rFonts w:ascii="宋体" w:hAnsi="宋体" w:cs="宋体"/>
      <w:kern w:val="0"/>
      <w:szCs w:val="20"/>
    </w:rPr>
  </w:style>
  <w:style w:type="character" w:customStyle="1" w:styleId="741">
    <w:name w:val="B正文小四宋体 Char"/>
    <w:link w:val="742"/>
    <w:qFormat/>
    <w:uiPriority w:val="0"/>
    <w:rPr>
      <w:sz w:val="24"/>
    </w:rPr>
  </w:style>
  <w:style w:type="paragraph" w:customStyle="1" w:styleId="742">
    <w:name w:val="B正文小四宋体"/>
    <w:basedOn w:val="1"/>
    <w:link w:val="741"/>
    <w:qFormat/>
    <w:uiPriority w:val="0"/>
    <w:pPr>
      <w:snapToGrid w:val="0"/>
      <w:spacing w:line="500" w:lineRule="exact"/>
      <w:ind w:firstLine="200" w:firstLineChars="200"/>
      <w:jc w:val="both"/>
    </w:pPr>
    <w:rPr>
      <w:rFonts w:ascii="Times New Roman" w:hAnsi="Times New Roman" w:cs="Times New Roman"/>
      <w:sz w:val="24"/>
      <w:szCs w:val="20"/>
      <w:lang w:val="en-US" w:bidi="ar-SA"/>
    </w:rPr>
  </w:style>
  <w:style w:type="paragraph" w:customStyle="1" w:styleId="743">
    <w:name w:val="xl93"/>
    <w:basedOn w:val="1"/>
    <w:qFormat/>
    <w:uiPriority w:val="99"/>
    <w:pPr>
      <w:widowControl/>
      <w:pBdr>
        <w:bottom w:val="single" w:color="auto" w:sz="4" w:space="0"/>
        <w:right w:val="single" w:color="auto" w:sz="4" w:space="0"/>
      </w:pBdr>
      <w:autoSpaceDE/>
      <w:autoSpaceDN/>
      <w:snapToGrid w:val="0"/>
      <w:spacing w:before="100" w:beforeAutospacing="1" w:after="100" w:afterAutospacing="1"/>
      <w:ind w:firstLine="480" w:firstLineChars="200"/>
      <w:jc w:val="center"/>
    </w:pPr>
    <w:rPr>
      <w:rFonts w:cs="Times New Roman"/>
      <w:color w:val="000000"/>
      <w:sz w:val="12"/>
      <w:szCs w:val="12"/>
      <w:lang w:val="en-US" w:bidi="ar-SA"/>
    </w:rPr>
  </w:style>
  <w:style w:type="paragraph" w:customStyle="1" w:styleId="744">
    <w:name w:val="xl105"/>
    <w:basedOn w:val="1"/>
    <w:qFormat/>
    <w:uiPriority w:val="99"/>
    <w:pPr>
      <w:widowControl/>
      <w:pBdr>
        <w:top w:val="single" w:color="auto" w:sz="4" w:space="0"/>
        <w:left w:val="single" w:color="auto" w:sz="4" w:space="0"/>
        <w:right w:val="single" w:color="auto" w:sz="4" w:space="0"/>
      </w:pBdr>
      <w:autoSpaceDE/>
      <w:autoSpaceDN/>
      <w:snapToGrid w:val="0"/>
      <w:spacing w:before="100" w:beforeAutospacing="1" w:after="100" w:afterAutospacing="1"/>
      <w:ind w:firstLine="480" w:firstLineChars="200"/>
    </w:pPr>
    <w:rPr>
      <w:color w:val="000000"/>
      <w:sz w:val="24"/>
      <w:szCs w:val="24"/>
      <w:lang w:val="en-US" w:bidi="ar-SA"/>
    </w:rPr>
  </w:style>
  <w:style w:type="paragraph" w:customStyle="1" w:styleId="745">
    <w:name w:val="Char Char Char Char Char"/>
    <w:basedOn w:val="1"/>
    <w:qFormat/>
    <w:uiPriority w:val="99"/>
    <w:pPr>
      <w:autoSpaceDE/>
      <w:autoSpaceDN/>
      <w:snapToGrid w:val="0"/>
      <w:ind w:firstLine="480" w:firstLineChars="200"/>
      <w:jc w:val="both"/>
    </w:pPr>
    <w:rPr>
      <w:rFonts w:ascii="Times New Roman" w:hAnsi="Times New Roman" w:cs="Times New Roman"/>
      <w:color w:val="000000"/>
      <w:kern w:val="2"/>
      <w:sz w:val="21"/>
      <w:lang w:val="en-US" w:bidi="ar-SA"/>
    </w:rPr>
  </w:style>
  <w:style w:type="paragraph" w:customStyle="1" w:styleId="746">
    <w:name w:val="技术报告三级标题"/>
    <w:basedOn w:val="1"/>
    <w:next w:val="1"/>
    <w:qFormat/>
    <w:uiPriority w:val="99"/>
    <w:pPr>
      <w:tabs>
        <w:tab w:val="left" w:pos="720"/>
      </w:tabs>
      <w:autoSpaceDE/>
      <w:autoSpaceDN/>
      <w:snapToGrid w:val="0"/>
      <w:spacing w:before="60" w:after="60" w:line="460" w:lineRule="exact"/>
      <w:ind w:left="720" w:hanging="720" w:firstLineChars="200"/>
      <w:jc w:val="both"/>
      <w:outlineLvl w:val="2"/>
    </w:pPr>
    <w:rPr>
      <w:rFonts w:ascii="Times New Roman" w:hAnsi="Times New Roman" w:eastAsia="黑体" w:cs="Times New Roman"/>
      <w:color w:val="000000"/>
      <w:kern w:val="2"/>
      <w:sz w:val="24"/>
      <w:szCs w:val="24"/>
      <w:lang w:val="en-US" w:bidi="ar-SA"/>
    </w:rPr>
  </w:style>
  <w:style w:type="paragraph" w:customStyle="1" w:styleId="747">
    <w:name w:val="样式 宋体 小四 黑色 行距: 固定值 26 磅"/>
    <w:basedOn w:val="1"/>
    <w:qFormat/>
    <w:uiPriority w:val="99"/>
    <w:pPr>
      <w:autoSpaceDE/>
      <w:autoSpaceDN/>
      <w:snapToGrid w:val="0"/>
      <w:spacing w:line="460" w:lineRule="exact"/>
      <w:ind w:firstLine="480" w:firstLineChars="200"/>
      <w:jc w:val="both"/>
    </w:pPr>
    <w:rPr>
      <w:rFonts w:ascii="Times New Roman" w:hAnsi="Times New Roman" w:cs="Times New Roman"/>
      <w:color w:val="000000"/>
      <w:kern w:val="2"/>
      <w:sz w:val="24"/>
      <w:szCs w:val="20"/>
      <w:lang w:val="en-US" w:bidi="ar-SA"/>
    </w:rPr>
  </w:style>
  <w:style w:type="paragraph" w:customStyle="1" w:styleId="748">
    <w:name w:val="HCH目录1"/>
    <w:next w:val="263"/>
    <w:qFormat/>
    <w:uiPriority w:val="99"/>
    <w:pPr>
      <w:tabs>
        <w:tab w:val="left" w:pos="360"/>
        <w:tab w:val="right" w:leader="dot" w:pos="8296"/>
      </w:tabs>
      <w:spacing w:line="400" w:lineRule="exact"/>
    </w:pPr>
    <w:rPr>
      <w:rFonts w:ascii="Times New Roman" w:hAnsi="Times New Roman" w:eastAsia="宋体" w:cs="Times New Roman"/>
      <w:bCs/>
      <w:kern w:val="2"/>
      <w:sz w:val="24"/>
      <w:szCs w:val="24"/>
      <w:lang w:val="en-US" w:eastAsia="zh-CN" w:bidi="ar-SA"/>
    </w:rPr>
  </w:style>
  <w:style w:type="paragraph" w:customStyle="1" w:styleId="749">
    <w:name w:val="样式 首行缩进:  1.92 字符1"/>
    <w:basedOn w:val="1"/>
    <w:semiHidden/>
    <w:qFormat/>
    <w:uiPriority w:val="99"/>
    <w:pPr>
      <w:autoSpaceDE/>
      <w:autoSpaceDN/>
      <w:snapToGrid w:val="0"/>
      <w:spacing w:line="360" w:lineRule="auto"/>
      <w:ind w:firstLine="192" w:firstLineChars="192"/>
      <w:jc w:val="both"/>
    </w:pPr>
    <w:rPr>
      <w:rFonts w:ascii="Times New Roman" w:hAnsi="Times New Roman"/>
      <w:color w:val="000000"/>
      <w:kern w:val="2"/>
      <w:sz w:val="24"/>
      <w:szCs w:val="20"/>
      <w:lang w:val="en-US" w:bidi="ar-SA"/>
    </w:rPr>
  </w:style>
  <w:style w:type="paragraph" w:customStyle="1" w:styleId="750">
    <w:name w:val="图下文字"/>
    <w:basedOn w:val="1"/>
    <w:semiHidden/>
    <w:qFormat/>
    <w:uiPriority w:val="99"/>
    <w:pPr>
      <w:autoSpaceDE/>
      <w:autoSpaceDN/>
      <w:adjustRightInd w:val="0"/>
      <w:snapToGrid w:val="0"/>
      <w:spacing w:line="312" w:lineRule="auto"/>
      <w:ind w:firstLine="480" w:firstLineChars="200"/>
      <w:jc w:val="center"/>
    </w:pPr>
    <w:rPr>
      <w:rFonts w:ascii="Times New Roman" w:hAnsi="Times New Roman" w:cs="Times New Roman"/>
      <w:color w:val="000000"/>
      <w:kern w:val="2"/>
      <w:sz w:val="18"/>
      <w:szCs w:val="20"/>
      <w:lang w:val="en-US" w:bidi="ar-SA"/>
    </w:rPr>
  </w:style>
  <w:style w:type="paragraph" w:customStyle="1" w:styleId="751">
    <w:name w:val="3 Char"/>
    <w:basedOn w:val="1"/>
    <w:qFormat/>
    <w:uiPriority w:val="99"/>
    <w:pPr>
      <w:widowControl/>
      <w:autoSpaceDE/>
      <w:autoSpaceDN/>
      <w:snapToGrid w:val="0"/>
      <w:spacing w:after="160" w:line="240" w:lineRule="exact"/>
      <w:ind w:firstLine="480" w:firstLineChars="200"/>
    </w:pPr>
    <w:rPr>
      <w:rFonts w:ascii="Arial" w:hAnsi="Arial" w:eastAsia="Times New Roman" w:cs="Verdana"/>
      <w:b/>
      <w:color w:val="000000"/>
      <w:sz w:val="24"/>
      <w:szCs w:val="24"/>
      <w:lang w:val="en-US" w:eastAsia="en-US" w:bidi="ar-SA"/>
    </w:rPr>
  </w:style>
  <w:style w:type="character" w:customStyle="1" w:styleId="752">
    <w:name w:val="条1.1.1 Char"/>
    <w:link w:val="753"/>
    <w:qFormat/>
    <w:uiPriority w:val="0"/>
    <w:rPr>
      <w:rFonts w:ascii="宋体" w:hAnsi="宋体" w:cs="宋体"/>
      <w:b/>
      <w:sz w:val="28"/>
      <w:szCs w:val="28"/>
    </w:rPr>
  </w:style>
  <w:style w:type="paragraph" w:customStyle="1" w:styleId="753">
    <w:name w:val="条1.1.1"/>
    <w:basedOn w:val="1"/>
    <w:next w:val="535"/>
    <w:link w:val="752"/>
    <w:qFormat/>
    <w:uiPriority w:val="0"/>
    <w:pPr>
      <w:autoSpaceDE/>
      <w:autoSpaceDN/>
      <w:snapToGrid w:val="0"/>
      <w:ind w:firstLine="480" w:firstLineChars="200"/>
      <w:jc w:val="both"/>
      <w:outlineLvl w:val="2"/>
    </w:pPr>
    <w:rPr>
      <w:b/>
      <w:sz w:val="28"/>
      <w:szCs w:val="28"/>
      <w:lang w:val="en-US" w:bidi="ar-SA"/>
    </w:rPr>
  </w:style>
  <w:style w:type="paragraph" w:customStyle="1" w:styleId="754">
    <w:name w:val="正文表格"/>
    <w:basedOn w:val="1"/>
    <w:semiHidden/>
    <w:qFormat/>
    <w:uiPriority w:val="99"/>
    <w:pPr>
      <w:autoSpaceDE/>
      <w:autoSpaceDN/>
      <w:snapToGrid w:val="0"/>
      <w:ind w:firstLine="31" w:firstLineChars="15"/>
      <w:jc w:val="center"/>
    </w:pPr>
    <w:rPr>
      <w:rFonts w:hAnsi="Times New Roman" w:cs="Times New Roman"/>
      <w:bCs/>
      <w:color w:val="000000"/>
      <w:kern w:val="2"/>
      <w:sz w:val="21"/>
      <w:szCs w:val="21"/>
      <w:lang w:val="en-US" w:bidi="ar-SA"/>
    </w:rPr>
  </w:style>
  <w:style w:type="paragraph" w:customStyle="1" w:styleId="755">
    <w:name w:val="样式 首行缩进:  0.95 厘米"/>
    <w:basedOn w:val="1"/>
    <w:qFormat/>
    <w:uiPriority w:val="99"/>
    <w:pPr>
      <w:suppressAutoHyphens/>
      <w:autoSpaceDE/>
      <w:autoSpaceDN/>
      <w:snapToGrid w:val="0"/>
      <w:spacing w:line="360" w:lineRule="auto"/>
      <w:ind w:firstLine="539" w:firstLineChars="200"/>
      <w:jc w:val="both"/>
    </w:pPr>
    <w:rPr>
      <w:bCs/>
      <w:color w:val="000000"/>
      <w:kern w:val="2"/>
      <w:sz w:val="28"/>
      <w:szCs w:val="20"/>
      <w:lang w:val="en-US" w:eastAsia="ar-SA" w:bidi="ar-SA"/>
    </w:rPr>
  </w:style>
  <w:style w:type="paragraph" w:customStyle="1" w:styleId="756">
    <w:name w:val="－标题4"/>
    <w:basedOn w:val="7"/>
    <w:qFormat/>
    <w:uiPriority w:val="99"/>
    <w:pPr>
      <w:keepNext/>
      <w:keepLines/>
      <w:tabs>
        <w:tab w:val="left" w:pos="360"/>
        <w:tab w:val="left" w:pos="2281"/>
      </w:tabs>
      <w:autoSpaceDE/>
      <w:autoSpaceDN/>
      <w:snapToGrid w:val="0"/>
      <w:spacing w:before="0" w:line="460" w:lineRule="exact"/>
      <w:ind w:left="2281" w:hanging="420"/>
    </w:pPr>
    <w:rPr>
      <w:rFonts w:ascii="Times New Roman" w:cs="Times New Roman"/>
      <w:b w:val="0"/>
      <w:kern w:val="2"/>
      <w:lang w:val="en-US" w:bidi="ar-SA"/>
    </w:rPr>
  </w:style>
  <w:style w:type="paragraph" w:customStyle="1" w:styleId="757">
    <w:name w:val="样式 样式 标题 3 + + 首行缩进:  0.99 厘米"/>
    <w:basedOn w:val="362"/>
    <w:qFormat/>
    <w:uiPriority w:val="99"/>
    <w:pPr>
      <w:ind w:firstLine="560"/>
    </w:pPr>
  </w:style>
  <w:style w:type="paragraph" w:customStyle="1" w:styleId="758">
    <w:name w:val="标题4-1"/>
    <w:basedOn w:val="7"/>
    <w:semiHidden/>
    <w:qFormat/>
    <w:uiPriority w:val="99"/>
    <w:pPr>
      <w:keepNext/>
      <w:keepLines/>
      <w:autoSpaceDE/>
      <w:autoSpaceDN/>
      <w:snapToGrid w:val="0"/>
      <w:spacing w:before="280" w:after="290" w:line="372" w:lineRule="auto"/>
      <w:ind w:left="0" w:firstLine="0"/>
      <w:jc w:val="both"/>
    </w:pPr>
    <w:rPr>
      <w:rFonts w:eastAsia="黑体" w:cs="Times New Roman"/>
      <w:b w:val="0"/>
      <w:kern w:val="2"/>
      <w:sz w:val="24"/>
      <w:szCs w:val="24"/>
      <w:lang w:val="en-US" w:bidi="ar-SA"/>
    </w:rPr>
  </w:style>
  <w:style w:type="character" w:customStyle="1" w:styleId="759">
    <w:name w:val="技术报告四级标题 Char"/>
    <w:link w:val="760"/>
    <w:qFormat/>
    <w:uiPriority w:val="0"/>
    <w:rPr>
      <w:sz w:val="24"/>
      <w:szCs w:val="24"/>
    </w:rPr>
  </w:style>
  <w:style w:type="paragraph" w:customStyle="1" w:styleId="760">
    <w:name w:val="技术报告四级标题"/>
    <w:basedOn w:val="1"/>
    <w:next w:val="1"/>
    <w:link w:val="759"/>
    <w:qFormat/>
    <w:uiPriority w:val="0"/>
    <w:pPr>
      <w:tabs>
        <w:tab w:val="left" w:pos="1764"/>
      </w:tabs>
      <w:autoSpaceDE/>
      <w:autoSpaceDN/>
      <w:snapToGrid w:val="0"/>
      <w:spacing w:before="60" w:after="60" w:line="460" w:lineRule="exact"/>
      <w:ind w:left="1764" w:hanging="864" w:firstLineChars="200"/>
      <w:jc w:val="both"/>
      <w:outlineLvl w:val="3"/>
    </w:pPr>
    <w:rPr>
      <w:rFonts w:ascii="Times New Roman" w:hAnsi="Times New Roman" w:cs="Times New Roman"/>
      <w:sz w:val="24"/>
      <w:szCs w:val="24"/>
      <w:lang w:val="en-US" w:bidi="ar-SA"/>
    </w:rPr>
  </w:style>
  <w:style w:type="paragraph" w:customStyle="1" w:styleId="761">
    <w:name w:val="样式 首行缩进:  2 字符1"/>
    <w:basedOn w:val="1"/>
    <w:qFormat/>
    <w:uiPriority w:val="99"/>
    <w:pPr>
      <w:autoSpaceDE/>
      <w:autoSpaceDN/>
      <w:snapToGrid w:val="0"/>
      <w:spacing w:line="560" w:lineRule="exact"/>
      <w:ind w:firstLine="560" w:firstLineChars="200"/>
      <w:jc w:val="both"/>
    </w:pPr>
    <w:rPr>
      <w:rFonts w:ascii="仿宋_GB2312" w:hAnsi="Times New Roman" w:eastAsia="仿宋_GB2312"/>
      <w:color w:val="000000"/>
      <w:kern w:val="2"/>
      <w:sz w:val="24"/>
      <w:szCs w:val="20"/>
      <w:lang w:val="en-US" w:bidi="ar-SA"/>
    </w:rPr>
  </w:style>
  <w:style w:type="character" w:customStyle="1" w:styleId="762">
    <w:name w:val="标题3 Char"/>
    <w:link w:val="763"/>
    <w:qFormat/>
    <w:uiPriority w:val="99"/>
    <w:rPr>
      <w:rFonts w:eastAsia="黑体"/>
      <w:b/>
      <w:bCs/>
      <w:kern w:val="2"/>
      <w:sz w:val="24"/>
      <w:szCs w:val="24"/>
    </w:rPr>
  </w:style>
  <w:style w:type="paragraph" w:customStyle="1" w:styleId="763">
    <w:name w:val="标题3"/>
    <w:basedOn w:val="6"/>
    <w:next w:val="646"/>
    <w:link w:val="762"/>
    <w:qFormat/>
    <w:uiPriority w:val="99"/>
    <w:pPr>
      <w:widowControl/>
      <w:autoSpaceDE/>
      <w:autoSpaceDN/>
      <w:adjustRightInd w:val="0"/>
      <w:snapToGrid w:val="0"/>
      <w:spacing w:beforeLines="30" w:afterLines="30" w:line="460" w:lineRule="exact"/>
      <w:ind w:left="896" w:right="0" w:hanging="701"/>
    </w:pPr>
    <w:rPr>
      <w:rFonts w:ascii="Times New Roman" w:hAnsi="Times New Roman" w:eastAsia="黑体" w:cs="Times New Roman"/>
      <w:b/>
      <w:bCs/>
      <w:kern w:val="2"/>
      <w:sz w:val="24"/>
      <w:szCs w:val="24"/>
      <w:lang w:val="en-US" w:bidi="ar-SA"/>
    </w:rPr>
  </w:style>
  <w:style w:type="paragraph" w:customStyle="1" w:styleId="764">
    <w:name w:val="xl47"/>
    <w:basedOn w:val="1"/>
    <w:qFormat/>
    <w:uiPriority w:val="99"/>
    <w:pPr>
      <w:widowControl/>
      <w:pBdr>
        <w:top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ascii="楷体" w:eastAsia="楷体" w:cs="Times New Roman"/>
      <w:color w:val="0000FF"/>
      <w:sz w:val="12"/>
      <w:szCs w:val="12"/>
      <w:lang w:val="en-US" w:bidi="ar-SA"/>
    </w:rPr>
  </w:style>
  <w:style w:type="character" w:customStyle="1" w:styleId="765">
    <w:name w:val="A表名 Char"/>
    <w:link w:val="766"/>
    <w:qFormat/>
    <w:uiPriority w:val="0"/>
    <w:rPr>
      <w:rFonts w:ascii="宋体" w:hAnsi="宋体" w:eastAsia="黑体"/>
      <w:color w:val="000000"/>
      <w:kern w:val="2"/>
      <w:sz w:val="24"/>
      <w:szCs w:val="24"/>
    </w:rPr>
  </w:style>
  <w:style w:type="paragraph" w:customStyle="1" w:styleId="766">
    <w:name w:val="A表名"/>
    <w:basedOn w:val="1"/>
    <w:next w:val="318"/>
    <w:link w:val="765"/>
    <w:qFormat/>
    <w:uiPriority w:val="0"/>
    <w:pPr>
      <w:keepNext/>
      <w:autoSpaceDE/>
      <w:autoSpaceDN/>
      <w:adjustRightInd w:val="0"/>
      <w:snapToGrid w:val="0"/>
      <w:spacing w:line="440" w:lineRule="exact"/>
      <w:ind w:right="-64" w:rightChars="-64" w:firstLine="200" w:firstLineChars="200"/>
      <w:jc w:val="center"/>
    </w:pPr>
    <w:rPr>
      <w:rFonts w:eastAsia="黑体" w:cs="Times New Roman"/>
      <w:color w:val="000000"/>
      <w:kern w:val="2"/>
      <w:sz w:val="24"/>
      <w:szCs w:val="24"/>
      <w:lang w:val="en-US" w:bidi="ar-SA"/>
    </w:rPr>
  </w:style>
  <w:style w:type="character" w:customStyle="1" w:styleId="767">
    <w:name w:val="样式15 Char"/>
    <w:link w:val="768"/>
    <w:qFormat/>
    <w:uiPriority w:val="0"/>
    <w:rPr>
      <w:rFonts w:ascii="仿宋_GB2312" w:eastAsia="仿宋_GB2312"/>
      <w:sz w:val="24"/>
      <w:szCs w:val="24"/>
    </w:rPr>
  </w:style>
  <w:style w:type="paragraph" w:customStyle="1" w:styleId="768">
    <w:name w:val="样式15"/>
    <w:basedOn w:val="1"/>
    <w:link w:val="767"/>
    <w:qFormat/>
    <w:uiPriority w:val="0"/>
    <w:pPr>
      <w:autoSpaceDE/>
      <w:autoSpaceDN/>
      <w:snapToGrid w:val="0"/>
      <w:spacing w:line="600" w:lineRule="exact"/>
      <w:ind w:firstLine="480" w:firstLineChars="200"/>
      <w:jc w:val="center"/>
      <w:outlineLvl w:val="1"/>
    </w:pPr>
    <w:rPr>
      <w:rFonts w:ascii="仿宋_GB2312" w:hAnsi="Times New Roman" w:eastAsia="仿宋_GB2312" w:cs="Times New Roman"/>
      <w:sz w:val="24"/>
      <w:szCs w:val="24"/>
      <w:lang w:val="en-US" w:bidi="ar-SA"/>
    </w:rPr>
  </w:style>
  <w:style w:type="character" w:customStyle="1" w:styleId="769">
    <w:name w:val="正文1 Char"/>
    <w:link w:val="770"/>
    <w:qFormat/>
    <w:uiPriority w:val="0"/>
    <w:rPr>
      <w:rFonts w:ascii="宋体" w:hAnsi="宋体"/>
      <w:sz w:val="34"/>
    </w:rPr>
  </w:style>
  <w:style w:type="paragraph" w:customStyle="1" w:styleId="770">
    <w:name w:val="正文1"/>
    <w:link w:val="769"/>
    <w:qFormat/>
    <w:uiPriority w:val="0"/>
    <w:pPr>
      <w:widowControl w:val="0"/>
      <w:adjustRightInd w:val="0"/>
      <w:spacing w:line="312" w:lineRule="atLeast"/>
      <w:jc w:val="both"/>
    </w:pPr>
    <w:rPr>
      <w:rFonts w:ascii="宋体" w:hAnsi="宋体" w:eastAsia="宋体" w:cs="Times New Roman"/>
      <w:sz w:val="34"/>
      <w:lang w:val="en-US" w:eastAsia="zh-CN" w:bidi="ar-SA"/>
    </w:rPr>
  </w:style>
  <w:style w:type="paragraph" w:customStyle="1" w:styleId="771">
    <w:name w:val="Char Char Char Char Char Char Char Char Char Char Char Char Char Char Char Char Char Char Char Char Char Char Char Char Char Char Char Char Char Char Char Char Char Char Char Char Char Char Char Char Char Char Char"/>
    <w:basedOn w:val="27"/>
    <w:qFormat/>
    <w:uiPriority w:val="99"/>
    <w:pPr>
      <w:shd w:val="clear" w:color="auto" w:fill="000080"/>
      <w:autoSpaceDE/>
      <w:autoSpaceDN/>
      <w:adjustRightInd w:val="0"/>
      <w:snapToGrid w:val="0"/>
      <w:spacing w:line="436" w:lineRule="exact"/>
      <w:ind w:left="357" w:firstLine="480" w:firstLineChars="200"/>
      <w:outlineLvl w:val="3"/>
    </w:pPr>
    <w:rPr>
      <w:rFonts w:ascii="Tahoma" w:hAnsi="Tahoma" w:cs="Times New Roman"/>
      <w:b/>
      <w:kern w:val="2"/>
      <w:sz w:val="24"/>
      <w:szCs w:val="28"/>
      <w:lang w:val="en-US" w:bidi="ar-SA"/>
    </w:rPr>
  </w:style>
  <w:style w:type="paragraph" w:customStyle="1" w:styleId="772">
    <w:name w:val="样式 标题 4 +"/>
    <w:basedOn w:val="7"/>
    <w:qFormat/>
    <w:uiPriority w:val="99"/>
    <w:pPr>
      <w:keepNext/>
      <w:keepLines/>
      <w:autoSpaceDE/>
      <w:autoSpaceDN/>
      <w:adjustRightInd w:val="0"/>
      <w:snapToGrid w:val="0"/>
      <w:spacing w:before="0" w:beforeLines="50" w:after="60"/>
      <w:ind w:left="0" w:right="-64" w:rightChars="-64" w:firstLine="0"/>
    </w:pPr>
    <w:rPr>
      <w:rFonts w:ascii="黑体" w:hAnsi="Calibri" w:eastAsia="黑体"/>
      <w:bCs w:val="0"/>
      <w:i/>
      <w:sz w:val="24"/>
      <w:szCs w:val="20"/>
      <w:lang w:val="en-US" w:bidi="ar-SA"/>
    </w:rPr>
  </w:style>
  <w:style w:type="paragraph" w:customStyle="1" w:styleId="773">
    <w:name w:val="Char"/>
    <w:basedOn w:val="1"/>
    <w:qFormat/>
    <w:uiPriority w:val="99"/>
    <w:pPr>
      <w:autoSpaceDE/>
      <w:autoSpaceDN/>
      <w:snapToGrid w:val="0"/>
      <w:spacing w:line="360" w:lineRule="auto"/>
      <w:ind w:firstLine="480" w:firstLineChars="200"/>
    </w:pPr>
    <w:rPr>
      <w:color w:val="000000"/>
      <w:kern w:val="2"/>
      <w:sz w:val="24"/>
      <w:szCs w:val="24"/>
      <w:lang w:val="en-US" w:bidi="ar-SA"/>
    </w:rPr>
  </w:style>
  <w:style w:type="paragraph" w:customStyle="1" w:styleId="774">
    <w:name w:val="标题 31"/>
    <w:basedOn w:val="770"/>
    <w:next w:val="1"/>
    <w:qFormat/>
    <w:uiPriority w:val="99"/>
    <w:pPr>
      <w:keepNext/>
      <w:keepLines/>
      <w:adjustRightInd/>
      <w:spacing w:line="360" w:lineRule="auto"/>
      <w:outlineLvl w:val="2"/>
    </w:pPr>
    <w:rPr>
      <w:rFonts w:ascii="Times New Roman" w:eastAsia="黑体"/>
      <w:kern w:val="2"/>
      <w:sz w:val="28"/>
    </w:rPr>
  </w:style>
  <w:style w:type="character" w:customStyle="1" w:styleId="775">
    <w:name w:val="cwd--正文 Char"/>
    <w:link w:val="776"/>
    <w:qFormat/>
    <w:uiPriority w:val="0"/>
    <w:rPr>
      <w:rFonts w:ascii="宋体" w:hAnsi="宋体"/>
      <w:sz w:val="24"/>
    </w:rPr>
  </w:style>
  <w:style w:type="paragraph" w:customStyle="1" w:styleId="776">
    <w:name w:val="cwd--正文"/>
    <w:basedOn w:val="1"/>
    <w:link w:val="775"/>
    <w:qFormat/>
    <w:uiPriority w:val="0"/>
    <w:pPr>
      <w:autoSpaceDE/>
      <w:autoSpaceDN/>
      <w:snapToGrid w:val="0"/>
      <w:spacing w:line="360" w:lineRule="auto"/>
      <w:ind w:firstLine="480" w:firstLineChars="200"/>
      <w:jc w:val="both"/>
    </w:pPr>
    <w:rPr>
      <w:rFonts w:cs="Times New Roman"/>
      <w:sz w:val="24"/>
      <w:szCs w:val="20"/>
      <w:lang w:val="en-US" w:bidi="ar-SA"/>
    </w:rPr>
  </w:style>
  <w:style w:type="character" w:customStyle="1" w:styleId="777">
    <w:name w:val="标题 #2 (2)_"/>
    <w:link w:val="778"/>
    <w:qFormat/>
    <w:uiPriority w:val="0"/>
    <w:rPr>
      <w:rFonts w:ascii="MingLiU" w:hAnsi="MingLiU" w:eastAsia="MingLiU" w:cs="MingLiU"/>
      <w:spacing w:val="30"/>
      <w:sz w:val="32"/>
      <w:szCs w:val="32"/>
      <w:shd w:val="clear" w:color="auto" w:fill="FFFFFF"/>
    </w:rPr>
  </w:style>
  <w:style w:type="paragraph" w:customStyle="1" w:styleId="778">
    <w:name w:val="标题 #2 (2)"/>
    <w:basedOn w:val="1"/>
    <w:link w:val="777"/>
    <w:qFormat/>
    <w:uiPriority w:val="0"/>
    <w:pPr>
      <w:shd w:val="clear" w:color="auto" w:fill="FFFFFF"/>
      <w:autoSpaceDE/>
      <w:autoSpaceDN/>
      <w:snapToGrid w:val="0"/>
      <w:spacing w:before="120" w:line="557" w:lineRule="exact"/>
      <w:ind w:firstLine="480" w:firstLineChars="200"/>
      <w:outlineLvl w:val="1"/>
    </w:pPr>
    <w:rPr>
      <w:rFonts w:ascii="MingLiU" w:hAnsi="MingLiU" w:eastAsia="MingLiU" w:cs="MingLiU"/>
      <w:spacing w:val="30"/>
      <w:sz w:val="32"/>
      <w:szCs w:val="32"/>
      <w:lang w:val="en-US" w:bidi="ar-SA"/>
    </w:rPr>
  </w:style>
  <w:style w:type="paragraph" w:customStyle="1" w:styleId="779">
    <w:name w:val="font16"/>
    <w:basedOn w:val="1"/>
    <w:qFormat/>
    <w:uiPriority w:val="99"/>
    <w:pPr>
      <w:widowControl/>
      <w:autoSpaceDE/>
      <w:autoSpaceDN/>
      <w:snapToGrid w:val="0"/>
      <w:spacing w:before="100" w:beforeAutospacing="1" w:after="100" w:afterAutospacing="1"/>
      <w:ind w:firstLine="480" w:firstLineChars="200"/>
    </w:pPr>
    <w:rPr>
      <w:color w:val="000000"/>
      <w:sz w:val="18"/>
      <w:szCs w:val="18"/>
      <w:lang w:val="en-US" w:bidi="ar-SA"/>
    </w:rPr>
  </w:style>
  <w:style w:type="paragraph" w:customStyle="1" w:styleId="780">
    <w:name w:val="xl31"/>
    <w:basedOn w:val="1"/>
    <w:qFormat/>
    <w:uiPriority w:val="99"/>
    <w:pPr>
      <w:widowControl/>
      <w:pBdr>
        <w:top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cs="Times New Roman"/>
      <w:color w:val="000000"/>
      <w:sz w:val="24"/>
      <w:szCs w:val="24"/>
      <w:lang w:val="en-US" w:bidi="ar-SA"/>
    </w:rPr>
  </w:style>
  <w:style w:type="paragraph" w:customStyle="1" w:styleId="781">
    <w:name w:val="xl72"/>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rFonts w:ascii="楷体" w:eastAsia="楷体" w:cs="Times New Roman"/>
      <w:color w:val="000000"/>
      <w:sz w:val="12"/>
      <w:szCs w:val="12"/>
      <w:lang w:val="en-US" w:bidi="ar-SA"/>
    </w:rPr>
  </w:style>
  <w:style w:type="character" w:customStyle="1" w:styleId="782">
    <w:name w:val="标准_款 Char Char"/>
    <w:link w:val="783"/>
    <w:qFormat/>
    <w:uiPriority w:val="0"/>
    <w:rPr>
      <w:szCs w:val="24"/>
    </w:rPr>
  </w:style>
  <w:style w:type="paragraph" w:customStyle="1" w:styleId="783">
    <w:name w:val="标准_款"/>
    <w:basedOn w:val="1"/>
    <w:link w:val="782"/>
    <w:qFormat/>
    <w:uiPriority w:val="0"/>
    <w:pPr>
      <w:autoSpaceDE/>
      <w:autoSpaceDN/>
      <w:snapToGrid w:val="0"/>
      <w:ind w:left="425" w:hanging="425" w:firstLineChars="200"/>
      <w:jc w:val="both"/>
    </w:pPr>
    <w:rPr>
      <w:rFonts w:ascii="Times New Roman" w:hAnsi="Times New Roman" w:cs="Times New Roman"/>
      <w:sz w:val="20"/>
      <w:szCs w:val="24"/>
      <w:lang w:val="en-US" w:bidi="ar-SA"/>
    </w:rPr>
  </w:style>
  <w:style w:type="paragraph" w:customStyle="1" w:styleId="784">
    <w:name w:val="Char Char Char Char Char Char1 Char3"/>
    <w:basedOn w:val="1"/>
    <w:qFormat/>
    <w:uiPriority w:val="99"/>
    <w:pPr>
      <w:autoSpaceDE/>
      <w:autoSpaceDN/>
      <w:snapToGrid w:val="0"/>
      <w:spacing w:line="360" w:lineRule="auto"/>
      <w:ind w:firstLine="480" w:firstLineChars="200"/>
      <w:jc w:val="both"/>
    </w:pPr>
    <w:rPr>
      <w:rFonts w:ascii="Times New Roman" w:hAnsi="Times New Roman"/>
      <w:color w:val="000000"/>
      <w:kern w:val="2"/>
      <w:sz w:val="24"/>
      <w:szCs w:val="24"/>
      <w:lang w:val="en-US" w:bidi="ar-SA"/>
    </w:rPr>
  </w:style>
  <w:style w:type="paragraph" w:customStyle="1" w:styleId="785">
    <w:name w:val="表题"/>
    <w:basedOn w:val="1"/>
    <w:qFormat/>
    <w:uiPriority w:val="99"/>
    <w:pPr>
      <w:autoSpaceDE/>
      <w:autoSpaceDN/>
      <w:snapToGrid w:val="0"/>
      <w:spacing w:line="360" w:lineRule="auto"/>
      <w:ind w:firstLine="480" w:firstLineChars="200"/>
      <w:jc w:val="center"/>
    </w:pPr>
    <w:rPr>
      <w:rFonts w:ascii="Times New Roman" w:hAnsi="Times New Roman" w:cs="Times New Roman"/>
      <w:color w:val="000000"/>
      <w:kern w:val="2"/>
      <w:sz w:val="21"/>
      <w:szCs w:val="20"/>
      <w:lang w:val="en-US" w:bidi="ar-SA"/>
    </w:rPr>
  </w:style>
  <w:style w:type="paragraph" w:customStyle="1" w:styleId="786">
    <w:name w:val="样式 二室表文宋 + 小四 浅橙色 居中"/>
    <w:basedOn w:val="1"/>
    <w:qFormat/>
    <w:uiPriority w:val="99"/>
    <w:pPr>
      <w:autoSpaceDE/>
      <w:autoSpaceDN/>
      <w:snapToGrid w:val="0"/>
      <w:spacing w:line="460" w:lineRule="exact"/>
      <w:ind w:firstLine="480" w:firstLineChars="200"/>
      <w:jc w:val="center"/>
    </w:pPr>
    <w:rPr>
      <w:rFonts w:ascii="Times New Roman" w:hAnsi="Times New Roman"/>
      <w:color w:val="FF9900"/>
      <w:kern w:val="2"/>
      <w:sz w:val="24"/>
      <w:szCs w:val="20"/>
      <w:lang w:val="en-US" w:bidi="ar-SA"/>
    </w:rPr>
  </w:style>
  <w:style w:type="paragraph" w:customStyle="1" w:styleId="787">
    <w:name w:val="xl76"/>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rFonts w:cs="Times New Roman"/>
      <w:color w:val="000000"/>
      <w:sz w:val="12"/>
      <w:szCs w:val="12"/>
      <w:lang w:val="en-US" w:bidi="ar-SA"/>
    </w:rPr>
  </w:style>
  <w:style w:type="paragraph" w:customStyle="1" w:styleId="788">
    <w:name w:val="Char Char1 Char Char Char Char Char Char"/>
    <w:basedOn w:val="1"/>
    <w:qFormat/>
    <w:uiPriority w:val="99"/>
    <w:pPr>
      <w:widowControl/>
      <w:autoSpaceDE/>
      <w:autoSpaceDN/>
      <w:snapToGrid w:val="0"/>
      <w:spacing w:after="160" w:line="240" w:lineRule="exact"/>
      <w:ind w:firstLine="480" w:firstLineChars="200"/>
    </w:pPr>
    <w:rPr>
      <w:rFonts w:ascii="Times New Roman" w:hAnsi="Times New Roman" w:cs="Times New Roman"/>
      <w:color w:val="000000"/>
      <w:kern w:val="2"/>
      <w:sz w:val="21"/>
      <w:lang w:val="en-US" w:bidi="ar-SA"/>
    </w:rPr>
  </w:style>
  <w:style w:type="character" w:customStyle="1" w:styleId="789">
    <w:name w:val="正文文本 (4)_"/>
    <w:link w:val="790"/>
    <w:qFormat/>
    <w:uiPriority w:val="0"/>
    <w:rPr>
      <w:rFonts w:ascii="MingLiU" w:hAnsi="MingLiU" w:eastAsia="MingLiU" w:cs="MingLiU"/>
      <w:b/>
      <w:bCs/>
      <w:spacing w:val="20"/>
      <w:sz w:val="22"/>
      <w:shd w:val="clear" w:color="auto" w:fill="FFFFFF"/>
      <w:lang w:eastAsia="en-US" w:bidi="en-US"/>
    </w:rPr>
  </w:style>
  <w:style w:type="paragraph" w:customStyle="1" w:styleId="790">
    <w:name w:val="正文文本 (4)"/>
    <w:basedOn w:val="1"/>
    <w:link w:val="789"/>
    <w:qFormat/>
    <w:uiPriority w:val="0"/>
    <w:pPr>
      <w:shd w:val="clear" w:color="auto" w:fill="FFFFFF"/>
      <w:autoSpaceDE/>
      <w:autoSpaceDN/>
      <w:snapToGrid w:val="0"/>
      <w:spacing w:line="552" w:lineRule="exact"/>
      <w:ind w:firstLine="480" w:firstLineChars="200"/>
    </w:pPr>
    <w:rPr>
      <w:rFonts w:ascii="MingLiU" w:hAnsi="MingLiU" w:eastAsia="MingLiU" w:cs="MingLiU"/>
      <w:b/>
      <w:bCs/>
      <w:spacing w:val="20"/>
      <w:szCs w:val="20"/>
      <w:lang w:val="en-US" w:eastAsia="en-US" w:bidi="en-US"/>
    </w:rPr>
  </w:style>
  <w:style w:type="paragraph" w:customStyle="1" w:styleId="791">
    <w:name w:val="表格"/>
    <w:basedOn w:val="1"/>
    <w:next w:val="1"/>
    <w:qFormat/>
    <w:uiPriority w:val="99"/>
    <w:pPr>
      <w:autoSpaceDE/>
      <w:autoSpaceDN/>
      <w:adjustRightInd w:val="0"/>
      <w:snapToGrid w:val="0"/>
      <w:spacing w:beforeLines="50" w:line="360" w:lineRule="auto"/>
      <w:ind w:firstLine="480" w:firstLineChars="200"/>
      <w:jc w:val="center"/>
    </w:pPr>
    <w:rPr>
      <w:rFonts w:ascii="Arial" w:hAnsi="Arial" w:cs="Times New Roman"/>
      <w:color w:val="000000"/>
      <w:kern w:val="2"/>
      <w:sz w:val="28"/>
      <w:szCs w:val="24"/>
      <w:lang w:val="en-US" w:bidi="ar-SA"/>
    </w:rPr>
  </w:style>
  <w:style w:type="paragraph" w:customStyle="1" w:styleId="792">
    <w:name w:val="TOC 72"/>
    <w:basedOn w:val="1"/>
    <w:next w:val="1"/>
    <w:qFormat/>
    <w:uiPriority w:val="39"/>
    <w:pPr>
      <w:autoSpaceDE/>
      <w:autoSpaceDN/>
      <w:snapToGrid w:val="0"/>
      <w:ind w:left="2520" w:leftChars="1200" w:firstLine="480" w:firstLineChars="200"/>
      <w:jc w:val="both"/>
    </w:pPr>
    <w:rPr>
      <w:rFonts w:ascii="等线" w:hAnsi="等线" w:eastAsia="等线" w:cs="Times New Roman"/>
      <w:color w:val="000000"/>
      <w:kern w:val="2"/>
      <w:sz w:val="21"/>
      <w:lang w:val="en-US" w:bidi="ar-SA"/>
    </w:rPr>
  </w:style>
  <w:style w:type="paragraph" w:customStyle="1" w:styleId="793">
    <w:name w:val="a1"/>
    <w:basedOn w:val="1"/>
    <w:qFormat/>
    <w:uiPriority w:val="99"/>
    <w:pPr>
      <w:widowControl/>
      <w:autoSpaceDE/>
      <w:autoSpaceDN/>
      <w:snapToGrid w:val="0"/>
      <w:spacing w:line="360" w:lineRule="atLeast"/>
      <w:ind w:firstLine="480" w:firstLineChars="200"/>
      <w:jc w:val="center"/>
    </w:pPr>
    <w:rPr>
      <w:rFonts w:ascii="Arial" w:hAnsi="Arial" w:cs="Times New Roman"/>
      <w:color w:val="000000"/>
      <w:sz w:val="24"/>
      <w:szCs w:val="20"/>
      <w:lang w:val="en-US" w:bidi="ar-SA"/>
    </w:rPr>
  </w:style>
  <w:style w:type="character" w:customStyle="1" w:styleId="794">
    <w:name w:val="节1.1 Char"/>
    <w:link w:val="795"/>
    <w:qFormat/>
    <w:uiPriority w:val="0"/>
    <w:rPr>
      <w:rFonts w:ascii="宋体" w:hAnsi="宋体" w:cs="宋体"/>
      <w:b/>
      <w:sz w:val="28"/>
      <w:szCs w:val="28"/>
    </w:rPr>
  </w:style>
  <w:style w:type="paragraph" w:customStyle="1" w:styleId="795">
    <w:name w:val="节1.1"/>
    <w:basedOn w:val="1"/>
    <w:next w:val="535"/>
    <w:link w:val="794"/>
    <w:qFormat/>
    <w:uiPriority w:val="0"/>
    <w:pPr>
      <w:autoSpaceDE/>
      <w:autoSpaceDN/>
      <w:snapToGrid w:val="0"/>
      <w:ind w:firstLine="480" w:firstLineChars="200"/>
      <w:jc w:val="both"/>
      <w:outlineLvl w:val="1"/>
    </w:pPr>
    <w:rPr>
      <w:b/>
      <w:sz w:val="28"/>
      <w:szCs w:val="28"/>
      <w:lang w:val="en-US" w:bidi="ar-SA"/>
    </w:rPr>
  </w:style>
  <w:style w:type="paragraph" w:customStyle="1" w:styleId="796">
    <w:name w:val="Char Char6"/>
    <w:basedOn w:val="1"/>
    <w:qFormat/>
    <w:uiPriority w:val="99"/>
    <w:pPr>
      <w:autoSpaceDE/>
      <w:autoSpaceDN/>
      <w:snapToGrid w:val="0"/>
      <w:spacing w:line="360" w:lineRule="auto"/>
      <w:ind w:firstLine="200" w:firstLineChars="200"/>
      <w:jc w:val="both"/>
    </w:pPr>
    <w:rPr>
      <w:color w:val="000000"/>
      <w:kern w:val="2"/>
      <w:sz w:val="24"/>
      <w:szCs w:val="24"/>
      <w:lang w:val="en-US" w:bidi="ar-SA"/>
    </w:rPr>
  </w:style>
  <w:style w:type="paragraph" w:customStyle="1" w:styleId="797">
    <w:name w:val="Char Char Char Char2"/>
    <w:basedOn w:val="1"/>
    <w:qFormat/>
    <w:uiPriority w:val="99"/>
    <w:pPr>
      <w:widowControl/>
      <w:autoSpaceDE/>
      <w:autoSpaceDN/>
      <w:snapToGrid w:val="0"/>
      <w:spacing w:after="160" w:line="240" w:lineRule="exact"/>
      <w:ind w:firstLine="480" w:firstLineChars="200"/>
    </w:pPr>
    <w:rPr>
      <w:rFonts w:ascii="Verdana" w:hAnsi="Verdana" w:eastAsia="仿宋_GB2312" w:cs="Times New Roman"/>
      <w:color w:val="000000"/>
      <w:sz w:val="24"/>
      <w:szCs w:val="20"/>
      <w:lang w:val="en-US" w:eastAsia="en-US" w:bidi="ar-SA"/>
    </w:rPr>
  </w:style>
  <w:style w:type="character" w:customStyle="1" w:styleId="798">
    <w:name w:val="小表文 Char"/>
    <w:link w:val="799"/>
    <w:qFormat/>
    <w:uiPriority w:val="0"/>
    <w:rPr>
      <w:szCs w:val="21"/>
    </w:rPr>
  </w:style>
  <w:style w:type="paragraph" w:customStyle="1" w:styleId="799">
    <w:name w:val="小表文"/>
    <w:basedOn w:val="1"/>
    <w:link w:val="798"/>
    <w:qFormat/>
    <w:uiPriority w:val="0"/>
    <w:pPr>
      <w:adjustRightInd w:val="0"/>
      <w:snapToGrid w:val="0"/>
      <w:ind w:firstLine="480" w:firstLineChars="200"/>
      <w:jc w:val="both"/>
    </w:pPr>
    <w:rPr>
      <w:rFonts w:ascii="Times New Roman" w:hAnsi="Times New Roman" w:cs="Times New Roman"/>
      <w:sz w:val="20"/>
      <w:szCs w:val="21"/>
      <w:lang w:val="en-US" w:bidi="ar-SA"/>
    </w:rPr>
  </w:style>
  <w:style w:type="paragraph" w:customStyle="1" w:styleId="800">
    <w:name w:val="样式 样式 左 首行缩进:  2 字符 + 首行缩进:  2 字符"/>
    <w:basedOn w:val="1"/>
    <w:qFormat/>
    <w:uiPriority w:val="99"/>
    <w:pPr>
      <w:keepNext/>
      <w:autoSpaceDE/>
      <w:autoSpaceDN/>
      <w:adjustRightInd w:val="0"/>
      <w:snapToGrid w:val="0"/>
      <w:spacing w:line="360" w:lineRule="auto"/>
      <w:ind w:right="-64" w:rightChars="-64" w:firstLine="492" w:firstLineChars="200"/>
    </w:pPr>
    <w:rPr>
      <w:rFonts w:ascii="黑体" w:hAnsi="Calibri" w:cs="Times New Roman"/>
      <w:color w:val="000000"/>
      <w:spacing w:val="3"/>
      <w:kern w:val="2"/>
      <w:sz w:val="24"/>
      <w:szCs w:val="24"/>
      <w:lang w:val="en-US" w:bidi="ar-SA"/>
    </w:rPr>
  </w:style>
  <w:style w:type="paragraph" w:customStyle="1" w:styleId="801">
    <w:name w:val="Char Char Char Char1"/>
    <w:basedOn w:val="1"/>
    <w:qFormat/>
    <w:uiPriority w:val="99"/>
    <w:pPr>
      <w:autoSpaceDE/>
      <w:autoSpaceDN/>
      <w:snapToGrid w:val="0"/>
      <w:ind w:firstLine="480" w:firstLineChars="200"/>
      <w:jc w:val="both"/>
    </w:pPr>
    <w:rPr>
      <w:rFonts w:ascii="Tahoma" w:hAnsi="Tahoma" w:cs="Times New Roman"/>
      <w:color w:val="000000"/>
      <w:kern w:val="2"/>
      <w:sz w:val="24"/>
      <w:szCs w:val="20"/>
      <w:lang w:val="en-US" w:bidi="ar-SA"/>
    </w:rPr>
  </w:style>
  <w:style w:type="paragraph" w:customStyle="1" w:styleId="802">
    <w:name w:val="xl1106"/>
    <w:basedOn w:val="1"/>
    <w:qFormat/>
    <w:uiPriority w:val="99"/>
    <w:pPr>
      <w:widowControl/>
      <w:pBdr>
        <w:right w:val="single" w:color="auto" w:sz="4" w:space="0"/>
      </w:pBdr>
      <w:autoSpaceDE/>
      <w:autoSpaceDN/>
      <w:snapToGrid w:val="0"/>
      <w:spacing w:before="100" w:beforeAutospacing="1" w:after="100" w:afterAutospacing="1"/>
      <w:ind w:firstLine="480" w:firstLineChars="200"/>
      <w:jc w:val="center"/>
    </w:pPr>
    <w:rPr>
      <w:rFonts w:ascii="仿宋_GB2312" w:eastAsia="仿宋_GB2312" w:cs="Times New Roman"/>
      <w:color w:val="000000"/>
      <w:sz w:val="20"/>
      <w:szCs w:val="20"/>
      <w:lang w:val="en-US" w:bidi="ar-SA"/>
    </w:rPr>
  </w:style>
  <w:style w:type="character" w:customStyle="1" w:styleId="803">
    <w:name w:val="章1 Char"/>
    <w:link w:val="804"/>
    <w:qFormat/>
    <w:uiPriority w:val="0"/>
    <w:rPr>
      <w:rFonts w:ascii="宋体" w:hAnsi="宋体" w:cs="宋体"/>
      <w:b/>
      <w:sz w:val="28"/>
      <w:szCs w:val="28"/>
    </w:rPr>
  </w:style>
  <w:style w:type="paragraph" w:customStyle="1" w:styleId="804">
    <w:name w:val="章1"/>
    <w:basedOn w:val="1"/>
    <w:next w:val="795"/>
    <w:link w:val="803"/>
    <w:qFormat/>
    <w:uiPriority w:val="0"/>
    <w:pPr>
      <w:autoSpaceDE/>
      <w:autoSpaceDN/>
      <w:snapToGrid w:val="0"/>
      <w:ind w:firstLine="480" w:firstLineChars="200"/>
      <w:jc w:val="both"/>
      <w:outlineLvl w:val="0"/>
    </w:pPr>
    <w:rPr>
      <w:b/>
      <w:sz w:val="28"/>
      <w:szCs w:val="28"/>
      <w:lang w:val="en-US" w:bidi="ar-SA"/>
    </w:rPr>
  </w:style>
  <w:style w:type="paragraph" w:customStyle="1" w:styleId="805">
    <w:name w:val="xl50"/>
    <w:basedOn w:val="1"/>
    <w:qFormat/>
    <w:uiPriority w:val="99"/>
    <w:pPr>
      <w:widowControl/>
      <w:pBdr>
        <w:top w:val="single" w:color="auto" w:sz="4" w:space="0"/>
        <w:bottom w:val="single" w:color="auto" w:sz="4" w:space="0"/>
      </w:pBdr>
      <w:autoSpaceDE/>
      <w:autoSpaceDN/>
      <w:snapToGrid w:val="0"/>
      <w:spacing w:before="100" w:beforeAutospacing="1" w:after="100" w:afterAutospacing="1"/>
      <w:ind w:firstLine="480" w:firstLineChars="200"/>
    </w:pPr>
    <w:rPr>
      <w:rFonts w:ascii="楷体" w:eastAsia="楷体" w:cs="Times New Roman"/>
      <w:color w:val="0000FF"/>
      <w:sz w:val="12"/>
      <w:szCs w:val="12"/>
      <w:lang w:val="en-US" w:bidi="ar-SA"/>
    </w:rPr>
  </w:style>
  <w:style w:type="paragraph" w:customStyle="1" w:styleId="806">
    <w:name w:val="xl38"/>
    <w:basedOn w:val="1"/>
    <w:qFormat/>
    <w:uiPriority w:val="99"/>
    <w:pPr>
      <w:widowControl/>
      <w:pBdr>
        <w:top w:val="single" w:color="auto" w:sz="4" w:space="0"/>
        <w:left w:val="single" w:color="auto" w:sz="4" w:space="0"/>
        <w:right w:val="single" w:color="auto" w:sz="4" w:space="0"/>
      </w:pBdr>
      <w:autoSpaceDE/>
      <w:autoSpaceDN/>
      <w:snapToGrid w:val="0"/>
      <w:spacing w:before="100" w:beforeAutospacing="1" w:after="100" w:afterAutospacing="1"/>
      <w:ind w:firstLine="480" w:firstLineChars="200"/>
      <w:jc w:val="center"/>
    </w:pPr>
    <w:rPr>
      <w:rFonts w:ascii="楷体" w:eastAsia="楷体" w:cs="Times New Roman"/>
      <w:color w:val="0000FF"/>
      <w:sz w:val="12"/>
      <w:szCs w:val="12"/>
      <w:lang w:val="en-US" w:bidi="ar-SA"/>
    </w:rPr>
  </w:style>
  <w:style w:type="character" w:customStyle="1" w:styleId="807">
    <w:name w:val="标题2 Char"/>
    <w:link w:val="808"/>
    <w:qFormat/>
    <w:uiPriority w:val="99"/>
    <w:rPr>
      <w:rFonts w:eastAsia="黑体" w:cs="宋体"/>
      <w:b/>
      <w:bCs/>
      <w:kern w:val="2"/>
      <w:sz w:val="24"/>
      <w:szCs w:val="24"/>
    </w:rPr>
  </w:style>
  <w:style w:type="paragraph" w:customStyle="1" w:styleId="808">
    <w:name w:val="标题2"/>
    <w:basedOn w:val="5"/>
    <w:next w:val="1"/>
    <w:link w:val="807"/>
    <w:qFormat/>
    <w:uiPriority w:val="99"/>
    <w:pPr>
      <w:widowControl/>
      <w:tabs>
        <w:tab w:val="left" w:pos="0"/>
      </w:tabs>
      <w:autoSpaceDE/>
      <w:autoSpaceDN/>
      <w:snapToGrid w:val="0"/>
      <w:spacing w:before="72" w:after="72" w:line="460" w:lineRule="exact"/>
    </w:pPr>
    <w:rPr>
      <w:rFonts w:ascii="Times New Roman" w:hAnsi="Times New Roman" w:eastAsia="黑体"/>
      <w:kern w:val="2"/>
      <w:sz w:val="24"/>
      <w:szCs w:val="24"/>
      <w:lang w:val="en-US" w:bidi="ar-SA"/>
    </w:rPr>
  </w:style>
  <w:style w:type="paragraph" w:customStyle="1" w:styleId="809">
    <w:name w:val="样式 标题 1标题 1 Char + (符号) 黑体 两端对齐 左侧:  0 厘米"/>
    <w:basedOn w:val="4"/>
    <w:semiHidden/>
    <w:qFormat/>
    <w:uiPriority w:val="99"/>
    <w:pPr>
      <w:keepNext/>
      <w:widowControl/>
      <w:autoSpaceDE/>
      <w:autoSpaceDN/>
      <w:adjustRightInd w:val="0"/>
      <w:snapToGrid w:val="0"/>
      <w:spacing w:before="360" w:after="240" w:line="360" w:lineRule="auto"/>
      <w:ind w:left="1275" w:right="0" w:hanging="425"/>
      <w:jc w:val="left"/>
    </w:pPr>
    <w:rPr>
      <w:rFonts w:ascii="黑体" w:hAnsi="黑体" w:eastAsia="黑体"/>
      <w:b w:val="0"/>
      <w:color w:val="000000"/>
      <w:kern w:val="2"/>
      <w:sz w:val="36"/>
      <w:szCs w:val="20"/>
      <w:lang w:val="en-US" w:bidi="ar-SA"/>
    </w:rPr>
  </w:style>
  <w:style w:type="paragraph" w:customStyle="1" w:styleId="810">
    <w:name w:val="Char Char13 Char Char"/>
    <w:basedOn w:val="1"/>
    <w:qFormat/>
    <w:uiPriority w:val="99"/>
    <w:pPr>
      <w:tabs>
        <w:tab w:val="left" w:pos="425"/>
      </w:tabs>
      <w:autoSpaceDE/>
      <w:autoSpaceDN/>
      <w:snapToGrid w:val="0"/>
      <w:spacing w:before="60" w:after="60" w:line="460" w:lineRule="exact"/>
      <w:ind w:firstLine="480" w:firstLineChars="200"/>
      <w:jc w:val="both"/>
    </w:pPr>
    <w:rPr>
      <w:rFonts w:ascii="Times New Roman" w:hAnsi="Times New Roman" w:eastAsia="黑体"/>
      <w:bCs/>
      <w:color w:val="000000"/>
      <w:kern w:val="2"/>
      <w:sz w:val="24"/>
      <w:szCs w:val="24"/>
      <w:lang w:val="en-US" w:bidi="ar-SA"/>
    </w:rPr>
  </w:style>
  <w:style w:type="paragraph" w:customStyle="1" w:styleId="811">
    <w:name w:val="样式 三号 首行缩进:  2 字符"/>
    <w:basedOn w:val="1"/>
    <w:qFormat/>
    <w:uiPriority w:val="99"/>
    <w:pPr>
      <w:autoSpaceDE/>
      <w:autoSpaceDN/>
      <w:snapToGrid w:val="0"/>
      <w:spacing w:line="360" w:lineRule="auto"/>
      <w:ind w:firstLine="640" w:firstLineChars="200"/>
      <w:jc w:val="both"/>
    </w:pPr>
    <w:rPr>
      <w:rFonts w:ascii="Times New Roman" w:hAnsi="Times New Roman"/>
      <w:color w:val="000000"/>
      <w:kern w:val="2"/>
      <w:sz w:val="28"/>
      <w:szCs w:val="20"/>
      <w:lang w:val="en-US" w:bidi="ar-SA"/>
    </w:rPr>
  </w:style>
  <w:style w:type="paragraph" w:customStyle="1" w:styleId="812">
    <w:name w:val="chenzb"/>
    <w:basedOn w:val="4"/>
    <w:qFormat/>
    <w:uiPriority w:val="99"/>
    <w:pPr>
      <w:widowControl/>
      <w:topLinePunct/>
      <w:autoSpaceDE/>
      <w:autoSpaceDN/>
      <w:snapToGrid w:val="0"/>
      <w:spacing w:before="300" w:after="120" w:line="480" w:lineRule="exact"/>
      <w:ind w:left="766" w:right="0" w:hanging="526"/>
    </w:pPr>
    <w:rPr>
      <w:rFonts w:ascii="黑体" w:hAnsi="等线" w:eastAsia="黑体" w:cs="Times New Roman"/>
      <w:bCs w:val="0"/>
      <w:color w:val="000000"/>
      <w:kern w:val="2"/>
      <w:sz w:val="24"/>
      <w:szCs w:val="20"/>
      <w:lang w:val="en-US" w:bidi="ar-SA"/>
    </w:rPr>
  </w:style>
  <w:style w:type="paragraph" w:customStyle="1" w:styleId="813">
    <w:name w:val="正文 New New New New New New New New New New New New New New New New New New"/>
    <w:qFormat/>
    <w:uiPriority w:val="99"/>
    <w:pPr>
      <w:overflowPunct w:val="0"/>
      <w:autoSpaceDE w:val="0"/>
      <w:autoSpaceDN w:val="0"/>
      <w:adjustRightInd w:val="0"/>
      <w:jc w:val="both"/>
    </w:pPr>
    <w:rPr>
      <w:rFonts w:ascii="Times New Roman" w:hAnsi="Times New Roman" w:eastAsia="宋体" w:cs="Times New Roman"/>
      <w:sz w:val="21"/>
      <w:lang w:val="en-US" w:eastAsia="zh-CN" w:bidi="ar-SA"/>
    </w:rPr>
  </w:style>
  <w:style w:type="paragraph" w:customStyle="1" w:styleId="814">
    <w:name w:val="HCH图表备注"/>
    <w:next w:val="263"/>
    <w:qFormat/>
    <w:uiPriority w:val="99"/>
    <w:pPr>
      <w:ind w:firstLine="200" w:firstLineChars="200"/>
    </w:pPr>
    <w:rPr>
      <w:rFonts w:ascii="Times New Roman" w:hAnsi="Times New Roman" w:eastAsia="宋体" w:cs="Times New Roman"/>
      <w:sz w:val="21"/>
      <w:lang w:val="en-US" w:eastAsia="zh-CN" w:bidi="ar-SA"/>
    </w:rPr>
  </w:style>
  <w:style w:type="paragraph" w:customStyle="1" w:styleId="815">
    <w:name w:val="样式5"/>
    <w:basedOn w:val="22"/>
    <w:link w:val="2967"/>
    <w:qFormat/>
    <w:uiPriority w:val="0"/>
    <w:pPr>
      <w:tabs>
        <w:tab w:val="left" w:pos="360"/>
        <w:tab w:val="left" w:pos="560"/>
      </w:tabs>
      <w:autoSpaceDE/>
      <w:autoSpaceDN/>
      <w:snapToGrid w:val="0"/>
      <w:spacing w:before="0" w:line="360" w:lineRule="auto"/>
      <w:ind w:left="284" w:firstLine="100" w:firstLineChars="100"/>
    </w:pPr>
    <w:rPr>
      <w:rFonts w:eastAsia="仿宋_GB2312"/>
      <w:smallCaps/>
      <w:color w:val="000000"/>
      <w:kern w:val="2"/>
      <w:szCs w:val="20"/>
      <w:lang w:val="en-US" w:bidi="ar-SA"/>
    </w:rPr>
  </w:style>
  <w:style w:type="paragraph" w:customStyle="1" w:styleId="816">
    <w:name w:val="xl89"/>
    <w:basedOn w:val="1"/>
    <w:qFormat/>
    <w:uiPriority w:val="99"/>
    <w:pPr>
      <w:widowControl/>
      <w:pBdr>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rFonts w:cs="Times New Roman"/>
      <w:color w:val="000000"/>
      <w:sz w:val="12"/>
      <w:szCs w:val="12"/>
      <w:lang w:val="en-US" w:bidi="ar-SA"/>
    </w:rPr>
  </w:style>
  <w:style w:type="paragraph" w:customStyle="1" w:styleId="817">
    <w:name w:val="技术报告表（图）题"/>
    <w:basedOn w:val="276"/>
    <w:next w:val="276"/>
    <w:qFormat/>
    <w:uiPriority w:val="99"/>
    <w:pPr>
      <w:spacing w:before="60"/>
      <w:ind w:firstLine="0" w:firstLineChars="0"/>
      <w:jc w:val="center"/>
    </w:pPr>
    <w:rPr>
      <w:rFonts w:ascii="宋体" w:hAnsi="宋体" w:eastAsia="黑体"/>
    </w:rPr>
  </w:style>
  <w:style w:type="paragraph" w:customStyle="1" w:styleId="818">
    <w:name w:val="xl1123"/>
    <w:basedOn w:val="1"/>
    <w:qFormat/>
    <w:uiPriority w:val="99"/>
    <w:pPr>
      <w:widowControl/>
      <w:pBdr>
        <w:left w:val="single" w:color="auto" w:sz="4" w:space="0"/>
        <w:right w:val="single" w:color="auto" w:sz="4" w:space="0"/>
      </w:pBdr>
      <w:autoSpaceDE/>
      <w:autoSpaceDN/>
      <w:snapToGrid w:val="0"/>
      <w:spacing w:before="100" w:beforeAutospacing="1" w:after="100" w:afterAutospacing="1"/>
      <w:ind w:firstLine="480" w:firstLineChars="200"/>
      <w:jc w:val="center"/>
    </w:pPr>
    <w:rPr>
      <w:rFonts w:ascii="仿宋_GB2312" w:eastAsia="仿宋_GB2312" w:cs="Times New Roman"/>
      <w:color w:val="000000"/>
      <w:sz w:val="20"/>
      <w:szCs w:val="20"/>
      <w:lang w:val="en-US" w:bidi="ar-SA"/>
    </w:rPr>
  </w:style>
  <w:style w:type="character" w:customStyle="1" w:styleId="819">
    <w:name w:val="ZX-BG Char"/>
    <w:link w:val="820"/>
    <w:qFormat/>
    <w:uiPriority w:val="0"/>
    <w:rPr>
      <w:sz w:val="24"/>
      <w:szCs w:val="24"/>
      <w:lang w:val="zh-CN"/>
    </w:rPr>
  </w:style>
  <w:style w:type="paragraph" w:customStyle="1" w:styleId="820">
    <w:name w:val="ZX-BG"/>
    <w:basedOn w:val="692"/>
    <w:link w:val="819"/>
    <w:qFormat/>
    <w:uiPriority w:val="0"/>
    <w:pPr>
      <w:adjustRightInd w:val="0"/>
      <w:spacing w:line="400" w:lineRule="exact"/>
      <w:ind w:firstLine="0" w:firstLineChars="0"/>
      <w:jc w:val="center"/>
    </w:pPr>
    <w:rPr>
      <w:sz w:val="24"/>
      <w:lang w:val="zh-CN"/>
    </w:rPr>
  </w:style>
  <w:style w:type="paragraph" w:customStyle="1" w:styleId="821">
    <w:name w:val="默认段落字体 Para Char Char Char Char Char Char Char Char Char Char"/>
    <w:basedOn w:val="720"/>
    <w:qFormat/>
    <w:uiPriority w:val="99"/>
  </w:style>
  <w:style w:type="paragraph" w:customStyle="1" w:styleId="822">
    <w:name w:val="xl1130"/>
    <w:basedOn w:val="1"/>
    <w:qFormat/>
    <w:uiPriority w:val="99"/>
    <w:pPr>
      <w:widowControl/>
      <w:pBdr>
        <w:top w:val="single" w:color="auto" w:sz="4" w:space="0"/>
        <w:bottom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character" w:customStyle="1" w:styleId="823">
    <w:name w:val="表号 Char"/>
    <w:link w:val="824"/>
    <w:qFormat/>
    <w:uiPriority w:val="0"/>
    <w:rPr>
      <w:rFonts w:ascii="黑体" w:hAnsi="Calibri" w:eastAsia="黑体"/>
      <w:b/>
      <w:sz w:val="48"/>
      <w:szCs w:val="48"/>
    </w:rPr>
  </w:style>
  <w:style w:type="paragraph" w:customStyle="1" w:styleId="824">
    <w:name w:val="表号"/>
    <w:basedOn w:val="1"/>
    <w:link w:val="823"/>
    <w:qFormat/>
    <w:uiPriority w:val="0"/>
    <w:pPr>
      <w:keepNext/>
      <w:adjustRightInd w:val="0"/>
      <w:snapToGrid w:val="0"/>
      <w:spacing w:line="360" w:lineRule="auto"/>
      <w:ind w:right="-64" w:rightChars="-64" w:firstLine="200" w:firstLineChars="200"/>
      <w:jc w:val="center"/>
      <w:outlineLvl w:val="2"/>
    </w:pPr>
    <w:rPr>
      <w:rFonts w:ascii="黑体" w:hAnsi="Calibri" w:eastAsia="黑体" w:cs="Times New Roman"/>
      <w:b/>
      <w:sz w:val="48"/>
      <w:szCs w:val="48"/>
      <w:lang w:val="en-US" w:bidi="ar-SA"/>
    </w:rPr>
  </w:style>
  <w:style w:type="paragraph" w:customStyle="1" w:styleId="825">
    <w:name w:val="xl69"/>
    <w:basedOn w:val="1"/>
    <w:qFormat/>
    <w:uiPriority w:val="99"/>
    <w:pPr>
      <w:widowControl/>
      <w:pBdr>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ascii="楷体" w:eastAsia="楷体" w:cs="Times New Roman"/>
      <w:color w:val="0000FF"/>
      <w:sz w:val="12"/>
      <w:szCs w:val="12"/>
      <w:lang w:val="en-US" w:bidi="ar-SA"/>
    </w:rPr>
  </w:style>
  <w:style w:type="paragraph" w:customStyle="1" w:styleId="826">
    <w:name w:val="xl127"/>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4"/>
      <w:szCs w:val="24"/>
      <w:lang w:val="en-US" w:bidi="ar-SA"/>
    </w:rPr>
  </w:style>
  <w:style w:type="paragraph" w:customStyle="1" w:styleId="827">
    <w:name w:val="样式 样式 标题 2 + 小四 Char + 段前: 0.5 行"/>
    <w:basedOn w:val="1"/>
    <w:qFormat/>
    <w:uiPriority w:val="99"/>
    <w:pPr>
      <w:keepNext/>
      <w:widowControl/>
      <w:overflowPunct w:val="0"/>
      <w:adjustRightInd w:val="0"/>
      <w:snapToGrid w:val="0"/>
      <w:spacing w:beforeLines="30" w:line="360" w:lineRule="auto"/>
      <w:ind w:firstLine="480" w:firstLineChars="200"/>
      <w:outlineLvl w:val="1"/>
    </w:pPr>
    <w:rPr>
      <w:rFonts w:ascii="Times New Roman" w:hAnsi="Times New Roman" w:eastAsia="黑体" w:cs="Times New Roman"/>
      <w:b/>
      <w:bCs/>
      <w:color w:val="000000"/>
      <w:sz w:val="24"/>
      <w:szCs w:val="20"/>
      <w:lang w:val="en-US" w:bidi="ar-SA"/>
    </w:rPr>
  </w:style>
  <w:style w:type="paragraph" w:customStyle="1" w:styleId="828">
    <w:name w:val="Char2"/>
    <w:basedOn w:val="1"/>
    <w:qFormat/>
    <w:uiPriority w:val="99"/>
    <w:pPr>
      <w:autoSpaceDE/>
      <w:autoSpaceDN/>
      <w:snapToGrid w:val="0"/>
      <w:ind w:firstLine="480" w:firstLineChars="200"/>
      <w:jc w:val="both"/>
    </w:pPr>
    <w:rPr>
      <w:rFonts w:ascii="Times New Roman" w:hAnsi="Times New Roman" w:cs="Times New Roman"/>
      <w:color w:val="000000"/>
      <w:kern w:val="2"/>
      <w:sz w:val="21"/>
      <w:szCs w:val="24"/>
      <w:lang w:val="en-US" w:bidi="ar-SA"/>
    </w:rPr>
  </w:style>
  <w:style w:type="character" w:customStyle="1" w:styleId="829">
    <w:name w:val="文本框 Char"/>
    <w:link w:val="830"/>
    <w:semiHidden/>
    <w:qFormat/>
    <w:uiPriority w:val="0"/>
    <w:rPr>
      <w:rFonts w:ascii="宋体" w:hAnsi="宋体"/>
      <w:color w:val="000000"/>
      <w:position w:val="-4"/>
      <w:sz w:val="24"/>
      <w:szCs w:val="24"/>
    </w:rPr>
  </w:style>
  <w:style w:type="paragraph" w:customStyle="1" w:styleId="830">
    <w:name w:val="文本框"/>
    <w:basedOn w:val="1"/>
    <w:link w:val="829"/>
    <w:semiHidden/>
    <w:qFormat/>
    <w:uiPriority w:val="0"/>
    <w:pPr>
      <w:tabs>
        <w:tab w:val="left" w:pos="1800"/>
        <w:tab w:val="left" w:pos="3960"/>
      </w:tabs>
      <w:autoSpaceDE/>
      <w:autoSpaceDN/>
      <w:adjustRightInd w:val="0"/>
      <w:snapToGrid w:val="0"/>
      <w:spacing w:before="120" w:after="120"/>
      <w:ind w:firstLine="480" w:firstLineChars="200"/>
      <w:jc w:val="center"/>
    </w:pPr>
    <w:rPr>
      <w:rFonts w:cs="Times New Roman"/>
      <w:color w:val="000000"/>
      <w:position w:val="-4"/>
      <w:sz w:val="24"/>
      <w:szCs w:val="24"/>
      <w:lang w:val="en-US" w:bidi="ar-SA"/>
    </w:rPr>
  </w:style>
  <w:style w:type="paragraph" w:customStyle="1" w:styleId="831">
    <w:name w:val="标题 21"/>
    <w:basedOn w:val="1"/>
    <w:next w:val="1"/>
    <w:qFormat/>
    <w:uiPriority w:val="9"/>
    <w:pPr>
      <w:keepNext/>
      <w:keepLines/>
      <w:autoSpaceDE/>
      <w:autoSpaceDN/>
      <w:snapToGrid w:val="0"/>
      <w:spacing w:before="120" w:after="60" w:line="460" w:lineRule="exact"/>
      <w:ind w:firstLine="480" w:firstLineChars="200"/>
      <w:jc w:val="both"/>
      <w:outlineLvl w:val="1"/>
    </w:pPr>
    <w:rPr>
      <w:rFonts w:ascii="Times New Roman" w:hAnsi="Times New Roman" w:eastAsia="黑体" w:cs="Times New Roman"/>
      <w:bCs/>
      <w:color w:val="000000"/>
      <w:kern w:val="2"/>
      <w:sz w:val="28"/>
      <w:szCs w:val="32"/>
      <w:lang w:val="en-US" w:bidi="ar-SA"/>
    </w:rPr>
  </w:style>
  <w:style w:type="paragraph" w:customStyle="1" w:styleId="832">
    <w:name w:val="hch"/>
    <w:basedOn w:val="1"/>
    <w:qFormat/>
    <w:uiPriority w:val="99"/>
    <w:pPr>
      <w:widowControl/>
      <w:autoSpaceDE/>
      <w:autoSpaceDN/>
      <w:snapToGrid w:val="0"/>
      <w:spacing w:line="500" w:lineRule="atLeast"/>
      <w:ind w:firstLine="480" w:firstLineChars="200"/>
    </w:pPr>
    <w:rPr>
      <w:rFonts w:ascii="Times New Roman" w:hAnsi="Times New Roman" w:cs="Times New Roman"/>
      <w:color w:val="000000"/>
      <w:sz w:val="24"/>
      <w:szCs w:val="24"/>
      <w:lang w:val="en-US" w:bidi="ar-SA"/>
    </w:rPr>
  </w:style>
  <w:style w:type="paragraph" w:customStyle="1" w:styleId="833">
    <w:name w:val="TOC 52"/>
    <w:basedOn w:val="1"/>
    <w:next w:val="1"/>
    <w:qFormat/>
    <w:uiPriority w:val="39"/>
    <w:pPr>
      <w:autoSpaceDE/>
      <w:autoSpaceDN/>
      <w:snapToGrid w:val="0"/>
      <w:ind w:left="1680" w:leftChars="800" w:firstLine="480" w:firstLineChars="200"/>
      <w:jc w:val="both"/>
    </w:pPr>
    <w:rPr>
      <w:rFonts w:ascii="等线" w:hAnsi="等线" w:eastAsia="等线" w:cs="Times New Roman"/>
      <w:color w:val="000000"/>
      <w:kern w:val="2"/>
      <w:sz w:val="21"/>
      <w:lang w:val="en-US" w:bidi="ar-SA"/>
    </w:rPr>
  </w:style>
  <w:style w:type="paragraph" w:customStyle="1" w:styleId="834">
    <w:name w:val="1.1.1项目标题"/>
    <w:basedOn w:val="508"/>
    <w:next w:val="508"/>
    <w:qFormat/>
    <w:uiPriority w:val="99"/>
    <w:pPr>
      <w:numPr>
        <w:ilvl w:val="0"/>
        <w:numId w:val="6"/>
      </w:numPr>
      <w:jc w:val="both"/>
    </w:pPr>
  </w:style>
  <w:style w:type="paragraph" w:customStyle="1" w:styleId="835">
    <w:name w:val="chenzb标题2"/>
    <w:basedOn w:val="5"/>
    <w:qFormat/>
    <w:uiPriority w:val="99"/>
    <w:pPr>
      <w:widowControl/>
      <w:tabs>
        <w:tab w:val="left" w:pos="0"/>
      </w:tabs>
      <w:autoSpaceDE/>
      <w:autoSpaceDN/>
      <w:snapToGrid w:val="0"/>
      <w:spacing w:before="260" w:after="260" w:line="415" w:lineRule="auto"/>
    </w:pPr>
    <w:rPr>
      <w:rFonts w:ascii="Arial" w:hAnsi="Arial" w:eastAsia="黑体" w:cs="Times New Roman"/>
      <w:sz w:val="24"/>
      <w:szCs w:val="32"/>
      <w:lang w:val="en-US" w:bidi="ar-SA"/>
    </w:rPr>
  </w:style>
  <w:style w:type="paragraph" w:customStyle="1" w:styleId="836">
    <w:name w:val="xl142"/>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color w:val="000000"/>
      <w:sz w:val="24"/>
      <w:szCs w:val="24"/>
      <w:lang w:val="en-US" w:bidi="ar-SA"/>
    </w:rPr>
  </w:style>
  <w:style w:type="paragraph" w:customStyle="1" w:styleId="837">
    <w:name w:val="xl43"/>
    <w:basedOn w:val="1"/>
    <w:qFormat/>
    <w:uiPriority w:val="99"/>
    <w:pPr>
      <w:widowControl/>
      <w:pBdr>
        <w:top w:val="single" w:color="auto" w:sz="4" w:space="0"/>
        <w:bottom w:val="single" w:color="auto" w:sz="4" w:space="0"/>
      </w:pBdr>
      <w:autoSpaceDE/>
      <w:autoSpaceDN/>
      <w:snapToGrid w:val="0"/>
      <w:spacing w:before="100" w:beforeAutospacing="1" w:after="100" w:afterAutospacing="1"/>
      <w:ind w:firstLine="480" w:firstLineChars="200"/>
      <w:jc w:val="center"/>
    </w:pPr>
    <w:rPr>
      <w:rFonts w:cs="Times New Roman"/>
      <w:color w:val="0000FF"/>
      <w:sz w:val="12"/>
      <w:szCs w:val="12"/>
      <w:lang w:val="en-US" w:bidi="ar-SA"/>
    </w:rPr>
  </w:style>
  <w:style w:type="paragraph" w:customStyle="1" w:styleId="838">
    <w:name w:val="xl130"/>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4"/>
      <w:szCs w:val="24"/>
      <w:lang w:val="en-US" w:bidi="ar-SA"/>
    </w:rPr>
  </w:style>
  <w:style w:type="paragraph" w:customStyle="1" w:styleId="839">
    <w:name w:val="HCH目录2"/>
    <w:next w:val="263"/>
    <w:qFormat/>
    <w:uiPriority w:val="99"/>
    <w:pPr>
      <w:tabs>
        <w:tab w:val="left" w:pos="1050"/>
        <w:tab w:val="right" w:leader="dot" w:pos="8296"/>
      </w:tabs>
      <w:spacing w:line="300" w:lineRule="auto"/>
      <w:ind w:left="100" w:leftChars="100"/>
    </w:pPr>
    <w:rPr>
      <w:rFonts w:ascii="Times New Roman" w:hAnsi="Times New Roman" w:eastAsia="宋体" w:cs="Times New Roman"/>
      <w:kern w:val="2"/>
      <w:sz w:val="24"/>
      <w:lang w:val="en-US" w:eastAsia="zh-CN" w:bidi="ar-SA"/>
    </w:rPr>
  </w:style>
  <w:style w:type="paragraph" w:customStyle="1" w:styleId="840">
    <w:name w:val="正文  行距: 1.5 倍行距 首行缩进:  2 字符"/>
    <w:basedOn w:val="1"/>
    <w:qFormat/>
    <w:uiPriority w:val="99"/>
    <w:pPr>
      <w:wordWrap w:val="0"/>
      <w:autoSpaceDE/>
      <w:autoSpaceDN/>
      <w:snapToGrid w:val="0"/>
      <w:spacing w:line="360" w:lineRule="auto"/>
      <w:ind w:firstLine="480" w:firstLineChars="200"/>
    </w:pPr>
    <w:rPr>
      <w:rFonts w:ascii="Times New Roman" w:hAnsi="Times New Roman" w:cs="Times New Roman"/>
      <w:color w:val="000000"/>
      <w:kern w:val="2"/>
      <w:sz w:val="24"/>
      <w:szCs w:val="24"/>
      <w:lang w:val="en-US" w:bidi="ar-SA"/>
    </w:rPr>
  </w:style>
  <w:style w:type="paragraph" w:customStyle="1" w:styleId="841">
    <w:name w:val="xl85"/>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cs="Times New Roman"/>
      <w:color w:val="000000"/>
      <w:sz w:val="12"/>
      <w:szCs w:val="12"/>
      <w:lang w:val="en-US" w:bidi="ar-SA"/>
    </w:rPr>
  </w:style>
  <w:style w:type="paragraph" w:customStyle="1" w:styleId="842">
    <w:name w:val="++正文"/>
    <w:basedOn w:val="1"/>
    <w:qFormat/>
    <w:uiPriority w:val="99"/>
    <w:pPr>
      <w:autoSpaceDE/>
      <w:autoSpaceDN/>
      <w:spacing w:line="360" w:lineRule="auto"/>
      <w:ind w:firstLine="480" w:firstLineChars="200"/>
    </w:pPr>
    <w:rPr>
      <w:rFonts w:ascii="Times New Roman" w:hAnsi="Times New Roman" w:cs="Times New Roman"/>
      <w:color w:val="000000"/>
      <w:kern w:val="2"/>
      <w:sz w:val="24"/>
      <w:szCs w:val="28"/>
      <w:lang w:val="en-US" w:bidi="ar-SA"/>
    </w:rPr>
  </w:style>
  <w:style w:type="paragraph" w:customStyle="1" w:styleId="843">
    <w:name w:val="xl128"/>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4"/>
      <w:szCs w:val="24"/>
      <w:lang w:val="en-US" w:bidi="ar-SA"/>
    </w:rPr>
  </w:style>
  <w:style w:type="paragraph" w:customStyle="1" w:styleId="844">
    <w:name w:val="xl41"/>
    <w:basedOn w:val="1"/>
    <w:qFormat/>
    <w:uiPriority w:val="99"/>
    <w:pPr>
      <w:widowControl/>
      <w:pBdr>
        <w:top w:val="single" w:color="auto" w:sz="4" w:space="0"/>
        <w:left w:val="single" w:color="auto" w:sz="4" w:space="0"/>
        <w:right w:val="single" w:color="auto" w:sz="4" w:space="0"/>
      </w:pBdr>
      <w:autoSpaceDE/>
      <w:autoSpaceDN/>
      <w:snapToGrid w:val="0"/>
      <w:spacing w:before="100" w:beforeAutospacing="1" w:after="100" w:afterAutospacing="1"/>
      <w:ind w:firstLine="480" w:firstLineChars="200"/>
    </w:pPr>
    <w:rPr>
      <w:rFonts w:ascii="楷体" w:eastAsia="楷体" w:cs="Times New Roman"/>
      <w:color w:val="0000FF"/>
      <w:sz w:val="12"/>
      <w:szCs w:val="12"/>
      <w:lang w:val="en-US" w:bidi="ar-SA"/>
    </w:rPr>
  </w:style>
  <w:style w:type="character" w:customStyle="1" w:styleId="845">
    <w:name w:val="报告书正文 Char"/>
    <w:link w:val="846"/>
    <w:qFormat/>
    <w:uiPriority w:val="99"/>
    <w:rPr>
      <w:sz w:val="24"/>
    </w:rPr>
  </w:style>
  <w:style w:type="paragraph" w:customStyle="1" w:styleId="846">
    <w:name w:val="报告书正文"/>
    <w:basedOn w:val="1"/>
    <w:link w:val="845"/>
    <w:qFormat/>
    <w:uiPriority w:val="99"/>
    <w:pPr>
      <w:adjustRightInd w:val="0"/>
      <w:snapToGrid w:val="0"/>
      <w:spacing w:line="460" w:lineRule="exact"/>
      <w:ind w:firstLine="200" w:firstLineChars="200"/>
    </w:pPr>
    <w:rPr>
      <w:rFonts w:ascii="Times New Roman" w:hAnsi="Times New Roman" w:cs="Times New Roman"/>
      <w:sz w:val="24"/>
      <w:szCs w:val="20"/>
      <w:lang w:val="en-US" w:bidi="ar-SA"/>
    </w:rPr>
  </w:style>
  <w:style w:type="paragraph" w:customStyle="1" w:styleId="847">
    <w:name w:val="正文 New New New New New New New New New New New New"/>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848">
    <w:name w:val="xl1115"/>
    <w:basedOn w:val="1"/>
    <w:qFormat/>
    <w:uiPriority w:val="99"/>
    <w:pPr>
      <w:widowControl/>
      <w:pBdr>
        <w:top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849">
    <w:name w:val="样式 标题 1标题 1 Char + 两端对齐2"/>
    <w:basedOn w:val="4"/>
    <w:semiHidden/>
    <w:qFormat/>
    <w:uiPriority w:val="99"/>
    <w:pPr>
      <w:keepNext/>
      <w:widowControl/>
      <w:tabs>
        <w:tab w:val="left" w:pos="2070"/>
      </w:tabs>
      <w:autoSpaceDE/>
      <w:autoSpaceDN/>
      <w:adjustRightInd w:val="0"/>
      <w:snapToGrid w:val="0"/>
      <w:spacing w:before="360" w:after="240" w:line="360" w:lineRule="auto"/>
      <w:ind w:left="2070" w:right="0" w:hanging="510"/>
    </w:pPr>
    <w:rPr>
      <w:rFonts w:hAnsi="Times New Roman" w:eastAsia="黑体"/>
      <w:b w:val="0"/>
      <w:color w:val="000000"/>
      <w:kern w:val="2"/>
      <w:sz w:val="36"/>
      <w:szCs w:val="36"/>
      <w:lang w:val="en-US" w:bidi="ar-SA"/>
    </w:rPr>
  </w:style>
  <w:style w:type="character" w:customStyle="1" w:styleId="850">
    <w:name w:val="ZX-1级 Char"/>
    <w:link w:val="851"/>
    <w:qFormat/>
    <w:uiPriority w:val="0"/>
    <w:rPr>
      <w:rFonts w:ascii="黑体" w:hAnsi="黑体" w:eastAsia="黑体"/>
      <w:sz w:val="32"/>
      <w:szCs w:val="24"/>
    </w:rPr>
  </w:style>
  <w:style w:type="paragraph" w:customStyle="1" w:styleId="851">
    <w:name w:val="ZX-1级"/>
    <w:basedOn w:val="1"/>
    <w:link w:val="850"/>
    <w:qFormat/>
    <w:uiPriority w:val="0"/>
    <w:pPr>
      <w:autoSpaceDE/>
      <w:autoSpaceDN/>
      <w:snapToGrid w:val="0"/>
      <w:spacing w:beforeLines="100" w:line="360" w:lineRule="auto"/>
      <w:ind w:firstLine="480" w:firstLineChars="200"/>
      <w:jc w:val="both"/>
      <w:outlineLvl w:val="0"/>
    </w:pPr>
    <w:rPr>
      <w:rFonts w:ascii="黑体" w:hAnsi="黑体" w:eastAsia="黑体" w:cs="Times New Roman"/>
      <w:sz w:val="32"/>
      <w:szCs w:val="24"/>
      <w:lang w:val="en-US" w:bidi="ar-SA"/>
    </w:rPr>
  </w:style>
  <w:style w:type="paragraph" w:customStyle="1" w:styleId="852">
    <w:name w:val="样式 标题 2标题2节第一章 标题 2Heading 2 HiddenHeading 2 CCBSheading 2..."/>
    <w:basedOn w:val="5"/>
    <w:qFormat/>
    <w:uiPriority w:val="99"/>
    <w:pPr>
      <w:widowControl/>
      <w:tabs>
        <w:tab w:val="left" w:pos="0"/>
      </w:tabs>
      <w:autoSpaceDE/>
      <w:autoSpaceDN/>
      <w:adjustRightInd w:val="0"/>
      <w:snapToGrid w:val="0"/>
      <w:spacing w:before="72" w:after="72" w:line="480" w:lineRule="exact"/>
    </w:pPr>
    <w:rPr>
      <w:rFonts w:ascii="Times New Roman" w:hAnsi="Times New Roman" w:eastAsia="黑体"/>
      <w:b w:val="0"/>
      <w:bCs w:val="0"/>
      <w:sz w:val="28"/>
      <w:szCs w:val="32"/>
      <w:lang w:val="en-US" w:bidi="ar-SA"/>
    </w:rPr>
  </w:style>
  <w:style w:type="character" w:customStyle="1" w:styleId="853">
    <w:name w:val="图名、表名 字符"/>
    <w:link w:val="854"/>
    <w:qFormat/>
    <w:uiPriority w:val="1"/>
    <w:rPr>
      <w:rFonts w:ascii="黑体" w:hAnsi="黑体" w:eastAsia="黑体"/>
      <w:w w:val="110"/>
      <w:sz w:val="24"/>
      <w:szCs w:val="24"/>
    </w:rPr>
  </w:style>
  <w:style w:type="paragraph" w:customStyle="1" w:styleId="854">
    <w:name w:val="图名、表名"/>
    <w:basedOn w:val="2"/>
    <w:link w:val="853"/>
    <w:qFormat/>
    <w:uiPriority w:val="1"/>
    <w:pPr>
      <w:tabs>
        <w:tab w:val="left" w:pos="4058"/>
      </w:tabs>
      <w:autoSpaceDE/>
      <w:autoSpaceDN/>
      <w:snapToGrid w:val="0"/>
      <w:spacing w:before="0" w:beforeLines="50" w:afterLines="50"/>
      <w:ind w:left="0" w:firstLine="480" w:firstLineChars="200"/>
      <w:jc w:val="center"/>
    </w:pPr>
    <w:rPr>
      <w:rFonts w:ascii="黑体" w:hAnsi="黑体" w:eastAsia="黑体" w:cs="Times New Roman"/>
      <w:w w:val="110"/>
      <w:lang w:val="en-US" w:bidi="ar-SA"/>
    </w:rPr>
  </w:style>
  <w:style w:type="paragraph" w:customStyle="1" w:styleId="855">
    <w:name w:val="样式 目录 2 + 左侧:  2 字符"/>
    <w:semiHidden/>
    <w:qFormat/>
    <w:uiPriority w:val="99"/>
    <w:pPr>
      <w:adjustRightInd w:val="0"/>
      <w:snapToGrid w:val="0"/>
      <w:ind w:left="561"/>
    </w:pPr>
    <w:rPr>
      <w:rFonts w:ascii="宋体" w:hAnsi="宋体" w:eastAsia="宋体" w:cs="宋体"/>
      <w:color w:val="000000"/>
      <w:kern w:val="2"/>
      <w:sz w:val="28"/>
      <w:szCs w:val="24"/>
      <w:lang w:val="en-US" w:eastAsia="zh-CN" w:bidi="ar-SA"/>
    </w:rPr>
  </w:style>
  <w:style w:type="character" w:customStyle="1" w:styleId="856">
    <w:name w:val="二室正文宋 Char"/>
    <w:link w:val="857"/>
    <w:qFormat/>
    <w:uiPriority w:val="0"/>
    <w:rPr>
      <w:kern w:val="2"/>
      <w:sz w:val="28"/>
    </w:rPr>
  </w:style>
  <w:style w:type="paragraph" w:customStyle="1" w:styleId="857">
    <w:name w:val="二室正文宋"/>
    <w:basedOn w:val="1"/>
    <w:link w:val="856"/>
    <w:qFormat/>
    <w:uiPriority w:val="0"/>
    <w:pPr>
      <w:autoSpaceDE/>
      <w:autoSpaceDN/>
      <w:snapToGrid w:val="0"/>
      <w:spacing w:line="360" w:lineRule="auto"/>
      <w:ind w:firstLine="480" w:firstLineChars="200"/>
    </w:pPr>
    <w:rPr>
      <w:rFonts w:ascii="Times New Roman" w:hAnsi="Times New Roman" w:cs="Times New Roman"/>
      <w:kern w:val="2"/>
      <w:sz w:val="28"/>
      <w:szCs w:val="20"/>
      <w:lang w:val="en-US" w:bidi="ar-SA"/>
    </w:rPr>
  </w:style>
  <w:style w:type="paragraph" w:customStyle="1" w:styleId="858">
    <w:name w:val="单倍"/>
    <w:basedOn w:val="85"/>
    <w:qFormat/>
    <w:uiPriority w:val="99"/>
    <w:pPr>
      <w:spacing w:before="0" w:after="0" w:line="240" w:lineRule="auto"/>
      <w:outlineLvl w:val="9"/>
    </w:pPr>
    <w:rPr>
      <w:rFonts w:ascii="Times New Roman" w:hAnsi="Times New Roman" w:eastAsia="宋体"/>
      <w:b w:val="0"/>
      <w:bCs/>
      <w:kern w:val="0"/>
      <w:sz w:val="21"/>
      <w:lang w:val="zh-CN"/>
    </w:rPr>
  </w:style>
  <w:style w:type="paragraph" w:customStyle="1" w:styleId="859">
    <w:name w:val="样式 样式 样式 标题 3 + 首行缩进:  2 字符 + 首行缩进:  0.99 厘米 段前: 0.5 行 段后: 0.5 行..."/>
    <w:basedOn w:val="1"/>
    <w:qFormat/>
    <w:uiPriority w:val="99"/>
    <w:pPr>
      <w:keepNext/>
      <w:keepLines/>
      <w:autoSpaceDE/>
      <w:autoSpaceDN/>
      <w:snapToGrid w:val="0"/>
      <w:spacing w:beforeLines="50" w:afterLines="50"/>
      <w:ind w:firstLine="480" w:firstLineChars="200"/>
      <w:outlineLvl w:val="2"/>
    </w:pPr>
    <w:rPr>
      <w:rFonts w:ascii="Times New Roman" w:hAnsi="Times New Roman"/>
      <w:b/>
      <w:bCs/>
      <w:color w:val="000000"/>
      <w:kern w:val="2"/>
      <w:sz w:val="28"/>
      <w:szCs w:val="20"/>
      <w:lang w:val="en-US" w:bidi="ar-SA"/>
    </w:rPr>
  </w:style>
  <w:style w:type="character" w:customStyle="1" w:styleId="860">
    <w:name w:val="a) Char"/>
    <w:link w:val="861"/>
    <w:qFormat/>
    <w:uiPriority w:val="0"/>
    <w:rPr>
      <w:sz w:val="24"/>
    </w:rPr>
  </w:style>
  <w:style w:type="paragraph" w:customStyle="1" w:styleId="861">
    <w:name w:val="a)"/>
    <w:basedOn w:val="1"/>
    <w:link w:val="860"/>
    <w:qFormat/>
    <w:uiPriority w:val="0"/>
    <w:pPr>
      <w:autoSpaceDE/>
      <w:autoSpaceDN/>
      <w:snapToGrid w:val="0"/>
      <w:spacing w:line="460" w:lineRule="exact"/>
      <w:ind w:firstLine="200" w:firstLineChars="200"/>
      <w:jc w:val="both"/>
    </w:pPr>
    <w:rPr>
      <w:rFonts w:ascii="Times New Roman" w:hAnsi="Times New Roman" w:cs="Times New Roman"/>
      <w:sz w:val="24"/>
      <w:szCs w:val="20"/>
      <w:lang w:val="en-US" w:bidi="ar-SA"/>
    </w:rPr>
  </w:style>
  <w:style w:type="paragraph" w:customStyle="1" w:styleId="862">
    <w:name w:val="xl35"/>
    <w:basedOn w:val="1"/>
    <w:qFormat/>
    <w:uiPriority w:val="99"/>
    <w:pPr>
      <w:widowControl/>
      <w:autoSpaceDE/>
      <w:autoSpaceDN/>
      <w:snapToGrid w:val="0"/>
      <w:spacing w:before="100" w:beforeAutospacing="1" w:after="100" w:afterAutospacing="1"/>
      <w:ind w:firstLine="480" w:firstLineChars="200"/>
    </w:pPr>
    <w:rPr>
      <w:rFonts w:ascii="Times New Roman" w:hAnsi="Times New Roman" w:cs="Times New Roman"/>
      <w:b/>
      <w:bCs/>
      <w:color w:val="000000"/>
      <w:sz w:val="24"/>
      <w:szCs w:val="24"/>
      <w:lang w:val="en-US" w:bidi="ar-SA"/>
    </w:rPr>
  </w:style>
  <w:style w:type="paragraph" w:customStyle="1" w:styleId="863">
    <w:name w:val="p20"/>
    <w:basedOn w:val="1"/>
    <w:qFormat/>
    <w:uiPriority w:val="99"/>
    <w:pPr>
      <w:widowControl/>
      <w:autoSpaceDE/>
      <w:autoSpaceDN/>
      <w:snapToGrid w:val="0"/>
      <w:ind w:firstLine="480" w:firstLineChars="200"/>
      <w:jc w:val="both"/>
    </w:pPr>
    <w:rPr>
      <w:color w:val="000000"/>
      <w:sz w:val="21"/>
      <w:szCs w:val="21"/>
      <w:lang w:val="en-US" w:bidi="ar-SA"/>
    </w:rPr>
  </w:style>
  <w:style w:type="paragraph" w:customStyle="1" w:styleId="864">
    <w:name w:val="ZX-表格"/>
    <w:basedOn w:val="692"/>
    <w:qFormat/>
    <w:uiPriority w:val="99"/>
    <w:pPr>
      <w:adjustRightInd w:val="0"/>
      <w:spacing w:beforeLines="20" w:line="400" w:lineRule="exact"/>
      <w:ind w:firstLine="0" w:firstLineChars="0"/>
      <w:jc w:val="center"/>
    </w:pPr>
    <w:rPr>
      <w:sz w:val="24"/>
    </w:rPr>
  </w:style>
  <w:style w:type="character" w:customStyle="1" w:styleId="865">
    <w:name w:val="小表文居中 Char"/>
    <w:link w:val="866"/>
    <w:qFormat/>
    <w:uiPriority w:val="0"/>
    <w:rPr>
      <w:sz w:val="18"/>
    </w:rPr>
  </w:style>
  <w:style w:type="paragraph" w:customStyle="1" w:styleId="866">
    <w:name w:val="小表文居中"/>
    <w:basedOn w:val="1"/>
    <w:link w:val="865"/>
    <w:qFormat/>
    <w:uiPriority w:val="0"/>
    <w:pPr>
      <w:adjustRightInd w:val="0"/>
      <w:snapToGrid w:val="0"/>
      <w:spacing w:before="20"/>
      <w:ind w:firstLine="480" w:firstLineChars="200"/>
      <w:jc w:val="center"/>
    </w:pPr>
    <w:rPr>
      <w:rFonts w:ascii="Times New Roman" w:hAnsi="Times New Roman" w:cs="Times New Roman"/>
      <w:sz w:val="18"/>
      <w:szCs w:val="20"/>
      <w:lang w:val="en-US" w:bidi="ar-SA"/>
    </w:rPr>
  </w:style>
  <w:style w:type="paragraph" w:customStyle="1" w:styleId="867">
    <w:name w:val="Tabletext"/>
    <w:basedOn w:val="1"/>
    <w:qFormat/>
    <w:uiPriority w:val="99"/>
    <w:pPr>
      <w:keepLines/>
      <w:autoSpaceDE/>
      <w:autoSpaceDN/>
      <w:snapToGrid w:val="0"/>
      <w:spacing w:after="120" w:line="240" w:lineRule="atLeast"/>
      <w:ind w:firstLine="480" w:firstLineChars="200"/>
    </w:pPr>
    <w:rPr>
      <w:rFonts w:hAnsi="Calibri" w:cs="Times New Roman"/>
      <w:color w:val="000000"/>
      <w:sz w:val="20"/>
      <w:szCs w:val="20"/>
      <w:lang w:val="en-US" w:bidi="ar-SA"/>
    </w:rPr>
  </w:style>
  <w:style w:type="paragraph" w:customStyle="1" w:styleId="868">
    <w:name w:val="Char Char2 Char Char Char Char1"/>
    <w:basedOn w:val="1"/>
    <w:qFormat/>
    <w:uiPriority w:val="99"/>
    <w:pPr>
      <w:autoSpaceDE/>
      <w:autoSpaceDN/>
      <w:snapToGrid w:val="0"/>
      <w:ind w:firstLine="480" w:firstLineChars="200"/>
      <w:jc w:val="both"/>
    </w:pPr>
    <w:rPr>
      <w:rFonts w:ascii="Times New Roman" w:hAnsi="Times New Roman" w:cs="Times New Roman"/>
      <w:color w:val="000000"/>
      <w:kern w:val="2"/>
      <w:sz w:val="21"/>
      <w:szCs w:val="21"/>
      <w:lang w:val="en-US" w:bidi="ar-SA"/>
    </w:rPr>
  </w:style>
  <w:style w:type="paragraph" w:customStyle="1" w:styleId="869">
    <w:name w:val="HCH标题5"/>
    <w:next w:val="1"/>
    <w:qFormat/>
    <w:uiPriority w:val="99"/>
    <w:pPr>
      <w:spacing w:line="500" w:lineRule="exact"/>
      <w:ind w:left="992" w:hanging="992"/>
      <w:outlineLvl w:val="4"/>
    </w:pPr>
    <w:rPr>
      <w:rFonts w:ascii="Times New Roman" w:hAnsi="Times New Roman" w:eastAsia="宋体" w:cs="Times New Roman"/>
      <w:kern w:val="2"/>
      <w:sz w:val="24"/>
      <w:szCs w:val="24"/>
      <w:lang w:val="en-US" w:eastAsia="zh-CN" w:bidi="ar-SA"/>
    </w:rPr>
  </w:style>
  <w:style w:type="paragraph" w:customStyle="1" w:styleId="870">
    <w:name w:val="B目小四黑四"/>
    <w:basedOn w:val="1"/>
    <w:next w:val="1"/>
    <w:qFormat/>
    <w:uiPriority w:val="99"/>
    <w:pPr>
      <w:snapToGrid w:val="0"/>
      <w:spacing w:line="500" w:lineRule="exact"/>
      <w:ind w:firstLine="480" w:firstLineChars="200"/>
    </w:pPr>
    <w:rPr>
      <w:rFonts w:ascii="Times New Roman" w:hAnsi="Times New Roman" w:eastAsia="黑体" w:cs="Times New Roman"/>
      <w:color w:val="000000"/>
      <w:kern w:val="2"/>
      <w:sz w:val="24"/>
      <w:szCs w:val="20"/>
      <w:lang w:val="en-US" w:bidi="ar-SA"/>
    </w:rPr>
  </w:style>
  <w:style w:type="paragraph" w:customStyle="1" w:styleId="871">
    <w:name w:val="陈竹包表名"/>
    <w:basedOn w:val="1"/>
    <w:next w:val="1"/>
    <w:qFormat/>
    <w:uiPriority w:val="99"/>
    <w:pPr>
      <w:autoSpaceDE/>
      <w:autoSpaceDN/>
      <w:snapToGrid w:val="0"/>
      <w:spacing w:line="460" w:lineRule="exact"/>
      <w:ind w:firstLine="480" w:firstLineChars="200"/>
      <w:jc w:val="center"/>
    </w:pPr>
    <w:rPr>
      <w:rFonts w:ascii="Times New Roman" w:hAnsi="Times New Roman" w:eastAsia="黑体" w:cs="Times New Roman"/>
      <w:color w:val="000000"/>
      <w:kern w:val="2"/>
      <w:sz w:val="24"/>
      <w:szCs w:val="24"/>
      <w:lang w:val="en-US" w:bidi="ar-SA"/>
    </w:rPr>
  </w:style>
  <w:style w:type="paragraph" w:customStyle="1" w:styleId="872">
    <w:name w:val="表头文字"/>
    <w:basedOn w:val="1"/>
    <w:qFormat/>
    <w:uiPriority w:val="99"/>
    <w:pPr>
      <w:autoSpaceDE/>
      <w:autoSpaceDN/>
      <w:adjustRightInd w:val="0"/>
      <w:snapToGrid w:val="0"/>
      <w:spacing w:line="312" w:lineRule="auto"/>
      <w:ind w:firstLine="480" w:firstLineChars="200"/>
      <w:jc w:val="center"/>
    </w:pPr>
    <w:rPr>
      <w:rFonts w:ascii="Times New Roman" w:hAnsi="Times New Roman" w:cs="Times New Roman"/>
      <w:color w:val="000000"/>
      <w:kern w:val="2"/>
      <w:sz w:val="24"/>
      <w:szCs w:val="20"/>
      <w:lang w:val="en-US" w:bidi="ar-SA"/>
    </w:rPr>
  </w:style>
  <w:style w:type="paragraph" w:customStyle="1" w:styleId="873">
    <w:name w:val="Enclosure"/>
    <w:basedOn w:val="2"/>
    <w:next w:val="1"/>
    <w:qFormat/>
    <w:uiPriority w:val="99"/>
    <w:pPr>
      <w:keepNext/>
      <w:keepLines/>
      <w:widowControl/>
      <w:tabs>
        <w:tab w:val="left" w:pos="0"/>
      </w:tabs>
      <w:autoSpaceDE/>
      <w:autoSpaceDN/>
      <w:snapToGrid w:val="0"/>
      <w:spacing w:before="220" w:after="240" w:line="240" w:lineRule="atLeast"/>
      <w:ind w:left="0" w:right="-64" w:rightChars="-64" w:firstLine="200" w:firstLineChars="200"/>
      <w:jc w:val="both"/>
    </w:pPr>
    <w:rPr>
      <w:rFonts w:ascii="Garamond" w:hAnsi="Garamond" w:cs="Times New Roman"/>
      <w:sz w:val="22"/>
      <w:szCs w:val="22"/>
      <w:lang w:val="en-US" w:bidi="ar-SA"/>
    </w:rPr>
  </w:style>
  <w:style w:type="paragraph" w:customStyle="1" w:styleId="874">
    <w:name w:val="xl73"/>
    <w:basedOn w:val="1"/>
    <w:qFormat/>
    <w:uiPriority w:val="99"/>
    <w:pPr>
      <w:widowControl/>
      <w:pBdr>
        <w:top w:val="single" w:color="auto" w:sz="4" w:space="0"/>
        <w:left w:val="single" w:color="auto" w:sz="4" w:space="0"/>
        <w:bottom w:val="single" w:color="auto" w:sz="4" w:space="0"/>
      </w:pBdr>
      <w:autoSpaceDE/>
      <w:autoSpaceDN/>
      <w:snapToGrid w:val="0"/>
      <w:spacing w:before="100" w:beforeAutospacing="1" w:after="100" w:afterAutospacing="1"/>
      <w:ind w:firstLine="480" w:firstLineChars="200"/>
      <w:jc w:val="center"/>
    </w:pPr>
    <w:rPr>
      <w:rFonts w:ascii="楷体" w:eastAsia="楷体" w:cs="Times New Roman"/>
      <w:color w:val="000000"/>
      <w:sz w:val="12"/>
      <w:szCs w:val="12"/>
      <w:lang w:val="en-US" w:bidi="ar-SA"/>
    </w:rPr>
  </w:style>
  <w:style w:type="character" w:customStyle="1" w:styleId="875">
    <w:name w:val="0-表头 字符"/>
    <w:link w:val="876"/>
    <w:qFormat/>
    <w:uiPriority w:val="0"/>
    <w:rPr>
      <w:rFonts w:ascii="黑体" w:hAnsi="黑体" w:eastAsia="黑体"/>
      <w:szCs w:val="24"/>
      <w:lang w:val="zh-CN"/>
    </w:rPr>
  </w:style>
  <w:style w:type="paragraph" w:customStyle="1" w:styleId="876">
    <w:name w:val="0-表头"/>
    <w:basedOn w:val="1"/>
    <w:link w:val="875"/>
    <w:qFormat/>
    <w:uiPriority w:val="0"/>
    <w:pPr>
      <w:autoSpaceDE/>
      <w:autoSpaceDN/>
      <w:snapToGrid w:val="0"/>
      <w:spacing w:beforeLines="50" w:line="360" w:lineRule="auto"/>
      <w:ind w:firstLine="480" w:firstLineChars="200"/>
      <w:jc w:val="center"/>
    </w:pPr>
    <w:rPr>
      <w:rFonts w:ascii="黑体" w:hAnsi="黑体" w:eastAsia="黑体" w:cs="Times New Roman"/>
      <w:sz w:val="20"/>
      <w:szCs w:val="24"/>
      <w:lang w:bidi="ar-SA"/>
    </w:rPr>
  </w:style>
  <w:style w:type="paragraph" w:customStyle="1" w:styleId="877">
    <w:name w:val="B目小四黑二"/>
    <w:basedOn w:val="1"/>
    <w:next w:val="1"/>
    <w:qFormat/>
    <w:uiPriority w:val="99"/>
    <w:pPr>
      <w:snapToGrid w:val="0"/>
      <w:spacing w:line="500" w:lineRule="exact"/>
      <w:ind w:firstLine="480" w:firstLineChars="200"/>
    </w:pPr>
    <w:rPr>
      <w:rFonts w:ascii="Times New Roman" w:hAnsi="Times New Roman" w:eastAsia="黑体" w:cs="Times New Roman"/>
      <w:color w:val="000000"/>
      <w:kern w:val="2"/>
      <w:sz w:val="24"/>
      <w:szCs w:val="20"/>
      <w:lang w:val="en-US" w:bidi="ar-SA"/>
    </w:rPr>
  </w:style>
  <w:style w:type="character" w:customStyle="1" w:styleId="878">
    <w:name w:val="样式 样式 小四 左 首行缩进:  2 字符 + 首行缩进:  2 字符 Char Char Char Char Char Char"/>
    <w:link w:val="879"/>
    <w:qFormat/>
    <w:uiPriority w:val="0"/>
    <w:rPr>
      <w:rFonts w:ascii="宋体" w:hAnsi="宋体" w:cs="宋体"/>
      <w:sz w:val="28"/>
      <w:szCs w:val="24"/>
    </w:rPr>
  </w:style>
  <w:style w:type="paragraph" w:customStyle="1" w:styleId="879">
    <w:name w:val="样式 样式 小四 左 首行缩进:  2 字符 + 首行缩进:  2 字符 Char Char Char Char Char"/>
    <w:basedOn w:val="1"/>
    <w:link w:val="878"/>
    <w:qFormat/>
    <w:uiPriority w:val="0"/>
    <w:pPr>
      <w:tabs>
        <w:tab w:val="left" w:pos="964"/>
      </w:tabs>
      <w:autoSpaceDE/>
      <w:autoSpaceDN/>
      <w:adjustRightInd w:val="0"/>
      <w:snapToGrid w:val="0"/>
      <w:spacing w:line="360" w:lineRule="auto"/>
      <w:ind w:left="964" w:right="-56" w:rightChars="-20" w:hanging="964" w:firstLineChars="200"/>
    </w:pPr>
    <w:rPr>
      <w:sz w:val="28"/>
      <w:szCs w:val="24"/>
      <w:lang w:val="en-US" w:bidi="ar-SA"/>
    </w:rPr>
  </w:style>
  <w:style w:type="paragraph" w:customStyle="1" w:styleId="880">
    <w:name w:val="xl1120"/>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881">
    <w:name w:val="正文编号2"/>
    <w:qFormat/>
    <w:uiPriority w:val="99"/>
    <w:pPr>
      <w:tabs>
        <w:tab w:val="left" w:pos="840"/>
      </w:tabs>
      <w:spacing w:line="240" w:lineRule="atLeast"/>
      <w:ind w:left="900" w:hanging="420"/>
    </w:pPr>
    <w:rPr>
      <w:rFonts w:ascii="Arial" w:hAnsi="Arial" w:eastAsia="宋体" w:cs="Times New Roman"/>
      <w:sz w:val="21"/>
      <w:szCs w:val="21"/>
      <w:lang w:val="en-US" w:eastAsia="zh-CN" w:bidi="ar-SA"/>
    </w:rPr>
  </w:style>
  <w:style w:type="paragraph" w:customStyle="1" w:styleId="882">
    <w:name w:val="1表编号"/>
    <w:basedOn w:val="1"/>
    <w:qFormat/>
    <w:uiPriority w:val="99"/>
    <w:pPr>
      <w:numPr>
        <w:ilvl w:val="0"/>
        <w:numId w:val="7"/>
      </w:numPr>
      <w:autoSpaceDE/>
      <w:autoSpaceDN/>
      <w:snapToGrid w:val="0"/>
      <w:spacing w:line="360" w:lineRule="auto"/>
      <w:jc w:val="center"/>
    </w:pPr>
    <w:rPr>
      <w:rFonts w:ascii="Calibri" w:hAnsi="Calibri" w:cs="Times New Roman"/>
      <w:color w:val="000000"/>
      <w:kern w:val="2"/>
      <w:sz w:val="28"/>
      <w:lang w:val="en-US" w:bidi="ar-SA"/>
    </w:rPr>
  </w:style>
  <w:style w:type="paragraph" w:customStyle="1" w:styleId="883">
    <w:name w:val="正文 New New New New New New New New New New New New New New New New New New New New New New New New New New New New New"/>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884">
    <w:name w:val="－正文"/>
    <w:basedOn w:val="1"/>
    <w:qFormat/>
    <w:uiPriority w:val="99"/>
    <w:pPr>
      <w:autoSpaceDE/>
      <w:autoSpaceDN/>
      <w:snapToGrid w:val="0"/>
      <w:spacing w:line="360" w:lineRule="auto"/>
      <w:ind w:firstLine="480" w:firstLineChars="200"/>
    </w:pPr>
    <w:rPr>
      <w:rFonts w:ascii="Times New Roman" w:hAnsi="Times New Roman" w:cs="Times New Roman"/>
      <w:color w:val="000000"/>
      <w:kern w:val="2"/>
      <w:sz w:val="24"/>
      <w:szCs w:val="28"/>
      <w:lang w:val="en-US" w:bidi="ar-SA"/>
    </w:rPr>
  </w:style>
  <w:style w:type="paragraph" w:customStyle="1" w:styleId="885">
    <w:name w:val="正文 New New New New New New New"/>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886">
    <w:name w:val="TOC 标题11"/>
    <w:basedOn w:val="4"/>
    <w:next w:val="1"/>
    <w:qFormat/>
    <w:uiPriority w:val="39"/>
    <w:pPr>
      <w:keepNext/>
      <w:widowControl/>
      <w:autoSpaceDE/>
      <w:autoSpaceDN/>
      <w:snapToGrid w:val="0"/>
      <w:spacing w:before="240" w:after="120" w:line="256" w:lineRule="auto"/>
      <w:ind w:left="766" w:right="0" w:hanging="526"/>
      <w:jc w:val="left"/>
      <w:outlineLvl w:val="9"/>
    </w:pPr>
    <w:rPr>
      <w:rFonts w:ascii="Calibri Light" w:hAnsi="Calibri Light" w:eastAsia="黑体" w:cs="Times New Roman"/>
      <w:bCs w:val="0"/>
      <w:color w:val="2E74B5"/>
      <w:sz w:val="32"/>
      <w:szCs w:val="32"/>
      <w:lang w:val="en-US" w:bidi="ar-SA"/>
    </w:rPr>
  </w:style>
  <w:style w:type="paragraph" w:customStyle="1" w:styleId="887">
    <w:name w:val="样式  + 四号 黑色1"/>
    <w:basedOn w:val="5"/>
    <w:semiHidden/>
    <w:qFormat/>
    <w:uiPriority w:val="99"/>
    <w:pPr>
      <w:widowControl/>
      <w:tabs>
        <w:tab w:val="left" w:pos="0"/>
      </w:tabs>
      <w:autoSpaceDE/>
      <w:autoSpaceDN/>
      <w:snapToGrid w:val="0"/>
      <w:spacing w:before="0"/>
      <w:ind w:firstLine="560"/>
      <w:jc w:val="both"/>
      <w:outlineLvl w:val="9"/>
    </w:pPr>
    <w:rPr>
      <w:rFonts w:ascii="楷体_GB2312" w:hAnsi="Times New Roman"/>
      <w:b w:val="0"/>
      <w:bCs w:val="0"/>
      <w:color w:val="000000"/>
      <w:kern w:val="2"/>
      <w:sz w:val="28"/>
      <w:szCs w:val="32"/>
      <w:lang w:val="en-US" w:bidi="ar-SA"/>
    </w:rPr>
  </w:style>
  <w:style w:type="paragraph" w:customStyle="1" w:styleId="888">
    <w:name w:val="font0"/>
    <w:basedOn w:val="1"/>
    <w:qFormat/>
    <w:uiPriority w:val="99"/>
    <w:pPr>
      <w:widowControl/>
      <w:autoSpaceDE/>
      <w:autoSpaceDN/>
      <w:snapToGrid w:val="0"/>
      <w:spacing w:before="100" w:beforeAutospacing="1" w:after="100" w:afterAutospacing="1"/>
      <w:ind w:firstLine="480" w:firstLineChars="200"/>
    </w:pPr>
    <w:rPr>
      <w:color w:val="000000"/>
      <w:sz w:val="24"/>
      <w:szCs w:val="24"/>
      <w:lang w:val="en-US" w:bidi="ar-SA"/>
    </w:rPr>
  </w:style>
  <w:style w:type="paragraph" w:customStyle="1" w:styleId="889">
    <w:name w:val="Char Char Char Char Char Char Char Char Char Char Char Char Char Char Char2 Char Char Char Char Char Char1 Char"/>
    <w:basedOn w:val="1"/>
    <w:qFormat/>
    <w:uiPriority w:val="99"/>
    <w:pPr>
      <w:autoSpaceDE/>
      <w:autoSpaceDN/>
      <w:snapToGrid w:val="0"/>
      <w:spacing w:line="360" w:lineRule="auto"/>
      <w:ind w:firstLine="200" w:firstLineChars="200"/>
      <w:jc w:val="both"/>
    </w:pPr>
    <w:rPr>
      <w:color w:val="000000"/>
      <w:kern w:val="2"/>
      <w:sz w:val="24"/>
      <w:szCs w:val="24"/>
      <w:lang w:val="en-US" w:bidi="ar-SA"/>
    </w:rPr>
  </w:style>
  <w:style w:type="paragraph" w:customStyle="1" w:styleId="890">
    <w:name w:val="正文首行缩进1"/>
    <w:basedOn w:val="2"/>
    <w:next w:val="87"/>
    <w:qFormat/>
    <w:uiPriority w:val="99"/>
    <w:pPr>
      <w:autoSpaceDE/>
      <w:autoSpaceDN/>
      <w:snapToGrid w:val="0"/>
      <w:spacing w:before="0" w:after="120"/>
      <w:ind w:left="0" w:firstLine="420" w:firstLineChars="100"/>
      <w:jc w:val="both"/>
    </w:pPr>
    <w:rPr>
      <w:rFonts w:cs="Times New Roman"/>
      <w:sz w:val="28"/>
      <w:szCs w:val="28"/>
      <w:lang w:eastAsia="en-US" w:bidi="ar-SA"/>
    </w:rPr>
  </w:style>
  <w:style w:type="paragraph" w:customStyle="1" w:styleId="891">
    <w:name w:val="表格文字－左"/>
    <w:basedOn w:val="1"/>
    <w:qFormat/>
    <w:uiPriority w:val="99"/>
    <w:pPr>
      <w:keepNext/>
      <w:autoSpaceDE/>
      <w:autoSpaceDN/>
      <w:adjustRightInd w:val="0"/>
      <w:snapToGrid w:val="0"/>
      <w:spacing w:before="40" w:line="240" w:lineRule="atLeast"/>
      <w:ind w:left="-20" w:leftChars="-20" w:right="-20" w:rightChars="-20" w:firstLine="480" w:firstLineChars="200"/>
    </w:pPr>
    <w:rPr>
      <w:rFonts w:ascii="Arial" w:hAnsi="Arial" w:cs="Times New Roman"/>
      <w:color w:val="000000"/>
      <w:sz w:val="21"/>
      <w:szCs w:val="21"/>
      <w:lang w:val="en-US" w:bidi="ar-SA"/>
    </w:rPr>
  </w:style>
  <w:style w:type="paragraph" w:customStyle="1" w:styleId="892">
    <w:name w:val="列表段落3"/>
    <w:basedOn w:val="1"/>
    <w:qFormat/>
    <w:uiPriority w:val="34"/>
    <w:pPr>
      <w:autoSpaceDE/>
      <w:autoSpaceDN/>
      <w:snapToGrid w:val="0"/>
      <w:spacing w:line="360" w:lineRule="auto"/>
      <w:ind w:firstLine="420" w:firstLineChars="200"/>
    </w:pPr>
    <w:rPr>
      <w:rFonts w:ascii="Times New Roman" w:hAnsi="Times New Roman" w:cs="Times New Roman"/>
      <w:color w:val="000000"/>
      <w:kern w:val="2"/>
      <w:sz w:val="24"/>
      <w:szCs w:val="24"/>
      <w:lang w:val="en-US" w:bidi="ar-SA"/>
    </w:rPr>
  </w:style>
  <w:style w:type="character" w:customStyle="1" w:styleId="893">
    <w:name w:val="样式3 (1) Char"/>
    <w:link w:val="894"/>
    <w:qFormat/>
    <w:uiPriority w:val="0"/>
    <w:rPr>
      <w:sz w:val="24"/>
    </w:rPr>
  </w:style>
  <w:style w:type="paragraph" w:customStyle="1" w:styleId="894">
    <w:name w:val="样式3 (1)"/>
    <w:basedOn w:val="1"/>
    <w:link w:val="893"/>
    <w:qFormat/>
    <w:uiPriority w:val="0"/>
    <w:pPr>
      <w:widowControl/>
      <w:tabs>
        <w:tab w:val="left" w:pos="510"/>
      </w:tabs>
      <w:autoSpaceDE/>
      <w:autoSpaceDN/>
      <w:adjustRightInd w:val="0"/>
      <w:snapToGrid w:val="0"/>
      <w:spacing w:line="360" w:lineRule="auto"/>
      <w:ind w:firstLine="480" w:firstLineChars="200"/>
      <w:jc w:val="both"/>
    </w:pPr>
    <w:rPr>
      <w:rFonts w:ascii="Times New Roman" w:hAnsi="Times New Roman" w:cs="Times New Roman"/>
      <w:sz w:val="24"/>
      <w:szCs w:val="20"/>
      <w:lang w:val="en-US" w:bidi="ar-SA"/>
    </w:rPr>
  </w:style>
  <w:style w:type="paragraph" w:customStyle="1" w:styleId="895">
    <w:name w:val="默认段落字体 Para Char Char Char1 Char"/>
    <w:basedOn w:val="1"/>
    <w:next w:val="1"/>
    <w:qFormat/>
    <w:uiPriority w:val="99"/>
    <w:pPr>
      <w:autoSpaceDE/>
      <w:autoSpaceDN/>
      <w:snapToGrid w:val="0"/>
      <w:spacing w:line="240" w:lineRule="atLeast"/>
      <w:ind w:left="420" w:firstLine="420" w:firstLineChars="200"/>
    </w:pPr>
    <w:rPr>
      <w:rFonts w:ascii="Times New Roman" w:hAnsi="Times New Roman" w:cs="Times New Roman"/>
      <w:color w:val="000000"/>
      <w:sz w:val="28"/>
      <w:szCs w:val="21"/>
      <w:lang w:val="en-US" w:bidi="ar-SA"/>
    </w:rPr>
  </w:style>
  <w:style w:type="paragraph" w:customStyle="1" w:styleId="896">
    <w:name w:val="xl1127"/>
    <w:basedOn w:val="1"/>
    <w:qFormat/>
    <w:uiPriority w:val="99"/>
    <w:pPr>
      <w:widowControl/>
      <w:pBdr>
        <w:left w:val="single" w:color="auto" w:sz="4" w:space="0"/>
        <w:right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FFFFFF"/>
      <w:sz w:val="20"/>
      <w:szCs w:val="20"/>
      <w:lang w:val="en-US" w:bidi="ar-SA"/>
    </w:rPr>
  </w:style>
  <w:style w:type="paragraph" w:customStyle="1" w:styleId="897">
    <w:name w:val="p15"/>
    <w:basedOn w:val="1"/>
    <w:qFormat/>
    <w:uiPriority w:val="99"/>
    <w:pPr>
      <w:widowControl/>
      <w:autoSpaceDE/>
      <w:autoSpaceDN/>
      <w:snapToGrid w:val="0"/>
      <w:ind w:firstLine="420" w:firstLineChars="200"/>
      <w:jc w:val="both"/>
    </w:pPr>
    <w:rPr>
      <w:rFonts w:ascii="仿宋_GB2312" w:hAnsi="Arial Unicode MS" w:eastAsia="仿宋_GB2312" w:cs="仿宋_GB2312"/>
      <w:color w:val="000000"/>
      <w:sz w:val="32"/>
      <w:szCs w:val="32"/>
      <w:lang w:val="en-US" w:bidi="ar-SA"/>
    </w:rPr>
  </w:style>
  <w:style w:type="paragraph" w:customStyle="1" w:styleId="898">
    <w:name w:val="1项目标题"/>
    <w:basedOn w:val="1"/>
    <w:next w:val="1"/>
    <w:qFormat/>
    <w:uiPriority w:val="99"/>
    <w:pPr>
      <w:autoSpaceDE/>
      <w:autoSpaceDN/>
      <w:snapToGrid w:val="0"/>
      <w:spacing w:before="300" w:after="120" w:line="460" w:lineRule="exact"/>
      <w:ind w:left="1080" w:hanging="600"/>
      <w:outlineLvl w:val="0"/>
    </w:pPr>
    <w:rPr>
      <w:rFonts w:ascii="Times New Roman" w:hAnsi="Times New Roman" w:eastAsia="黑体" w:cs="Times New Roman"/>
      <w:color w:val="000000"/>
      <w:kern w:val="2"/>
      <w:sz w:val="32"/>
      <w:szCs w:val="24"/>
      <w:lang w:val="en-US" w:bidi="ar-SA"/>
    </w:rPr>
  </w:style>
  <w:style w:type="character" w:customStyle="1" w:styleId="899">
    <w:name w:val="1) Char"/>
    <w:link w:val="900"/>
    <w:qFormat/>
    <w:uiPriority w:val="0"/>
    <w:rPr>
      <w:sz w:val="24"/>
    </w:rPr>
  </w:style>
  <w:style w:type="paragraph" w:customStyle="1" w:styleId="900">
    <w:name w:val="1)"/>
    <w:basedOn w:val="861"/>
    <w:link w:val="899"/>
    <w:qFormat/>
    <w:uiPriority w:val="0"/>
    <w:pPr>
      <w:ind w:firstLine="300" w:firstLineChars="300"/>
    </w:pPr>
  </w:style>
  <w:style w:type="paragraph" w:customStyle="1" w:styleId="901">
    <w:name w:val="样式"/>
    <w:qFormat/>
    <w:uiPriority w:val="99"/>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902">
    <w:name w:val="正文文本 (2)_"/>
    <w:link w:val="903"/>
    <w:qFormat/>
    <w:uiPriority w:val="0"/>
    <w:rPr>
      <w:rFonts w:ascii="MingLiU" w:hAnsi="MingLiU" w:eastAsia="MingLiU" w:cs="MingLiU"/>
      <w:spacing w:val="30"/>
      <w:sz w:val="26"/>
      <w:szCs w:val="26"/>
      <w:shd w:val="clear" w:color="auto" w:fill="FFFFFF"/>
    </w:rPr>
  </w:style>
  <w:style w:type="paragraph" w:customStyle="1" w:styleId="903">
    <w:name w:val="正文文本 (2)"/>
    <w:basedOn w:val="1"/>
    <w:link w:val="902"/>
    <w:qFormat/>
    <w:uiPriority w:val="0"/>
    <w:pPr>
      <w:shd w:val="clear" w:color="auto" w:fill="FFFFFF"/>
      <w:autoSpaceDE/>
      <w:autoSpaceDN/>
      <w:snapToGrid w:val="0"/>
      <w:spacing w:before="300" w:after="300" w:line="0" w:lineRule="atLeast"/>
      <w:ind w:firstLine="480" w:firstLineChars="200"/>
      <w:jc w:val="both"/>
    </w:pPr>
    <w:rPr>
      <w:rFonts w:ascii="MingLiU" w:hAnsi="MingLiU" w:eastAsia="MingLiU" w:cs="MingLiU"/>
      <w:spacing w:val="30"/>
      <w:sz w:val="26"/>
      <w:szCs w:val="26"/>
      <w:lang w:val="en-US" w:bidi="ar-SA"/>
    </w:rPr>
  </w:style>
  <w:style w:type="paragraph" w:customStyle="1" w:styleId="904">
    <w:name w:val="xl88"/>
    <w:basedOn w:val="1"/>
    <w:qFormat/>
    <w:uiPriority w:val="99"/>
    <w:pPr>
      <w:widowControl/>
      <w:pBdr>
        <w:left w:val="single" w:color="auto" w:sz="4" w:space="0"/>
        <w:bottom w:val="single" w:color="auto" w:sz="4" w:space="0"/>
      </w:pBdr>
      <w:autoSpaceDE/>
      <w:autoSpaceDN/>
      <w:snapToGrid w:val="0"/>
      <w:spacing w:before="100" w:beforeAutospacing="1" w:after="100" w:afterAutospacing="1"/>
      <w:ind w:firstLine="480" w:firstLineChars="200"/>
      <w:jc w:val="center"/>
    </w:pPr>
    <w:rPr>
      <w:rFonts w:cs="Times New Roman"/>
      <w:color w:val="000000"/>
      <w:sz w:val="12"/>
      <w:szCs w:val="12"/>
      <w:lang w:val="en-US" w:bidi="ar-SA"/>
    </w:rPr>
  </w:style>
  <w:style w:type="paragraph" w:customStyle="1" w:styleId="905">
    <w:name w:val="TOC 81"/>
    <w:basedOn w:val="1"/>
    <w:next w:val="1"/>
    <w:qFormat/>
    <w:uiPriority w:val="39"/>
    <w:pPr>
      <w:autoSpaceDE/>
      <w:autoSpaceDN/>
      <w:snapToGrid w:val="0"/>
      <w:ind w:left="2940" w:leftChars="1400" w:firstLine="480" w:firstLineChars="200"/>
      <w:jc w:val="both"/>
    </w:pPr>
    <w:rPr>
      <w:rFonts w:ascii="等线" w:hAnsi="等线" w:eastAsia="等线" w:cs="Times New Roman"/>
      <w:color w:val="000000"/>
      <w:kern w:val="2"/>
      <w:sz w:val="21"/>
      <w:lang w:val="en-US" w:bidi="ar-SA"/>
    </w:rPr>
  </w:style>
  <w:style w:type="paragraph" w:customStyle="1" w:styleId="906">
    <w:name w:val="xl1125"/>
    <w:basedOn w:val="1"/>
    <w:qFormat/>
    <w:uiPriority w:val="99"/>
    <w:pPr>
      <w:widowControl/>
      <w:autoSpaceDE/>
      <w:autoSpaceDN/>
      <w:snapToGrid w:val="0"/>
      <w:spacing w:before="100" w:beforeAutospacing="1" w:after="100" w:afterAutospacing="1"/>
      <w:ind w:firstLine="480" w:firstLineChars="200"/>
    </w:pPr>
    <w:rPr>
      <w:rFonts w:ascii="仿宋_GB2312" w:eastAsia="仿宋_GB2312" w:cs="Times New Roman"/>
      <w:color w:val="FFFFFF"/>
      <w:sz w:val="20"/>
      <w:szCs w:val="20"/>
      <w:lang w:val="en-US" w:bidi="ar-SA"/>
    </w:rPr>
  </w:style>
  <w:style w:type="paragraph" w:customStyle="1" w:styleId="907">
    <w:name w:val="xl103"/>
    <w:basedOn w:val="1"/>
    <w:qFormat/>
    <w:uiPriority w:val="99"/>
    <w:pPr>
      <w:widowControl/>
      <w:pBdr>
        <w:top w:val="single" w:color="auto" w:sz="4" w:space="0"/>
        <w:left w:val="single" w:color="auto" w:sz="4" w:space="0"/>
        <w:bottom w:val="single" w:color="auto" w:sz="4" w:space="0"/>
      </w:pBdr>
      <w:autoSpaceDE/>
      <w:autoSpaceDN/>
      <w:snapToGrid w:val="0"/>
      <w:spacing w:before="100" w:beforeAutospacing="1" w:after="100" w:afterAutospacing="1"/>
      <w:ind w:firstLine="480" w:firstLineChars="200"/>
      <w:jc w:val="right"/>
    </w:pPr>
    <w:rPr>
      <w:color w:val="000000"/>
      <w:sz w:val="24"/>
      <w:szCs w:val="24"/>
      <w:lang w:val="en-US" w:bidi="ar-SA"/>
    </w:rPr>
  </w:style>
  <w:style w:type="paragraph" w:customStyle="1" w:styleId="908">
    <w:name w:val="xl108"/>
    <w:basedOn w:val="1"/>
    <w:qFormat/>
    <w:uiPriority w:val="99"/>
    <w:pPr>
      <w:widowControl/>
      <w:pBdr>
        <w:top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4"/>
      <w:szCs w:val="24"/>
      <w:lang w:val="en-US" w:bidi="ar-SA"/>
    </w:rPr>
  </w:style>
  <w:style w:type="character" w:customStyle="1" w:styleId="909">
    <w:name w:val="样式 标题 2 + Times New Roman 自动设置 Char"/>
    <w:link w:val="910"/>
    <w:qFormat/>
    <w:uiPriority w:val="99"/>
    <w:rPr>
      <w:rFonts w:ascii="黑体" w:eastAsia="黑体"/>
      <w:sz w:val="30"/>
      <w:szCs w:val="30"/>
    </w:rPr>
  </w:style>
  <w:style w:type="paragraph" w:customStyle="1" w:styleId="910">
    <w:name w:val="样式 标题 2 + Times New Roman 自动设置"/>
    <w:basedOn w:val="5"/>
    <w:link w:val="909"/>
    <w:qFormat/>
    <w:uiPriority w:val="99"/>
    <w:pPr>
      <w:widowControl/>
      <w:tabs>
        <w:tab w:val="left" w:pos="0"/>
      </w:tabs>
      <w:overflowPunct w:val="0"/>
      <w:adjustRightInd w:val="0"/>
      <w:snapToGrid w:val="0"/>
      <w:spacing w:before="200" w:after="200" w:line="460" w:lineRule="exact"/>
      <w:ind w:left="676" w:right="-64" w:rightChars="-64"/>
    </w:pPr>
    <w:rPr>
      <w:rFonts w:ascii="黑体" w:hAnsi="Times New Roman" w:eastAsia="黑体" w:cs="Times New Roman"/>
      <w:b w:val="0"/>
      <w:bCs w:val="0"/>
      <w:lang w:val="en-US" w:bidi="ar-SA"/>
    </w:rPr>
  </w:style>
  <w:style w:type="paragraph" w:customStyle="1" w:styleId="911">
    <w:name w:val="xl1119"/>
    <w:basedOn w:val="1"/>
    <w:qFormat/>
    <w:uiPriority w:val="99"/>
    <w:pPr>
      <w:widowControl/>
      <w:pBdr>
        <w:top w:val="single" w:color="auto" w:sz="4" w:space="0"/>
        <w:left w:val="single" w:color="auto" w:sz="4" w:space="0"/>
        <w:bottom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912">
    <w:name w:val="二级标题"/>
    <w:basedOn w:val="1"/>
    <w:next w:val="22"/>
    <w:semiHidden/>
    <w:qFormat/>
    <w:uiPriority w:val="99"/>
    <w:pPr>
      <w:tabs>
        <w:tab w:val="left" w:pos="576"/>
        <w:tab w:val="left" w:pos="2070"/>
      </w:tabs>
      <w:autoSpaceDE/>
      <w:autoSpaceDN/>
      <w:snapToGrid w:val="0"/>
      <w:spacing w:beforeLines="100" w:line="560" w:lineRule="exact"/>
      <w:ind w:left="2070" w:hanging="510" w:firstLineChars="200"/>
      <w:jc w:val="both"/>
    </w:pPr>
    <w:rPr>
      <w:rFonts w:eastAsia="黑体"/>
      <w:color w:val="000000"/>
      <w:kern w:val="2"/>
      <w:sz w:val="30"/>
      <w:szCs w:val="24"/>
      <w:lang w:val="en-US" w:bidi="ar-SA"/>
    </w:rPr>
  </w:style>
  <w:style w:type="character" w:customStyle="1" w:styleId="913">
    <w:name w:val="0正文 字符"/>
    <w:link w:val="914"/>
    <w:qFormat/>
    <w:uiPriority w:val="0"/>
    <w:rPr>
      <w:sz w:val="24"/>
      <w:szCs w:val="24"/>
    </w:rPr>
  </w:style>
  <w:style w:type="paragraph" w:customStyle="1" w:styleId="914">
    <w:name w:val="0正文"/>
    <w:basedOn w:val="1"/>
    <w:link w:val="913"/>
    <w:qFormat/>
    <w:uiPriority w:val="0"/>
    <w:pPr>
      <w:autoSpaceDE/>
      <w:autoSpaceDN/>
      <w:adjustRightInd w:val="0"/>
      <w:snapToGrid w:val="0"/>
      <w:spacing w:line="360" w:lineRule="auto"/>
      <w:ind w:firstLine="200" w:firstLineChars="200"/>
    </w:pPr>
    <w:rPr>
      <w:rFonts w:ascii="Times New Roman" w:hAnsi="Times New Roman" w:cs="Times New Roman"/>
      <w:sz w:val="24"/>
      <w:szCs w:val="24"/>
      <w:lang w:val="en-US" w:bidi="ar-SA"/>
    </w:rPr>
  </w:style>
  <w:style w:type="character" w:customStyle="1" w:styleId="915">
    <w:name w:val="正文文本 (5)_"/>
    <w:link w:val="916"/>
    <w:qFormat/>
    <w:uiPriority w:val="0"/>
    <w:rPr>
      <w:rFonts w:ascii="MingLiU" w:hAnsi="MingLiU" w:eastAsia="MingLiU" w:cs="MingLiU"/>
      <w:shd w:val="clear" w:color="auto" w:fill="FFFFFF"/>
    </w:rPr>
  </w:style>
  <w:style w:type="paragraph" w:customStyle="1" w:styleId="916">
    <w:name w:val="正文文本 (5)"/>
    <w:basedOn w:val="1"/>
    <w:link w:val="915"/>
    <w:qFormat/>
    <w:uiPriority w:val="0"/>
    <w:pPr>
      <w:shd w:val="clear" w:color="auto" w:fill="FFFFFF"/>
      <w:autoSpaceDE/>
      <w:autoSpaceDN/>
      <w:snapToGrid w:val="0"/>
      <w:spacing w:line="0" w:lineRule="atLeast"/>
      <w:ind w:firstLine="480" w:firstLineChars="200"/>
      <w:jc w:val="distribute"/>
    </w:pPr>
    <w:rPr>
      <w:rFonts w:ascii="MingLiU" w:hAnsi="MingLiU" w:eastAsia="MingLiU" w:cs="MingLiU"/>
      <w:sz w:val="20"/>
      <w:szCs w:val="20"/>
      <w:lang w:val="en-US" w:bidi="ar-SA"/>
    </w:rPr>
  </w:style>
  <w:style w:type="paragraph" w:customStyle="1" w:styleId="917">
    <w:name w:val="Message Header First"/>
    <w:basedOn w:val="1"/>
    <w:next w:val="1"/>
    <w:qFormat/>
    <w:uiPriority w:val="99"/>
    <w:pPr>
      <w:keepNext/>
      <w:keepLines/>
      <w:widowControl/>
      <w:tabs>
        <w:tab w:val="left" w:pos="0"/>
      </w:tabs>
      <w:autoSpaceDE/>
      <w:autoSpaceDN/>
      <w:snapToGrid w:val="0"/>
      <w:spacing w:before="360" w:after="120" w:line="240" w:lineRule="atLeast"/>
      <w:ind w:left="1080" w:right="-64" w:rightChars="-64" w:hanging="1080" w:firstLineChars="200"/>
    </w:pPr>
    <w:rPr>
      <w:rFonts w:ascii="Garamond" w:hAnsi="Garamond" w:cs="Times New Roman"/>
      <w:caps/>
      <w:color w:val="000000"/>
      <w:sz w:val="18"/>
      <w:szCs w:val="18"/>
      <w:lang w:val="en-US" w:bidi="ar-SA"/>
    </w:rPr>
  </w:style>
  <w:style w:type="paragraph" w:customStyle="1" w:styleId="918">
    <w:name w:val="正文 New New New New New New New New New New New New New New New New New New New New New New New New New New New New New New New New New New New"/>
    <w:qFormat/>
    <w:uiPriority w:val="99"/>
    <w:pPr>
      <w:widowControl w:val="0"/>
      <w:jc w:val="both"/>
    </w:pPr>
    <w:rPr>
      <w:rFonts w:ascii="Times New Roman" w:hAnsi="Times New Roman" w:eastAsia="宋体" w:cs="黑体"/>
      <w:kern w:val="2"/>
      <w:sz w:val="21"/>
      <w:szCs w:val="24"/>
      <w:lang w:val="en-US" w:eastAsia="zh-CN" w:bidi="ar-SA"/>
    </w:rPr>
  </w:style>
  <w:style w:type="paragraph" w:customStyle="1" w:styleId="919">
    <w:name w:val="xl1128"/>
    <w:basedOn w:val="1"/>
    <w:qFormat/>
    <w:uiPriority w:val="99"/>
    <w:pPr>
      <w:widowControl/>
      <w:pBdr>
        <w:top w:val="single" w:color="auto" w:sz="4" w:space="0"/>
        <w:left w:val="single" w:color="auto" w:sz="4" w:space="0"/>
        <w:bottom w:val="single" w:color="auto" w:sz="4" w:space="0"/>
      </w:pBdr>
      <w:autoSpaceDE/>
      <w:autoSpaceDN/>
      <w:snapToGrid w:val="0"/>
      <w:spacing w:before="100" w:beforeAutospacing="1" w:after="100" w:afterAutospacing="1"/>
      <w:ind w:firstLine="480" w:firstLineChars="200"/>
      <w:jc w:val="center"/>
    </w:pPr>
    <w:rPr>
      <w:rFonts w:ascii="仿宋_GB2312" w:eastAsia="仿宋_GB2312" w:cs="Times New Roman"/>
      <w:color w:val="000000"/>
      <w:sz w:val="20"/>
      <w:szCs w:val="20"/>
      <w:lang w:val="en-US" w:bidi="ar-SA"/>
    </w:rPr>
  </w:style>
  <w:style w:type="character" w:customStyle="1" w:styleId="920">
    <w:name w:val="表格名称 字符"/>
    <w:link w:val="921"/>
    <w:qFormat/>
    <w:uiPriority w:val="0"/>
    <w:rPr>
      <w:rFonts w:ascii="黑体" w:hAnsi="黑体" w:eastAsia="黑体"/>
      <w:color w:val="FF0000"/>
      <w:kern w:val="2"/>
      <w:sz w:val="24"/>
      <w:szCs w:val="22"/>
    </w:rPr>
  </w:style>
  <w:style w:type="paragraph" w:customStyle="1" w:styleId="921">
    <w:name w:val="表格名称"/>
    <w:basedOn w:val="1"/>
    <w:link w:val="920"/>
    <w:qFormat/>
    <w:uiPriority w:val="0"/>
    <w:pPr>
      <w:autoSpaceDE/>
      <w:autoSpaceDN/>
      <w:snapToGrid w:val="0"/>
      <w:spacing w:beforeLines="50" w:line="460" w:lineRule="exact"/>
      <w:ind w:firstLine="480" w:firstLineChars="200"/>
      <w:jc w:val="center"/>
    </w:pPr>
    <w:rPr>
      <w:rFonts w:ascii="黑体" w:hAnsi="黑体" w:eastAsia="黑体" w:cs="Times New Roman"/>
      <w:color w:val="FF0000"/>
      <w:kern w:val="2"/>
      <w:sz w:val="24"/>
      <w:lang w:val="en-US" w:bidi="ar-SA"/>
    </w:rPr>
  </w:style>
  <w:style w:type="character" w:customStyle="1" w:styleId="922">
    <w:name w:val="表格lx Char"/>
    <w:link w:val="923"/>
    <w:qFormat/>
    <w:uiPriority w:val="0"/>
    <w:rPr>
      <w:sz w:val="21"/>
      <w:szCs w:val="21"/>
    </w:rPr>
  </w:style>
  <w:style w:type="paragraph" w:customStyle="1" w:styleId="923">
    <w:name w:val="表格lx"/>
    <w:basedOn w:val="1"/>
    <w:next w:val="1"/>
    <w:link w:val="922"/>
    <w:qFormat/>
    <w:uiPriority w:val="0"/>
    <w:pPr>
      <w:autoSpaceDE/>
      <w:autoSpaceDN/>
      <w:adjustRightInd w:val="0"/>
      <w:snapToGrid w:val="0"/>
      <w:spacing w:line="240" w:lineRule="atLeast"/>
      <w:ind w:firstLine="480" w:firstLineChars="200"/>
      <w:jc w:val="center"/>
    </w:pPr>
    <w:rPr>
      <w:rFonts w:ascii="Times New Roman" w:hAnsi="Times New Roman" w:cs="Times New Roman"/>
      <w:sz w:val="21"/>
      <w:szCs w:val="21"/>
      <w:lang w:val="en-US" w:bidi="ar-SA"/>
    </w:rPr>
  </w:style>
  <w:style w:type="character" w:customStyle="1" w:styleId="924">
    <w:name w:val="表格内文字 Char1"/>
    <w:link w:val="925"/>
    <w:qFormat/>
    <w:uiPriority w:val="0"/>
    <w:rPr>
      <w:rFonts w:ascii="宋体" w:hAnsi="宋体"/>
      <w:spacing w:val="10"/>
      <w:kern w:val="2"/>
      <w:sz w:val="21"/>
      <w:szCs w:val="24"/>
    </w:rPr>
  </w:style>
  <w:style w:type="paragraph" w:customStyle="1" w:styleId="925">
    <w:name w:val="表格内文字"/>
    <w:basedOn w:val="2"/>
    <w:link w:val="924"/>
    <w:qFormat/>
    <w:uiPriority w:val="0"/>
    <w:pPr>
      <w:autoSpaceDE/>
      <w:autoSpaceDN/>
      <w:snapToGrid w:val="0"/>
      <w:spacing w:before="0" w:line="320" w:lineRule="exact"/>
      <w:ind w:left="0" w:firstLine="480" w:firstLineChars="200"/>
      <w:jc w:val="center"/>
    </w:pPr>
    <w:rPr>
      <w:rFonts w:cs="Times New Roman"/>
      <w:spacing w:val="10"/>
      <w:kern w:val="2"/>
      <w:sz w:val="21"/>
      <w:lang w:val="en-US" w:bidi="ar-SA"/>
    </w:rPr>
  </w:style>
  <w:style w:type="paragraph" w:customStyle="1" w:styleId="926">
    <w:name w:val="正文L"/>
    <w:basedOn w:val="1"/>
    <w:qFormat/>
    <w:uiPriority w:val="99"/>
    <w:pPr>
      <w:autoSpaceDE/>
      <w:autoSpaceDN/>
      <w:snapToGrid w:val="0"/>
      <w:spacing w:line="360" w:lineRule="auto"/>
      <w:ind w:firstLine="200" w:firstLineChars="200"/>
    </w:pPr>
    <w:rPr>
      <w:rFonts w:cs="Times New Roman"/>
      <w:color w:val="000000"/>
      <w:kern w:val="2"/>
      <w:sz w:val="28"/>
      <w:szCs w:val="28"/>
      <w:lang w:val="en-US" w:bidi="ar-SA"/>
    </w:rPr>
  </w:style>
  <w:style w:type="paragraph" w:customStyle="1" w:styleId="927">
    <w:name w:val="xl102"/>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rFonts w:cs="Times New Roman"/>
      <w:color w:val="000000"/>
      <w:sz w:val="12"/>
      <w:szCs w:val="12"/>
      <w:lang w:val="en-US" w:bidi="ar-SA"/>
    </w:rPr>
  </w:style>
  <w:style w:type="paragraph" w:customStyle="1" w:styleId="928">
    <w:name w:val="正文文本 31"/>
    <w:basedOn w:val="1"/>
    <w:next w:val="32"/>
    <w:qFormat/>
    <w:uiPriority w:val="99"/>
    <w:pPr>
      <w:autoSpaceDE/>
      <w:autoSpaceDN/>
      <w:snapToGrid w:val="0"/>
      <w:spacing w:after="120"/>
      <w:ind w:firstLine="480" w:firstLineChars="200"/>
      <w:jc w:val="both"/>
    </w:pPr>
    <w:rPr>
      <w:rFonts w:ascii="等线" w:hAnsi="等线" w:eastAsia="等线" w:cs="Times New Roman"/>
      <w:color w:val="000000"/>
      <w:kern w:val="2"/>
      <w:sz w:val="16"/>
      <w:szCs w:val="16"/>
      <w:lang w:val="en-US" w:bidi="ar-SA"/>
    </w:rPr>
  </w:style>
  <w:style w:type="paragraph" w:customStyle="1" w:styleId="929">
    <w:name w:val="样式 幼圆 小四 段前: 7.8 磅 段后: 15.6 磅 行距: 固定值 18 磅"/>
    <w:basedOn w:val="1"/>
    <w:qFormat/>
    <w:uiPriority w:val="99"/>
    <w:pPr>
      <w:autoSpaceDE/>
      <w:autoSpaceDN/>
      <w:snapToGrid w:val="0"/>
      <w:spacing w:before="156" w:after="312" w:line="360" w:lineRule="exact"/>
      <w:ind w:left="1619" w:leftChars="771" w:firstLine="480" w:firstLineChars="200"/>
      <w:jc w:val="both"/>
    </w:pPr>
    <w:rPr>
      <w:rFonts w:ascii="幼圆" w:hAnsi="Times New Roman" w:eastAsia="幼圆"/>
      <w:color w:val="000000"/>
      <w:kern w:val="2"/>
      <w:sz w:val="24"/>
      <w:szCs w:val="20"/>
      <w:lang w:val="en-US" w:bidi="ar-SA"/>
    </w:rPr>
  </w:style>
  <w:style w:type="character" w:customStyle="1" w:styleId="930">
    <w:name w:val="列表2 Char"/>
    <w:link w:val="931"/>
    <w:qFormat/>
    <w:uiPriority w:val="0"/>
    <w:rPr>
      <w:rFonts w:ascii="Calibri" w:hAnsi="Calibri" w:cs="宋体"/>
      <w:sz w:val="24"/>
      <w:lang w:eastAsia="en-US" w:bidi="en-US"/>
    </w:rPr>
  </w:style>
  <w:style w:type="paragraph" w:customStyle="1" w:styleId="931">
    <w:name w:val="列表2"/>
    <w:basedOn w:val="1"/>
    <w:link w:val="930"/>
    <w:qFormat/>
    <w:uiPriority w:val="0"/>
    <w:pPr>
      <w:widowControl/>
      <w:autoSpaceDE/>
      <w:autoSpaceDN/>
      <w:snapToGrid w:val="0"/>
      <w:spacing w:line="460" w:lineRule="exact"/>
      <w:ind w:firstLine="480" w:firstLineChars="200"/>
    </w:pPr>
    <w:rPr>
      <w:rFonts w:ascii="Calibri" w:hAnsi="Calibri"/>
      <w:sz w:val="24"/>
      <w:szCs w:val="20"/>
      <w:lang w:val="en-US" w:eastAsia="en-US" w:bidi="en-US"/>
    </w:rPr>
  </w:style>
  <w:style w:type="paragraph" w:customStyle="1" w:styleId="932">
    <w:name w:val="xl80"/>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cs="Times New Roman"/>
      <w:color w:val="000000"/>
      <w:sz w:val="12"/>
      <w:szCs w:val="12"/>
      <w:lang w:val="en-US" w:bidi="ar-SA"/>
    </w:rPr>
  </w:style>
  <w:style w:type="paragraph" w:customStyle="1" w:styleId="933">
    <w:name w:val="Char Char Char1 Char"/>
    <w:basedOn w:val="1"/>
    <w:qFormat/>
    <w:uiPriority w:val="99"/>
    <w:pPr>
      <w:autoSpaceDE/>
      <w:autoSpaceDN/>
      <w:snapToGrid w:val="0"/>
      <w:spacing w:line="460" w:lineRule="exact"/>
      <w:ind w:firstLine="200" w:firstLineChars="200"/>
      <w:jc w:val="both"/>
    </w:pPr>
    <w:rPr>
      <w:rFonts w:ascii="Times New Roman" w:hAnsi="Times New Roman" w:cs="Times New Roman"/>
      <w:color w:val="000000"/>
      <w:kern w:val="2"/>
      <w:sz w:val="24"/>
      <w:szCs w:val="24"/>
      <w:lang w:val="en-US" w:bidi="ar-SA"/>
    </w:rPr>
  </w:style>
  <w:style w:type="paragraph" w:customStyle="1" w:styleId="934">
    <w:name w:val="xl51"/>
    <w:basedOn w:val="1"/>
    <w:qFormat/>
    <w:uiPriority w:val="99"/>
    <w:pPr>
      <w:widowControl/>
      <w:pBdr>
        <w:left w:val="single" w:color="auto" w:sz="4" w:space="0"/>
        <w:right w:val="single" w:color="auto" w:sz="4" w:space="0"/>
      </w:pBdr>
      <w:autoSpaceDE/>
      <w:autoSpaceDN/>
      <w:snapToGrid w:val="0"/>
      <w:spacing w:before="100" w:beforeAutospacing="1" w:after="100" w:afterAutospacing="1"/>
      <w:ind w:firstLine="480" w:firstLineChars="200"/>
      <w:jc w:val="center"/>
    </w:pPr>
    <w:rPr>
      <w:rFonts w:ascii="楷体" w:eastAsia="楷体" w:cs="Times New Roman"/>
      <w:color w:val="0000FF"/>
      <w:sz w:val="12"/>
      <w:szCs w:val="12"/>
      <w:lang w:val="en-US" w:bidi="ar-SA"/>
    </w:rPr>
  </w:style>
  <w:style w:type="paragraph" w:customStyle="1" w:styleId="935">
    <w:name w:val="Normal_6"/>
    <w:qFormat/>
    <w:uiPriority w:val="99"/>
    <w:pPr>
      <w:spacing w:before="120" w:after="240"/>
      <w:jc w:val="both"/>
    </w:pPr>
    <w:rPr>
      <w:rFonts w:ascii="Times New Roman" w:hAnsi="Times New Roman" w:eastAsia="Times New Roman" w:cs="Times New Roman"/>
      <w:sz w:val="22"/>
      <w:szCs w:val="22"/>
      <w:lang w:val="en-US" w:eastAsia="en-US" w:bidi="ar-SA"/>
    </w:rPr>
  </w:style>
  <w:style w:type="paragraph" w:customStyle="1" w:styleId="936">
    <w:name w:val="xl1114"/>
    <w:basedOn w:val="1"/>
    <w:qFormat/>
    <w:uiPriority w:val="99"/>
    <w:pPr>
      <w:widowControl/>
      <w:pBdr>
        <w:top w:val="single" w:color="auto" w:sz="4" w:space="0"/>
        <w:bottom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937">
    <w:name w:val="HCH封面7"/>
    <w:qFormat/>
    <w:uiPriority w:val="99"/>
    <w:pPr>
      <w:jc w:val="center"/>
    </w:pPr>
    <w:rPr>
      <w:rFonts w:ascii="Times New Roman" w:hAnsi="Times New Roman" w:eastAsia="宋体" w:cs="Times New Roman"/>
      <w:bCs/>
      <w:kern w:val="2"/>
      <w:sz w:val="28"/>
      <w:szCs w:val="24"/>
      <w:lang w:val="en-US" w:eastAsia="zh-CN" w:bidi="ar-SA"/>
    </w:rPr>
  </w:style>
  <w:style w:type="paragraph" w:customStyle="1" w:styleId="938">
    <w:name w:val="1.1.1.1"/>
    <w:qFormat/>
    <w:uiPriority w:val="99"/>
    <w:pPr>
      <w:widowControl w:val="0"/>
      <w:ind w:firstLine="426"/>
      <w:jc w:val="both"/>
    </w:pPr>
    <w:rPr>
      <w:rFonts w:ascii="宋体" w:hAnsi="Times New Roman" w:eastAsia="宋体" w:cs="Times New Roman"/>
      <w:kern w:val="2"/>
      <w:sz w:val="21"/>
      <w:szCs w:val="21"/>
      <w:lang w:val="en-US" w:eastAsia="zh-CN" w:bidi="ar-SA"/>
    </w:rPr>
  </w:style>
  <w:style w:type="paragraph" w:customStyle="1" w:styleId="939">
    <w:name w:val="样式 标题 3 + 首行缩进:  0.99 厘米"/>
    <w:basedOn w:val="6"/>
    <w:qFormat/>
    <w:uiPriority w:val="99"/>
    <w:pPr>
      <w:widowControl/>
      <w:tabs>
        <w:tab w:val="left" w:pos="980"/>
      </w:tabs>
      <w:autoSpaceDE/>
      <w:autoSpaceDN/>
      <w:adjustRightInd w:val="0"/>
      <w:snapToGrid w:val="0"/>
      <w:spacing w:before="60" w:after="60" w:line="460" w:lineRule="exact"/>
      <w:ind w:left="896" w:right="-64" w:rightChars="-64" w:firstLine="200"/>
    </w:pPr>
    <w:rPr>
      <w:rFonts w:ascii="黑体" w:hAnsi="Times New Roman" w:eastAsia="黑体"/>
      <w:b/>
      <w:bCs/>
      <w:sz w:val="24"/>
      <w:szCs w:val="20"/>
      <w:lang w:val="en-US" w:bidi="ar-SA"/>
    </w:rPr>
  </w:style>
  <w:style w:type="character" w:customStyle="1" w:styleId="940">
    <w:name w:val="标题 4 + 五号 Char"/>
    <w:link w:val="941"/>
    <w:qFormat/>
    <w:uiPriority w:val="0"/>
    <w:rPr>
      <w:rFonts w:ascii="Arial" w:hAnsi="Arial" w:eastAsia="黑体" w:cs="Arial"/>
      <w:b/>
      <w:bCs/>
      <w:kern w:val="2"/>
      <w:sz w:val="21"/>
      <w:szCs w:val="28"/>
    </w:rPr>
  </w:style>
  <w:style w:type="paragraph" w:customStyle="1" w:styleId="941">
    <w:name w:val="标题 4 + 五号"/>
    <w:basedOn w:val="7"/>
    <w:link w:val="940"/>
    <w:qFormat/>
    <w:uiPriority w:val="0"/>
    <w:pPr>
      <w:autoSpaceDE/>
      <w:autoSpaceDN/>
      <w:adjustRightInd w:val="0"/>
      <w:snapToGrid w:val="0"/>
      <w:spacing w:before="280" w:after="290"/>
      <w:ind w:left="0" w:firstLine="420"/>
    </w:pPr>
    <w:rPr>
      <w:rFonts w:ascii="Arial" w:hAnsi="Arial" w:eastAsia="黑体" w:cs="Arial"/>
      <w:kern w:val="2"/>
      <w:sz w:val="21"/>
      <w:lang w:val="en-US" w:bidi="ar-SA"/>
    </w:rPr>
  </w:style>
  <w:style w:type="paragraph" w:customStyle="1" w:styleId="942">
    <w:name w:val="xl67"/>
    <w:basedOn w:val="1"/>
    <w:qFormat/>
    <w:uiPriority w:val="99"/>
    <w:pPr>
      <w:widowControl/>
      <w:pBdr>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rFonts w:cs="Times New Roman"/>
      <w:color w:val="000000"/>
      <w:sz w:val="12"/>
      <w:szCs w:val="12"/>
      <w:lang w:val="en-US" w:bidi="ar-SA"/>
    </w:rPr>
  </w:style>
  <w:style w:type="paragraph" w:customStyle="1" w:styleId="943">
    <w:name w:val="xl63"/>
    <w:basedOn w:val="1"/>
    <w:qFormat/>
    <w:uiPriority w:val="99"/>
    <w:pPr>
      <w:widowControl/>
      <w:pBdr>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rFonts w:ascii="楷体" w:eastAsia="楷体" w:cs="Times New Roman"/>
      <w:color w:val="0000FF"/>
      <w:sz w:val="12"/>
      <w:szCs w:val="12"/>
      <w:lang w:val="en-US" w:bidi="ar-SA"/>
    </w:rPr>
  </w:style>
  <w:style w:type="character" w:customStyle="1" w:styleId="944">
    <w:name w:val="标题444 Char"/>
    <w:link w:val="945"/>
    <w:qFormat/>
    <w:uiPriority w:val="0"/>
    <w:rPr>
      <w:sz w:val="24"/>
      <w:szCs w:val="24"/>
    </w:rPr>
  </w:style>
  <w:style w:type="paragraph" w:customStyle="1" w:styleId="945">
    <w:name w:val="标题444"/>
    <w:basedOn w:val="1"/>
    <w:link w:val="944"/>
    <w:qFormat/>
    <w:uiPriority w:val="0"/>
    <w:pPr>
      <w:autoSpaceDE/>
      <w:autoSpaceDN/>
      <w:snapToGrid w:val="0"/>
      <w:spacing w:line="480" w:lineRule="exact"/>
      <w:ind w:firstLine="480" w:firstLineChars="200"/>
      <w:jc w:val="both"/>
      <w:outlineLvl w:val="3"/>
    </w:pPr>
    <w:rPr>
      <w:rFonts w:ascii="Times New Roman" w:hAnsi="Times New Roman" w:cs="Times New Roman"/>
      <w:sz w:val="24"/>
      <w:szCs w:val="24"/>
      <w:lang w:val="en-US" w:bidi="ar-SA"/>
    </w:rPr>
  </w:style>
  <w:style w:type="paragraph" w:customStyle="1" w:styleId="946">
    <w:name w:val="签名页"/>
    <w:basedOn w:val="1"/>
    <w:qFormat/>
    <w:uiPriority w:val="99"/>
    <w:pPr>
      <w:tabs>
        <w:tab w:val="left" w:pos="2068"/>
        <w:tab w:val="left" w:pos="2628"/>
        <w:tab w:val="left" w:pos="4588"/>
        <w:tab w:val="left" w:pos="6548"/>
      </w:tabs>
      <w:autoSpaceDE/>
      <w:autoSpaceDN/>
      <w:snapToGrid w:val="0"/>
      <w:ind w:firstLine="560" w:firstLineChars="200"/>
    </w:pPr>
    <w:rPr>
      <w:rFonts w:ascii="黑体" w:hAnsi="Times New Roman" w:eastAsia="黑体" w:cs="Times New Roman"/>
      <w:color w:val="000000"/>
      <w:kern w:val="2"/>
      <w:sz w:val="32"/>
      <w:szCs w:val="32"/>
      <w:lang w:val="en-US" w:bidi="ar-SA"/>
    </w:rPr>
  </w:style>
  <w:style w:type="paragraph" w:customStyle="1" w:styleId="947">
    <w:name w:val="表"/>
    <w:basedOn w:val="1"/>
    <w:qFormat/>
    <w:uiPriority w:val="99"/>
    <w:pPr>
      <w:keepNext/>
      <w:autoSpaceDE/>
      <w:autoSpaceDN/>
      <w:adjustRightInd w:val="0"/>
      <w:snapToGrid w:val="0"/>
      <w:spacing w:before="120"/>
      <w:ind w:firstLine="425" w:firstLineChars="200"/>
      <w:jc w:val="center"/>
    </w:pPr>
    <w:rPr>
      <w:rFonts w:ascii="Times New Roman" w:hAnsi="Times New Roman" w:eastAsia="楷体_GB2312" w:cs="Times New Roman"/>
      <w:color w:val="000000"/>
      <w:sz w:val="28"/>
      <w:szCs w:val="20"/>
      <w:lang w:val="en-US" w:bidi="ar-SA"/>
    </w:rPr>
  </w:style>
  <w:style w:type="paragraph" w:customStyle="1" w:styleId="948">
    <w:name w:val="font10"/>
    <w:basedOn w:val="1"/>
    <w:qFormat/>
    <w:uiPriority w:val="99"/>
    <w:pPr>
      <w:widowControl/>
      <w:autoSpaceDE/>
      <w:autoSpaceDN/>
      <w:snapToGrid w:val="0"/>
      <w:spacing w:before="100" w:beforeAutospacing="1" w:after="100" w:afterAutospacing="1"/>
      <w:ind w:firstLine="480" w:firstLineChars="200"/>
    </w:pPr>
    <w:rPr>
      <w:rFonts w:ascii="Times New Roman" w:hAnsi="Times New Roman" w:cs="Times New Roman"/>
      <w:color w:val="000000"/>
      <w:sz w:val="12"/>
      <w:szCs w:val="12"/>
      <w:lang w:val="en-US" w:bidi="ar-SA"/>
    </w:rPr>
  </w:style>
  <w:style w:type="character" w:customStyle="1" w:styleId="949">
    <w:name w:val="HCH图表2 Char Char"/>
    <w:link w:val="950"/>
    <w:qFormat/>
    <w:uiPriority w:val="0"/>
    <w:rPr>
      <w:rFonts w:ascii="宋体" w:hAnsi="宋体"/>
      <w:bCs/>
      <w:kern w:val="2"/>
      <w:sz w:val="21"/>
      <w:szCs w:val="21"/>
    </w:rPr>
  </w:style>
  <w:style w:type="paragraph" w:customStyle="1" w:styleId="950">
    <w:name w:val="HCH图表2"/>
    <w:next w:val="1"/>
    <w:link w:val="949"/>
    <w:qFormat/>
    <w:uiPriority w:val="0"/>
    <w:pPr>
      <w:widowControl w:val="0"/>
      <w:jc w:val="center"/>
    </w:pPr>
    <w:rPr>
      <w:rFonts w:ascii="宋体" w:hAnsi="宋体" w:eastAsia="宋体" w:cs="Times New Roman"/>
      <w:bCs/>
      <w:kern w:val="2"/>
      <w:sz w:val="21"/>
      <w:szCs w:val="21"/>
      <w:lang w:val="en-US" w:eastAsia="zh-CN" w:bidi="ar-SA"/>
    </w:rPr>
  </w:style>
  <w:style w:type="paragraph" w:customStyle="1" w:styleId="951">
    <w:name w:val="font5"/>
    <w:basedOn w:val="1"/>
    <w:qFormat/>
    <w:uiPriority w:val="99"/>
    <w:pPr>
      <w:widowControl/>
      <w:autoSpaceDE/>
      <w:autoSpaceDN/>
      <w:snapToGrid w:val="0"/>
      <w:spacing w:before="100" w:beforeAutospacing="1" w:after="100" w:afterAutospacing="1"/>
      <w:ind w:firstLine="480" w:firstLineChars="200"/>
    </w:pPr>
    <w:rPr>
      <w:rFonts w:cs="Times New Roman"/>
      <w:color w:val="000000"/>
      <w:sz w:val="18"/>
      <w:szCs w:val="18"/>
      <w:lang w:val="en-US" w:bidi="ar-SA"/>
    </w:rPr>
  </w:style>
  <w:style w:type="paragraph" w:customStyle="1" w:styleId="952">
    <w:name w:val="xl135"/>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4"/>
      <w:szCs w:val="24"/>
      <w:lang w:val="en-US" w:bidi="ar-SA"/>
    </w:rPr>
  </w:style>
  <w:style w:type="paragraph" w:customStyle="1" w:styleId="953">
    <w:name w:val="xl83"/>
    <w:basedOn w:val="1"/>
    <w:qFormat/>
    <w:uiPriority w:val="99"/>
    <w:pPr>
      <w:widowControl/>
      <w:pBdr>
        <w:top w:val="single" w:color="auto" w:sz="4" w:space="0"/>
        <w:bottom w:val="single" w:color="auto" w:sz="4" w:space="0"/>
        <w:right w:val="single" w:color="auto" w:sz="4" w:space="0"/>
      </w:pBdr>
      <w:shd w:val="clear" w:color="auto" w:fill="FFFFFF"/>
      <w:autoSpaceDE/>
      <w:autoSpaceDN/>
      <w:snapToGrid w:val="0"/>
      <w:spacing w:before="100" w:beforeAutospacing="1" w:after="100" w:afterAutospacing="1"/>
      <w:ind w:firstLine="480" w:firstLineChars="200"/>
      <w:jc w:val="center"/>
    </w:pPr>
    <w:rPr>
      <w:rFonts w:ascii="楷体" w:eastAsia="楷体" w:cs="Times New Roman"/>
      <w:color w:val="FF0000"/>
      <w:sz w:val="12"/>
      <w:szCs w:val="12"/>
      <w:lang w:val="en-US" w:bidi="ar-SA"/>
    </w:rPr>
  </w:style>
  <w:style w:type="paragraph" w:customStyle="1" w:styleId="954">
    <w:name w:val="MTDisplayEquation"/>
    <w:basedOn w:val="1"/>
    <w:next w:val="1"/>
    <w:qFormat/>
    <w:uiPriority w:val="99"/>
    <w:pPr>
      <w:keepNext/>
      <w:tabs>
        <w:tab w:val="center" w:pos="4160"/>
        <w:tab w:val="right" w:pos="8320"/>
      </w:tabs>
      <w:autoSpaceDE/>
      <w:autoSpaceDN/>
      <w:adjustRightInd w:val="0"/>
      <w:snapToGrid w:val="0"/>
      <w:spacing w:line="360" w:lineRule="exact"/>
      <w:ind w:right="-64" w:rightChars="-64" w:firstLine="1050" w:firstLineChars="500"/>
    </w:pPr>
    <w:rPr>
      <w:rFonts w:ascii="黑体" w:hAnsi="黑体" w:cs="Times New Roman"/>
      <w:color w:val="000000"/>
      <w:kern w:val="2"/>
      <w:sz w:val="21"/>
      <w:szCs w:val="21"/>
      <w:lang w:val="en-US" w:bidi="ar-SA"/>
    </w:rPr>
  </w:style>
  <w:style w:type="character" w:customStyle="1" w:styleId="955">
    <w:name w:val="表头 Char"/>
    <w:link w:val="956"/>
    <w:qFormat/>
    <w:uiPriority w:val="0"/>
    <w:rPr>
      <w:rFonts w:ascii="黑体" w:hAnsi="黑体" w:eastAsia="黑体"/>
      <w:kern w:val="2"/>
      <w:sz w:val="24"/>
      <w:szCs w:val="28"/>
    </w:rPr>
  </w:style>
  <w:style w:type="paragraph" w:customStyle="1" w:styleId="956">
    <w:name w:val="表头"/>
    <w:basedOn w:val="1"/>
    <w:link w:val="955"/>
    <w:qFormat/>
    <w:uiPriority w:val="0"/>
    <w:pPr>
      <w:autoSpaceDE/>
      <w:autoSpaceDN/>
      <w:snapToGrid w:val="0"/>
      <w:spacing w:beforeLines="600"/>
      <w:jc w:val="center"/>
    </w:pPr>
    <w:rPr>
      <w:rFonts w:ascii="黑体" w:hAnsi="黑体" w:eastAsia="黑体" w:cs="Times New Roman"/>
      <w:kern w:val="2"/>
      <w:sz w:val="24"/>
      <w:szCs w:val="28"/>
      <w:lang w:val="en-US" w:bidi="ar-SA"/>
    </w:rPr>
  </w:style>
  <w:style w:type="paragraph" w:customStyle="1" w:styleId="957">
    <w:name w:val="样式 样式 标题 3m标题 3 + 段后: 0.2 行 + 段前: 0.2 行 段后: 0.2 行"/>
    <w:basedOn w:val="1"/>
    <w:qFormat/>
    <w:uiPriority w:val="99"/>
    <w:pPr>
      <w:keepNext/>
      <w:keepLines/>
      <w:adjustRightInd w:val="0"/>
      <w:snapToGrid w:val="0"/>
      <w:spacing w:beforeLines="20" w:line="360" w:lineRule="auto"/>
      <w:ind w:firstLine="480" w:firstLineChars="200"/>
      <w:outlineLvl w:val="2"/>
    </w:pPr>
    <w:rPr>
      <w:b/>
      <w:color w:val="000000"/>
      <w:sz w:val="28"/>
      <w:szCs w:val="20"/>
      <w:lang w:val="en-US" w:bidi="ar-SA"/>
    </w:rPr>
  </w:style>
  <w:style w:type="character" w:customStyle="1" w:styleId="958">
    <w:name w:val="标题 2 + 宋体 Char Char"/>
    <w:link w:val="959"/>
    <w:qFormat/>
    <w:uiPriority w:val="99"/>
    <w:rPr>
      <w:rFonts w:ascii="宋体" w:hAnsi="宋体"/>
      <w:b/>
      <w:bCs/>
      <w:sz w:val="30"/>
      <w:szCs w:val="52"/>
    </w:rPr>
  </w:style>
  <w:style w:type="paragraph" w:customStyle="1" w:styleId="959">
    <w:name w:val="标题 2 + 宋体"/>
    <w:basedOn w:val="5"/>
    <w:link w:val="958"/>
    <w:qFormat/>
    <w:uiPriority w:val="99"/>
    <w:pPr>
      <w:widowControl/>
      <w:tabs>
        <w:tab w:val="left" w:pos="0"/>
        <w:tab w:val="left" w:pos="1084"/>
        <w:tab w:val="left" w:pos="2547"/>
      </w:tabs>
      <w:autoSpaceDE/>
      <w:autoSpaceDN/>
      <w:adjustRightInd w:val="0"/>
      <w:snapToGrid w:val="0"/>
      <w:spacing w:before="100" w:after="100" w:line="460" w:lineRule="exact"/>
      <w:ind w:firstLine="480"/>
    </w:pPr>
    <w:rPr>
      <w:rFonts w:cs="Times New Roman"/>
      <w:szCs w:val="52"/>
      <w:lang w:val="en-US" w:bidi="ar-SA"/>
    </w:rPr>
  </w:style>
  <w:style w:type="paragraph" w:customStyle="1" w:styleId="960">
    <w:name w:val="日期1"/>
    <w:basedOn w:val="1"/>
    <w:next w:val="1"/>
    <w:qFormat/>
    <w:uiPriority w:val="99"/>
    <w:pPr>
      <w:autoSpaceDE/>
      <w:autoSpaceDN/>
      <w:snapToGrid w:val="0"/>
      <w:ind w:left="100" w:leftChars="2500" w:firstLine="480" w:firstLineChars="200"/>
      <w:jc w:val="both"/>
    </w:pPr>
    <w:rPr>
      <w:rFonts w:ascii="Calibri" w:hAnsi="Calibri" w:eastAsia="等线" w:cs="Times New Roman"/>
      <w:color w:val="000000"/>
      <w:kern w:val="2"/>
      <w:sz w:val="21"/>
      <w:lang w:val="en-US" w:bidi="ar-SA"/>
    </w:rPr>
  </w:style>
  <w:style w:type="paragraph" w:customStyle="1" w:styleId="961">
    <w:name w:val="HCH封面1"/>
    <w:next w:val="263"/>
    <w:qFormat/>
    <w:uiPriority w:val="99"/>
    <w:pPr>
      <w:spacing w:line="500" w:lineRule="exact"/>
    </w:pPr>
    <w:rPr>
      <w:rFonts w:ascii="Times New Roman" w:hAnsi="Times New Roman" w:eastAsia="黑体" w:cs="Times New Roman"/>
      <w:kern w:val="2"/>
      <w:sz w:val="28"/>
      <w:szCs w:val="28"/>
      <w:lang w:val="en-US" w:eastAsia="zh-CN" w:bidi="ar-SA"/>
    </w:rPr>
  </w:style>
  <w:style w:type="paragraph" w:customStyle="1" w:styleId="962">
    <w:name w:val="xl117"/>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4"/>
      <w:szCs w:val="24"/>
      <w:lang w:val="en-US" w:bidi="ar-SA"/>
    </w:rPr>
  </w:style>
  <w:style w:type="character" w:customStyle="1" w:styleId="963">
    <w:name w:val="gage标题2 Char"/>
    <w:link w:val="964"/>
    <w:qFormat/>
    <w:uiPriority w:val="0"/>
    <w:rPr>
      <w:rFonts w:ascii="宋体" w:hAnsi="宋体"/>
      <w:b/>
      <w:bCs/>
      <w:kern w:val="44"/>
      <w:sz w:val="30"/>
      <w:szCs w:val="32"/>
    </w:rPr>
  </w:style>
  <w:style w:type="paragraph" w:customStyle="1" w:styleId="964">
    <w:name w:val="gage标题2"/>
    <w:link w:val="963"/>
    <w:qFormat/>
    <w:uiPriority w:val="0"/>
    <w:pPr>
      <w:spacing w:beforeLines="50" w:line="360" w:lineRule="auto"/>
    </w:pPr>
    <w:rPr>
      <w:rFonts w:ascii="宋体" w:hAnsi="宋体" w:eastAsia="宋体" w:cs="Times New Roman"/>
      <w:b/>
      <w:bCs/>
      <w:kern w:val="44"/>
      <w:sz w:val="30"/>
      <w:szCs w:val="32"/>
      <w:lang w:val="en-US" w:eastAsia="zh-CN" w:bidi="ar-SA"/>
    </w:rPr>
  </w:style>
  <w:style w:type="paragraph" w:customStyle="1" w:styleId="965">
    <w:name w:val="！表格正文"/>
    <w:qFormat/>
    <w:uiPriority w:val="99"/>
    <w:pPr>
      <w:adjustRightInd w:val="0"/>
      <w:snapToGrid w:val="0"/>
      <w:spacing w:line="340" w:lineRule="exact"/>
      <w:jc w:val="center"/>
    </w:pPr>
    <w:rPr>
      <w:rFonts w:ascii="仿宋_GB2312" w:hAnsi="宋体" w:eastAsia="仿宋_GB2312" w:cs="Times New Roman"/>
      <w:sz w:val="21"/>
      <w:lang w:val="en-US" w:eastAsia="zh-CN" w:bidi="ar-SA"/>
    </w:rPr>
  </w:style>
  <w:style w:type="paragraph" w:customStyle="1" w:styleId="966">
    <w:name w:val="xl143"/>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color w:val="000000"/>
      <w:sz w:val="24"/>
      <w:szCs w:val="24"/>
      <w:lang w:val="en-US" w:bidi="ar-SA"/>
    </w:rPr>
  </w:style>
  <w:style w:type="character" w:customStyle="1" w:styleId="967">
    <w:name w:val="图片说明 Char"/>
    <w:link w:val="968"/>
    <w:semiHidden/>
    <w:qFormat/>
    <w:uiPriority w:val="0"/>
    <w:rPr>
      <w:b/>
      <w:szCs w:val="21"/>
    </w:rPr>
  </w:style>
  <w:style w:type="paragraph" w:customStyle="1" w:styleId="968">
    <w:name w:val="图片说明"/>
    <w:basedOn w:val="1"/>
    <w:link w:val="967"/>
    <w:semiHidden/>
    <w:qFormat/>
    <w:uiPriority w:val="0"/>
    <w:pPr>
      <w:autoSpaceDE/>
      <w:autoSpaceDN/>
      <w:snapToGrid w:val="0"/>
      <w:spacing w:line="360" w:lineRule="auto"/>
      <w:ind w:firstLine="480" w:firstLineChars="200"/>
      <w:jc w:val="center"/>
    </w:pPr>
    <w:rPr>
      <w:rFonts w:ascii="Times New Roman" w:hAnsi="Times New Roman" w:cs="Times New Roman"/>
      <w:b/>
      <w:sz w:val="20"/>
      <w:szCs w:val="21"/>
      <w:lang w:val="en-US" w:bidi="ar-SA"/>
    </w:rPr>
  </w:style>
  <w:style w:type="paragraph" w:customStyle="1" w:styleId="969">
    <w:name w:val="书名"/>
    <w:basedOn w:val="1"/>
    <w:qFormat/>
    <w:uiPriority w:val="99"/>
    <w:pPr>
      <w:autoSpaceDE/>
      <w:autoSpaceDN/>
      <w:snapToGrid w:val="0"/>
      <w:ind w:firstLine="480" w:firstLineChars="200"/>
      <w:jc w:val="center"/>
    </w:pPr>
    <w:rPr>
      <w:rFonts w:ascii="Times New Roman" w:hAnsi="Times New Roman" w:eastAsia="华文宋体" w:cs="Times New Roman"/>
      <w:b/>
      <w:color w:val="000000"/>
      <w:spacing w:val="-20"/>
      <w:kern w:val="2"/>
      <w:sz w:val="52"/>
      <w:szCs w:val="52"/>
      <w:lang w:val="en-US" w:bidi="ar-SA"/>
    </w:rPr>
  </w:style>
  <w:style w:type="paragraph" w:customStyle="1" w:styleId="970">
    <w:name w:val="xl1102"/>
    <w:basedOn w:val="1"/>
    <w:qFormat/>
    <w:uiPriority w:val="99"/>
    <w:pPr>
      <w:widowControl/>
      <w:pBdr>
        <w:left w:val="single" w:color="auto" w:sz="4" w:space="0"/>
        <w:right w:val="single" w:color="auto" w:sz="4" w:space="0"/>
      </w:pBdr>
      <w:autoSpaceDE/>
      <w:autoSpaceDN/>
      <w:snapToGrid w:val="0"/>
      <w:spacing w:before="100" w:beforeAutospacing="1" w:after="100" w:afterAutospacing="1"/>
      <w:ind w:firstLine="480" w:firstLineChars="200"/>
      <w:jc w:val="center"/>
    </w:pPr>
    <w:rPr>
      <w:rFonts w:ascii="仿宋_GB2312" w:eastAsia="仿宋_GB2312" w:cs="Times New Roman"/>
      <w:color w:val="000000"/>
      <w:sz w:val="20"/>
      <w:szCs w:val="20"/>
      <w:lang w:val="en-US" w:bidi="ar-SA"/>
    </w:rPr>
  </w:style>
  <w:style w:type="paragraph" w:customStyle="1" w:styleId="971">
    <w:name w:val="文本框文字"/>
    <w:basedOn w:val="47"/>
    <w:qFormat/>
    <w:uiPriority w:val="99"/>
    <w:pPr>
      <w:spacing w:line="240" w:lineRule="auto"/>
      <w:jc w:val="center"/>
    </w:pPr>
    <w:rPr>
      <w:rFonts w:ascii="Times New Roman" w:hAnsi="Times New Roman"/>
      <w:kern w:val="0"/>
      <w:sz w:val="24"/>
      <w:szCs w:val="21"/>
    </w:rPr>
  </w:style>
  <w:style w:type="character" w:customStyle="1" w:styleId="972">
    <w:name w:val="样式 标题 4 +1 Char"/>
    <w:link w:val="973"/>
    <w:qFormat/>
    <w:uiPriority w:val="0"/>
    <w:rPr>
      <w:rFonts w:ascii="黑体" w:hAnsi="黑体" w:eastAsia="黑体"/>
      <w:kern w:val="2"/>
      <w:sz w:val="24"/>
      <w:szCs w:val="24"/>
    </w:rPr>
  </w:style>
  <w:style w:type="paragraph" w:customStyle="1" w:styleId="973">
    <w:name w:val="样式 标题 4 +1"/>
    <w:basedOn w:val="7"/>
    <w:link w:val="972"/>
    <w:qFormat/>
    <w:uiPriority w:val="0"/>
    <w:pPr>
      <w:keepNext/>
      <w:keepLines/>
      <w:autoSpaceDE/>
      <w:autoSpaceDN/>
      <w:adjustRightInd w:val="0"/>
      <w:snapToGrid w:val="0"/>
      <w:spacing w:before="0" w:beforeLines="50" w:after="60"/>
      <w:ind w:left="0" w:right="-64" w:rightChars="-64" w:firstLine="0"/>
    </w:pPr>
    <w:rPr>
      <w:rFonts w:ascii="黑体" w:hAnsi="黑体" w:eastAsia="黑体" w:cs="Times New Roman"/>
      <w:b w:val="0"/>
      <w:bCs w:val="0"/>
      <w:kern w:val="2"/>
      <w:sz w:val="24"/>
      <w:szCs w:val="24"/>
      <w:lang w:val="en-US" w:bidi="ar-SA"/>
    </w:rPr>
  </w:style>
  <w:style w:type="paragraph" w:customStyle="1" w:styleId="974">
    <w:name w:val="公正文"/>
    <w:basedOn w:val="22"/>
    <w:qFormat/>
    <w:uiPriority w:val="99"/>
    <w:pPr>
      <w:snapToGrid/>
      <w:spacing w:line="240" w:lineRule="auto"/>
      <w:ind w:firstLine="544"/>
      <w:contextualSpacing/>
    </w:pPr>
    <w:rPr>
      <w:rFonts w:eastAsia="仿宋_GB2312"/>
      <w:sz w:val="28"/>
    </w:rPr>
  </w:style>
  <w:style w:type="paragraph" w:customStyle="1" w:styleId="975">
    <w:name w:val="Char1 Char Char Char1 Char Char Char"/>
    <w:basedOn w:val="1"/>
    <w:qFormat/>
    <w:uiPriority w:val="99"/>
    <w:pPr>
      <w:autoSpaceDE/>
      <w:autoSpaceDN/>
      <w:snapToGrid w:val="0"/>
      <w:spacing w:line="360" w:lineRule="auto"/>
      <w:ind w:firstLine="200" w:firstLineChars="200"/>
      <w:jc w:val="both"/>
    </w:pPr>
    <w:rPr>
      <w:color w:val="000000"/>
      <w:kern w:val="2"/>
      <w:sz w:val="24"/>
      <w:szCs w:val="24"/>
      <w:lang w:val="en-US" w:bidi="ar-SA"/>
    </w:rPr>
  </w:style>
  <w:style w:type="paragraph" w:customStyle="1" w:styleId="976">
    <w:name w:val="正文小标题"/>
    <w:basedOn w:val="1"/>
    <w:next w:val="2"/>
    <w:qFormat/>
    <w:uiPriority w:val="99"/>
    <w:pPr>
      <w:keepNext/>
      <w:tabs>
        <w:tab w:val="left" w:pos="735"/>
        <w:tab w:val="left" w:pos="780"/>
      </w:tabs>
      <w:overflowPunct w:val="0"/>
      <w:adjustRightInd w:val="0"/>
      <w:snapToGrid w:val="0"/>
      <w:ind w:right="-64" w:rightChars="-64" w:firstLine="420" w:firstLineChars="200"/>
    </w:pPr>
    <w:rPr>
      <w:rFonts w:ascii="黑体" w:hAnsi="Calibri" w:cs="Times New Roman"/>
      <w:color w:val="000000"/>
      <w:sz w:val="21"/>
      <w:lang w:val="en-US" w:bidi="ar-SA"/>
    </w:rPr>
  </w:style>
  <w:style w:type="paragraph" w:customStyle="1" w:styleId="977">
    <w:name w:val="HCH封面2"/>
    <w:next w:val="263"/>
    <w:qFormat/>
    <w:uiPriority w:val="99"/>
    <w:pPr>
      <w:spacing w:beforeLines="50" w:afterLines="50" w:line="500" w:lineRule="exact"/>
      <w:jc w:val="center"/>
    </w:pPr>
    <w:rPr>
      <w:rFonts w:ascii="Times New Roman" w:hAnsi="Times New Roman" w:eastAsia="黑体" w:cs="Times New Roman"/>
      <w:kern w:val="2"/>
      <w:sz w:val="52"/>
      <w:lang w:val="en-US" w:eastAsia="zh-CN" w:bidi="ar-SA"/>
    </w:rPr>
  </w:style>
  <w:style w:type="character" w:customStyle="1" w:styleId="978">
    <w:name w:val="表格标题 Char"/>
    <w:link w:val="979"/>
    <w:qFormat/>
    <w:uiPriority w:val="0"/>
    <w:rPr>
      <w:kern w:val="2"/>
      <w:sz w:val="24"/>
      <w:szCs w:val="24"/>
    </w:rPr>
  </w:style>
  <w:style w:type="paragraph" w:customStyle="1" w:styleId="979">
    <w:name w:val="表格标题"/>
    <w:basedOn w:val="74"/>
    <w:next w:val="1"/>
    <w:link w:val="978"/>
    <w:qFormat/>
    <w:uiPriority w:val="0"/>
    <w:pPr>
      <w:ind w:left="0" w:leftChars="0" w:firstLine="480" w:firstLineChars="200"/>
      <w:outlineLvl w:val="4"/>
    </w:pPr>
    <w:rPr>
      <w:color w:val="auto"/>
    </w:rPr>
  </w:style>
  <w:style w:type="paragraph" w:customStyle="1" w:styleId="980">
    <w:name w:val="！小图表样式"/>
    <w:basedOn w:val="1"/>
    <w:next w:val="1"/>
    <w:qFormat/>
    <w:uiPriority w:val="99"/>
    <w:pPr>
      <w:autoSpaceDE/>
      <w:autoSpaceDN/>
      <w:adjustRightInd w:val="0"/>
      <w:snapToGrid w:val="0"/>
      <w:spacing w:before="40" w:after="40"/>
      <w:ind w:right="90" w:rightChars="90" w:firstLine="480" w:firstLineChars="200"/>
      <w:jc w:val="center"/>
    </w:pPr>
    <w:rPr>
      <w:rFonts w:cs="Times New Roman"/>
      <w:color w:val="000000"/>
      <w:kern w:val="2"/>
      <w:sz w:val="18"/>
      <w:szCs w:val="20"/>
      <w:lang w:val="en-US" w:bidi="ar-SA"/>
    </w:rPr>
  </w:style>
  <w:style w:type="paragraph" w:customStyle="1" w:styleId="981">
    <w:name w:val="font9"/>
    <w:basedOn w:val="1"/>
    <w:qFormat/>
    <w:uiPriority w:val="99"/>
    <w:pPr>
      <w:widowControl/>
      <w:autoSpaceDE/>
      <w:autoSpaceDN/>
      <w:snapToGrid w:val="0"/>
      <w:spacing w:before="100" w:beforeAutospacing="1" w:after="100" w:afterAutospacing="1"/>
      <w:ind w:firstLine="480" w:firstLineChars="200"/>
    </w:pPr>
    <w:rPr>
      <w:rFonts w:cs="Times New Roman"/>
      <w:color w:val="0000FF"/>
      <w:sz w:val="12"/>
      <w:szCs w:val="12"/>
      <w:lang w:val="en-US" w:bidi="ar-SA"/>
    </w:rPr>
  </w:style>
  <w:style w:type="paragraph" w:customStyle="1" w:styleId="982">
    <w:name w:val="No Spacing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983">
    <w:name w:val="xl1134"/>
    <w:basedOn w:val="1"/>
    <w:qFormat/>
    <w:uiPriority w:val="99"/>
    <w:pPr>
      <w:widowControl/>
      <w:pBdr>
        <w:top w:val="single" w:color="auto" w:sz="4" w:space="0"/>
        <w:left w:val="single" w:color="auto" w:sz="4" w:space="0"/>
        <w:bottom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984">
    <w:name w:val="font14"/>
    <w:basedOn w:val="1"/>
    <w:qFormat/>
    <w:uiPriority w:val="99"/>
    <w:pPr>
      <w:widowControl/>
      <w:autoSpaceDE/>
      <w:autoSpaceDN/>
      <w:snapToGrid w:val="0"/>
      <w:spacing w:before="100" w:beforeAutospacing="1" w:after="100" w:afterAutospacing="1"/>
      <w:ind w:firstLine="480" w:firstLineChars="200"/>
    </w:pPr>
    <w:rPr>
      <w:b/>
      <w:bCs/>
      <w:color w:val="000000"/>
      <w:sz w:val="36"/>
      <w:szCs w:val="36"/>
      <w:lang w:val="en-US" w:bidi="ar-SA"/>
    </w:rPr>
  </w:style>
  <w:style w:type="paragraph" w:customStyle="1" w:styleId="985">
    <w:name w:val="xl1133"/>
    <w:basedOn w:val="1"/>
    <w:qFormat/>
    <w:uiPriority w:val="99"/>
    <w:pPr>
      <w:widowControl/>
      <w:pBdr>
        <w:top w:val="single" w:color="auto" w:sz="4" w:space="0"/>
        <w:left w:val="single" w:color="auto" w:sz="4" w:space="0"/>
        <w:bottom w:val="single" w:color="auto" w:sz="4" w:space="0"/>
      </w:pBdr>
      <w:autoSpaceDE/>
      <w:autoSpaceDN/>
      <w:snapToGrid w:val="0"/>
      <w:spacing w:before="100" w:beforeAutospacing="1" w:after="100" w:afterAutospacing="1"/>
      <w:ind w:firstLine="480" w:firstLineChars="200"/>
      <w:jc w:val="center"/>
    </w:pPr>
    <w:rPr>
      <w:rFonts w:ascii="仿宋_GB2312" w:eastAsia="仿宋_GB2312" w:cs="Times New Roman"/>
      <w:color w:val="000000"/>
      <w:sz w:val="20"/>
      <w:szCs w:val="20"/>
      <w:lang w:val="en-US" w:bidi="ar-SA"/>
    </w:rPr>
  </w:style>
  <w:style w:type="paragraph" w:customStyle="1" w:styleId="986">
    <w:name w:val="xl74"/>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rFonts w:ascii="楷体" w:eastAsia="楷体" w:cs="Times New Roman"/>
      <w:color w:val="000000"/>
      <w:sz w:val="12"/>
      <w:szCs w:val="12"/>
      <w:lang w:val="en-US" w:bidi="ar-SA"/>
    </w:rPr>
  </w:style>
  <w:style w:type="paragraph" w:customStyle="1" w:styleId="987">
    <w:name w:val="样式 表格内文字 + (中文) 楷体_GB2312 五号 两端对齐 行距: 固定值 12 磅"/>
    <w:basedOn w:val="1"/>
    <w:qFormat/>
    <w:uiPriority w:val="99"/>
    <w:pPr>
      <w:autoSpaceDE/>
      <w:autoSpaceDN/>
      <w:snapToGrid w:val="0"/>
      <w:spacing w:line="240" w:lineRule="exact"/>
      <w:ind w:firstLine="480" w:firstLineChars="200"/>
      <w:jc w:val="both"/>
    </w:pPr>
    <w:rPr>
      <w:rFonts w:ascii="Times New Roman" w:hAnsi="Times New Roman" w:eastAsia="楷体_GB2312" w:cs="楷体_GB2312"/>
      <w:color w:val="000000"/>
      <w:kern w:val="2"/>
      <w:sz w:val="21"/>
      <w:szCs w:val="21"/>
      <w:lang w:val="en-US" w:bidi="ar-SA"/>
    </w:rPr>
  </w:style>
  <w:style w:type="paragraph" w:customStyle="1" w:styleId="988">
    <w:name w:val="Char Char2 Char Char Char"/>
    <w:basedOn w:val="1"/>
    <w:qFormat/>
    <w:uiPriority w:val="99"/>
    <w:pPr>
      <w:widowControl/>
      <w:autoSpaceDE/>
      <w:autoSpaceDN/>
      <w:snapToGrid w:val="0"/>
      <w:spacing w:after="160" w:line="240" w:lineRule="exact"/>
      <w:ind w:firstLine="480" w:firstLineChars="200"/>
    </w:pPr>
    <w:rPr>
      <w:rFonts w:ascii="Times New Roman" w:hAnsi="Times New Roman" w:cs="Times New Roman"/>
      <w:color w:val="000000"/>
      <w:kern w:val="2"/>
      <w:sz w:val="21"/>
      <w:lang w:val="en-US" w:bidi="ar-SA"/>
    </w:rPr>
  </w:style>
  <w:style w:type="paragraph" w:customStyle="1" w:styleId="989">
    <w:name w:val="样式 标题 2 + 小四 Char"/>
    <w:basedOn w:val="5"/>
    <w:qFormat/>
    <w:uiPriority w:val="99"/>
    <w:pPr>
      <w:widowControl/>
      <w:tabs>
        <w:tab w:val="left" w:pos="0"/>
      </w:tabs>
      <w:overflowPunct w:val="0"/>
      <w:adjustRightInd w:val="0"/>
      <w:snapToGrid w:val="0"/>
      <w:spacing w:before="0" w:beforeLines="50" w:line="460" w:lineRule="exact"/>
      <w:ind w:left="676"/>
    </w:pPr>
    <w:rPr>
      <w:rFonts w:ascii="Times New Roman" w:hAnsi="Times New Roman" w:eastAsia="黑体" w:cs="Times New Roman"/>
      <w:b w:val="0"/>
      <w:bCs w:val="0"/>
      <w:sz w:val="24"/>
      <w:szCs w:val="24"/>
      <w:lang w:val="en-US" w:bidi="ar-SA"/>
    </w:rPr>
  </w:style>
  <w:style w:type="paragraph" w:customStyle="1" w:styleId="990">
    <w:name w:val="正文（首行缩进两字）2"/>
    <w:basedOn w:val="1"/>
    <w:qFormat/>
    <w:uiPriority w:val="99"/>
    <w:pPr>
      <w:autoSpaceDE/>
      <w:autoSpaceDN/>
      <w:snapToGrid w:val="0"/>
      <w:spacing w:line="480" w:lineRule="exact"/>
      <w:ind w:firstLine="200" w:firstLineChars="200"/>
      <w:jc w:val="both"/>
    </w:pPr>
    <w:rPr>
      <w:rFonts w:ascii="仿宋_GB2312" w:eastAsia="仿宋_GB2312" w:cs="Times New Roman"/>
      <w:color w:val="000000"/>
      <w:kern w:val="2"/>
      <w:sz w:val="28"/>
      <w:szCs w:val="20"/>
      <w:lang w:val="en-US" w:bidi="ar-SA"/>
    </w:rPr>
  </w:style>
  <w:style w:type="paragraph" w:customStyle="1" w:styleId="991">
    <w:name w:val="阿肥"/>
    <w:next w:val="460"/>
    <w:qFormat/>
    <w:uiPriority w:val="99"/>
    <w:rPr>
      <w:rFonts w:ascii="Times New Roman" w:hAnsi="Times New Roman" w:eastAsia="宋体" w:cs="Times New Roman"/>
      <w:kern w:val="2"/>
      <w:sz w:val="28"/>
      <w:lang w:val="en-US" w:eastAsia="zh-CN" w:bidi="ar-SA"/>
    </w:rPr>
  </w:style>
  <w:style w:type="character" w:customStyle="1" w:styleId="992">
    <w:name w:val="Table Char"/>
    <w:link w:val="993"/>
    <w:qFormat/>
    <w:uiPriority w:val="0"/>
    <w:rPr>
      <w:rFonts w:ascii="宋体" w:hAnsi="宋体"/>
      <w:bCs/>
      <w:sz w:val="21"/>
      <w:szCs w:val="21"/>
    </w:rPr>
  </w:style>
  <w:style w:type="paragraph" w:customStyle="1" w:styleId="993">
    <w:name w:val="Table"/>
    <w:basedOn w:val="2"/>
    <w:link w:val="992"/>
    <w:qFormat/>
    <w:uiPriority w:val="0"/>
    <w:pPr>
      <w:widowControl/>
      <w:autoSpaceDE/>
      <w:autoSpaceDN/>
      <w:snapToGrid w:val="0"/>
      <w:spacing w:before="0" w:line="256" w:lineRule="auto"/>
      <w:ind w:left="0" w:firstLine="480" w:firstLineChars="200"/>
      <w:jc w:val="center"/>
    </w:pPr>
    <w:rPr>
      <w:rFonts w:cs="Times New Roman"/>
      <w:bCs/>
      <w:sz w:val="21"/>
      <w:szCs w:val="21"/>
      <w:lang w:val="en-US" w:bidi="ar-SA"/>
    </w:rPr>
  </w:style>
  <w:style w:type="paragraph" w:customStyle="1" w:styleId="994">
    <w:name w:val="样式 标题 2+ + 段前: 0.5 行"/>
    <w:basedOn w:val="1"/>
    <w:qFormat/>
    <w:uiPriority w:val="99"/>
    <w:pPr>
      <w:autoSpaceDE/>
      <w:autoSpaceDN/>
      <w:snapToGrid w:val="0"/>
      <w:spacing w:beforeLines="50" w:line="360" w:lineRule="auto"/>
      <w:ind w:firstLine="480" w:firstLineChars="200"/>
      <w:outlineLvl w:val="1"/>
    </w:pPr>
    <w:rPr>
      <w:rFonts w:ascii="Times New Roman" w:hAnsi="Times New Roman"/>
      <w:b/>
      <w:bCs/>
      <w:color w:val="000000"/>
      <w:kern w:val="2"/>
      <w:sz w:val="28"/>
      <w:szCs w:val="20"/>
      <w:lang w:val="en-US" w:bidi="ar-SA"/>
    </w:rPr>
  </w:style>
  <w:style w:type="paragraph" w:customStyle="1" w:styleId="995">
    <w:name w:val="B目小四黑一"/>
    <w:basedOn w:val="1"/>
    <w:next w:val="1"/>
    <w:qFormat/>
    <w:uiPriority w:val="99"/>
    <w:pPr>
      <w:snapToGrid w:val="0"/>
      <w:spacing w:line="500" w:lineRule="exact"/>
      <w:ind w:firstLine="480" w:firstLineChars="200"/>
    </w:pPr>
    <w:rPr>
      <w:rFonts w:ascii="Times New Roman" w:hAnsi="Times New Roman" w:eastAsia="黑体" w:cs="Times New Roman"/>
      <w:color w:val="000000"/>
      <w:kern w:val="2"/>
      <w:sz w:val="24"/>
      <w:szCs w:val="20"/>
      <w:lang w:val="en-US" w:bidi="ar-SA"/>
    </w:rPr>
  </w:style>
  <w:style w:type="paragraph" w:customStyle="1" w:styleId="996">
    <w:name w:val="xl136"/>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4"/>
      <w:szCs w:val="24"/>
      <w:lang w:val="en-US" w:bidi="ar-SA"/>
    </w:rPr>
  </w:style>
  <w:style w:type="character" w:customStyle="1" w:styleId="997">
    <w:name w:val="样式 二室表头宋 + 浅橙色 段前: 0.5 行 段后: 0.5 行 Char"/>
    <w:link w:val="998"/>
    <w:qFormat/>
    <w:uiPriority w:val="0"/>
    <w:rPr>
      <w:rFonts w:ascii="黑体" w:hAnsi="黑体" w:eastAsia="黑体" w:cs="宋体"/>
      <w:color w:val="FF9900"/>
      <w:sz w:val="28"/>
    </w:rPr>
  </w:style>
  <w:style w:type="paragraph" w:customStyle="1" w:styleId="998">
    <w:name w:val="样式 二室表头宋 + 浅橙色 段前: 0.5 行 段后: 0.5 行"/>
    <w:basedOn w:val="1"/>
    <w:link w:val="997"/>
    <w:qFormat/>
    <w:uiPriority w:val="0"/>
    <w:pPr>
      <w:widowControl/>
      <w:autoSpaceDE/>
      <w:autoSpaceDN/>
      <w:snapToGrid w:val="0"/>
      <w:spacing w:beforeLines="50" w:afterLines="50" w:line="520" w:lineRule="exact"/>
      <w:ind w:firstLine="480" w:firstLineChars="200"/>
      <w:jc w:val="both"/>
      <w:outlineLvl w:val="3"/>
    </w:pPr>
    <w:rPr>
      <w:rFonts w:ascii="黑体" w:hAnsi="黑体" w:eastAsia="黑体"/>
      <w:color w:val="FF9900"/>
      <w:sz w:val="28"/>
      <w:szCs w:val="20"/>
      <w:lang w:val="en-US" w:bidi="ar-SA"/>
    </w:rPr>
  </w:style>
  <w:style w:type="paragraph" w:customStyle="1" w:styleId="999">
    <w:name w:val="样式 小四 段前: 5 磅 段后: 5 磅 首行缩进:  2 字符"/>
    <w:basedOn w:val="1"/>
    <w:semiHidden/>
    <w:qFormat/>
    <w:uiPriority w:val="99"/>
    <w:pPr>
      <w:autoSpaceDE/>
      <w:autoSpaceDN/>
      <w:snapToGrid w:val="0"/>
      <w:spacing w:line="360" w:lineRule="auto"/>
      <w:ind w:firstLine="480" w:firstLineChars="200"/>
      <w:jc w:val="both"/>
    </w:pPr>
    <w:rPr>
      <w:rFonts w:cs="Times New Roman"/>
      <w:color w:val="000000"/>
      <w:kern w:val="2"/>
      <w:sz w:val="24"/>
      <w:szCs w:val="21"/>
      <w:lang w:val="en-US" w:bidi="ar-SA"/>
    </w:rPr>
  </w:style>
  <w:style w:type="paragraph" w:customStyle="1" w:styleId="1000">
    <w:name w:val="xl59"/>
    <w:basedOn w:val="1"/>
    <w:qFormat/>
    <w:uiPriority w:val="99"/>
    <w:pPr>
      <w:widowControl/>
      <w:pBdr>
        <w:left w:val="single" w:color="auto" w:sz="4" w:space="0"/>
      </w:pBdr>
      <w:autoSpaceDE/>
      <w:autoSpaceDN/>
      <w:snapToGrid w:val="0"/>
      <w:spacing w:before="100" w:beforeAutospacing="1" w:after="100" w:afterAutospacing="1"/>
      <w:ind w:firstLine="480" w:firstLineChars="200"/>
      <w:jc w:val="center"/>
    </w:pPr>
    <w:rPr>
      <w:rFonts w:ascii="楷体" w:eastAsia="楷体" w:cs="Times New Roman"/>
      <w:color w:val="0000FF"/>
      <w:sz w:val="12"/>
      <w:szCs w:val="12"/>
      <w:lang w:val="en-US" w:bidi="ar-SA"/>
    </w:rPr>
  </w:style>
  <w:style w:type="character" w:customStyle="1" w:styleId="1001">
    <w:name w:val="样式 标题 1 + 二号 非加粗 Char Char"/>
    <w:link w:val="1002"/>
    <w:qFormat/>
    <w:uiPriority w:val="99"/>
    <w:rPr>
      <w:rFonts w:ascii="黑体" w:eastAsia="黑体"/>
      <w:b/>
      <w:bCs/>
      <w:kern w:val="44"/>
      <w:sz w:val="44"/>
      <w:szCs w:val="44"/>
    </w:rPr>
  </w:style>
  <w:style w:type="paragraph" w:customStyle="1" w:styleId="1002">
    <w:name w:val="样式 标题 1 + 二号 非加粗"/>
    <w:basedOn w:val="4"/>
    <w:link w:val="1001"/>
    <w:qFormat/>
    <w:uiPriority w:val="99"/>
    <w:pPr>
      <w:keepNext/>
      <w:pageBreakBefore/>
      <w:widowControl/>
      <w:autoSpaceDE/>
      <w:autoSpaceDN/>
      <w:adjustRightInd w:val="0"/>
      <w:snapToGrid w:val="0"/>
      <w:spacing w:before="300" w:after="300" w:line="460" w:lineRule="exact"/>
      <w:ind w:left="766" w:right="-64" w:rightChars="-64" w:firstLine="200"/>
    </w:pPr>
    <w:rPr>
      <w:rFonts w:ascii="黑体" w:hAnsi="Times New Roman" w:eastAsia="黑体" w:cs="Times New Roman"/>
      <w:kern w:val="44"/>
      <w:lang w:val="en-US" w:bidi="ar-SA"/>
    </w:rPr>
  </w:style>
  <w:style w:type="paragraph" w:customStyle="1" w:styleId="1003">
    <w:name w:val="font6"/>
    <w:basedOn w:val="1"/>
    <w:qFormat/>
    <w:uiPriority w:val="99"/>
    <w:pPr>
      <w:widowControl/>
      <w:autoSpaceDE/>
      <w:autoSpaceDN/>
      <w:snapToGrid w:val="0"/>
      <w:spacing w:before="100" w:beforeAutospacing="1" w:after="100" w:afterAutospacing="1"/>
      <w:ind w:firstLine="480" w:firstLineChars="200"/>
    </w:pPr>
    <w:rPr>
      <w:rFonts w:ascii="Times New Roman" w:hAnsi="Times New Roman" w:cs="Times New Roman"/>
      <w:b/>
      <w:bCs/>
      <w:color w:val="000000"/>
      <w:sz w:val="24"/>
      <w:szCs w:val="24"/>
      <w:lang w:val="en-US" w:bidi="ar-SA"/>
    </w:rPr>
  </w:style>
  <w:style w:type="character" w:customStyle="1" w:styleId="1004">
    <w:name w:val="表格附注 Char"/>
    <w:link w:val="1005"/>
    <w:qFormat/>
    <w:uiPriority w:val="0"/>
    <w:rPr>
      <w:rFonts w:ascii="宋体" w:hAnsi="Courier New"/>
      <w:sz w:val="21"/>
    </w:rPr>
  </w:style>
  <w:style w:type="paragraph" w:customStyle="1" w:styleId="1005">
    <w:name w:val="表格附注"/>
    <w:basedOn w:val="1"/>
    <w:link w:val="1004"/>
    <w:qFormat/>
    <w:uiPriority w:val="0"/>
    <w:pPr>
      <w:keepNext/>
      <w:autoSpaceDE/>
      <w:autoSpaceDN/>
      <w:adjustRightInd w:val="0"/>
      <w:snapToGrid w:val="0"/>
      <w:ind w:left="400" w:leftChars="200" w:right="-64" w:rightChars="-64" w:hanging="200" w:hangingChars="200"/>
    </w:pPr>
    <w:rPr>
      <w:rFonts w:hAnsi="Courier New" w:cs="Times New Roman"/>
      <w:sz w:val="21"/>
      <w:szCs w:val="20"/>
      <w:lang w:val="en-US" w:bidi="ar-SA"/>
    </w:rPr>
  </w:style>
  <w:style w:type="paragraph" w:customStyle="1" w:styleId="1006">
    <w:name w:val="表格正文"/>
    <w:basedOn w:val="1"/>
    <w:qFormat/>
    <w:uiPriority w:val="99"/>
    <w:pPr>
      <w:widowControl/>
      <w:autoSpaceDE/>
      <w:autoSpaceDN/>
      <w:adjustRightInd w:val="0"/>
      <w:snapToGrid w:val="0"/>
      <w:ind w:firstLine="480" w:firstLineChars="200"/>
      <w:jc w:val="center"/>
    </w:pPr>
    <w:rPr>
      <w:rFonts w:cs="Times New Roman"/>
      <w:bCs/>
      <w:color w:val="000000"/>
      <w:spacing w:val="12"/>
      <w:sz w:val="24"/>
      <w:szCs w:val="24"/>
      <w:lang w:bidi="ar-SA"/>
    </w:rPr>
  </w:style>
  <w:style w:type="paragraph" w:customStyle="1" w:styleId="1007">
    <w:name w:val="技术报告二级标题"/>
    <w:basedOn w:val="1"/>
    <w:next w:val="1"/>
    <w:qFormat/>
    <w:uiPriority w:val="99"/>
    <w:pPr>
      <w:tabs>
        <w:tab w:val="left" w:pos="576"/>
      </w:tabs>
      <w:autoSpaceDE/>
      <w:autoSpaceDN/>
      <w:snapToGrid w:val="0"/>
      <w:spacing w:before="120" w:after="60" w:line="460" w:lineRule="exact"/>
      <w:ind w:left="576" w:hanging="576" w:firstLineChars="200"/>
      <w:jc w:val="both"/>
      <w:outlineLvl w:val="1"/>
    </w:pPr>
    <w:rPr>
      <w:rFonts w:ascii="Times New Roman" w:hAnsi="Times New Roman" w:eastAsia="黑体" w:cs="Times New Roman"/>
      <w:color w:val="000000"/>
      <w:kern w:val="2"/>
      <w:sz w:val="28"/>
      <w:szCs w:val="28"/>
      <w:lang w:val="en-US" w:bidi="ar-SA"/>
    </w:rPr>
  </w:style>
  <w:style w:type="paragraph" w:customStyle="1" w:styleId="1008">
    <w:name w:val="B目小四黑三"/>
    <w:basedOn w:val="1"/>
    <w:next w:val="1"/>
    <w:qFormat/>
    <w:uiPriority w:val="99"/>
    <w:pPr>
      <w:snapToGrid w:val="0"/>
      <w:spacing w:line="500" w:lineRule="exact"/>
      <w:ind w:firstLine="480" w:firstLineChars="200"/>
    </w:pPr>
    <w:rPr>
      <w:rFonts w:ascii="Times New Roman" w:hAnsi="Times New Roman" w:eastAsia="黑体" w:cs="Times New Roman"/>
      <w:color w:val="000000"/>
      <w:kern w:val="2"/>
      <w:sz w:val="24"/>
      <w:szCs w:val="20"/>
      <w:lang w:val="en-US" w:bidi="ar-SA"/>
    </w:rPr>
  </w:style>
  <w:style w:type="paragraph" w:customStyle="1" w:styleId="1009">
    <w:name w:val="CM1"/>
    <w:basedOn w:val="118"/>
    <w:next w:val="118"/>
    <w:qFormat/>
    <w:uiPriority w:val="99"/>
    <w:pPr>
      <w:spacing w:line="546" w:lineRule="atLeast"/>
    </w:pPr>
    <w:rPr>
      <w:rFonts w:hAnsi="Calibri" w:cs="Times New Roman"/>
      <w:color w:val="auto"/>
    </w:rPr>
  </w:style>
  <w:style w:type="paragraph" w:customStyle="1" w:styleId="1010">
    <w:name w:val="font13"/>
    <w:basedOn w:val="1"/>
    <w:qFormat/>
    <w:uiPriority w:val="99"/>
    <w:pPr>
      <w:widowControl/>
      <w:autoSpaceDE/>
      <w:autoSpaceDN/>
      <w:snapToGrid w:val="0"/>
      <w:spacing w:before="100" w:beforeAutospacing="1" w:after="100" w:afterAutospacing="1"/>
      <w:ind w:firstLine="480" w:firstLineChars="200"/>
    </w:pPr>
    <w:rPr>
      <w:color w:val="000000"/>
      <w:sz w:val="24"/>
      <w:szCs w:val="24"/>
      <w:lang w:val="en-US" w:bidi="ar-SA"/>
    </w:rPr>
  </w:style>
  <w:style w:type="paragraph" w:customStyle="1" w:styleId="1011">
    <w:name w:val="Char3 Char Char Char"/>
    <w:basedOn w:val="1"/>
    <w:qFormat/>
    <w:uiPriority w:val="99"/>
    <w:pPr>
      <w:autoSpaceDE/>
      <w:autoSpaceDN/>
      <w:snapToGrid w:val="0"/>
      <w:spacing w:line="360" w:lineRule="auto"/>
      <w:ind w:firstLine="200" w:firstLineChars="200"/>
      <w:jc w:val="both"/>
    </w:pPr>
    <w:rPr>
      <w:color w:val="000000"/>
      <w:kern w:val="2"/>
      <w:sz w:val="24"/>
      <w:szCs w:val="24"/>
      <w:lang w:val="en-US" w:bidi="ar-SA"/>
    </w:rPr>
  </w:style>
  <w:style w:type="paragraph" w:customStyle="1" w:styleId="1012">
    <w:name w:val="xl29"/>
    <w:basedOn w:val="1"/>
    <w:qFormat/>
    <w:uiPriority w:val="99"/>
    <w:pPr>
      <w:widowControl/>
      <w:pBdr>
        <w:top w:val="single" w:color="auto" w:sz="4" w:space="0"/>
        <w:left w:val="single" w:color="auto" w:sz="4" w:space="0"/>
        <w:bottom w:val="single" w:color="auto" w:sz="4" w:space="0"/>
      </w:pBdr>
      <w:autoSpaceDE/>
      <w:autoSpaceDN/>
      <w:snapToGrid w:val="0"/>
      <w:spacing w:before="100" w:beforeAutospacing="1" w:after="100" w:afterAutospacing="1"/>
      <w:ind w:firstLine="480" w:firstLineChars="200"/>
    </w:pPr>
    <w:rPr>
      <w:rFonts w:cs="Times New Roman"/>
      <w:color w:val="000000"/>
      <w:sz w:val="24"/>
      <w:szCs w:val="24"/>
      <w:lang w:val="en-US" w:bidi="ar-SA"/>
    </w:rPr>
  </w:style>
  <w:style w:type="paragraph" w:customStyle="1" w:styleId="1013">
    <w:name w:val="TOC 82"/>
    <w:basedOn w:val="1"/>
    <w:next w:val="1"/>
    <w:qFormat/>
    <w:uiPriority w:val="39"/>
    <w:pPr>
      <w:autoSpaceDE/>
      <w:autoSpaceDN/>
      <w:snapToGrid w:val="0"/>
      <w:ind w:left="2940" w:leftChars="1400" w:firstLine="480" w:firstLineChars="200"/>
      <w:jc w:val="both"/>
    </w:pPr>
    <w:rPr>
      <w:rFonts w:ascii="等线" w:hAnsi="等线" w:eastAsia="等线" w:cs="Times New Roman"/>
      <w:color w:val="000000"/>
      <w:kern w:val="2"/>
      <w:sz w:val="21"/>
      <w:lang w:val="en-US" w:bidi="ar-SA"/>
    </w:rPr>
  </w:style>
  <w:style w:type="paragraph" w:customStyle="1" w:styleId="1014">
    <w:name w:val="xl107"/>
    <w:basedOn w:val="1"/>
    <w:qFormat/>
    <w:uiPriority w:val="99"/>
    <w:pPr>
      <w:widowControl/>
      <w:pBdr>
        <w:top w:val="single" w:color="auto" w:sz="4" w:space="0"/>
        <w:left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4"/>
      <w:szCs w:val="24"/>
      <w:lang w:val="en-US" w:bidi="ar-SA"/>
    </w:rPr>
  </w:style>
  <w:style w:type="paragraph" w:customStyle="1" w:styleId="1015">
    <w:name w:val="表首"/>
    <w:basedOn w:val="1"/>
    <w:qFormat/>
    <w:uiPriority w:val="99"/>
    <w:pPr>
      <w:keepNext/>
      <w:tabs>
        <w:tab w:val="left" w:pos="0"/>
      </w:tabs>
      <w:autoSpaceDE/>
      <w:autoSpaceDN/>
      <w:snapToGrid w:val="0"/>
      <w:spacing w:before="120" w:after="120"/>
      <w:ind w:right="-64" w:rightChars="-64" w:firstLine="510" w:firstLineChars="200"/>
      <w:jc w:val="center"/>
    </w:pPr>
    <w:rPr>
      <w:rFonts w:ascii="黑体" w:hAnsi="Calibri" w:cs="Times New Roman"/>
      <w:b/>
      <w:bCs/>
      <w:color w:val="000000"/>
      <w:sz w:val="24"/>
      <w:szCs w:val="24"/>
      <w:lang w:val="en-US" w:bidi="ar-SA"/>
    </w:rPr>
  </w:style>
  <w:style w:type="paragraph" w:customStyle="1" w:styleId="1016">
    <w:name w:val="xl134"/>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4"/>
      <w:szCs w:val="24"/>
      <w:lang w:val="en-US" w:bidi="ar-SA"/>
    </w:rPr>
  </w:style>
  <w:style w:type="paragraph" w:customStyle="1" w:styleId="1017">
    <w:name w:val="xl131"/>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ind w:firstLine="480" w:firstLineChars="200"/>
      <w:jc w:val="center"/>
    </w:pPr>
    <w:rPr>
      <w:color w:val="000000"/>
      <w:sz w:val="24"/>
      <w:szCs w:val="24"/>
      <w:lang w:val="en-US" w:bidi="ar-SA"/>
    </w:rPr>
  </w:style>
  <w:style w:type="paragraph" w:customStyle="1" w:styleId="1018">
    <w:name w:val="xl58"/>
    <w:basedOn w:val="1"/>
    <w:qFormat/>
    <w:uiPriority w:val="99"/>
    <w:pPr>
      <w:widowControl/>
      <w:pBdr>
        <w:right w:val="single" w:color="auto" w:sz="4" w:space="0"/>
      </w:pBdr>
      <w:autoSpaceDE/>
      <w:autoSpaceDN/>
      <w:snapToGrid w:val="0"/>
      <w:spacing w:before="100" w:beforeAutospacing="1" w:after="100" w:afterAutospacing="1"/>
      <w:ind w:firstLine="480" w:firstLineChars="200"/>
    </w:pPr>
    <w:rPr>
      <w:rFonts w:ascii="楷体" w:eastAsia="楷体" w:cs="Times New Roman"/>
      <w:color w:val="0000FF"/>
      <w:sz w:val="12"/>
      <w:szCs w:val="12"/>
      <w:lang w:val="en-US" w:bidi="ar-SA"/>
    </w:rPr>
  </w:style>
  <w:style w:type="paragraph" w:customStyle="1" w:styleId="1019">
    <w:name w:val="xl24"/>
    <w:basedOn w:val="1"/>
    <w:qFormat/>
    <w:uiPriority w:val="99"/>
    <w:pPr>
      <w:widowControl/>
      <w:pBdr>
        <w:top w:val="single" w:color="auto" w:sz="4" w:space="0"/>
        <w:left w:val="single" w:color="auto" w:sz="4" w:space="0"/>
        <w:right w:val="single" w:color="auto" w:sz="4" w:space="0"/>
      </w:pBdr>
      <w:autoSpaceDE/>
      <w:autoSpaceDN/>
      <w:snapToGrid w:val="0"/>
      <w:spacing w:before="100" w:beforeAutospacing="1" w:after="100" w:afterAutospacing="1"/>
      <w:ind w:firstLine="480" w:firstLineChars="200"/>
    </w:pPr>
    <w:rPr>
      <w:rFonts w:cs="Times New Roman"/>
      <w:color w:val="000000"/>
      <w:sz w:val="24"/>
      <w:szCs w:val="24"/>
      <w:lang w:val="en-US" w:bidi="ar-SA"/>
    </w:rPr>
  </w:style>
  <w:style w:type="paragraph" w:customStyle="1" w:styleId="1020">
    <w:name w:val="xl33"/>
    <w:basedOn w:val="1"/>
    <w:qFormat/>
    <w:uiPriority w:val="99"/>
    <w:pPr>
      <w:widowControl/>
      <w:pBdr>
        <w:top w:val="single" w:color="auto" w:sz="4" w:space="0"/>
        <w:left w:val="single" w:color="auto" w:sz="4" w:space="0"/>
        <w:bottom w:val="single" w:color="auto" w:sz="4" w:space="0"/>
        <w:right w:val="single" w:color="auto" w:sz="4" w:space="0"/>
      </w:pBdr>
      <w:autoSpaceDE/>
      <w:autoSpaceDN/>
      <w:snapToGrid w:val="0"/>
      <w:spacing w:before="100" w:beforeAutospacing="1" w:after="100" w:afterAutospacing="1" w:line="360" w:lineRule="auto"/>
      <w:ind w:firstLine="480" w:firstLineChars="200"/>
      <w:jc w:val="center"/>
    </w:pPr>
    <w:rPr>
      <w:rFonts w:cs="Times New Roman"/>
      <w:color w:val="000000"/>
      <w:sz w:val="20"/>
      <w:szCs w:val="20"/>
      <w:lang w:val="en-US" w:bidi="ar-SA"/>
    </w:rPr>
  </w:style>
  <w:style w:type="paragraph" w:customStyle="1" w:styleId="1021">
    <w:name w:val="YB目小四黑二"/>
    <w:basedOn w:val="1"/>
    <w:next w:val="1"/>
    <w:qFormat/>
    <w:uiPriority w:val="99"/>
    <w:pPr>
      <w:snapToGrid w:val="0"/>
      <w:spacing w:line="500" w:lineRule="exact"/>
      <w:ind w:firstLine="480" w:firstLineChars="200"/>
      <w:outlineLvl w:val="1"/>
    </w:pPr>
    <w:rPr>
      <w:rFonts w:ascii="Times New Roman" w:hAnsi="Times New Roman" w:eastAsia="黑体" w:cs="Times New Roman"/>
      <w:color w:val="000000"/>
      <w:kern w:val="2"/>
      <w:sz w:val="24"/>
      <w:szCs w:val="20"/>
      <w:lang w:val="en-US" w:bidi="ar-SA"/>
    </w:rPr>
  </w:style>
  <w:style w:type="character" w:customStyle="1" w:styleId="1022">
    <w:name w:val="Z表格标题 Char1"/>
    <w:link w:val="1023"/>
    <w:qFormat/>
    <w:uiPriority w:val="0"/>
    <w:rPr>
      <w:rFonts w:ascii="黑体" w:hAnsi="黑体" w:eastAsia="黑体"/>
      <w:b/>
      <w:kern w:val="2"/>
      <w:sz w:val="21"/>
      <w:szCs w:val="22"/>
    </w:rPr>
  </w:style>
  <w:style w:type="paragraph" w:customStyle="1" w:styleId="1023">
    <w:name w:val="Z表格标题"/>
    <w:basedOn w:val="1"/>
    <w:link w:val="1022"/>
    <w:qFormat/>
    <w:uiPriority w:val="0"/>
    <w:pPr>
      <w:keepNext/>
      <w:autoSpaceDE/>
      <w:autoSpaceDN/>
      <w:adjustRightInd w:val="0"/>
      <w:snapToGrid w:val="0"/>
      <w:spacing w:line="360" w:lineRule="auto"/>
      <w:ind w:right="-25" w:rightChars="-9" w:firstLine="480" w:firstLineChars="200"/>
      <w:jc w:val="center"/>
      <w:outlineLvl w:val="8"/>
    </w:pPr>
    <w:rPr>
      <w:rFonts w:ascii="黑体" w:hAnsi="黑体" w:eastAsia="黑体" w:cs="Times New Roman"/>
      <w:b/>
      <w:kern w:val="2"/>
      <w:sz w:val="21"/>
      <w:lang w:val="en-US" w:bidi="ar-SA"/>
    </w:rPr>
  </w:style>
  <w:style w:type="paragraph" w:customStyle="1" w:styleId="1024">
    <w:name w:val="xl1110"/>
    <w:basedOn w:val="1"/>
    <w:qFormat/>
    <w:uiPriority w:val="99"/>
    <w:pPr>
      <w:widowControl/>
      <w:pBdr>
        <w:bottom w:val="single" w:color="auto" w:sz="4" w:space="0"/>
        <w:right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1025">
    <w:name w:val="修订11"/>
    <w:next w:val="249"/>
    <w:semiHidden/>
    <w:qFormat/>
    <w:uiPriority w:val="99"/>
    <w:rPr>
      <w:rFonts w:ascii="Times New Roman" w:hAnsi="Times New Roman" w:eastAsia="宋体" w:cs="Times New Roman"/>
      <w:kern w:val="2"/>
      <w:sz w:val="21"/>
      <w:szCs w:val="22"/>
      <w:lang w:val="en-US" w:eastAsia="zh-CN" w:bidi="ar-SA"/>
    </w:rPr>
  </w:style>
  <w:style w:type="character" w:customStyle="1" w:styleId="1026">
    <w:name w:val="表名 Char"/>
    <w:link w:val="1027"/>
    <w:qFormat/>
    <w:uiPriority w:val="0"/>
    <w:rPr>
      <w:b/>
      <w:kern w:val="2"/>
      <w:sz w:val="21"/>
      <w:szCs w:val="22"/>
    </w:rPr>
  </w:style>
  <w:style w:type="paragraph" w:customStyle="1" w:styleId="1027">
    <w:name w:val="表名"/>
    <w:basedOn w:val="1"/>
    <w:link w:val="1026"/>
    <w:qFormat/>
    <w:uiPriority w:val="0"/>
    <w:pPr>
      <w:autoSpaceDE/>
      <w:autoSpaceDN/>
      <w:snapToGrid w:val="0"/>
      <w:spacing w:beforeLines="50"/>
      <w:ind w:firstLine="200" w:firstLineChars="200"/>
      <w:jc w:val="center"/>
    </w:pPr>
    <w:rPr>
      <w:rFonts w:ascii="Times New Roman" w:hAnsi="Times New Roman" w:cs="Times New Roman"/>
      <w:b/>
      <w:kern w:val="2"/>
      <w:sz w:val="21"/>
      <w:lang w:val="en-US" w:bidi="ar-SA"/>
    </w:rPr>
  </w:style>
  <w:style w:type="paragraph" w:customStyle="1" w:styleId="1028">
    <w:name w:val="xl1112"/>
    <w:basedOn w:val="1"/>
    <w:qFormat/>
    <w:uiPriority w:val="99"/>
    <w:pPr>
      <w:widowControl/>
      <w:pBdr>
        <w:top w:val="single" w:color="auto" w:sz="4" w:space="0"/>
        <w:left w:val="single" w:color="auto" w:sz="4" w:space="0"/>
        <w:bottom w:val="single" w:color="auto" w:sz="4" w:space="0"/>
      </w:pBdr>
      <w:autoSpaceDE/>
      <w:autoSpaceDN/>
      <w:snapToGrid w:val="0"/>
      <w:spacing w:before="100" w:beforeAutospacing="1" w:after="100" w:afterAutospacing="1"/>
      <w:ind w:firstLine="480" w:firstLineChars="200"/>
    </w:pPr>
    <w:rPr>
      <w:rFonts w:ascii="仿宋_GB2312" w:eastAsia="仿宋_GB2312" w:cs="Times New Roman"/>
      <w:color w:val="000000"/>
      <w:sz w:val="20"/>
      <w:szCs w:val="20"/>
      <w:lang w:val="en-US" w:bidi="ar-SA"/>
    </w:rPr>
  </w:style>
  <w:style w:type="paragraph" w:customStyle="1" w:styleId="1029">
    <w:name w:val="xl113"/>
    <w:basedOn w:val="1"/>
    <w:qFormat/>
    <w:uiPriority w:val="99"/>
    <w:pPr>
      <w:widowControl/>
      <w:pBdr>
        <w:top w:val="single" w:color="auto" w:sz="4" w:space="0"/>
        <w:bottom w:val="single" w:color="auto" w:sz="4" w:space="0"/>
        <w:right w:val="single" w:color="auto" w:sz="4" w:space="0"/>
      </w:pBdr>
      <w:autoSpaceDE/>
      <w:autoSpaceDN/>
      <w:snapToGrid w:val="0"/>
      <w:spacing w:before="100" w:beforeAutospacing="1" w:after="100" w:afterAutospacing="1"/>
      <w:ind w:firstLine="480" w:firstLineChars="200"/>
    </w:pPr>
    <w:rPr>
      <w:color w:val="000000"/>
      <w:sz w:val="24"/>
      <w:szCs w:val="24"/>
      <w:lang w:val="en-US" w:bidi="ar-SA"/>
    </w:rPr>
  </w:style>
  <w:style w:type="paragraph" w:customStyle="1" w:styleId="1030">
    <w:name w:val="陈竹包3号标题"/>
    <w:basedOn w:val="6"/>
    <w:next w:val="87"/>
    <w:qFormat/>
    <w:uiPriority w:val="99"/>
    <w:pPr>
      <w:widowControl/>
      <w:autoSpaceDE/>
      <w:autoSpaceDN/>
      <w:snapToGrid w:val="0"/>
      <w:spacing w:before="260" w:after="260" w:line="460" w:lineRule="exact"/>
      <w:ind w:left="941" w:right="0" w:hanging="701"/>
    </w:pPr>
    <w:rPr>
      <w:rFonts w:ascii="Times New Roman" w:hAnsi="Times New Roman" w:eastAsia="黑体" w:cs="Times New Roman"/>
      <w:bCs/>
      <w:kern w:val="2"/>
      <w:sz w:val="24"/>
      <w:szCs w:val="20"/>
      <w:lang w:val="en-US" w:bidi="ar-SA"/>
    </w:rPr>
  </w:style>
  <w:style w:type="character" w:customStyle="1" w:styleId="1031">
    <w:name w:val="书籍标题11"/>
    <w:qFormat/>
    <w:uiPriority w:val="0"/>
    <w:rPr>
      <w:b/>
      <w:bCs/>
      <w:smallCaps/>
      <w:spacing w:val="5"/>
    </w:rPr>
  </w:style>
  <w:style w:type="character" w:customStyle="1" w:styleId="1032">
    <w:name w:val="默认段落字体1"/>
    <w:semiHidden/>
    <w:qFormat/>
    <w:uiPriority w:val="0"/>
  </w:style>
  <w:style w:type="character" w:customStyle="1" w:styleId="1033">
    <w:name w:val="fontstyle41"/>
    <w:qFormat/>
    <w:uiPriority w:val="0"/>
    <w:rPr>
      <w:rFonts w:hint="default" w:ascii="Times New Roman" w:hAnsi="Times New Roman" w:cs="Times New Roman"/>
      <w:b/>
      <w:bCs/>
      <w:color w:val="000000"/>
      <w:sz w:val="24"/>
      <w:szCs w:val="24"/>
    </w:rPr>
  </w:style>
  <w:style w:type="character" w:customStyle="1" w:styleId="1034">
    <w:name w:val="Char Char23"/>
    <w:qFormat/>
    <w:uiPriority w:val="0"/>
    <w:rPr>
      <w:rFonts w:hint="eastAsia" w:ascii="黑体" w:hAnsi="黑体" w:eastAsia="黑体"/>
      <w:bCs/>
      <w:kern w:val="2"/>
      <w:sz w:val="28"/>
      <w:szCs w:val="28"/>
      <w:lang w:val="en-US" w:eastAsia="zh-CN" w:bidi="ar-SA"/>
    </w:rPr>
  </w:style>
  <w:style w:type="character" w:customStyle="1" w:styleId="1035">
    <w:name w:val="标题 #2 + 间距 0 pt"/>
    <w:qFormat/>
    <w:uiPriority w:val="0"/>
    <w:rPr>
      <w:rFonts w:hint="eastAsia" w:ascii="MingLiU" w:hAnsi="MingLiU" w:eastAsia="MingLiU" w:cs="MingLiU"/>
      <w:b/>
      <w:bCs/>
      <w:color w:val="000000"/>
      <w:spacing w:val="0"/>
      <w:w w:val="100"/>
      <w:position w:val="0"/>
      <w:sz w:val="22"/>
      <w:szCs w:val="22"/>
      <w:u w:val="none"/>
      <w:shd w:val="clear" w:color="auto" w:fill="FFFFFF"/>
      <w:lang w:val="en-US" w:eastAsia="en-US" w:bidi="en-US"/>
    </w:rPr>
  </w:style>
  <w:style w:type="character" w:customStyle="1" w:styleId="1036">
    <w:name w:val="标题 1 Char Char Char"/>
    <w:qFormat/>
    <w:uiPriority w:val="0"/>
    <w:rPr>
      <w:rFonts w:hint="eastAsia" w:ascii="宋体" w:hAnsi="宋体" w:eastAsia="宋体"/>
      <w:b/>
      <w:bCs/>
      <w:kern w:val="44"/>
      <w:sz w:val="44"/>
      <w:szCs w:val="44"/>
      <w:lang w:val="en-US" w:eastAsia="zh-CN" w:bidi="ar-SA"/>
    </w:rPr>
  </w:style>
  <w:style w:type="character" w:customStyle="1" w:styleId="1037">
    <w:name w:val="l-btn-icon-right"/>
    <w:basedOn w:val="106"/>
    <w:qFormat/>
    <w:uiPriority w:val="0"/>
    <w:rPr>
      <w:rFonts w:hint="eastAsia" w:ascii="仿宋_GB2312" w:eastAsia="仿宋_GB2312"/>
      <w:b/>
      <w:sz w:val="32"/>
      <w:szCs w:val="32"/>
    </w:rPr>
  </w:style>
  <w:style w:type="character" w:customStyle="1" w:styleId="1038">
    <w:name w:val="样式  + 四号 Char Char"/>
    <w:semiHidden/>
    <w:qFormat/>
    <w:uiPriority w:val="0"/>
    <w:rPr>
      <w:rFonts w:hint="eastAsia" w:ascii="楷体_GB2312" w:eastAsia="宋体"/>
      <w:kern w:val="2"/>
      <w:sz w:val="28"/>
      <w:lang w:val="en-US" w:eastAsia="zh-CN" w:bidi="ar-SA"/>
    </w:rPr>
  </w:style>
  <w:style w:type="character" w:customStyle="1" w:styleId="1039">
    <w:name w:val="l-btn-left3"/>
    <w:basedOn w:val="106"/>
    <w:qFormat/>
    <w:uiPriority w:val="0"/>
    <w:rPr>
      <w:rFonts w:hint="eastAsia" w:ascii="仿宋_GB2312" w:eastAsia="仿宋_GB2312"/>
      <w:b/>
      <w:sz w:val="32"/>
      <w:szCs w:val="32"/>
    </w:rPr>
  </w:style>
  <w:style w:type="paragraph" w:customStyle="1" w:styleId="1040">
    <w:name w:val="图表标题"/>
    <w:basedOn w:val="579"/>
    <w:link w:val="1041"/>
    <w:qFormat/>
    <w:uiPriority w:val="0"/>
    <w:pPr>
      <w:widowControl w:val="0"/>
      <w:spacing w:before="300" w:after="120" w:line="460" w:lineRule="exact"/>
      <w:jc w:val="center"/>
    </w:pPr>
    <w:rPr>
      <w:rFonts w:eastAsia="黑体"/>
      <w:bCs w:val="0"/>
      <w:kern w:val="0"/>
      <w:sz w:val="24"/>
      <w:szCs w:val="24"/>
    </w:rPr>
  </w:style>
  <w:style w:type="character" w:customStyle="1" w:styleId="1041">
    <w:name w:val="图表标题 Char"/>
    <w:link w:val="1040"/>
    <w:qFormat/>
    <w:uiPriority w:val="0"/>
    <w:rPr>
      <w:rFonts w:eastAsia="黑体"/>
      <w:sz w:val="24"/>
      <w:szCs w:val="24"/>
    </w:rPr>
  </w:style>
  <w:style w:type="character" w:customStyle="1" w:styleId="1042">
    <w:name w:val="文档结构图 Char"/>
    <w:qFormat/>
    <w:uiPriority w:val="0"/>
    <w:rPr>
      <w:kern w:val="2"/>
      <w:sz w:val="28"/>
      <w:szCs w:val="24"/>
      <w:shd w:val="clear" w:color="auto" w:fill="000080"/>
    </w:rPr>
  </w:style>
  <w:style w:type="character" w:customStyle="1" w:styleId="1043">
    <w:name w:val="Char Char Char1"/>
    <w:qFormat/>
    <w:uiPriority w:val="0"/>
    <w:rPr>
      <w:rFonts w:hint="eastAsia" w:ascii="宋体" w:hAnsi="宋体" w:eastAsia="宋体"/>
      <w:kern w:val="2"/>
      <w:sz w:val="21"/>
      <w:szCs w:val="24"/>
      <w:lang w:val="en-US" w:eastAsia="zh-CN" w:bidi="ar-SA"/>
    </w:rPr>
  </w:style>
  <w:style w:type="character" w:customStyle="1" w:styleId="1044">
    <w:name w:val="书籍标题1"/>
    <w:qFormat/>
    <w:uiPriority w:val="0"/>
    <w:rPr>
      <w:b/>
      <w:bCs/>
      <w:smallCaps/>
      <w:spacing w:val="5"/>
    </w:rPr>
  </w:style>
  <w:style w:type="character" w:customStyle="1" w:styleId="1045">
    <w:name w:val="正文文本 3 字符1"/>
    <w:semiHidden/>
    <w:qFormat/>
    <w:uiPriority w:val="99"/>
    <w:rPr>
      <w:rFonts w:hint="default" w:ascii="Times New Roman" w:hAnsi="Times New Roman" w:eastAsia="宋体" w:cs="Times New Roman"/>
      <w:sz w:val="16"/>
      <w:szCs w:val="16"/>
    </w:rPr>
  </w:style>
  <w:style w:type="character" w:customStyle="1" w:styleId="1046">
    <w:name w:val="name"/>
    <w:qFormat/>
    <w:uiPriority w:val="0"/>
    <w:rPr>
      <w:color w:val="999999"/>
    </w:rPr>
  </w:style>
  <w:style w:type="character" w:customStyle="1" w:styleId="1047">
    <w:name w:val="HCH图表1 Char"/>
    <w:qFormat/>
    <w:uiPriority w:val="0"/>
    <w:rPr>
      <w:rFonts w:hint="eastAsia" w:ascii="黑体" w:hAnsi="黑体" w:eastAsia="黑体"/>
      <w:kern w:val="2"/>
      <w:sz w:val="24"/>
      <w:lang w:val="en-US" w:eastAsia="zh-CN"/>
    </w:rPr>
  </w:style>
  <w:style w:type="character" w:customStyle="1" w:styleId="1048">
    <w:name w:val="图表公式 字符"/>
    <w:qFormat/>
    <w:uiPriority w:val="0"/>
    <w:rPr>
      <w:rFonts w:hint="default" w:ascii="Times New Roman" w:hAnsi="Times New Roman" w:eastAsia="宋体" w:cs="Times New Roman"/>
      <w:szCs w:val="24"/>
      <w:lang w:val="en-US" w:eastAsia="zh-CN"/>
    </w:rPr>
  </w:style>
  <w:style w:type="character" w:customStyle="1" w:styleId="1049">
    <w:name w:val="副标题 Char1"/>
    <w:qFormat/>
    <w:uiPriority w:val="11"/>
    <w:rPr>
      <w:rFonts w:hint="default" w:ascii="Cambria" w:hAnsi="Cambria" w:eastAsia="宋体" w:cs="Times New Roman"/>
      <w:b/>
      <w:bCs/>
      <w:kern w:val="28"/>
      <w:sz w:val="32"/>
      <w:szCs w:val="32"/>
    </w:rPr>
  </w:style>
  <w:style w:type="character" w:customStyle="1" w:styleId="1050">
    <w:name w:val="apple-converted-space"/>
    <w:qFormat/>
    <w:uiPriority w:val="0"/>
  </w:style>
  <w:style w:type="character" w:customStyle="1" w:styleId="1051">
    <w:name w:val="fontstyle01"/>
    <w:qFormat/>
    <w:uiPriority w:val="0"/>
    <w:rPr>
      <w:rFonts w:hint="eastAsia" w:ascii="宋体" w:hAnsi="宋体" w:eastAsia="宋体"/>
      <w:color w:val="000000"/>
      <w:sz w:val="22"/>
      <w:szCs w:val="22"/>
    </w:rPr>
  </w:style>
  <w:style w:type="character" w:customStyle="1" w:styleId="1052">
    <w:name w:val="样式 (中文) 楷体_GB2312"/>
    <w:qFormat/>
    <w:uiPriority w:val="0"/>
    <w:rPr>
      <w:rFonts w:hint="eastAsia" w:ascii="创艺简老宋" w:eastAsia="创艺简老宋"/>
      <w:b/>
    </w:rPr>
  </w:style>
  <w:style w:type="character" w:customStyle="1" w:styleId="1053">
    <w:name w:val="题注 Char1"/>
    <w:qFormat/>
    <w:uiPriority w:val="0"/>
    <w:rPr>
      <w:rFonts w:hint="eastAsia" w:ascii="宋体" w:hAnsi="宋体" w:eastAsia="黑体" w:cs="Arial"/>
      <w:color w:val="000000"/>
      <w:kern w:val="2"/>
      <w:sz w:val="24"/>
      <w:szCs w:val="28"/>
    </w:rPr>
  </w:style>
  <w:style w:type="character" w:customStyle="1" w:styleId="1054">
    <w:name w:val="正文文本 3 字符2"/>
    <w:semiHidden/>
    <w:qFormat/>
    <w:uiPriority w:val="99"/>
    <w:rPr>
      <w:sz w:val="16"/>
      <w:szCs w:val="16"/>
    </w:rPr>
  </w:style>
  <w:style w:type="character" w:customStyle="1" w:styleId="1055">
    <w:name w:val="正文文本缩进 3 Char1"/>
    <w:qFormat/>
    <w:uiPriority w:val="99"/>
    <w:rPr>
      <w:sz w:val="16"/>
      <w:szCs w:val="16"/>
    </w:rPr>
  </w:style>
  <w:style w:type="character" w:customStyle="1" w:styleId="1056">
    <w:name w:val="正文文本 Char"/>
    <w:qFormat/>
    <w:uiPriority w:val="0"/>
    <w:rPr>
      <w:rFonts w:hint="eastAsia" w:ascii="宋体" w:hAnsi="宋体" w:eastAsia="宋体"/>
      <w:kern w:val="2"/>
      <w:sz w:val="21"/>
      <w:szCs w:val="24"/>
      <w:lang w:val="en-US" w:eastAsia="zh-CN" w:bidi="ar-SA"/>
    </w:rPr>
  </w:style>
  <w:style w:type="character" w:customStyle="1" w:styleId="1057">
    <w:name w:val="表格标题 (4) + 间距 0 pt"/>
    <w:qFormat/>
    <w:uiPriority w:val="0"/>
    <w:rPr>
      <w:rFonts w:hint="eastAsia" w:ascii="MingLiU" w:hAnsi="MingLiU" w:eastAsia="MingLiU" w:cs="MingLiU"/>
      <w:color w:val="000000"/>
      <w:spacing w:val="0"/>
      <w:w w:val="100"/>
      <w:position w:val="0"/>
      <w:sz w:val="16"/>
      <w:szCs w:val="16"/>
      <w:shd w:val="clear" w:color="auto" w:fill="FFFFFF"/>
      <w:lang w:val="zh-CN" w:eastAsia="zh-CN" w:bidi="zh-CN"/>
    </w:rPr>
  </w:style>
  <w:style w:type="character" w:customStyle="1" w:styleId="1058">
    <w:name w:val="正文小标题 Char Char Char Char"/>
    <w:qFormat/>
    <w:uiPriority w:val="0"/>
    <w:rPr>
      <w:rFonts w:hint="eastAsia" w:ascii="宋体" w:hAnsi="宋体" w:eastAsia="宋体"/>
      <w:kern w:val="2"/>
      <w:sz w:val="21"/>
      <w:szCs w:val="24"/>
      <w:lang w:val="en-US" w:eastAsia="zh-CN" w:bidi="ar-SA"/>
    </w:rPr>
  </w:style>
  <w:style w:type="character" w:customStyle="1" w:styleId="1059">
    <w:name w:val="正文文本缩进 3 字符1"/>
    <w:semiHidden/>
    <w:qFormat/>
    <w:uiPriority w:val="0"/>
    <w:rPr>
      <w:rFonts w:hint="default" w:ascii="Calibri" w:hAnsi="Calibri" w:eastAsia="宋体" w:cs="Times New Roman"/>
      <w:sz w:val="16"/>
      <w:szCs w:val="16"/>
    </w:rPr>
  </w:style>
  <w:style w:type="character" w:customStyle="1" w:styleId="1060">
    <w:name w:val="标题 Char"/>
    <w:qFormat/>
    <w:uiPriority w:val="0"/>
    <w:rPr>
      <w:rFonts w:hint="default" w:ascii="Cambria" w:hAnsi="Cambria" w:eastAsia="黑体" w:cs="Times New Roman"/>
      <w:b/>
      <w:kern w:val="2"/>
      <w:sz w:val="32"/>
      <w:szCs w:val="32"/>
    </w:rPr>
  </w:style>
  <w:style w:type="character" w:customStyle="1" w:styleId="1061">
    <w:name w:val="文档结构图 字符1"/>
    <w:semiHidden/>
    <w:qFormat/>
    <w:uiPriority w:val="99"/>
    <w:rPr>
      <w:rFonts w:hint="eastAsia" w:ascii="Microsoft YaHei UI" w:hAnsi="Times New Roman" w:eastAsia="Microsoft YaHei UI"/>
      <w:sz w:val="18"/>
      <w:szCs w:val="18"/>
    </w:rPr>
  </w:style>
  <w:style w:type="character" w:customStyle="1" w:styleId="1062">
    <w:name w:val="正文文本缩进 2 Char"/>
    <w:qFormat/>
    <w:uiPriority w:val="0"/>
    <w:rPr>
      <w:rFonts w:hint="eastAsia" w:ascii="宋体" w:hAnsi="宋体" w:eastAsia="宋体"/>
      <w:spacing w:val="20"/>
      <w:kern w:val="2"/>
      <w:sz w:val="28"/>
      <w:szCs w:val="24"/>
    </w:rPr>
  </w:style>
  <w:style w:type="character" w:customStyle="1" w:styleId="1063">
    <w:name w:val="信息标题 Char"/>
    <w:qFormat/>
    <w:uiPriority w:val="0"/>
    <w:rPr>
      <w:rFonts w:hint="default" w:ascii="Arial" w:hAnsi="Arial" w:cs="Arial"/>
      <w:color w:val="000000"/>
      <w:kern w:val="2"/>
      <w:sz w:val="24"/>
      <w:szCs w:val="24"/>
      <w:shd w:val="pct20" w:color="auto" w:fill="auto"/>
    </w:rPr>
  </w:style>
  <w:style w:type="character" w:customStyle="1" w:styleId="1064">
    <w:name w:val="HCH图表2 Char"/>
    <w:qFormat/>
    <w:uiPriority w:val="0"/>
    <w:rPr>
      <w:rFonts w:hint="default" w:ascii="Times New Roman" w:hAnsi="Times New Roman" w:eastAsia="宋体" w:cs="Times New Roman"/>
      <w:szCs w:val="21"/>
    </w:rPr>
  </w:style>
  <w:style w:type="character" w:customStyle="1" w:styleId="1065">
    <w:name w:val="脚注文本 Char1"/>
    <w:semiHidden/>
    <w:qFormat/>
    <w:uiPriority w:val="99"/>
    <w:rPr>
      <w:sz w:val="18"/>
      <w:szCs w:val="18"/>
    </w:rPr>
  </w:style>
  <w:style w:type="character" w:customStyle="1" w:styleId="1066">
    <w:name w:val="正文文本 (4) + 间距 0 pt"/>
    <w:qFormat/>
    <w:uiPriority w:val="0"/>
    <w:rPr>
      <w:rFonts w:hint="eastAsia" w:ascii="MingLiU" w:hAnsi="MingLiU" w:eastAsia="MingLiU" w:cs="MingLiU"/>
      <w:b/>
      <w:bCs/>
      <w:color w:val="000000"/>
      <w:spacing w:val="0"/>
      <w:w w:val="100"/>
      <w:position w:val="0"/>
      <w:sz w:val="22"/>
      <w:szCs w:val="22"/>
      <w:u w:val="none"/>
      <w:shd w:val="clear" w:color="auto" w:fill="FFFFFF"/>
      <w:lang w:val="en-US" w:eastAsia="en-US" w:bidi="en-US"/>
    </w:rPr>
  </w:style>
  <w:style w:type="character" w:customStyle="1" w:styleId="1067">
    <w:name w:val="l-btn-empty"/>
    <w:basedOn w:val="106"/>
    <w:qFormat/>
    <w:uiPriority w:val="0"/>
    <w:rPr>
      <w:rFonts w:hint="eastAsia" w:ascii="仿宋_GB2312" w:eastAsia="仿宋_GB2312"/>
      <w:b/>
      <w:sz w:val="32"/>
      <w:szCs w:val="32"/>
    </w:rPr>
  </w:style>
  <w:style w:type="character" w:customStyle="1" w:styleId="1068">
    <w:name w:val="普通文字 Char Char Char Char Char Char Char Char Char Char Char"/>
    <w:qFormat/>
    <w:uiPriority w:val="99"/>
    <w:rPr>
      <w:rFonts w:hint="eastAsia" w:ascii="宋体" w:hAnsi="Courier New" w:eastAsia="宋体" w:cs="Courier New"/>
      <w:szCs w:val="21"/>
    </w:rPr>
  </w:style>
  <w:style w:type="character" w:customStyle="1" w:styleId="1069">
    <w:name w:val="无间隔 Char"/>
    <w:qFormat/>
    <w:uiPriority w:val="0"/>
    <w:rPr>
      <w:rFonts w:hint="default" w:ascii="Calibri" w:hAnsi="Calibri" w:cs="Calibri"/>
      <w:sz w:val="22"/>
      <w:szCs w:val="22"/>
      <w:lang w:val="en-US" w:eastAsia="zh-CN" w:bidi="ar-SA"/>
    </w:rPr>
  </w:style>
  <w:style w:type="character" w:customStyle="1" w:styleId="1070">
    <w:name w:val="样式 标题 3 + 小四 Char"/>
    <w:qFormat/>
    <w:uiPriority w:val="0"/>
    <w:rPr>
      <w:rFonts w:hint="eastAsia" w:ascii="宋体" w:hAnsi="宋体" w:eastAsia="黑体"/>
      <w:b/>
      <w:bCs/>
      <w:kern w:val="2"/>
      <w:sz w:val="24"/>
      <w:szCs w:val="24"/>
      <w:lang w:val="en-US" w:eastAsia="zh-CN" w:bidi="ar-SA"/>
    </w:rPr>
  </w:style>
  <w:style w:type="character" w:customStyle="1" w:styleId="1071">
    <w:name w:val="正文文本 (2) + 16 pt"/>
    <w:qFormat/>
    <w:uiPriority w:val="0"/>
    <w:rPr>
      <w:rFonts w:hint="eastAsia" w:ascii="MingLiU" w:hAnsi="MingLiU" w:eastAsia="MingLiU" w:cs="MingLiU"/>
      <w:color w:val="000000"/>
      <w:spacing w:val="30"/>
      <w:w w:val="100"/>
      <w:position w:val="0"/>
      <w:sz w:val="32"/>
      <w:szCs w:val="32"/>
      <w:u w:val="none"/>
      <w:shd w:val="clear" w:color="auto" w:fill="FFFFFF"/>
      <w:lang w:val="en-US" w:eastAsia="en-US" w:bidi="en-US"/>
    </w:rPr>
  </w:style>
  <w:style w:type="character" w:customStyle="1" w:styleId="1072">
    <w:name w:val="正文文本缩进 字符1"/>
    <w:qFormat/>
    <w:uiPriority w:val="0"/>
    <w:rPr>
      <w:rFonts w:hint="default" w:ascii="Times New Roman" w:hAnsi="Times New Roman" w:eastAsia="宋体" w:cs="Times New Roman"/>
      <w:szCs w:val="24"/>
    </w:rPr>
  </w:style>
  <w:style w:type="character" w:customStyle="1" w:styleId="1073">
    <w:name w:val="font141"/>
    <w:qFormat/>
    <w:uiPriority w:val="0"/>
    <w:rPr>
      <w:rFonts w:hint="eastAsia" w:ascii="宋体" w:hAnsi="宋体" w:eastAsia="宋体" w:cs="宋体"/>
      <w:color w:val="000000"/>
      <w:sz w:val="20"/>
      <w:szCs w:val="20"/>
      <w:u w:val="none"/>
    </w:rPr>
  </w:style>
  <w:style w:type="character" w:customStyle="1" w:styleId="1074">
    <w:name w:val="font112"/>
    <w:qFormat/>
    <w:uiPriority w:val="0"/>
    <w:rPr>
      <w:rFonts w:hint="eastAsia" w:ascii="宋体" w:hAnsi="宋体" w:eastAsia="宋体" w:cs="宋体"/>
      <w:color w:val="000000"/>
      <w:sz w:val="20"/>
      <w:szCs w:val="20"/>
      <w:u w:val="none"/>
      <w:vertAlign w:val="subscript"/>
    </w:rPr>
  </w:style>
  <w:style w:type="character" w:customStyle="1" w:styleId="1075">
    <w:name w:val="Body Text Char"/>
    <w:qFormat/>
    <w:uiPriority w:val="0"/>
    <w:rPr>
      <w:rFonts w:hint="default" w:ascii="Times New Roman" w:hAnsi="Times New Roman" w:eastAsia="宋体" w:cs="Times New Roman"/>
      <w:kern w:val="2"/>
      <w:sz w:val="24"/>
      <w:szCs w:val="24"/>
    </w:rPr>
  </w:style>
  <w:style w:type="character" w:customStyle="1" w:styleId="1076">
    <w:name w:val="标题 #2 + 间距 1 pt"/>
    <w:qFormat/>
    <w:uiPriority w:val="0"/>
    <w:rPr>
      <w:rFonts w:hint="eastAsia" w:ascii="MingLiU" w:hAnsi="MingLiU" w:eastAsia="MingLiU" w:cs="MingLiU"/>
      <w:b/>
      <w:bCs/>
      <w:color w:val="000000"/>
      <w:spacing w:val="30"/>
      <w:w w:val="100"/>
      <w:position w:val="0"/>
      <w:sz w:val="22"/>
      <w:szCs w:val="22"/>
      <w:u w:val="none"/>
      <w:shd w:val="clear" w:color="auto" w:fill="FFFFFF"/>
      <w:lang w:val="en-US" w:eastAsia="en-US" w:bidi="en-US"/>
    </w:rPr>
  </w:style>
  <w:style w:type="character" w:customStyle="1" w:styleId="1077">
    <w:name w:val="concon20071"/>
    <w:qFormat/>
    <w:uiPriority w:val="0"/>
    <w:rPr>
      <w:sz w:val="28"/>
    </w:rPr>
  </w:style>
  <w:style w:type="character" w:customStyle="1" w:styleId="1078">
    <w:name w:val="不明显强调1"/>
    <w:qFormat/>
    <w:uiPriority w:val="19"/>
    <w:rPr>
      <w:i/>
      <w:iCs/>
      <w:color w:val="808080"/>
    </w:rPr>
  </w:style>
  <w:style w:type="character" w:customStyle="1" w:styleId="1079">
    <w:name w:val="HTML 预设格式 Char1"/>
    <w:qFormat/>
    <w:uiPriority w:val="0"/>
    <w:rPr>
      <w:rFonts w:hint="default" w:ascii="Courier New" w:hAnsi="Courier New" w:cs="Courier New"/>
      <w:kern w:val="2"/>
    </w:rPr>
  </w:style>
  <w:style w:type="character" w:customStyle="1" w:styleId="1080">
    <w:name w:val="未处理的提及2"/>
    <w:qFormat/>
    <w:uiPriority w:val="99"/>
    <w:rPr>
      <w:color w:val="605E5C"/>
      <w:shd w:val="clear" w:color="auto" w:fill="E1DFDD"/>
    </w:rPr>
  </w:style>
  <w:style w:type="character" w:customStyle="1" w:styleId="1081">
    <w:name w:val="l-btn-text"/>
    <w:qFormat/>
    <w:uiPriority w:val="0"/>
    <w:rPr>
      <w:sz w:val="18"/>
      <w:szCs w:val="18"/>
      <w:vertAlign w:val="baseline"/>
    </w:rPr>
  </w:style>
  <w:style w:type="character" w:customStyle="1" w:styleId="1082">
    <w:name w:val="电子邮件签名 Char"/>
    <w:qFormat/>
    <w:uiPriority w:val="0"/>
    <w:rPr>
      <w:rFonts w:hint="eastAsia" w:ascii="宋体" w:hAnsi="宋体" w:eastAsia="宋体" w:cs="宋体"/>
      <w:color w:val="000000"/>
      <w:kern w:val="2"/>
      <w:sz w:val="28"/>
      <w:szCs w:val="32"/>
    </w:rPr>
  </w:style>
  <w:style w:type="character" w:customStyle="1" w:styleId="1083">
    <w:name w:val="Char Char22"/>
    <w:qFormat/>
    <w:uiPriority w:val="0"/>
    <w:rPr>
      <w:rFonts w:hint="eastAsia" w:ascii="黑体" w:hAnsi="黑体" w:eastAsia="黑体"/>
      <w:bCs/>
      <w:kern w:val="2"/>
      <w:sz w:val="24"/>
      <w:szCs w:val="24"/>
      <w:lang w:val="en-US" w:eastAsia="zh-CN" w:bidi="ar-SA"/>
    </w:rPr>
  </w:style>
  <w:style w:type="character" w:customStyle="1" w:styleId="1084">
    <w:name w:val="批注文字 字符1"/>
    <w:qFormat/>
    <w:uiPriority w:val="99"/>
    <w:rPr>
      <w:rFonts w:hint="default" w:ascii="Times New Roman" w:hAnsi="Times New Roman" w:eastAsia="宋体" w:cs="Times New Roman"/>
      <w:szCs w:val="24"/>
    </w:rPr>
  </w:style>
  <w:style w:type="character" w:customStyle="1" w:styleId="1085">
    <w:name w:val="标题 Char2"/>
    <w:qFormat/>
    <w:uiPriority w:val="10"/>
    <w:rPr>
      <w:rFonts w:hint="default" w:ascii="Times New Roman" w:hAnsi="Times New Roman" w:eastAsia="黑体" w:cs="Times New Roman"/>
      <w:bCs/>
      <w:sz w:val="32"/>
      <w:szCs w:val="32"/>
    </w:rPr>
  </w:style>
  <w:style w:type="character" w:customStyle="1" w:styleId="1086">
    <w:name w:val="nc-lang-cnt5"/>
    <w:qFormat/>
    <w:uiPriority w:val="0"/>
  </w:style>
  <w:style w:type="character" w:customStyle="1" w:styleId="1087">
    <w:name w:val="样式 自动设置"/>
    <w:qFormat/>
    <w:uiPriority w:val="0"/>
    <w:rPr>
      <w:color w:val="auto"/>
      <w:spacing w:val="0"/>
    </w:rPr>
  </w:style>
  <w:style w:type="character" w:customStyle="1" w:styleId="1088">
    <w:name w:val="称呼 Char"/>
    <w:qFormat/>
    <w:uiPriority w:val="0"/>
    <w:rPr>
      <w:rFonts w:hint="eastAsia" w:ascii="宋体" w:hAnsi="宋体" w:eastAsia="宋体" w:cs="宋体"/>
      <w:color w:val="000000"/>
      <w:kern w:val="2"/>
      <w:sz w:val="28"/>
      <w:szCs w:val="32"/>
    </w:rPr>
  </w:style>
  <w:style w:type="character" w:customStyle="1" w:styleId="1089">
    <w:name w:val="标题 1 Char1"/>
    <w:qFormat/>
    <w:uiPriority w:val="0"/>
    <w:rPr>
      <w:rFonts w:hint="eastAsia" w:ascii="黑体" w:hAnsi="黑体" w:eastAsia="黑体"/>
      <w:bCs/>
      <w:kern w:val="44"/>
      <w:sz w:val="44"/>
      <w:szCs w:val="44"/>
    </w:rPr>
  </w:style>
  <w:style w:type="character" w:customStyle="1" w:styleId="1090">
    <w:name w:val="trans"/>
    <w:basedOn w:val="106"/>
    <w:qFormat/>
    <w:uiPriority w:val="0"/>
    <w:rPr>
      <w:rFonts w:hint="eastAsia" w:ascii="仿宋_GB2312" w:eastAsia="仿宋_GB2312"/>
      <w:b/>
      <w:sz w:val="32"/>
      <w:szCs w:val="32"/>
    </w:rPr>
  </w:style>
  <w:style w:type="character" w:customStyle="1" w:styleId="1091">
    <w:name w:val="标题 Char1"/>
    <w:qFormat/>
    <w:uiPriority w:val="10"/>
    <w:rPr>
      <w:rFonts w:hint="default" w:ascii="Cambria" w:hAnsi="Cambria" w:eastAsia="宋体" w:cs="Times New Roman"/>
      <w:b/>
      <w:bCs/>
      <w:sz w:val="32"/>
      <w:szCs w:val="32"/>
    </w:rPr>
  </w:style>
  <w:style w:type="character" w:customStyle="1" w:styleId="1092">
    <w:name w:val="副标题 字符2"/>
    <w:qFormat/>
    <w:uiPriority w:val="11"/>
    <w:rPr>
      <w:b/>
      <w:bCs/>
      <w:kern w:val="28"/>
      <w:sz w:val="32"/>
      <w:szCs w:val="32"/>
    </w:rPr>
  </w:style>
  <w:style w:type="character" w:customStyle="1" w:styleId="1093">
    <w:name w:val="正文文本 (2) + 间距 8 pt"/>
    <w:qFormat/>
    <w:uiPriority w:val="0"/>
    <w:rPr>
      <w:rFonts w:hint="eastAsia" w:ascii="MingLiU" w:hAnsi="MingLiU" w:eastAsia="MingLiU" w:cs="MingLiU"/>
      <w:color w:val="000000"/>
      <w:spacing w:val="160"/>
      <w:w w:val="100"/>
      <w:position w:val="0"/>
      <w:sz w:val="26"/>
      <w:szCs w:val="26"/>
      <w:u w:val="none"/>
      <w:shd w:val="clear" w:color="auto" w:fill="FFFFFF"/>
      <w:lang w:val="zh-CN" w:eastAsia="zh-CN" w:bidi="zh-CN"/>
    </w:rPr>
  </w:style>
  <w:style w:type="character" w:customStyle="1" w:styleId="1094">
    <w:name w:val="正文文本 2 Char"/>
    <w:qFormat/>
    <w:uiPriority w:val="0"/>
    <w:rPr>
      <w:bCs/>
      <w:kern w:val="2"/>
      <w:sz w:val="22"/>
    </w:rPr>
  </w:style>
  <w:style w:type="character" w:customStyle="1" w:styleId="1095">
    <w:name w:val="font41"/>
    <w:basedOn w:val="106"/>
    <w:qFormat/>
    <w:uiPriority w:val="0"/>
    <w:rPr>
      <w:rFonts w:hint="default" w:ascii="Times New Roman" w:hAnsi="Times New Roman" w:eastAsia="仿宋_GB2312" w:cs="Times New Roman"/>
      <w:b/>
      <w:color w:val="000000"/>
      <w:sz w:val="24"/>
      <w:szCs w:val="24"/>
      <w:u w:val="none"/>
    </w:rPr>
  </w:style>
  <w:style w:type="character" w:customStyle="1" w:styleId="1096">
    <w:name w:val="批注主题 Char1"/>
    <w:semiHidden/>
    <w:qFormat/>
    <w:uiPriority w:val="99"/>
    <w:rPr>
      <w:rFonts w:hint="default" w:ascii="Times New Roman" w:hAnsi="Times New Roman" w:eastAsia="宋体" w:cs="Times New Roman"/>
      <w:b/>
      <w:bCs/>
      <w:sz w:val="24"/>
      <w:szCs w:val="24"/>
    </w:rPr>
  </w:style>
  <w:style w:type="character" w:customStyle="1" w:styleId="1097">
    <w:name w:val="正文文本 字符1"/>
    <w:semiHidden/>
    <w:qFormat/>
    <w:uiPriority w:val="99"/>
  </w:style>
  <w:style w:type="character" w:customStyle="1" w:styleId="1098">
    <w:name w:val="name1"/>
    <w:qFormat/>
    <w:uiPriority w:val="0"/>
  </w:style>
  <w:style w:type="character" w:customStyle="1" w:styleId="1099">
    <w:name w:val="MTEquationSection"/>
    <w:qFormat/>
    <w:uiPriority w:val="0"/>
    <w:rPr>
      <w:rFonts w:hint="eastAsia" w:ascii="宋体" w:hAnsi="宋体" w:eastAsia="宋体"/>
      <w:color w:val="FF0000"/>
      <w:sz w:val="24"/>
    </w:rPr>
  </w:style>
  <w:style w:type="character" w:customStyle="1" w:styleId="1100">
    <w:name w:val="样式 宋体 三号"/>
    <w:qFormat/>
    <w:uiPriority w:val="0"/>
    <w:rPr>
      <w:rFonts w:hint="eastAsia" w:ascii="宋体" w:hAnsi="宋体" w:eastAsia="仿宋_GB2312"/>
      <w:b/>
      <w:color w:val="000000"/>
      <w:kern w:val="2"/>
      <w:sz w:val="28"/>
      <w:lang w:val="en-US" w:eastAsia="zh-CN"/>
    </w:rPr>
  </w:style>
  <w:style w:type="character" w:customStyle="1" w:styleId="1101">
    <w:name w:val="font21"/>
    <w:qFormat/>
    <w:uiPriority w:val="0"/>
    <w:rPr>
      <w:rFonts w:hint="default" w:ascii="Times New Roman" w:hAnsi="Times New Roman" w:cs="Times New Roman"/>
      <w:b/>
      <w:bCs/>
      <w:color w:val="000000"/>
      <w:sz w:val="24"/>
      <w:szCs w:val="24"/>
      <w:u w:val="none"/>
    </w:rPr>
  </w:style>
  <w:style w:type="character" w:customStyle="1" w:styleId="1102">
    <w:name w:val="正文文本缩进 2 字符1"/>
    <w:semiHidden/>
    <w:qFormat/>
    <w:uiPriority w:val="99"/>
  </w:style>
  <w:style w:type="character" w:customStyle="1" w:styleId="1103">
    <w:name w:val="批注文字 Char1"/>
    <w:semiHidden/>
    <w:qFormat/>
    <w:uiPriority w:val="99"/>
    <w:rPr>
      <w:rFonts w:hint="default" w:ascii="Times New Roman" w:hAnsi="Times New Roman" w:eastAsia="宋体" w:cs="Times New Roman"/>
      <w:sz w:val="24"/>
      <w:szCs w:val="24"/>
    </w:rPr>
  </w:style>
  <w:style w:type="character" w:customStyle="1" w:styleId="1104">
    <w:name w:val="样式 小四"/>
    <w:qFormat/>
    <w:uiPriority w:val="0"/>
    <w:rPr>
      <w:rFonts w:hint="eastAsia" w:ascii="宋体" w:hAnsi="宋体" w:eastAsia="宋体"/>
      <w:sz w:val="28"/>
    </w:rPr>
  </w:style>
  <w:style w:type="character" w:customStyle="1" w:styleId="1105">
    <w:name w:val="日期 Char1"/>
    <w:semiHidden/>
    <w:qFormat/>
    <w:uiPriority w:val="99"/>
    <w:rPr>
      <w:rFonts w:hint="default" w:ascii="Times New Roman" w:hAnsi="Times New Roman" w:eastAsia="宋体" w:cs="Times New Roman"/>
      <w:sz w:val="24"/>
      <w:szCs w:val="24"/>
    </w:rPr>
  </w:style>
  <w:style w:type="character" w:customStyle="1" w:styleId="1106">
    <w:name w:val="纯文本 Char"/>
    <w:qFormat/>
    <w:uiPriority w:val="0"/>
    <w:rPr>
      <w:rFonts w:hint="eastAsia" w:ascii="宋体" w:hAnsi="Courier New" w:eastAsia="宋体"/>
      <w:kern w:val="2"/>
      <w:sz w:val="28"/>
      <w:szCs w:val="24"/>
    </w:rPr>
  </w:style>
  <w:style w:type="character" w:customStyle="1" w:styleId="1107">
    <w:name w:val="正文文本缩进 2 Char1"/>
    <w:semiHidden/>
    <w:qFormat/>
    <w:uiPriority w:val="99"/>
    <w:rPr>
      <w:rFonts w:hint="default" w:ascii="Times New Roman" w:hAnsi="Times New Roman" w:eastAsia="宋体" w:cs="Times New Roman"/>
      <w:sz w:val="24"/>
      <w:szCs w:val="24"/>
    </w:rPr>
  </w:style>
  <w:style w:type="character" w:customStyle="1" w:styleId="1108">
    <w:name w:val="标题 5 字符1"/>
    <w:semiHidden/>
    <w:qFormat/>
    <w:uiPriority w:val="9"/>
    <w:rPr>
      <w:rFonts w:hint="eastAsia" w:ascii="宋体" w:hAnsi="宋体" w:eastAsia="宋体"/>
      <w:b/>
      <w:bCs/>
      <w:kern w:val="2"/>
      <w:sz w:val="28"/>
      <w:szCs w:val="28"/>
    </w:rPr>
  </w:style>
  <w:style w:type="character" w:customStyle="1" w:styleId="1109">
    <w:name w:val="l-btn-icon-left"/>
    <w:basedOn w:val="106"/>
    <w:qFormat/>
    <w:uiPriority w:val="0"/>
    <w:rPr>
      <w:rFonts w:hint="eastAsia" w:ascii="仿宋_GB2312" w:eastAsia="仿宋_GB2312"/>
      <w:b/>
      <w:sz w:val="32"/>
      <w:szCs w:val="32"/>
    </w:rPr>
  </w:style>
  <w:style w:type="character" w:customStyle="1" w:styleId="1110">
    <w:name w:val="nc-lang-cnt"/>
    <w:qFormat/>
    <w:uiPriority w:val="0"/>
  </w:style>
  <w:style w:type="character" w:customStyle="1" w:styleId="1111">
    <w:name w:val="标题 5 Char"/>
    <w:qFormat/>
    <w:uiPriority w:val="0"/>
    <w:rPr>
      <w:rFonts w:hint="default" w:ascii="Arial" w:hAnsi="Arial" w:cs="Arial"/>
      <w:spacing w:val="10"/>
      <w:sz w:val="22"/>
      <w:lang w:val="en-US" w:eastAsia="zh-CN"/>
    </w:rPr>
  </w:style>
  <w:style w:type="character" w:customStyle="1" w:styleId="1112">
    <w:name w:val="标题 2 Char"/>
    <w:qFormat/>
    <w:uiPriority w:val="0"/>
    <w:rPr>
      <w:rFonts w:hint="eastAsia" w:ascii="黑体" w:hAnsi="黑体" w:eastAsia="黑体"/>
      <w:bCs/>
      <w:kern w:val="2"/>
      <w:sz w:val="32"/>
    </w:rPr>
  </w:style>
  <w:style w:type="character" w:customStyle="1" w:styleId="1113">
    <w:name w:val="selected1"/>
    <w:qFormat/>
    <w:uiPriority w:val="0"/>
    <w:rPr>
      <w:color w:val="CB2027"/>
    </w:rPr>
  </w:style>
  <w:style w:type="character" w:customStyle="1" w:styleId="1114">
    <w:name w:val="正文文本 (2) + 间距 3 pt"/>
    <w:qFormat/>
    <w:uiPriority w:val="0"/>
    <w:rPr>
      <w:rFonts w:hint="eastAsia" w:ascii="MingLiU" w:hAnsi="MingLiU" w:eastAsia="MingLiU" w:cs="MingLiU"/>
      <w:color w:val="000000"/>
      <w:spacing w:val="60"/>
      <w:w w:val="100"/>
      <w:position w:val="0"/>
      <w:sz w:val="26"/>
      <w:szCs w:val="26"/>
      <w:u w:val="none"/>
      <w:shd w:val="clear" w:color="auto" w:fill="FFFFFF"/>
      <w:lang w:val="zh-CN" w:eastAsia="zh-CN" w:bidi="zh-CN"/>
    </w:rPr>
  </w:style>
  <w:style w:type="character" w:customStyle="1" w:styleId="1115">
    <w:name w:val="副标题 Char"/>
    <w:qFormat/>
    <w:uiPriority w:val="0"/>
    <w:rPr>
      <w:rFonts w:hint="default" w:ascii="Cambria" w:hAnsi="Cambria" w:eastAsia="黑体" w:cs="Times New Roman"/>
      <w:b/>
      <w:bCs/>
      <w:kern w:val="28"/>
      <w:sz w:val="28"/>
      <w:szCs w:val="32"/>
    </w:rPr>
  </w:style>
  <w:style w:type="character" w:customStyle="1" w:styleId="1116">
    <w:name w:val="标书正文 Char Char"/>
    <w:qFormat/>
    <w:uiPriority w:val="0"/>
    <w:rPr>
      <w:rFonts w:hint="default" w:ascii="Times New Roman" w:hAnsi="Times New Roman" w:eastAsia="宋体" w:cs="Times New Roman"/>
      <w:sz w:val="24"/>
      <w:szCs w:val="24"/>
    </w:rPr>
  </w:style>
  <w:style w:type="character" w:customStyle="1" w:styleId="1117">
    <w:name w:val="页眉 Char"/>
    <w:qFormat/>
    <w:uiPriority w:val="0"/>
    <w:rPr>
      <w:rFonts w:hint="eastAsia" w:ascii="宋体" w:hAnsi="宋体" w:eastAsia="宋体"/>
      <w:sz w:val="18"/>
    </w:rPr>
  </w:style>
  <w:style w:type="character" w:customStyle="1" w:styleId="1118">
    <w:name w:val="样式  + 四号 黑色 Char"/>
    <w:semiHidden/>
    <w:qFormat/>
    <w:uiPriority w:val="0"/>
    <w:rPr>
      <w:rFonts w:hint="eastAsia" w:ascii="楷体_GB2312" w:eastAsia="宋体"/>
      <w:color w:val="000000"/>
      <w:kern w:val="2"/>
      <w:sz w:val="28"/>
      <w:lang w:val="en-US" w:eastAsia="zh-CN" w:bidi="ar-SA"/>
    </w:rPr>
  </w:style>
  <w:style w:type="character" w:customStyle="1" w:styleId="1119">
    <w:name w:val="HTML 地址 Char"/>
    <w:qFormat/>
    <w:uiPriority w:val="0"/>
    <w:rPr>
      <w:rFonts w:hint="eastAsia" w:ascii="宋体" w:hAnsi="宋体" w:eastAsia="宋体" w:cs="宋体"/>
      <w:i/>
      <w:iCs/>
      <w:color w:val="000000"/>
      <w:kern w:val="2"/>
      <w:sz w:val="28"/>
      <w:szCs w:val="32"/>
    </w:rPr>
  </w:style>
  <w:style w:type="character" w:customStyle="1" w:styleId="1120">
    <w:name w:val="纯文本2"/>
    <w:qFormat/>
    <w:uiPriority w:val="0"/>
    <w:rPr>
      <w:rFonts w:hint="eastAsia" w:ascii="宋体" w:hAnsi="Courier New" w:eastAsia="宋体"/>
      <w:kern w:val="2"/>
      <w:sz w:val="21"/>
      <w:szCs w:val="24"/>
      <w:lang w:val="en-US" w:eastAsia="zh-CN" w:bidi="ar-SA"/>
    </w:rPr>
  </w:style>
  <w:style w:type="character" w:customStyle="1" w:styleId="1121">
    <w:name w:val="正文文本 (4) + 13 pt"/>
    <w:qFormat/>
    <w:uiPriority w:val="0"/>
    <w:rPr>
      <w:rFonts w:hint="eastAsia" w:ascii="MingLiU" w:hAnsi="MingLiU" w:eastAsia="MingLiU" w:cs="MingLiU"/>
      <w:b/>
      <w:bCs/>
      <w:color w:val="000000"/>
      <w:spacing w:val="20"/>
      <w:w w:val="100"/>
      <w:position w:val="0"/>
      <w:sz w:val="26"/>
      <w:szCs w:val="26"/>
      <w:u w:val="none"/>
      <w:shd w:val="clear" w:color="auto" w:fill="FFFFFF"/>
      <w:lang w:val="zh-CN" w:eastAsia="zh-CN" w:bidi="zh-CN"/>
    </w:rPr>
  </w:style>
  <w:style w:type="character" w:customStyle="1" w:styleId="1122">
    <w:name w:val="p141"/>
    <w:qFormat/>
    <w:uiPriority w:val="0"/>
    <w:rPr>
      <w:color w:val="333333"/>
      <w:sz w:val="28"/>
    </w:rPr>
  </w:style>
  <w:style w:type="character" w:customStyle="1" w:styleId="1123">
    <w:name w:val="宏文本 Char1"/>
    <w:semiHidden/>
    <w:qFormat/>
    <w:uiPriority w:val="99"/>
    <w:rPr>
      <w:rFonts w:hint="default" w:ascii="Courier New" w:hAnsi="Courier New" w:cs="Courier New"/>
      <w:kern w:val="2"/>
      <w:sz w:val="24"/>
      <w:szCs w:val="24"/>
    </w:rPr>
  </w:style>
  <w:style w:type="character" w:customStyle="1" w:styleId="1124">
    <w:name w:val="超链接 New"/>
    <w:qFormat/>
    <w:uiPriority w:val="0"/>
    <w:rPr>
      <w:color w:val="0000FF"/>
      <w:u w:val="single"/>
    </w:rPr>
  </w:style>
  <w:style w:type="character" w:customStyle="1" w:styleId="1125">
    <w:name w:val="正文文本 (2) + 间距 4 pt"/>
    <w:qFormat/>
    <w:uiPriority w:val="0"/>
    <w:rPr>
      <w:rFonts w:hint="eastAsia" w:ascii="MingLiU" w:hAnsi="MingLiU" w:eastAsia="MingLiU" w:cs="MingLiU"/>
      <w:color w:val="000000"/>
      <w:spacing w:val="80"/>
      <w:w w:val="100"/>
      <w:position w:val="0"/>
      <w:sz w:val="26"/>
      <w:szCs w:val="26"/>
      <w:u w:val="none"/>
      <w:shd w:val="clear" w:color="auto" w:fill="FFFFFF"/>
      <w:lang w:val="zh-CN" w:eastAsia="zh-CN" w:bidi="zh-CN"/>
    </w:rPr>
  </w:style>
  <w:style w:type="character" w:customStyle="1" w:styleId="1126">
    <w:name w:val="日期 字符1"/>
    <w:semiHidden/>
    <w:qFormat/>
    <w:uiPriority w:val="99"/>
  </w:style>
  <w:style w:type="character" w:customStyle="1" w:styleId="1127">
    <w:name w:val="标题 2 Char Char Char Char"/>
    <w:qFormat/>
    <w:uiPriority w:val="0"/>
    <w:rPr>
      <w:rFonts w:hint="eastAsia" w:ascii="黑体" w:hAnsi="Arial" w:eastAsia="黑体"/>
      <w:b/>
      <w:bCs/>
      <w:sz w:val="28"/>
      <w:szCs w:val="32"/>
      <w:lang w:val="en-US" w:eastAsia="zh-CN" w:bidi="ar-SA"/>
    </w:rPr>
  </w:style>
  <w:style w:type="character" w:customStyle="1" w:styleId="1128">
    <w:name w:val="正文1 Char Char"/>
    <w:qFormat/>
    <w:uiPriority w:val="0"/>
    <w:rPr>
      <w:rFonts w:hint="default" w:ascii="Times New Roman" w:hAnsi="Times New Roman" w:eastAsia="宋体" w:cs="Times New Roman"/>
      <w:sz w:val="24"/>
      <w:szCs w:val="24"/>
    </w:rPr>
  </w:style>
  <w:style w:type="character" w:customStyle="1" w:styleId="1129">
    <w:name w:val="脚注文本 Char2"/>
    <w:semiHidden/>
    <w:qFormat/>
    <w:uiPriority w:val="99"/>
    <w:rPr>
      <w:kern w:val="2"/>
      <w:sz w:val="18"/>
      <w:szCs w:val="18"/>
    </w:rPr>
  </w:style>
  <w:style w:type="character" w:customStyle="1" w:styleId="1130">
    <w:name w:val="页眉 Char1"/>
    <w:qFormat/>
    <w:uiPriority w:val="0"/>
    <w:rPr>
      <w:sz w:val="18"/>
      <w:szCs w:val="18"/>
    </w:rPr>
  </w:style>
  <w:style w:type="character" w:customStyle="1" w:styleId="1131">
    <w:name w:val="font81"/>
    <w:qFormat/>
    <w:uiPriority w:val="0"/>
    <w:rPr>
      <w:rFonts w:hint="eastAsia" w:ascii="宋体" w:hAnsi="宋体" w:eastAsia="宋体" w:cs="宋体"/>
      <w:color w:val="000000"/>
      <w:kern w:val="2"/>
      <w:sz w:val="24"/>
      <w:szCs w:val="24"/>
      <w:u w:val="none"/>
      <w:lang w:val="en-US" w:eastAsia="zh-CN" w:bidi="ar-SA"/>
    </w:rPr>
  </w:style>
  <w:style w:type="character" w:customStyle="1" w:styleId="1132">
    <w:name w:val="页脚 字符1"/>
    <w:qFormat/>
    <w:uiPriority w:val="99"/>
    <w:rPr>
      <w:kern w:val="2"/>
      <w:sz w:val="18"/>
      <w:szCs w:val="18"/>
    </w:rPr>
  </w:style>
  <w:style w:type="character" w:customStyle="1" w:styleId="1133">
    <w:name w:val="fontstyle11"/>
    <w:qFormat/>
    <w:uiPriority w:val="0"/>
    <w:rPr>
      <w:rFonts w:hint="eastAsia" w:ascii="宋体" w:hAnsi="宋体" w:eastAsia="宋体"/>
      <w:color w:val="000000"/>
      <w:sz w:val="22"/>
      <w:szCs w:val="22"/>
    </w:rPr>
  </w:style>
  <w:style w:type="character" w:customStyle="1" w:styleId="1134">
    <w:name w:val="结束语 Char"/>
    <w:qFormat/>
    <w:uiPriority w:val="0"/>
    <w:rPr>
      <w:rFonts w:hint="eastAsia" w:ascii="宋体" w:hAnsi="宋体" w:eastAsia="宋体" w:cs="宋体"/>
      <w:color w:val="000000"/>
      <w:kern w:val="2"/>
      <w:sz w:val="28"/>
      <w:szCs w:val="32"/>
    </w:rPr>
  </w:style>
  <w:style w:type="character" w:customStyle="1" w:styleId="1135">
    <w:name w:val="样式 首行缩进:  1.92 字符1 Char"/>
    <w:qFormat/>
    <w:uiPriority w:val="0"/>
    <w:rPr>
      <w:rFonts w:hint="eastAsia" w:ascii="宋体" w:hAnsi="宋体" w:eastAsia="宋体" w:cs="宋体"/>
      <w:kern w:val="2"/>
      <w:sz w:val="24"/>
      <w:lang w:val="en-US" w:eastAsia="zh-CN" w:bidi="ar-SA"/>
    </w:rPr>
  </w:style>
  <w:style w:type="character" w:customStyle="1" w:styleId="1136">
    <w:name w:val="正文文本 3 Char1"/>
    <w:semiHidden/>
    <w:qFormat/>
    <w:uiPriority w:val="99"/>
    <w:rPr>
      <w:sz w:val="16"/>
      <w:szCs w:val="16"/>
    </w:rPr>
  </w:style>
  <w:style w:type="character" w:customStyle="1" w:styleId="1137">
    <w:name w:val="签名 Char"/>
    <w:qFormat/>
    <w:uiPriority w:val="0"/>
    <w:rPr>
      <w:rFonts w:hint="eastAsia" w:ascii="宋体" w:hAnsi="宋体" w:eastAsia="宋体" w:cs="宋体"/>
      <w:color w:val="000000"/>
      <w:kern w:val="2"/>
      <w:sz w:val="28"/>
      <w:szCs w:val="32"/>
    </w:rPr>
  </w:style>
  <w:style w:type="character" w:customStyle="1" w:styleId="1138">
    <w:name w:val="font01"/>
    <w:qFormat/>
    <w:uiPriority w:val="0"/>
    <w:rPr>
      <w:rFonts w:hint="eastAsia" w:ascii="宋体" w:hAnsi="宋体" w:eastAsia="宋体" w:cs="宋体"/>
      <w:color w:val="000000"/>
      <w:sz w:val="22"/>
      <w:szCs w:val="22"/>
      <w:u w:val="none"/>
    </w:rPr>
  </w:style>
  <w:style w:type="character" w:customStyle="1" w:styleId="1139">
    <w:name w:val="样式 宋体 小四"/>
    <w:qFormat/>
    <w:uiPriority w:val="0"/>
    <w:rPr>
      <w:rFonts w:hint="eastAsia" w:ascii="宋体" w:hAnsi="宋体" w:eastAsia="宋体"/>
      <w:kern w:val="0"/>
      <w:sz w:val="28"/>
    </w:rPr>
  </w:style>
  <w:style w:type="character" w:customStyle="1" w:styleId="1140">
    <w:name w:val="标题 3 Char3"/>
    <w:qFormat/>
    <w:uiPriority w:val="9"/>
    <w:rPr>
      <w:rFonts w:hint="eastAsia" w:ascii="黑体" w:hAnsi="黑体" w:eastAsia="黑体"/>
      <w:bCs/>
      <w:snapToGrid w:val="0"/>
      <w:sz w:val="24"/>
      <w:szCs w:val="24"/>
      <w:lang w:val="en-US" w:eastAsia="zh-CN" w:bidi="ar-SA"/>
    </w:rPr>
  </w:style>
  <w:style w:type="character" w:customStyle="1" w:styleId="1141">
    <w:name w:val="样式 仿宋_GB2312 三号1"/>
    <w:qFormat/>
    <w:uiPriority w:val="0"/>
    <w:rPr>
      <w:rFonts w:hint="eastAsia" w:ascii="仿宋_GB2312" w:hAnsi="仿宋_GB2312" w:eastAsia="仿宋_GB2312"/>
      <w:b/>
      <w:color w:val="000000"/>
      <w:kern w:val="2"/>
      <w:sz w:val="28"/>
      <w:lang w:val="en-US" w:eastAsia="zh-CN"/>
    </w:rPr>
  </w:style>
  <w:style w:type="character" w:customStyle="1" w:styleId="1142">
    <w:name w:val="标题 2 字符1"/>
    <w:semiHidden/>
    <w:qFormat/>
    <w:uiPriority w:val="9"/>
    <w:rPr>
      <w:rFonts w:hint="default" w:ascii="Cambria" w:hAnsi="Cambria" w:eastAsia="宋体" w:cs="Times New Roman"/>
      <w:b/>
      <w:bCs/>
      <w:kern w:val="2"/>
      <w:sz w:val="32"/>
      <w:szCs w:val="32"/>
    </w:rPr>
  </w:style>
  <w:style w:type="character" w:customStyle="1" w:styleId="1143">
    <w:name w:val="副标题 Char2"/>
    <w:qFormat/>
    <w:uiPriority w:val="0"/>
    <w:rPr>
      <w:bCs/>
      <w:kern w:val="28"/>
      <w:sz w:val="24"/>
      <w:szCs w:val="32"/>
    </w:rPr>
  </w:style>
  <w:style w:type="character" w:customStyle="1" w:styleId="1144">
    <w:name w:val="HTML 预设格式 Char"/>
    <w:qFormat/>
    <w:uiPriority w:val="0"/>
    <w:rPr>
      <w:rFonts w:hint="default" w:ascii="Courier New" w:hAnsi="Courier New" w:eastAsia="黑体" w:cs="Courier New"/>
      <w:b/>
      <w:kern w:val="2"/>
    </w:rPr>
  </w:style>
  <w:style w:type="character" w:customStyle="1" w:styleId="1145">
    <w:name w:val="标题 4 Char"/>
    <w:qFormat/>
    <w:uiPriority w:val="0"/>
    <w:rPr>
      <w:rFonts w:hint="eastAsia" w:ascii="宋体" w:hAnsi="宋体" w:eastAsia="宋体"/>
      <w:b/>
      <w:i/>
      <w:spacing w:val="10"/>
      <w:sz w:val="24"/>
      <w:lang w:val="en-US" w:eastAsia="zh-CN"/>
    </w:rPr>
  </w:style>
  <w:style w:type="character" w:customStyle="1" w:styleId="1146">
    <w:name w:val="l-btn-left"/>
    <w:basedOn w:val="106"/>
    <w:qFormat/>
    <w:uiPriority w:val="0"/>
    <w:rPr>
      <w:rFonts w:hint="eastAsia" w:ascii="仿宋_GB2312" w:eastAsia="仿宋_GB2312"/>
      <w:b/>
      <w:sz w:val="32"/>
      <w:szCs w:val="32"/>
    </w:rPr>
  </w:style>
  <w:style w:type="character" w:customStyle="1" w:styleId="1147">
    <w:name w:val="明显强调3"/>
    <w:qFormat/>
    <w:uiPriority w:val="21"/>
    <w:rPr>
      <w:i/>
      <w:iCs/>
      <w:color w:val="4472C4"/>
    </w:rPr>
  </w:style>
  <w:style w:type="character" w:customStyle="1" w:styleId="1148">
    <w:name w:val="正文首行缩进 Char1"/>
    <w:qFormat/>
    <w:uiPriority w:val="99"/>
    <w:rPr>
      <w:rFonts w:hint="default" w:ascii="Times New Roman" w:hAnsi="Times New Roman" w:eastAsia="宋体" w:cs="Times New Roman"/>
      <w:sz w:val="24"/>
      <w:szCs w:val="24"/>
    </w:rPr>
  </w:style>
  <w:style w:type="character" w:customStyle="1" w:styleId="1149">
    <w:name w:val="标题 9 Char"/>
    <w:qFormat/>
    <w:uiPriority w:val="0"/>
    <w:rPr>
      <w:rFonts w:hint="default" w:ascii="Arial" w:hAnsi="Arial" w:cs="Arial"/>
      <w:i/>
      <w:spacing w:val="10"/>
      <w:sz w:val="18"/>
      <w:lang w:val="en-US" w:eastAsia="zh-CN"/>
    </w:rPr>
  </w:style>
  <w:style w:type="character" w:customStyle="1" w:styleId="1150">
    <w:name w:val="正文文本 3 Char"/>
    <w:qFormat/>
    <w:uiPriority w:val="0"/>
    <w:rPr>
      <w:bCs/>
      <w:kern w:val="2"/>
      <w:sz w:val="24"/>
    </w:rPr>
  </w:style>
  <w:style w:type="character" w:customStyle="1" w:styleId="1151">
    <w:name w:val="题注 Char"/>
    <w:qFormat/>
    <w:uiPriority w:val="0"/>
    <w:rPr>
      <w:rFonts w:hint="eastAsia" w:ascii="宋体" w:hAnsi="宋体" w:eastAsia="宋体" w:cs="Arial"/>
      <w:kern w:val="2"/>
      <w:sz w:val="28"/>
      <w:szCs w:val="28"/>
      <w:lang w:val="en-US" w:eastAsia="zh-CN" w:bidi="ar-SA"/>
    </w:rPr>
  </w:style>
  <w:style w:type="character" w:customStyle="1" w:styleId="1152">
    <w:name w:val="font101"/>
    <w:basedOn w:val="106"/>
    <w:qFormat/>
    <w:uiPriority w:val="0"/>
    <w:rPr>
      <w:rFonts w:hint="default" w:ascii="Times New Roman" w:hAnsi="Times New Roman" w:eastAsia="仿宋_GB2312" w:cs="Times New Roman"/>
      <w:b/>
      <w:color w:val="000000"/>
      <w:sz w:val="20"/>
      <w:szCs w:val="20"/>
      <w:u w:val="none"/>
    </w:rPr>
  </w:style>
  <w:style w:type="character" w:customStyle="1" w:styleId="1153">
    <w:name w:val="标题 字符1"/>
    <w:qFormat/>
    <w:uiPriority w:val="10"/>
    <w:rPr>
      <w:rFonts w:hint="eastAsia" w:ascii="等线 Light" w:hAnsi="等线 Light" w:eastAsia="等线 Light" w:cs="Times New Roman"/>
      <w:b/>
      <w:bCs/>
      <w:sz w:val="32"/>
      <w:szCs w:val="32"/>
    </w:rPr>
  </w:style>
  <w:style w:type="character" w:customStyle="1" w:styleId="1154">
    <w:name w:val="信息标题 Char1"/>
    <w:semiHidden/>
    <w:qFormat/>
    <w:uiPriority w:val="99"/>
    <w:rPr>
      <w:rFonts w:hint="default" w:ascii="Cambria" w:hAnsi="Cambria" w:eastAsia="宋体" w:cs="Times New Roman"/>
      <w:sz w:val="24"/>
      <w:szCs w:val="24"/>
      <w:shd w:val="pct20" w:color="auto" w:fill="auto"/>
    </w:rPr>
  </w:style>
  <w:style w:type="character" w:customStyle="1" w:styleId="1155">
    <w:name w:val="副标题 字符1"/>
    <w:qFormat/>
    <w:uiPriority w:val="11"/>
    <w:rPr>
      <w:b/>
      <w:bCs/>
      <w:kern w:val="28"/>
      <w:sz w:val="32"/>
      <w:szCs w:val="32"/>
    </w:rPr>
  </w:style>
  <w:style w:type="character" w:customStyle="1" w:styleId="1156">
    <w:name w:val="表格标题 (5) + 8 pt"/>
    <w:qFormat/>
    <w:uiPriority w:val="0"/>
    <w:rPr>
      <w:rFonts w:hint="eastAsia" w:ascii="MingLiU" w:hAnsi="MingLiU" w:eastAsia="MingLiU" w:cs="MingLiU"/>
      <w:color w:val="000000"/>
      <w:spacing w:val="60"/>
      <w:w w:val="100"/>
      <w:position w:val="0"/>
      <w:sz w:val="16"/>
      <w:szCs w:val="16"/>
      <w:shd w:val="clear" w:color="auto" w:fill="FFFFFF"/>
      <w:lang w:val="zh-CN" w:eastAsia="zh-CN" w:bidi="zh-CN"/>
    </w:rPr>
  </w:style>
  <w:style w:type="character" w:customStyle="1" w:styleId="1157">
    <w:name w:val="正文首行缩进 2 Char1"/>
    <w:semiHidden/>
    <w:qFormat/>
    <w:uiPriority w:val="99"/>
    <w:rPr>
      <w:rFonts w:hint="default" w:ascii="Times New Roman" w:hAnsi="Times New Roman" w:eastAsia="宋体" w:cs="Times New Roman"/>
      <w:kern w:val="2"/>
      <w:sz w:val="24"/>
      <w:szCs w:val="24"/>
    </w:rPr>
  </w:style>
  <w:style w:type="character" w:customStyle="1" w:styleId="1158">
    <w:name w:val="正文首行缩进 2 Char"/>
    <w:qFormat/>
    <w:uiPriority w:val="0"/>
    <w:rPr>
      <w:spacing w:val="20"/>
      <w:kern w:val="2"/>
      <w:sz w:val="28"/>
      <w:szCs w:val="24"/>
    </w:rPr>
  </w:style>
  <w:style w:type="character" w:customStyle="1" w:styleId="1159">
    <w:name w:val="正文（首行缩进两字） Char Char Char Char1"/>
    <w:qFormat/>
    <w:uiPriority w:val="0"/>
    <w:rPr>
      <w:rFonts w:hint="eastAsia" w:ascii="宋体" w:hAnsi="宋体" w:eastAsia="宋体"/>
      <w:kern w:val="2"/>
      <w:sz w:val="21"/>
      <w:lang w:val="en-US" w:eastAsia="zh-CN" w:bidi="ar-SA"/>
    </w:rPr>
  </w:style>
  <w:style w:type="character" w:customStyle="1" w:styleId="1160">
    <w:name w:val="HCH正文 Char Char"/>
    <w:qFormat/>
    <w:uiPriority w:val="0"/>
    <w:rPr>
      <w:bCs/>
      <w:sz w:val="24"/>
      <w:szCs w:val="24"/>
    </w:rPr>
  </w:style>
  <w:style w:type="character" w:customStyle="1" w:styleId="1161">
    <w:name w:val="Char Char"/>
    <w:qFormat/>
    <w:uiPriority w:val="0"/>
    <w:rPr>
      <w:rFonts w:hint="eastAsia" w:ascii="宋体" w:hAnsi="Courier New" w:eastAsia="宋体"/>
      <w:kern w:val="2"/>
      <w:sz w:val="21"/>
      <w:lang w:val="en-US" w:eastAsia="zh-CN"/>
    </w:rPr>
  </w:style>
  <w:style w:type="character" w:customStyle="1" w:styleId="1162">
    <w:name w:val="批注框文本 字符1"/>
    <w:semiHidden/>
    <w:qFormat/>
    <w:uiPriority w:val="99"/>
    <w:rPr>
      <w:sz w:val="18"/>
      <w:szCs w:val="18"/>
    </w:rPr>
  </w:style>
  <w:style w:type="character" w:customStyle="1" w:styleId="1163">
    <w:name w:val="正文文本 Char1"/>
    <w:semiHidden/>
    <w:qFormat/>
    <w:uiPriority w:val="99"/>
    <w:rPr>
      <w:rFonts w:hint="default" w:ascii="Times New Roman" w:hAnsi="Times New Roman" w:eastAsia="宋体" w:cs="Times New Roman"/>
      <w:sz w:val="24"/>
      <w:szCs w:val="24"/>
    </w:rPr>
  </w:style>
  <w:style w:type="character" w:customStyle="1" w:styleId="1164">
    <w:name w:val="明显强调1"/>
    <w:qFormat/>
    <w:uiPriority w:val="0"/>
    <w:rPr>
      <w:i/>
      <w:iCs/>
      <w:color w:val="5B9BD5"/>
    </w:rPr>
  </w:style>
  <w:style w:type="character" w:customStyle="1" w:styleId="1165">
    <w:name w:val="apple-style-span"/>
    <w:basedOn w:val="106"/>
    <w:qFormat/>
    <w:uiPriority w:val="0"/>
    <w:rPr>
      <w:rFonts w:hint="eastAsia" w:ascii="仿宋_GB2312" w:eastAsia="仿宋_GB2312"/>
      <w:b/>
      <w:sz w:val="32"/>
      <w:szCs w:val="32"/>
    </w:rPr>
  </w:style>
  <w:style w:type="character" w:customStyle="1" w:styleId="1166">
    <w:name w:val="nc-lang-cnt4"/>
    <w:qFormat/>
    <w:uiPriority w:val="0"/>
  </w:style>
  <w:style w:type="character" w:customStyle="1" w:styleId="1167">
    <w:name w:val="正文首行缩进 Char"/>
    <w:qFormat/>
    <w:uiPriority w:val="0"/>
    <w:rPr>
      <w:rFonts w:hint="eastAsia" w:ascii="宋体" w:hAnsi="宋体" w:eastAsia="宋体"/>
      <w:kern w:val="2"/>
      <w:sz w:val="28"/>
      <w:szCs w:val="28"/>
      <w:lang w:val="en-US" w:eastAsia="zh-CN" w:bidi="ar-SA"/>
    </w:rPr>
  </w:style>
  <w:style w:type="character" w:customStyle="1" w:styleId="1168">
    <w:name w:val="纯文本 Char5"/>
    <w:qFormat/>
    <w:uiPriority w:val="0"/>
    <w:rPr>
      <w:rFonts w:hint="eastAsia" w:ascii="宋体" w:hAnsi="Courier New" w:eastAsia="宋体"/>
      <w:kern w:val="2"/>
      <w:sz w:val="21"/>
    </w:rPr>
  </w:style>
  <w:style w:type="character" w:customStyle="1" w:styleId="1169">
    <w:name w:val="批注框文本 Char"/>
    <w:qFormat/>
    <w:uiPriority w:val="0"/>
    <w:rPr>
      <w:kern w:val="2"/>
      <w:sz w:val="18"/>
      <w:szCs w:val="18"/>
    </w:rPr>
  </w:style>
  <w:style w:type="character" w:customStyle="1" w:styleId="1170">
    <w:name w:val="HCH标题2 Char Char"/>
    <w:qFormat/>
    <w:uiPriority w:val="0"/>
    <w:rPr>
      <w:rFonts w:hint="eastAsia" w:ascii="黑体" w:hAnsi="黑体" w:eastAsia="黑体"/>
      <w:kern w:val="2"/>
      <w:sz w:val="24"/>
      <w:lang w:val="en-US" w:eastAsia="zh-CN"/>
    </w:rPr>
  </w:style>
  <w:style w:type="character" w:customStyle="1" w:styleId="1171">
    <w:name w:val="表格 Char"/>
    <w:qFormat/>
    <w:uiPriority w:val="0"/>
    <w:rPr>
      <w:rFonts w:hint="default" w:ascii="Times New Roman" w:hAnsi="Times New Roman" w:cs="Times New Roman"/>
      <w:kern w:val="2"/>
      <w:sz w:val="21"/>
      <w:szCs w:val="22"/>
    </w:rPr>
  </w:style>
  <w:style w:type="character" w:customStyle="1" w:styleId="1172">
    <w:name w:val="name2"/>
    <w:qFormat/>
    <w:uiPriority w:val="0"/>
  </w:style>
  <w:style w:type="character" w:customStyle="1" w:styleId="1173">
    <w:name w:val="正文文本缩进 Char"/>
    <w:qFormat/>
    <w:uiPriority w:val="0"/>
    <w:rPr>
      <w:kern w:val="2"/>
      <w:sz w:val="28"/>
      <w:szCs w:val="24"/>
    </w:rPr>
  </w:style>
  <w:style w:type="character" w:customStyle="1" w:styleId="1174">
    <w:name w:val="表格标题_"/>
    <w:qFormat/>
    <w:uiPriority w:val="0"/>
    <w:rPr>
      <w:rFonts w:hint="eastAsia" w:ascii="MingLiU" w:hAnsi="MingLiU" w:eastAsia="MingLiU" w:cs="MingLiU"/>
      <w:u w:val="none"/>
    </w:rPr>
  </w:style>
  <w:style w:type="character" w:customStyle="1" w:styleId="1175">
    <w:name w:val="正文缩进 Char2"/>
    <w:qFormat/>
    <w:uiPriority w:val="0"/>
    <w:rPr>
      <w:rFonts w:hint="default" w:ascii="Times New Roman" w:hAnsi="Times New Roman" w:cs="Times New Roman"/>
      <w:iCs/>
      <w:kern w:val="2"/>
      <w:sz w:val="24"/>
      <w:szCs w:val="30"/>
    </w:rPr>
  </w:style>
  <w:style w:type="character" w:customStyle="1" w:styleId="1176">
    <w:name w:val="标题 2 Char2"/>
    <w:qFormat/>
    <w:uiPriority w:val="0"/>
    <w:rPr>
      <w:rFonts w:hint="eastAsia" w:ascii="黑体" w:hAnsi="黑体" w:eastAsia="黑体"/>
      <w:bCs/>
      <w:sz w:val="30"/>
      <w:szCs w:val="24"/>
      <w:lang w:val="en-US" w:eastAsia="zh-CN" w:bidi="ar-SA"/>
    </w:rPr>
  </w:style>
  <w:style w:type="character" w:customStyle="1" w:styleId="1177">
    <w:name w:val="标题 7 Char"/>
    <w:qFormat/>
    <w:uiPriority w:val="0"/>
    <w:rPr>
      <w:rFonts w:hint="default" w:ascii="Arial" w:hAnsi="Arial" w:eastAsia="黑体" w:cs="Arial"/>
      <w:spacing w:val="10"/>
      <w:sz w:val="28"/>
      <w:lang w:val="en-US" w:eastAsia="zh-CN"/>
    </w:rPr>
  </w:style>
  <w:style w:type="character" w:customStyle="1" w:styleId="1178">
    <w:name w:val="正文文本 2 Char1"/>
    <w:semiHidden/>
    <w:qFormat/>
    <w:uiPriority w:val="99"/>
    <w:rPr>
      <w:rFonts w:hint="default" w:ascii="Times New Roman" w:hAnsi="Times New Roman" w:eastAsia="宋体" w:cs="Times New Roman"/>
      <w:sz w:val="24"/>
      <w:szCs w:val="24"/>
    </w:rPr>
  </w:style>
  <w:style w:type="character" w:customStyle="1" w:styleId="1179">
    <w:name w:val="font61"/>
    <w:qFormat/>
    <w:uiPriority w:val="0"/>
    <w:rPr>
      <w:rFonts w:hint="default" w:ascii="Times New Roman" w:hAnsi="Times New Roman" w:cs="Times New Roman"/>
      <w:color w:val="000000"/>
      <w:sz w:val="18"/>
      <w:szCs w:val="18"/>
      <w:u w:val="none"/>
    </w:rPr>
  </w:style>
  <w:style w:type="character" w:customStyle="1" w:styleId="1180">
    <w:name w:val="标题 3 字符1"/>
    <w:semiHidden/>
    <w:qFormat/>
    <w:uiPriority w:val="9"/>
    <w:rPr>
      <w:rFonts w:hint="eastAsia" w:ascii="宋体" w:hAnsi="宋体" w:eastAsia="宋体"/>
      <w:b/>
      <w:bCs/>
      <w:kern w:val="2"/>
      <w:sz w:val="32"/>
      <w:szCs w:val="32"/>
    </w:rPr>
  </w:style>
  <w:style w:type="character" w:customStyle="1" w:styleId="1181">
    <w:name w:val="正文文本 (2) + 间距 1 pt"/>
    <w:qFormat/>
    <w:uiPriority w:val="0"/>
    <w:rPr>
      <w:rFonts w:hint="eastAsia" w:ascii="MingLiU" w:hAnsi="MingLiU" w:eastAsia="MingLiU" w:cs="MingLiU"/>
      <w:color w:val="000000"/>
      <w:spacing w:val="20"/>
      <w:w w:val="100"/>
      <w:position w:val="0"/>
      <w:sz w:val="26"/>
      <w:szCs w:val="26"/>
      <w:u w:val="none"/>
      <w:shd w:val="clear" w:color="auto" w:fill="FFFFFF"/>
      <w:lang w:val="zh-CN" w:eastAsia="zh-CN" w:bidi="zh-CN"/>
    </w:rPr>
  </w:style>
  <w:style w:type="character" w:customStyle="1" w:styleId="1182">
    <w:name w:val="正文文本 (5) Exact"/>
    <w:qFormat/>
    <w:uiPriority w:val="0"/>
    <w:rPr>
      <w:rFonts w:hint="eastAsia" w:ascii="MingLiU" w:hAnsi="MingLiU" w:eastAsia="MingLiU" w:cs="MingLiU"/>
      <w:u w:val="none"/>
      <w:lang w:val="en-US" w:eastAsia="en-US" w:bidi="en-US"/>
    </w:rPr>
  </w:style>
  <w:style w:type="character" w:customStyle="1" w:styleId="1183">
    <w:name w:val="明显强调2"/>
    <w:qFormat/>
    <w:uiPriority w:val="21"/>
    <w:rPr>
      <w:b/>
      <w:bCs/>
      <w:i/>
      <w:iCs/>
      <w:color w:val="4F81BD"/>
    </w:rPr>
  </w:style>
  <w:style w:type="character" w:customStyle="1" w:styleId="1184">
    <w:name w:val="news_content1"/>
    <w:qFormat/>
    <w:uiPriority w:val="0"/>
    <w:rPr>
      <w:sz w:val="22"/>
      <w:szCs w:val="22"/>
    </w:rPr>
  </w:style>
  <w:style w:type="character" w:customStyle="1" w:styleId="1185">
    <w:name w:val="标题2 字符"/>
    <w:qFormat/>
    <w:uiPriority w:val="0"/>
    <w:rPr>
      <w:rFonts w:hint="default" w:ascii="Times New Roman" w:hAnsi="Times New Roman" w:eastAsia="黑体" w:cs="Times New Roman"/>
      <w:bCs/>
      <w:kern w:val="44"/>
      <w:sz w:val="28"/>
      <w:szCs w:val="44"/>
    </w:rPr>
  </w:style>
  <w:style w:type="character" w:customStyle="1" w:styleId="1186">
    <w:name w:val="纯文本 Char2"/>
    <w:semiHidden/>
    <w:qFormat/>
    <w:uiPriority w:val="99"/>
    <w:rPr>
      <w:rFonts w:hint="eastAsia" w:ascii="宋体" w:hAnsi="Courier New" w:eastAsia="宋体" w:cs="Courier New"/>
      <w:szCs w:val="21"/>
    </w:rPr>
  </w:style>
  <w:style w:type="character" w:customStyle="1" w:styleId="1187">
    <w:name w:val="图表标题 字符"/>
    <w:qFormat/>
    <w:uiPriority w:val="0"/>
    <w:rPr>
      <w:rFonts w:hint="default" w:ascii="Times New Roman" w:hAnsi="Times New Roman" w:eastAsia="黑体" w:cs="Times New Roman"/>
      <w:sz w:val="24"/>
      <w:szCs w:val="24"/>
    </w:rPr>
  </w:style>
  <w:style w:type="character" w:customStyle="1" w:styleId="1188">
    <w:name w:val="正文文本 (5) + Impact"/>
    <w:qFormat/>
    <w:uiPriority w:val="0"/>
    <w:rPr>
      <w:rFonts w:hint="default" w:ascii="Impact" w:hAnsi="Impact" w:eastAsia="Impact" w:cs="Impact"/>
      <w:b/>
      <w:bCs/>
      <w:color w:val="000000"/>
      <w:spacing w:val="0"/>
      <w:w w:val="100"/>
      <w:position w:val="0"/>
      <w:sz w:val="15"/>
      <w:szCs w:val="15"/>
      <w:shd w:val="clear" w:color="auto" w:fill="FFFFFF"/>
      <w:lang w:val="en-US" w:eastAsia="en-US" w:bidi="en-US"/>
    </w:rPr>
  </w:style>
  <w:style w:type="character" w:customStyle="1" w:styleId="1189">
    <w:name w:val="正文宋 + 首行缩进:  2 字符 + 首行缩进:  2 字符 Char Char"/>
    <w:qFormat/>
    <w:uiPriority w:val="0"/>
    <w:rPr>
      <w:rFonts w:hint="eastAsia" w:ascii="宋体" w:hAnsi="宋体" w:eastAsia="宋体"/>
      <w:kern w:val="2"/>
      <w:sz w:val="28"/>
      <w:lang w:val="en-US" w:eastAsia="zh-CN"/>
    </w:rPr>
  </w:style>
  <w:style w:type="character" w:customStyle="1" w:styleId="1190">
    <w:name w:val="B表头小四黑体 Char"/>
    <w:qFormat/>
    <w:uiPriority w:val="0"/>
    <w:rPr>
      <w:rFonts w:hint="eastAsia" w:ascii="黑体" w:hAnsi="黑体" w:eastAsia="黑体"/>
      <w:kern w:val="2"/>
      <w:sz w:val="24"/>
      <w:lang w:val="en-US" w:eastAsia="zh-CN"/>
    </w:rPr>
  </w:style>
  <w:style w:type="character" w:customStyle="1" w:styleId="1191">
    <w:name w:val="纯文本 字符1"/>
    <w:semiHidden/>
    <w:qFormat/>
    <w:uiPriority w:val="0"/>
    <w:rPr>
      <w:rFonts w:hint="eastAsia" w:ascii="宋体" w:hAnsi="Courier New" w:eastAsia="宋体" w:cs="Courier New"/>
    </w:rPr>
  </w:style>
  <w:style w:type="character" w:customStyle="1" w:styleId="1192">
    <w:name w:val="正文小标题 Char Char Char Char Char Char Char Char Char"/>
    <w:qFormat/>
    <w:uiPriority w:val="0"/>
    <w:rPr>
      <w:rFonts w:hint="eastAsia" w:ascii="宋体" w:hAnsi="宋体" w:eastAsia="宋体"/>
      <w:sz w:val="21"/>
      <w:lang w:val="en-US" w:eastAsia="zh-CN" w:bidi="ar-SA"/>
    </w:rPr>
  </w:style>
  <w:style w:type="character" w:customStyle="1" w:styleId="1193">
    <w:name w:val="无间隔 Char1"/>
    <w:qFormat/>
    <w:uiPriority w:val="1"/>
    <w:rPr>
      <w:kern w:val="2"/>
      <w:sz w:val="21"/>
      <w:szCs w:val="22"/>
      <w:lang w:val="en-US" w:eastAsia="zh-CN" w:bidi="ar-SA"/>
    </w:rPr>
  </w:style>
  <w:style w:type="character" w:customStyle="1" w:styleId="1194">
    <w:name w:val="批注主题 字符1"/>
    <w:semiHidden/>
    <w:qFormat/>
    <w:uiPriority w:val="99"/>
    <w:rPr>
      <w:rFonts w:hint="default" w:ascii="Times New Roman" w:hAnsi="Times New Roman" w:eastAsia="宋体" w:cs="Times New Roman"/>
      <w:b/>
      <w:bCs/>
      <w:szCs w:val="24"/>
    </w:rPr>
  </w:style>
  <w:style w:type="character" w:customStyle="1" w:styleId="1195">
    <w:name w:val="nc-lang-cnt6"/>
    <w:qFormat/>
    <w:uiPriority w:val="0"/>
  </w:style>
  <w:style w:type="character" w:customStyle="1" w:styleId="1196">
    <w:name w:val="font51"/>
    <w:basedOn w:val="106"/>
    <w:qFormat/>
    <w:uiPriority w:val="0"/>
    <w:rPr>
      <w:rFonts w:hint="eastAsia" w:ascii="宋体" w:hAnsi="宋体" w:eastAsia="宋体" w:cs="宋体"/>
      <w:b/>
      <w:color w:val="000000"/>
      <w:sz w:val="20"/>
      <w:szCs w:val="20"/>
      <w:u w:val="none"/>
    </w:rPr>
  </w:style>
  <w:style w:type="character" w:customStyle="1" w:styleId="1197">
    <w:name w:val="小标题 Char"/>
    <w:semiHidden/>
    <w:qFormat/>
    <w:uiPriority w:val="0"/>
    <w:rPr>
      <w:b/>
      <w:sz w:val="24"/>
      <w:szCs w:val="24"/>
    </w:rPr>
  </w:style>
  <w:style w:type="character" w:customStyle="1" w:styleId="1198">
    <w:name w:val="文档结构图 Char1"/>
    <w:semiHidden/>
    <w:qFormat/>
    <w:uiPriority w:val="99"/>
    <w:rPr>
      <w:rFonts w:hint="eastAsia" w:ascii="宋体" w:hAnsi="宋体" w:eastAsia="宋体"/>
      <w:sz w:val="18"/>
      <w:szCs w:val="18"/>
    </w:rPr>
  </w:style>
  <w:style w:type="character" w:customStyle="1" w:styleId="1199">
    <w:name w:val="标题1 字符"/>
    <w:qFormat/>
    <w:uiPriority w:val="0"/>
    <w:rPr>
      <w:rFonts w:hint="eastAsia" w:ascii="黑体" w:hAnsi="黑体" w:eastAsia="黑体"/>
      <w:bCs/>
      <w:kern w:val="2"/>
      <w:sz w:val="32"/>
      <w:szCs w:val="32"/>
    </w:rPr>
  </w:style>
  <w:style w:type="character" w:customStyle="1" w:styleId="1200">
    <w:name w:val="font31"/>
    <w:qFormat/>
    <w:uiPriority w:val="0"/>
    <w:rPr>
      <w:rFonts w:hint="default" w:ascii="Times New Roman" w:hAnsi="Times New Roman" w:cs="Times New Roman"/>
      <w:color w:val="000000"/>
      <w:sz w:val="24"/>
      <w:szCs w:val="24"/>
      <w:u w:val="none"/>
    </w:rPr>
  </w:style>
  <w:style w:type="character" w:customStyle="1" w:styleId="1201">
    <w:name w:val="样式2 Char"/>
    <w:qFormat/>
    <w:uiPriority w:val="0"/>
    <w:rPr>
      <w:rFonts w:hint="default" w:ascii="Calibri" w:hAnsi="Calibri" w:eastAsia="宋体" w:cs="宋体"/>
      <w:kern w:val="0"/>
      <w:sz w:val="24"/>
      <w:szCs w:val="20"/>
      <w:lang w:eastAsia="en-US" w:bidi="en-US"/>
    </w:rPr>
  </w:style>
  <w:style w:type="character" w:customStyle="1" w:styleId="1202">
    <w:name w:val="B正文小四宋体 Char Char Char"/>
    <w:qFormat/>
    <w:uiPriority w:val="0"/>
    <w:rPr>
      <w:rFonts w:hint="eastAsia" w:ascii="宋体" w:hAnsi="宋体" w:eastAsia="宋体"/>
      <w:kern w:val="2"/>
      <w:sz w:val="24"/>
      <w:lang w:val="en-US" w:eastAsia="zh-CN"/>
    </w:rPr>
  </w:style>
  <w:style w:type="character" w:customStyle="1" w:styleId="1203">
    <w:name w:val="unnamed11"/>
    <w:qFormat/>
    <w:uiPriority w:val="0"/>
    <w:rPr>
      <w:sz w:val="20"/>
      <w:szCs w:val="20"/>
    </w:rPr>
  </w:style>
  <w:style w:type="character" w:customStyle="1" w:styleId="1204">
    <w:name w:val="contime20071"/>
    <w:qFormat/>
    <w:uiPriority w:val="0"/>
    <w:rPr>
      <w:sz w:val="26"/>
    </w:rPr>
  </w:style>
  <w:style w:type="character" w:customStyle="1" w:styleId="1205">
    <w:name w:val="表头 字符"/>
    <w:qFormat/>
    <w:uiPriority w:val="0"/>
    <w:rPr>
      <w:rFonts w:hint="eastAsia" w:ascii="宋体" w:hAnsi="宋体" w:eastAsia="宋体"/>
      <w:b/>
      <w:snapToGrid/>
      <w:color w:val="000000"/>
      <w:sz w:val="24"/>
      <w:szCs w:val="22"/>
    </w:rPr>
  </w:style>
  <w:style w:type="character" w:customStyle="1" w:styleId="1206">
    <w:name w:val="nc-lang-cnt1"/>
    <w:qFormat/>
    <w:uiPriority w:val="0"/>
  </w:style>
  <w:style w:type="character" w:customStyle="1" w:styleId="1207">
    <w:name w:val="正文文本缩进 Char1"/>
    <w:qFormat/>
    <w:uiPriority w:val="0"/>
    <w:rPr>
      <w:rFonts w:hint="default" w:ascii="Times New Roman" w:hAnsi="Times New Roman" w:cs="Times New Roman"/>
      <w:kern w:val="2"/>
      <w:sz w:val="28"/>
      <w:szCs w:val="32"/>
    </w:rPr>
  </w:style>
  <w:style w:type="character" w:customStyle="1" w:styleId="1208">
    <w:name w:val="正文文本缩进 3 Char"/>
    <w:qFormat/>
    <w:uiPriority w:val="0"/>
    <w:rPr>
      <w:kern w:val="2"/>
      <w:sz w:val="28"/>
    </w:rPr>
  </w:style>
  <w:style w:type="character" w:customStyle="1" w:styleId="1209">
    <w:name w:val="标题 3 Char2"/>
    <w:qFormat/>
    <w:uiPriority w:val="0"/>
    <w:rPr>
      <w:rFonts w:hint="default" w:ascii="Times New Roman" w:hAnsi="Times New Roman" w:cs="Times New Roman"/>
      <w:bCs/>
      <w:kern w:val="24"/>
      <w:sz w:val="28"/>
      <w:szCs w:val="28"/>
    </w:rPr>
  </w:style>
  <w:style w:type="character" w:customStyle="1" w:styleId="1210">
    <w:name w:val="正文文本 (2) + 间距 0 pt"/>
    <w:qFormat/>
    <w:uiPriority w:val="0"/>
    <w:rPr>
      <w:rFonts w:hint="eastAsia" w:ascii="MingLiU" w:hAnsi="MingLiU" w:eastAsia="MingLiU" w:cs="MingLiU"/>
      <w:b/>
      <w:bCs/>
      <w:color w:val="000000"/>
      <w:spacing w:val="0"/>
      <w:w w:val="100"/>
      <w:position w:val="0"/>
      <w:sz w:val="26"/>
      <w:szCs w:val="26"/>
      <w:shd w:val="clear" w:color="auto" w:fill="FFFFFF"/>
      <w:lang w:val="en-US" w:eastAsia="en-US" w:bidi="en-US"/>
    </w:rPr>
  </w:style>
  <w:style w:type="character" w:customStyle="1" w:styleId="1211">
    <w:name w:val="last-child"/>
    <w:qFormat/>
    <w:uiPriority w:val="0"/>
  </w:style>
  <w:style w:type="character" w:customStyle="1" w:styleId="1212">
    <w:name w:val="标题 4 Char1"/>
    <w:qFormat/>
    <w:uiPriority w:val="9"/>
    <w:rPr>
      <w:rFonts w:hint="eastAsia" w:ascii="黑体" w:hAnsi="黑体" w:eastAsia="黑体"/>
      <w:bCs/>
      <w:snapToGrid w:val="0"/>
      <w:sz w:val="24"/>
      <w:szCs w:val="28"/>
      <w:lang w:val="en-US" w:eastAsia="zh-CN" w:bidi="ar-SA"/>
    </w:rPr>
  </w:style>
  <w:style w:type="character" w:customStyle="1" w:styleId="1213">
    <w:name w:val="批注主题 Char"/>
    <w:qFormat/>
    <w:uiPriority w:val="0"/>
    <w:rPr>
      <w:rFonts w:hint="eastAsia" w:ascii="宋体" w:hAnsi="宋体" w:eastAsia="宋体"/>
      <w:b/>
      <w:bCs/>
      <w:kern w:val="2"/>
      <w:sz w:val="24"/>
      <w:szCs w:val="24"/>
    </w:rPr>
  </w:style>
  <w:style w:type="character" w:customStyle="1" w:styleId="1214">
    <w:name w:val="fontstyle31"/>
    <w:qFormat/>
    <w:uiPriority w:val="0"/>
    <w:rPr>
      <w:rFonts w:hint="eastAsia" w:ascii="TimesNewRomanPSMT" w:hAnsi="TimesNewRomanPSMT" w:eastAsia="TimesNewRomanPSMT"/>
      <w:color w:val="000000"/>
      <w:sz w:val="22"/>
      <w:szCs w:val="22"/>
    </w:rPr>
  </w:style>
  <w:style w:type="character" w:customStyle="1" w:styleId="1215">
    <w:name w:val="正文文字 Char Char"/>
    <w:qFormat/>
    <w:uiPriority w:val="0"/>
    <w:rPr>
      <w:rFonts w:hint="eastAsia" w:ascii="宋体" w:hAnsi="宋体" w:eastAsia="宋体"/>
      <w:kern w:val="2"/>
      <w:sz w:val="21"/>
      <w:szCs w:val="24"/>
      <w:lang w:val="en-US" w:eastAsia="zh-CN" w:bidi="ar-SA"/>
    </w:rPr>
  </w:style>
  <w:style w:type="character" w:customStyle="1" w:styleId="1216">
    <w:name w:val="页眉或页脚 + 间距 1 pt"/>
    <w:qFormat/>
    <w:uiPriority w:val="0"/>
    <w:rPr>
      <w:rFonts w:hint="eastAsia" w:ascii="MingLiU" w:hAnsi="MingLiU" w:eastAsia="MingLiU" w:cs="MingLiU"/>
      <w:color w:val="000000"/>
      <w:spacing w:val="20"/>
      <w:w w:val="100"/>
      <w:position w:val="0"/>
      <w:sz w:val="18"/>
      <w:szCs w:val="18"/>
      <w:u w:val="none"/>
      <w:lang w:val="zh-CN" w:eastAsia="zh-CN" w:bidi="zh-CN"/>
    </w:rPr>
  </w:style>
  <w:style w:type="character" w:customStyle="1" w:styleId="1217">
    <w:name w:val="nc-lang-cnt2"/>
    <w:qFormat/>
    <w:uiPriority w:val="0"/>
  </w:style>
  <w:style w:type="character" w:customStyle="1" w:styleId="1218">
    <w:name w:val="批注文字 Char"/>
    <w:qFormat/>
    <w:uiPriority w:val="0"/>
    <w:rPr>
      <w:rFonts w:hint="eastAsia" w:ascii="宋体" w:hAnsi="宋体" w:eastAsia="宋体"/>
      <w:kern w:val="2"/>
      <w:sz w:val="28"/>
    </w:rPr>
  </w:style>
  <w:style w:type="character" w:customStyle="1" w:styleId="1219">
    <w:name w:val="l-btn-left2"/>
    <w:basedOn w:val="106"/>
    <w:qFormat/>
    <w:uiPriority w:val="0"/>
    <w:rPr>
      <w:rFonts w:hint="eastAsia" w:ascii="仿宋_GB2312" w:eastAsia="仿宋_GB2312"/>
      <w:b/>
      <w:sz w:val="32"/>
      <w:szCs w:val="32"/>
    </w:rPr>
  </w:style>
  <w:style w:type="character" w:customStyle="1" w:styleId="1220">
    <w:name w:val="gage标题3 Char Char"/>
    <w:qFormat/>
    <w:uiPriority w:val="0"/>
    <w:rPr>
      <w:rFonts w:hint="eastAsia" w:ascii="宋体" w:hAnsi="宋体" w:eastAsia="宋体"/>
      <w:b/>
      <w:kern w:val="2"/>
      <w:sz w:val="28"/>
      <w:lang w:val="en-US" w:eastAsia="zh-CN"/>
    </w:rPr>
  </w:style>
  <w:style w:type="character" w:customStyle="1" w:styleId="1221">
    <w:name w:val="正文首行缩进 Char2"/>
    <w:qFormat/>
    <w:uiPriority w:val="99"/>
    <w:rPr>
      <w:rFonts w:hint="default" w:ascii="Times New Roman" w:hAnsi="Times New Roman" w:eastAsia="宋体" w:cs="Times New Roman"/>
      <w:kern w:val="0"/>
      <w:sz w:val="24"/>
      <w:szCs w:val="24"/>
    </w:rPr>
  </w:style>
  <w:style w:type="character" w:customStyle="1" w:styleId="1222">
    <w:name w:val="访问过的超链接1"/>
    <w:qFormat/>
    <w:uiPriority w:val="99"/>
    <w:rPr>
      <w:color w:val="800080"/>
      <w:u w:val="single"/>
    </w:rPr>
  </w:style>
  <w:style w:type="character" w:customStyle="1" w:styleId="1223">
    <w:name w:val="样式 标题 2 + 小四 Char Char"/>
    <w:qFormat/>
    <w:uiPriority w:val="0"/>
    <w:rPr>
      <w:rFonts w:hint="eastAsia" w:ascii="黑体" w:hAnsi="黑体" w:eastAsia="黑体"/>
      <w:b/>
      <w:bCs/>
      <w:sz w:val="24"/>
      <w:szCs w:val="24"/>
      <w:lang w:val="en-US" w:eastAsia="zh-CN" w:bidi="ar-SA"/>
    </w:rPr>
  </w:style>
  <w:style w:type="character" w:customStyle="1" w:styleId="1224">
    <w:name w:val="正文文本 (2) + 11 pt"/>
    <w:qFormat/>
    <w:uiPriority w:val="0"/>
    <w:rPr>
      <w:rFonts w:hint="eastAsia" w:ascii="MingLiU" w:hAnsi="MingLiU" w:eastAsia="MingLiU" w:cs="MingLiU"/>
      <w:b/>
      <w:bCs/>
      <w:color w:val="000000"/>
      <w:spacing w:val="20"/>
      <w:w w:val="100"/>
      <w:position w:val="0"/>
      <w:sz w:val="22"/>
      <w:szCs w:val="22"/>
      <w:u w:val="none"/>
      <w:shd w:val="clear" w:color="auto" w:fill="FFFFFF"/>
      <w:lang w:val="zh-CN" w:eastAsia="zh-CN" w:bidi="zh-CN"/>
    </w:rPr>
  </w:style>
  <w:style w:type="character" w:customStyle="1" w:styleId="1225">
    <w:name w:val="+正文 Char3"/>
    <w:qFormat/>
    <w:uiPriority w:val="0"/>
    <w:rPr>
      <w:rFonts w:hint="eastAsia" w:ascii="宋体" w:hAnsi="宋体" w:eastAsia="宋体"/>
      <w:kern w:val="2"/>
      <w:sz w:val="24"/>
      <w:szCs w:val="28"/>
      <w:lang w:val="en-US" w:eastAsia="zh-CN" w:bidi="ar-SA"/>
    </w:rPr>
  </w:style>
  <w:style w:type="character" w:customStyle="1" w:styleId="1226">
    <w:name w:val="正文文本 (2) + 9.5 pt"/>
    <w:qFormat/>
    <w:uiPriority w:val="0"/>
    <w:rPr>
      <w:rFonts w:hint="eastAsia" w:ascii="MingLiU" w:hAnsi="MingLiU" w:eastAsia="MingLiU" w:cs="MingLiU"/>
      <w:color w:val="000000"/>
      <w:spacing w:val="10"/>
      <w:w w:val="100"/>
      <w:position w:val="0"/>
      <w:sz w:val="19"/>
      <w:szCs w:val="19"/>
      <w:u w:val="none"/>
      <w:shd w:val="clear" w:color="auto" w:fill="FFFFFF"/>
      <w:lang w:val="zh-CN" w:eastAsia="zh-CN" w:bidi="zh-CN"/>
    </w:rPr>
  </w:style>
  <w:style w:type="character" w:customStyle="1" w:styleId="1227">
    <w:name w:val="页脚 Char"/>
    <w:qFormat/>
    <w:uiPriority w:val="99"/>
    <w:rPr>
      <w:kern w:val="2"/>
      <w:sz w:val="18"/>
      <w:szCs w:val="18"/>
    </w:rPr>
  </w:style>
  <w:style w:type="character" w:customStyle="1" w:styleId="1228">
    <w:name w:val="标题 1 Char"/>
    <w:qFormat/>
    <w:uiPriority w:val="9"/>
    <w:rPr>
      <w:b/>
      <w:bCs/>
      <w:kern w:val="44"/>
      <w:sz w:val="44"/>
      <w:szCs w:val="44"/>
    </w:rPr>
  </w:style>
  <w:style w:type="character" w:customStyle="1" w:styleId="1229">
    <w:name w:val="hilight"/>
    <w:qFormat/>
    <w:uiPriority w:val="0"/>
    <w:rPr>
      <w:b/>
      <w:sz w:val="21"/>
      <w:szCs w:val="21"/>
    </w:rPr>
  </w:style>
  <w:style w:type="character" w:customStyle="1" w:styleId="1230">
    <w:name w:val="页眉或页脚_"/>
    <w:qFormat/>
    <w:uiPriority w:val="0"/>
    <w:rPr>
      <w:rFonts w:hint="eastAsia" w:ascii="MingLiU" w:hAnsi="MingLiU" w:eastAsia="MingLiU" w:cs="MingLiU"/>
      <w:spacing w:val="10"/>
      <w:sz w:val="18"/>
      <w:szCs w:val="18"/>
      <w:u w:val="none"/>
    </w:rPr>
  </w:style>
  <w:style w:type="character" w:customStyle="1" w:styleId="1231">
    <w:name w:val="页眉 字符1"/>
    <w:semiHidden/>
    <w:qFormat/>
    <w:uiPriority w:val="99"/>
    <w:rPr>
      <w:rFonts w:hint="default" w:ascii="Calibri" w:hAnsi="Calibri" w:eastAsia="宋体" w:cs="Times New Roman"/>
      <w:sz w:val="18"/>
      <w:szCs w:val="18"/>
    </w:rPr>
  </w:style>
  <w:style w:type="character" w:customStyle="1" w:styleId="1232">
    <w:name w:val="l-btn-left1"/>
    <w:basedOn w:val="106"/>
    <w:qFormat/>
    <w:uiPriority w:val="0"/>
    <w:rPr>
      <w:rFonts w:hint="eastAsia" w:ascii="仿宋_GB2312" w:eastAsia="仿宋_GB2312"/>
      <w:b/>
      <w:sz w:val="32"/>
      <w:szCs w:val="32"/>
    </w:rPr>
  </w:style>
  <w:style w:type="character" w:customStyle="1" w:styleId="1233">
    <w:name w:val="font71"/>
    <w:basedOn w:val="106"/>
    <w:qFormat/>
    <w:uiPriority w:val="0"/>
    <w:rPr>
      <w:rFonts w:hint="eastAsia" w:ascii="宋体" w:hAnsi="宋体" w:eastAsia="宋体" w:cs="宋体"/>
      <w:color w:val="000000"/>
      <w:sz w:val="20"/>
      <w:szCs w:val="20"/>
      <w:u w:val="none"/>
    </w:rPr>
  </w:style>
  <w:style w:type="character" w:customStyle="1" w:styleId="1234">
    <w:name w:val="nc-lang-cnt3"/>
    <w:qFormat/>
    <w:uiPriority w:val="0"/>
  </w:style>
  <w:style w:type="character" w:customStyle="1" w:styleId="1235">
    <w:name w:val="正文文本 (2) + 间距 6 pt"/>
    <w:qFormat/>
    <w:uiPriority w:val="0"/>
    <w:rPr>
      <w:rFonts w:hint="eastAsia" w:ascii="MingLiU" w:hAnsi="MingLiU" w:eastAsia="MingLiU" w:cs="MingLiU"/>
      <w:color w:val="000000"/>
      <w:spacing w:val="130"/>
      <w:w w:val="100"/>
      <w:position w:val="0"/>
      <w:sz w:val="26"/>
      <w:szCs w:val="26"/>
      <w:u w:val="none"/>
      <w:shd w:val="clear" w:color="auto" w:fill="FFFFFF"/>
      <w:lang w:val="en-US" w:eastAsia="en-US" w:bidi="en-US"/>
    </w:rPr>
  </w:style>
  <w:style w:type="character" w:customStyle="1" w:styleId="1236">
    <w:name w:val="HCH标题3 Char Char"/>
    <w:qFormat/>
    <w:uiPriority w:val="0"/>
    <w:rPr>
      <w:rFonts w:hint="eastAsia" w:ascii="黑体" w:hAnsi="黑体" w:eastAsia="黑体"/>
      <w:kern w:val="2"/>
      <w:sz w:val="24"/>
      <w:lang w:val="en-US" w:eastAsia="zh-CN"/>
    </w:rPr>
  </w:style>
  <w:style w:type="character" w:customStyle="1" w:styleId="1237">
    <w:name w:val="注释标题 Char"/>
    <w:qFormat/>
    <w:uiPriority w:val="0"/>
    <w:rPr>
      <w:rFonts w:hint="eastAsia" w:ascii="宋体" w:hAnsi="宋体" w:eastAsia="宋体" w:cs="宋体"/>
      <w:color w:val="000000"/>
      <w:kern w:val="2"/>
      <w:sz w:val="28"/>
      <w:szCs w:val="32"/>
    </w:rPr>
  </w:style>
  <w:style w:type="character" w:customStyle="1" w:styleId="1238">
    <w:name w:val="标题 6 Char"/>
    <w:qFormat/>
    <w:uiPriority w:val="0"/>
    <w:rPr>
      <w:rFonts w:hint="default" w:ascii="Arial" w:hAnsi="Arial" w:cs="Arial"/>
      <w:i/>
      <w:spacing w:val="10"/>
      <w:sz w:val="22"/>
      <w:lang w:val="en-US" w:eastAsia="zh-CN"/>
    </w:rPr>
  </w:style>
  <w:style w:type="character" w:customStyle="1" w:styleId="1239">
    <w:name w:val="正文文本 (4) + 间距 1 pt"/>
    <w:qFormat/>
    <w:uiPriority w:val="0"/>
    <w:rPr>
      <w:rFonts w:hint="eastAsia" w:ascii="MingLiU" w:hAnsi="MingLiU" w:eastAsia="MingLiU" w:cs="MingLiU"/>
      <w:b/>
      <w:bCs/>
      <w:color w:val="000000"/>
      <w:spacing w:val="30"/>
      <w:w w:val="100"/>
      <w:position w:val="0"/>
      <w:sz w:val="22"/>
      <w:szCs w:val="22"/>
      <w:u w:val="none"/>
      <w:shd w:val="clear" w:color="auto" w:fill="FFFFFF"/>
      <w:lang w:val="zh-CN" w:eastAsia="zh-CN" w:bidi="zh-CN"/>
    </w:rPr>
  </w:style>
  <w:style w:type="character" w:customStyle="1" w:styleId="1240">
    <w:name w:val="日期 Char"/>
    <w:qFormat/>
    <w:uiPriority w:val="0"/>
    <w:rPr>
      <w:rFonts w:hint="eastAsia" w:ascii="宋体" w:hAnsi="宋体" w:eastAsia="宋体"/>
      <w:kern w:val="2"/>
      <w:sz w:val="28"/>
      <w:szCs w:val="24"/>
      <w:lang w:val="en-US" w:eastAsia="zh-CN" w:bidi="ar-SA"/>
    </w:rPr>
  </w:style>
  <w:style w:type="character" w:customStyle="1" w:styleId="1241">
    <w:name w:val="页眉或页脚"/>
    <w:qFormat/>
    <w:uiPriority w:val="0"/>
    <w:rPr>
      <w:rFonts w:hint="eastAsia" w:ascii="MingLiU" w:hAnsi="MingLiU" w:eastAsia="MingLiU" w:cs="MingLiU"/>
      <w:color w:val="000000"/>
      <w:spacing w:val="10"/>
      <w:w w:val="100"/>
      <w:position w:val="0"/>
      <w:sz w:val="18"/>
      <w:szCs w:val="18"/>
      <w:u w:val="none"/>
      <w:lang w:val="zh-CN" w:eastAsia="zh-CN" w:bidi="zh-CN"/>
    </w:rPr>
  </w:style>
  <w:style w:type="character" w:customStyle="1" w:styleId="1242">
    <w:name w:val="正文缩进 Char"/>
    <w:qFormat/>
    <w:uiPriority w:val="0"/>
    <w:rPr>
      <w:kern w:val="2"/>
      <w:sz w:val="24"/>
    </w:rPr>
  </w:style>
  <w:style w:type="character" w:customStyle="1" w:styleId="1243">
    <w:name w:val="标题 8 Char"/>
    <w:qFormat/>
    <w:uiPriority w:val="0"/>
    <w:rPr>
      <w:rFonts w:hint="default" w:ascii="Arial" w:hAnsi="Arial" w:cs="Arial"/>
      <w:i/>
      <w:spacing w:val="10"/>
      <w:sz w:val="28"/>
      <w:lang w:val="en-US" w:eastAsia="zh-CN"/>
    </w:rPr>
  </w:style>
  <w:style w:type="character" w:customStyle="1" w:styleId="1244">
    <w:name w:val="正文文本 字符2"/>
    <w:basedOn w:val="106"/>
    <w:semiHidden/>
    <w:qFormat/>
    <w:uiPriority w:val="99"/>
    <w:rPr>
      <w:rFonts w:hint="eastAsia" w:ascii="仿宋_GB2312" w:eastAsia="仿宋_GB2312"/>
      <w:color w:val="000000"/>
      <w:kern w:val="2"/>
      <w:sz w:val="24"/>
      <w:szCs w:val="24"/>
    </w:rPr>
  </w:style>
  <w:style w:type="character" w:customStyle="1" w:styleId="1245">
    <w:name w:val="信息标题 字符1"/>
    <w:basedOn w:val="106"/>
    <w:semiHidden/>
    <w:qFormat/>
    <w:uiPriority w:val="99"/>
    <w:rPr>
      <w:rFonts w:hint="eastAsia" w:ascii="等线 Light" w:hAnsi="等线 Light" w:eastAsia="等线 Light" w:cs="Times New Roman"/>
      <w:color w:val="000000"/>
      <w:kern w:val="2"/>
      <w:sz w:val="24"/>
      <w:szCs w:val="24"/>
      <w:shd w:val="pct20" w:color="auto" w:fill="auto"/>
    </w:rPr>
  </w:style>
  <w:style w:type="character" w:customStyle="1" w:styleId="1246">
    <w:name w:val="宏文本 字符1"/>
    <w:basedOn w:val="106"/>
    <w:semiHidden/>
    <w:qFormat/>
    <w:uiPriority w:val="99"/>
    <w:rPr>
      <w:rFonts w:hint="default" w:ascii="Courier New" w:hAnsi="Courier New" w:eastAsia="仿宋_GB2312" w:cs="Courier New"/>
      <w:color w:val="000000"/>
      <w:kern w:val="2"/>
      <w:sz w:val="24"/>
      <w:szCs w:val="24"/>
    </w:rPr>
  </w:style>
  <w:style w:type="character" w:customStyle="1" w:styleId="1247">
    <w:name w:val="批注框文本 字符2"/>
    <w:basedOn w:val="106"/>
    <w:semiHidden/>
    <w:qFormat/>
    <w:uiPriority w:val="99"/>
    <w:rPr>
      <w:rFonts w:hint="eastAsia" w:ascii="仿宋_GB2312" w:eastAsia="仿宋_GB2312"/>
      <w:color w:val="000000"/>
      <w:kern w:val="2"/>
      <w:sz w:val="18"/>
      <w:szCs w:val="18"/>
    </w:rPr>
  </w:style>
  <w:style w:type="character" w:customStyle="1" w:styleId="1248">
    <w:name w:val="批注文字 字符2"/>
    <w:basedOn w:val="106"/>
    <w:semiHidden/>
    <w:qFormat/>
    <w:uiPriority w:val="99"/>
    <w:rPr>
      <w:color w:val="000000"/>
      <w:kern w:val="2"/>
      <w:sz w:val="24"/>
      <w:szCs w:val="24"/>
    </w:rPr>
  </w:style>
  <w:style w:type="character" w:customStyle="1" w:styleId="1249">
    <w:name w:val="批注主题 字符2"/>
    <w:basedOn w:val="1248"/>
    <w:semiHidden/>
    <w:qFormat/>
    <w:uiPriority w:val="99"/>
    <w:rPr>
      <w:b/>
      <w:bCs/>
      <w:color w:val="000000"/>
      <w:kern w:val="2"/>
      <w:sz w:val="24"/>
      <w:szCs w:val="24"/>
    </w:rPr>
  </w:style>
  <w:style w:type="character" w:customStyle="1" w:styleId="1250">
    <w:name w:val="正文文本 3 字符3"/>
    <w:basedOn w:val="106"/>
    <w:semiHidden/>
    <w:qFormat/>
    <w:uiPriority w:val="99"/>
    <w:rPr>
      <w:rFonts w:hint="eastAsia" w:ascii="仿宋_GB2312" w:eastAsia="仿宋_GB2312"/>
      <w:color w:val="000000"/>
      <w:kern w:val="2"/>
      <w:sz w:val="16"/>
      <w:szCs w:val="16"/>
    </w:rPr>
  </w:style>
  <w:style w:type="character" w:customStyle="1" w:styleId="1251">
    <w:name w:val="文档结构图 字符2"/>
    <w:basedOn w:val="106"/>
    <w:semiHidden/>
    <w:qFormat/>
    <w:uiPriority w:val="99"/>
    <w:rPr>
      <w:rFonts w:hint="eastAsia" w:ascii="Microsoft YaHei UI" w:hAnsi="Microsoft YaHei UI" w:eastAsia="Microsoft YaHei UI"/>
      <w:color w:val="000000"/>
      <w:kern w:val="2"/>
      <w:sz w:val="18"/>
      <w:szCs w:val="18"/>
    </w:rPr>
  </w:style>
  <w:style w:type="character" w:customStyle="1" w:styleId="1252">
    <w:name w:val="正文文本 2 字符1"/>
    <w:basedOn w:val="106"/>
    <w:semiHidden/>
    <w:qFormat/>
    <w:uiPriority w:val="99"/>
    <w:rPr>
      <w:rFonts w:hint="eastAsia" w:ascii="仿宋_GB2312" w:eastAsia="仿宋_GB2312"/>
      <w:color w:val="000000"/>
      <w:kern w:val="2"/>
      <w:sz w:val="24"/>
      <w:szCs w:val="24"/>
    </w:rPr>
  </w:style>
  <w:style w:type="character" w:customStyle="1" w:styleId="1253">
    <w:name w:val="正文文本缩进 3 字符2"/>
    <w:basedOn w:val="106"/>
    <w:semiHidden/>
    <w:qFormat/>
    <w:uiPriority w:val="99"/>
    <w:rPr>
      <w:rFonts w:hint="eastAsia" w:ascii="仿宋_GB2312" w:eastAsia="仿宋_GB2312"/>
      <w:color w:val="000000"/>
      <w:kern w:val="2"/>
      <w:sz w:val="16"/>
      <w:szCs w:val="16"/>
    </w:rPr>
  </w:style>
  <w:style w:type="character" w:customStyle="1" w:styleId="1254">
    <w:name w:val="结束语 字符1"/>
    <w:basedOn w:val="106"/>
    <w:semiHidden/>
    <w:qFormat/>
    <w:uiPriority w:val="99"/>
    <w:rPr>
      <w:rFonts w:hint="eastAsia" w:ascii="仿宋_GB2312" w:eastAsia="仿宋_GB2312"/>
      <w:color w:val="000000"/>
      <w:kern w:val="2"/>
      <w:sz w:val="24"/>
      <w:szCs w:val="24"/>
    </w:rPr>
  </w:style>
  <w:style w:type="character" w:customStyle="1" w:styleId="1255">
    <w:name w:val="电子邮件签名 字符1"/>
    <w:basedOn w:val="106"/>
    <w:semiHidden/>
    <w:qFormat/>
    <w:uiPriority w:val="99"/>
    <w:rPr>
      <w:rFonts w:hint="eastAsia" w:ascii="仿宋_GB2312" w:eastAsia="仿宋_GB2312"/>
      <w:color w:val="000000"/>
      <w:kern w:val="2"/>
      <w:sz w:val="24"/>
      <w:szCs w:val="24"/>
    </w:rPr>
  </w:style>
  <w:style w:type="character" w:customStyle="1" w:styleId="1256">
    <w:name w:val="副标题 字符3"/>
    <w:basedOn w:val="106"/>
    <w:qFormat/>
    <w:uiPriority w:val="11"/>
    <w:rPr>
      <w:rFonts w:hint="eastAsia" w:ascii="等线" w:hAnsi="等线" w:eastAsia="等线" w:cs="Times New Roman"/>
      <w:b/>
      <w:bCs/>
      <w:color w:val="000000"/>
      <w:kern w:val="28"/>
      <w:sz w:val="32"/>
      <w:szCs w:val="32"/>
    </w:rPr>
  </w:style>
  <w:style w:type="character" w:customStyle="1" w:styleId="1257">
    <w:name w:val="HTML 预设格式 字符1"/>
    <w:basedOn w:val="106"/>
    <w:semiHidden/>
    <w:qFormat/>
    <w:uiPriority w:val="99"/>
    <w:rPr>
      <w:rFonts w:hint="default" w:ascii="Courier New" w:hAnsi="Courier New" w:eastAsia="仿宋_GB2312" w:cs="Courier New"/>
      <w:color w:val="000000"/>
      <w:kern w:val="2"/>
      <w:sz w:val="32"/>
      <w:szCs w:val="32"/>
    </w:rPr>
  </w:style>
  <w:style w:type="character" w:customStyle="1" w:styleId="1258">
    <w:name w:val="HTML 地址 字符1"/>
    <w:basedOn w:val="106"/>
    <w:semiHidden/>
    <w:qFormat/>
    <w:uiPriority w:val="99"/>
    <w:rPr>
      <w:rFonts w:hint="eastAsia" w:ascii="仿宋_GB2312" w:eastAsia="仿宋_GB2312"/>
      <w:i/>
      <w:iCs/>
      <w:color w:val="000000"/>
      <w:kern w:val="2"/>
      <w:sz w:val="24"/>
      <w:szCs w:val="24"/>
    </w:rPr>
  </w:style>
  <w:style w:type="character" w:customStyle="1" w:styleId="1259">
    <w:name w:val="正文文本首行缩进 2 字符1"/>
    <w:basedOn w:val="200"/>
    <w:semiHidden/>
    <w:qFormat/>
    <w:uiPriority w:val="99"/>
    <w:rPr>
      <w:rFonts w:hint="eastAsia" w:ascii="仿宋_GB2312" w:eastAsia="仿宋_GB2312"/>
      <w:color w:val="000000"/>
      <w:kern w:val="2"/>
      <w:sz w:val="24"/>
      <w:szCs w:val="24"/>
    </w:rPr>
  </w:style>
  <w:style w:type="character" w:customStyle="1" w:styleId="1260">
    <w:name w:val="页眉 字符2"/>
    <w:basedOn w:val="106"/>
    <w:semiHidden/>
    <w:qFormat/>
    <w:uiPriority w:val="99"/>
    <w:rPr>
      <w:rFonts w:hint="eastAsia" w:ascii="仿宋_GB2312" w:eastAsia="仿宋_GB2312"/>
      <w:color w:val="000000"/>
      <w:kern w:val="2"/>
      <w:sz w:val="18"/>
      <w:szCs w:val="18"/>
    </w:rPr>
  </w:style>
  <w:style w:type="character" w:customStyle="1" w:styleId="1261">
    <w:name w:val="正文文本缩进 2 字符2"/>
    <w:basedOn w:val="106"/>
    <w:semiHidden/>
    <w:qFormat/>
    <w:uiPriority w:val="99"/>
    <w:rPr>
      <w:rFonts w:hint="eastAsia" w:ascii="仿宋_GB2312" w:eastAsia="仿宋_GB2312"/>
      <w:color w:val="000000"/>
      <w:kern w:val="2"/>
      <w:sz w:val="24"/>
      <w:szCs w:val="24"/>
    </w:rPr>
  </w:style>
  <w:style w:type="character" w:customStyle="1" w:styleId="1262">
    <w:name w:val="标题 字符2"/>
    <w:basedOn w:val="106"/>
    <w:qFormat/>
    <w:uiPriority w:val="10"/>
    <w:rPr>
      <w:rFonts w:hint="eastAsia" w:ascii="等线 Light" w:hAnsi="等线 Light" w:eastAsia="等线 Light" w:cs="Times New Roman"/>
      <w:b/>
      <w:bCs/>
      <w:color w:val="000000"/>
      <w:kern w:val="2"/>
      <w:sz w:val="32"/>
      <w:szCs w:val="32"/>
    </w:rPr>
  </w:style>
  <w:style w:type="character" w:customStyle="1" w:styleId="1263">
    <w:name w:val="注释标题 字符1"/>
    <w:basedOn w:val="106"/>
    <w:semiHidden/>
    <w:qFormat/>
    <w:uiPriority w:val="99"/>
    <w:rPr>
      <w:rFonts w:hint="eastAsia" w:ascii="仿宋_GB2312" w:eastAsia="仿宋_GB2312"/>
      <w:color w:val="000000"/>
      <w:kern w:val="2"/>
      <w:sz w:val="24"/>
      <w:szCs w:val="24"/>
    </w:rPr>
  </w:style>
  <w:style w:type="character" w:customStyle="1" w:styleId="1264">
    <w:name w:val="日期 字符2"/>
    <w:basedOn w:val="106"/>
    <w:semiHidden/>
    <w:qFormat/>
    <w:uiPriority w:val="99"/>
    <w:rPr>
      <w:rFonts w:hint="eastAsia" w:ascii="仿宋_GB2312" w:eastAsia="仿宋_GB2312"/>
      <w:color w:val="000000"/>
      <w:kern w:val="2"/>
      <w:sz w:val="24"/>
      <w:szCs w:val="24"/>
    </w:rPr>
  </w:style>
  <w:style w:type="character" w:customStyle="1" w:styleId="1265">
    <w:name w:val="称呼 字符1"/>
    <w:basedOn w:val="106"/>
    <w:semiHidden/>
    <w:qFormat/>
    <w:uiPriority w:val="99"/>
    <w:rPr>
      <w:rFonts w:hint="eastAsia" w:ascii="仿宋_GB2312" w:eastAsia="仿宋_GB2312"/>
      <w:color w:val="000000"/>
      <w:kern w:val="2"/>
      <w:sz w:val="24"/>
      <w:szCs w:val="24"/>
    </w:rPr>
  </w:style>
  <w:style w:type="character" w:customStyle="1" w:styleId="1266">
    <w:name w:val="正文文本首行缩进 字符1"/>
    <w:basedOn w:val="1244"/>
    <w:semiHidden/>
    <w:qFormat/>
    <w:uiPriority w:val="99"/>
    <w:rPr>
      <w:rFonts w:hint="eastAsia" w:ascii="仿宋_GB2312" w:eastAsia="仿宋_GB2312"/>
      <w:color w:val="000000"/>
      <w:kern w:val="2"/>
      <w:sz w:val="24"/>
      <w:szCs w:val="24"/>
    </w:rPr>
  </w:style>
  <w:style w:type="character" w:customStyle="1" w:styleId="1267">
    <w:name w:val="签名 字符1"/>
    <w:basedOn w:val="106"/>
    <w:semiHidden/>
    <w:qFormat/>
    <w:uiPriority w:val="99"/>
    <w:rPr>
      <w:rFonts w:hint="eastAsia" w:ascii="仿宋_GB2312" w:eastAsia="仿宋_GB2312"/>
      <w:color w:val="000000"/>
      <w:kern w:val="2"/>
      <w:sz w:val="24"/>
      <w:szCs w:val="24"/>
    </w:rPr>
  </w:style>
  <w:style w:type="character" w:customStyle="1" w:styleId="1268">
    <w:name w:val="页脚 字符2"/>
    <w:basedOn w:val="106"/>
    <w:semiHidden/>
    <w:qFormat/>
    <w:uiPriority w:val="99"/>
    <w:rPr>
      <w:rFonts w:hint="eastAsia" w:ascii="仿宋_GB2312" w:eastAsia="仿宋_GB2312"/>
      <w:color w:val="000000"/>
      <w:kern w:val="2"/>
      <w:sz w:val="18"/>
      <w:szCs w:val="18"/>
    </w:rPr>
  </w:style>
  <w:style w:type="character" w:customStyle="1" w:styleId="1269">
    <w:name w:val="脚注文本 字符1"/>
    <w:basedOn w:val="106"/>
    <w:semiHidden/>
    <w:qFormat/>
    <w:uiPriority w:val="99"/>
    <w:rPr>
      <w:rFonts w:hint="eastAsia" w:ascii="仿宋_GB2312" w:eastAsia="仿宋_GB2312"/>
      <w:color w:val="000000"/>
      <w:kern w:val="2"/>
      <w:sz w:val="18"/>
      <w:szCs w:val="18"/>
    </w:rPr>
  </w:style>
  <w:style w:type="character" w:customStyle="1" w:styleId="1270">
    <w:name w:val="纯文本 字符2"/>
    <w:basedOn w:val="106"/>
    <w:semiHidden/>
    <w:qFormat/>
    <w:uiPriority w:val="99"/>
    <w:rPr>
      <w:rFonts w:hint="eastAsia" w:ascii="等线" w:hAnsi="Courier New" w:eastAsia="等线" w:cs="Courier New"/>
      <w:color w:val="000000"/>
      <w:kern w:val="2"/>
      <w:sz w:val="24"/>
      <w:szCs w:val="24"/>
    </w:rPr>
  </w:style>
  <w:style w:type="table" w:customStyle="1" w:styleId="1271">
    <w:name w:val="网格型15"/>
    <w:basedOn w:val="89"/>
    <w:qFormat/>
    <w:uiPriority w:val="39"/>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2">
    <w:name w:val="网格型714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3">
    <w:name w:val="网格型616"/>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4">
    <w:name w:val="网格型1232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5">
    <w:name w:val="网格型26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6">
    <w:name w:val="网格型792"/>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7">
    <w:name w:val="网格型226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8">
    <w:name w:val="网格型1222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9">
    <w:name w:val="网格型16102"/>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280">
    <w:name w:val="网格型1652"/>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281">
    <w:name w:val="网格型1116"/>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2">
    <w:name w:val="网格型11218"/>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3">
    <w:name w:val="网格型219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4">
    <w:name w:val="网格型1314"/>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5">
    <w:name w:val="网格型1771"/>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6">
    <w:name w:val="网格型125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7">
    <w:name w:val="网格型1063"/>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288">
    <w:name w:val="网格型12201"/>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9">
    <w:name w:val="网格型24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0">
    <w:name w:val="网格型1412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1">
    <w:name w:val="网格型78"/>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2">
    <w:name w:val="网格型210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3">
    <w:name w:val="网格型5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4">
    <w:name w:val="网格型912"/>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295">
    <w:name w:val="网格型165"/>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296">
    <w:name w:val="网格型1110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7">
    <w:name w:val="网格型8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8">
    <w:name w:val="网格型218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9">
    <w:name w:val="网格型1216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0">
    <w:name w:val="网格型58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1">
    <w:name w:val="网格型315"/>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2">
    <w:name w:val="网格型129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3">
    <w:name w:val="网格型1614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4">
    <w:name w:val="Table Normal131"/>
    <w:qFormat/>
    <w:uiPriority w:val="2"/>
    <w:pPr>
      <w:widowControl w:val="0"/>
    </w:pPr>
    <w:rPr>
      <w:sz w:val="22"/>
      <w:szCs w:val="22"/>
      <w:lang w:eastAsia="en-US"/>
    </w:rPr>
    <w:tblPr>
      <w:tblCellMar>
        <w:top w:w="0" w:type="dxa"/>
        <w:left w:w="0" w:type="dxa"/>
        <w:bottom w:w="0" w:type="dxa"/>
        <w:right w:w="0" w:type="dxa"/>
      </w:tblCellMar>
    </w:tblPr>
  </w:style>
  <w:style w:type="table" w:customStyle="1" w:styleId="1305">
    <w:name w:val="网格型110"/>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6">
    <w:name w:val="网格型10511"/>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307">
    <w:name w:val="网格型1262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8">
    <w:name w:val="网格型28"/>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9">
    <w:name w:val="网格型1227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0">
    <w:name w:val="网格型791"/>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1">
    <w:name w:val="网格型215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2">
    <w:name w:val="网格型1115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3">
    <w:name w:val="网格型61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4">
    <w:name w:val="网格型1125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5">
    <w:name w:val="网格型120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6">
    <w:name w:val="网格型202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7">
    <w:name w:val="网格型1510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8">
    <w:name w:val="网格型13101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9">
    <w:name w:val="网格型76"/>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0">
    <w:name w:val="网格型1122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1">
    <w:name w:val="网格型66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2">
    <w:name w:val="网格型163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323">
    <w:name w:val="网格型323"/>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4">
    <w:name w:val="网格型11217"/>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5">
    <w:name w:val="网格型85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6">
    <w:name w:val="网格型1223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7">
    <w:name w:val="网格型811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8">
    <w:name w:val="Table Normal61"/>
    <w:semiHidden/>
    <w:qFormat/>
    <w:uiPriority w:val="2"/>
    <w:pPr>
      <w:widowControl w:val="0"/>
    </w:pPr>
    <w:rPr>
      <w:sz w:val="22"/>
      <w:szCs w:val="22"/>
      <w:lang w:eastAsia="en-US"/>
    </w:rPr>
    <w:tblPr>
      <w:tblCellMar>
        <w:top w:w="0" w:type="dxa"/>
        <w:left w:w="0" w:type="dxa"/>
        <w:bottom w:w="0" w:type="dxa"/>
        <w:right w:w="0" w:type="dxa"/>
      </w:tblCellMar>
    </w:tblPr>
  </w:style>
  <w:style w:type="table" w:customStyle="1" w:styleId="1329">
    <w:name w:val="网格型220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330">
    <w:name w:val="网格型119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1">
    <w:name w:val="网格型1333"/>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2">
    <w:name w:val="网格型69"/>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3">
    <w:name w:val="网格型1117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4">
    <w:name w:val="中等深浅列表 1 - 着色 34"/>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335">
    <w:name w:val="网格型173"/>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6">
    <w:name w:val="网格型13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7">
    <w:name w:val="网格型511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8">
    <w:name w:val="网格型1710"/>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9">
    <w:name w:val="网格型83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0">
    <w:name w:val="网格型125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1">
    <w:name w:val="网格型1053"/>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342">
    <w:name w:val="网格型32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3">
    <w:name w:val="网格型117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4">
    <w:name w:val="网格型742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5">
    <w:name w:val="Table Normal13"/>
    <w:qFormat/>
    <w:uiPriority w:val="2"/>
    <w:pPr>
      <w:widowControl w:val="0"/>
    </w:pPr>
    <w:rPr>
      <w:sz w:val="22"/>
      <w:szCs w:val="22"/>
      <w:lang w:eastAsia="en-US"/>
    </w:rPr>
    <w:tblPr>
      <w:tblCellMar>
        <w:top w:w="0" w:type="dxa"/>
        <w:left w:w="0" w:type="dxa"/>
        <w:bottom w:w="0" w:type="dxa"/>
        <w:right w:w="0" w:type="dxa"/>
      </w:tblCellMar>
    </w:tblPr>
  </w:style>
  <w:style w:type="table" w:customStyle="1" w:styleId="1346">
    <w:name w:val="网格型11114"/>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7">
    <w:name w:val="网格型1217"/>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8">
    <w:name w:val="网格型393"/>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9">
    <w:name w:val="网格型913"/>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350">
    <w:name w:val="网格型58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1">
    <w:name w:val="中等深浅列表 1 - 着色 351"/>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352">
    <w:name w:val="网格型42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3">
    <w:name w:val="网格型16103"/>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354">
    <w:name w:val="网格型153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5">
    <w:name w:val="网格型1663"/>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356">
    <w:name w:val="网格型781"/>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7">
    <w:name w:val="网格型510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8">
    <w:name w:val="网格型115"/>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9">
    <w:name w:val="网格型316"/>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0">
    <w:name w:val="中等深浅列表 1 - 着色 3102"/>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361">
    <w:name w:val="网格型1213"/>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2">
    <w:name w:val="网格型142"/>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3">
    <w:name w:val="网格型815"/>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4">
    <w:name w:val="网格型751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5">
    <w:name w:val="网格型56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6">
    <w:name w:val="网格型517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7">
    <w:name w:val="中等深浅列表 1 - 着色 3211"/>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368">
    <w:name w:val="网格型13102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9">
    <w:name w:val="网格型1225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0">
    <w:name w:val="网格型1227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1">
    <w:name w:val="中等深浅列表 1 - 着色 324"/>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372">
    <w:name w:val="中等深浅列表 1 - 着色 39"/>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373">
    <w:name w:val="网格型11110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4">
    <w:name w:val="网格型519"/>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5">
    <w:name w:val="中等深浅底纹 1 - 强调文字颜色 11"/>
    <w:basedOn w:val="89"/>
    <w:qFormat/>
    <w:uiPriority w:val="63"/>
    <w:rPr>
      <w:rFonts w:ascii="Calibri" w:hAnsi="Calibri"/>
      <w:kern w:val="2"/>
      <w:sz w:val="21"/>
      <w:szCs w:val="22"/>
    </w:rPr>
    <w:tblPr>
      <w:tblBorders>
        <w:top w:val="single" w:color="7BA0CD" w:sz="8" w:space="0"/>
        <w:left w:val="single" w:color="7BA0CD" w:sz="8" w:space="0"/>
        <w:bottom w:val="single" w:color="7BA0CD" w:sz="8" w:space="0"/>
        <w:right w:val="single" w:color="7BA0CD" w:sz="8" w:space="0"/>
        <w:insideH w:val="single" w:color="7BA0C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tcBorders>
          <w:top w:val="single" w:color="7BA0CD" w:sz="8" w:space="0"/>
          <w:left w:val="single" w:color="7BA0CD" w:sz="8" w:space="0"/>
          <w:bottom w:val="single" w:color="7BA0CD" w:sz="8" w:space="0"/>
          <w:right w:val="single" w:color="7BA0CD" w:sz="8" w:space="0"/>
          <w:insideH w:val="nil"/>
          <w:insideV w:val="nil"/>
          <w:tl2br w:val="nil"/>
          <w:tr2bl w:val="nil"/>
        </w:tcBorders>
        <w:shd w:val="clear" w:color="auto" w:fill="4F81BD"/>
      </w:tcPr>
    </w:tblStylePr>
    <w:tblStylePr w:type="lastRow">
      <w:pPr>
        <w:spacing w:before="0" w:beforeLines="0" w:beforeAutospacing="0" w:after="0" w:afterLines="0" w:afterAutospacing="0" w:line="240" w:lineRule="auto"/>
      </w:pPr>
      <w:rPr>
        <w:b/>
        <w:bCs/>
      </w:rPr>
      <w:tcPr>
        <w:tcBorders>
          <w:top w:val="double" w:color="7BA0CD" w:sz="6" w:space="0"/>
          <w:left w:val="single" w:color="7BA0CD" w:sz="8" w:space="0"/>
          <w:bottom w:val="single" w:color="7BA0CD" w:sz="8" w:space="0"/>
          <w:right w:val="single" w:color="7BA0CD" w:sz="8" w:space="0"/>
          <w:insideH w:val="nil"/>
          <w:insideV w:val="nil"/>
          <w:tl2br w:val="nil"/>
          <w:tr2bl w:val="nil"/>
        </w:tcBorders>
      </w:tcPr>
    </w:tblStylePr>
    <w:tblStylePr w:type="firstCol">
      <w:rPr>
        <w:b/>
        <w:bCs/>
      </w:rPr>
    </w:tblStylePr>
    <w:tblStylePr w:type="lastCol">
      <w:rPr>
        <w:b/>
        <w:bCs/>
      </w:rPr>
    </w:tblStylePr>
    <w:tblStylePr w:type="band1Vert">
      <w:tcPr>
        <w:shd w:val="clear" w:color="auto" w:fill="D3DFEE"/>
      </w:tcPr>
    </w:tblStylePr>
    <w:tblStylePr w:type="band1Horz">
      <w:tcPr>
        <w:shd w:val="clear" w:color="auto" w:fill="D3DFEE"/>
      </w:tcPr>
    </w:tblStylePr>
  </w:style>
  <w:style w:type="table" w:customStyle="1" w:styleId="1376">
    <w:name w:val="网格型3101"/>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7">
    <w:name w:val="网格型34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8">
    <w:name w:val="网格型516"/>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9">
    <w:name w:val="网格型1215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0">
    <w:name w:val="网格型136"/>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1">
    <w:name w:val="网格型 71"/>
    <w:basedOn w:val="89"/>
    <w:qFormat/>
    <w:uiPriority w:val="0"/>
    <w:pPr>
      <w:widowControl w:val="0"/>
      <w:spacing w:before="60" w:after="60" w:line="360" w:lineRule="auto"/>
      <w:ind w:firstLine="200" w:firstLineChars="200"/>
    </w:pPr>
    <w:rPr>
      <w:rFonts w:ascii="Calibri" w:hAnsi="Calibri"/>
      <w:b/>
      <w:bCs/>
      <w:kern w:val="2"/>
      <w:sz w:val="21"/>
      <w:szCs w:val="22"/>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82">
    <w:name w:val="网格型51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3">
    <w:name w:val="网格型1263"/>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4">
    <w:name w:val="网格型1236"/>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5">
    <w:name w:val="网格型214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6">
    <w:name w:val="网格型203"/>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7">
    <w:name w:val="网格型172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8">
    <w:name w:val="网格型1032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389">
    <w:name w:val="列表型 31"/>
    <w:basedOn w:val="89"/>
    <w:qFormat/>
    <w:uiPriority w:val="0"/>
    <w:pPr>
      <w:widowControl w:val="0"/>
      <w:spacing w:before="60" w:after="60" w:line="360" w:lineRule="auto"/>
      <w:ind w:firstLine="200" w:firstLineChars="200"/>
    </w:pPr>
    <w:rPr>
      <w:rFonts w:ascii="Calibri" w:hAnsi="Calibri"/>
      <w:kern w:val="2"/>
      <w:sz w:val="21"/>
      <w:szCs w:val="22"/>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390">
    <w:name w:val="网格型2110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1">
    <w:name w:val="网格型134"/>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2">
    <w:name w:val="网格型163"/>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393">
    <w:name w:val="网格型64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4">
    <w:name w:val="网格型219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5">
    <w:name w:val="网格型90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6">
    <w:name w:val="网格型951"/>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397">
    <w:name w:val="网格型109"/>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398">
    <w:name w:val="网格型184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9">
    <w:name w:val="网格型773"/>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0">
    <w:name w:val="中等深浅列表 1 - 着色 313"/>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401">
    <w:name w:val="网格型19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2">
    <w:name w:val="网格型1013"/>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03">
    <w:name w:val="中等深浅列表 1 - 着色 315"/>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404">
    <w:name w:val="网格型711"/>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5">
    <w:name w:val="Table Normal12"/>
    <w:qFormat/>
    <w:uiPriority w:val="2"/>
    <w:pPr>
      <w:widowControl w:val="0"/>
    </w:pPr>
    <w:rPr>
      <w:sz w:val="22"/>
      <w:szCs w:val="22"/>
      <w:lang w:eastAsia="en-US"/>
    </w:rPr>
    <w:tblPr>
      <w:tblCellMar>
        <w:top w:w="0" w:type="dxa"/>
        <w:left w:w="0" w:type="dxa"/>
        <w:bottom w:w="0" w:type="dxa"/>
        <w:right w:w="0" w:type="dxa"/>
      </w:tblCellMar>
    </w:tblPr>
  </w:style>
  <w:style w:type="table" w:customStyle="1" w:styleId="1406">
    <w:name w:val="中等深浅列表 1 - 着色 3531"/>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407">
    <w:name w:val="网格型7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8">
    <w:name w:val="网格型318"/>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9">
    <w:name w:val="网格型117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0">
    <w:name w:val="网格型962"/>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11">
    <w:name w:val="网格型62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2">
    <w:name w:val="网格型11118"/>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3">
    <w:name w:val="网格型33"/>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4">
    <w:name w:val="网格型814"/>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5">
    <w:name w:val="中等深浅列表 1 - 着色 352"/>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416">
    <w:name w:val="网格型80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7">
    <w:name w:val="网格型753"/>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8">
    <w:name w:val="网格型131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19">
    <w:name w:val="网格型11212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0">
    <w:name w:val="网格型922"/>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21">
    <w:name w:val="网格型55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2">
    <w:name w:val="网格型106"/>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23">
    <w:name w:val="网格型7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4">
    <w:name w:val="中等深浅列表 1 - 着色 3321"/>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425">
    <w:name w:val="Table Normal3"/>
    <w:qFormat/>
    <w:uiPriority w:val="2"/>
    <w:pPr>
      <w:widowControl w:val="0"/>
    </w:pPr>
    <w:rPr>
      <w:sz w:val="22"/>
      <w:szCs w:val="22"/>
      <w:lang w:eastAsia="en-US"/>
    </w:rPr>
    <w:tblPr>
      <w:tblCellMar>
        <w:top w:w="0" w:type="dxa"/>
        <w:left w:w="0" w:type="dxa"/>
        <w:bottom w:w="0" w:type="dxa"/>
        <w:right w:w="0" w:type="dxa"/>
      </w:tblCellMar>
    </w:tblPr>
  </w:style>
  <w:style w:type="table" w:customStyle="1" w:styleId="1426">
    <w:name w:val="网格型214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7">
    <w:name w:val="网格型1281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8">
    <w:name w:val="网格型216"/>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9">
    <w:name w:val="网格型1121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0">
    <w:name w:val="网格型1414"/>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1">
    <w:name w:val="网格型1731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2">
    <w:name w:val="网格型1228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3">
    <w:name w:val="网格型11117"/>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4">
    <w:name w:val="网格型4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5">
    <w:name w:val="网格型1238"/>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6">
    <w:name w:val="网格型1216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7">
    <w:name w:val="网格型34"/>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8">
    <w:name w:val="网格型67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9">
    <w:name w:val="中等深浅列表 1 - 着色 3112"/>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440">
    <w:name w:val="网格型108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41">
    <w:name w:val="网格型130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2">
    <w:name w:val="网格型1613"/>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43">
    <w:name w:val="网格型1543"/>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4">
    <w:name w:val="网格型1073"/>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45">
    <w:name w:val="网格型45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6">
    <w:name w:val="网格型1110"/>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7">
    <w:name w:val="中等深浅列表 1 - 着色 3431"/>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448">
    <w:name w:val="网格型112110"/>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9">
    <w:name w:val="网格型1572"/>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0">
    <w:name w:val="网格型135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1">
    <w:name w:val="网格型2113"/>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2">
    <w:name w:val="中等深浅列表 1 - 着色 3131"/>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453">
    <w:name w:val="网格型15621"/>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4">
    <w:name w:val="中等深浅列表 1 - 着色 3711"/>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455">
    <w:name w:val="网格型108"/>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56">
    <w:name w:val="网格型12211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7">
    <w:name w:val="中等深浅列表 1 - 着色 344"/>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458">
    <w:name w:val="网格型3102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9">
    <w:name w:val="网格型1116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0">
    <w:name w:val="中等深浅列表 1 - 着色 3712"/>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461">
    <w:name w:val="网格型68"/>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2">
    <w:name w:val="网格型14411"/>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3">
    <w:name w:val="网格型29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4">
    <w:name w:val="网格型212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5">
    <w:name w:val="网格型120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6">
    <w:name w:val="网格型116"/>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7">
    <w:name w:val="Table Normal53"/>
    <w:semiHidden/>
    <w:qFormat/>
    <w:uiPriority w:val="2"/>
    <w:pPr>
      <w:widowControl w:val="0"/>
    </w:pPr>
    <w:rPr>
      <w:sz w:val="22"/>
      <w:szCs w:val="22"/>
      <w:lang w:eastAsia="en-US"/>
    </w:rPr>
    <w:tblPr>
      <w:tblCellMar>
        <w:top w:w="0" w:type="dxa"/>
        <w:left w:w="0" w:type="dxa"/>
        <w:bottom w:w="0" w:type="dxa"/>
        <w:right w:w="0" w:type="dxa"/>
      </w:tblCellMar>
    </w:tblPr>
  </w:style>
  <w:style w:type="table" w:customStyle="1" w:styleId="1468">
    <w:name w:val="网格型11214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9">
    <w:name w:val="网格型125"/>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0">
    <w:name w:val="网格型1453"/>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1">
    <w:name w:val="网格型118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2">
    <w:name w:val="网格型1421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3">
    <w:name w:val="网格型183"/>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4">
    <w:name w:val="网格型1123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5">
    <w:name w:val="网格型29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6">
    <w:name w:val="网格型88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7">
    <w:name w:val="网格型1228"/>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8">
    <w:name w:val="网格型1128"/>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9">
    <w:name w:val="网格型1010"/>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80">
    <w:name w:val="中等深浅列表 1 - 着色 3522"/>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481">
    <w:name w:val="网格型1614"/>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2">
    <w:name w:val="网格型17411"/>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3">
    <w:name w:val="网格型212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4">
    <w:name w:val="网格型411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5">
    <w:name w:val="网格型1116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6">
    <w:name w:val="网格型1732"/>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7">
    <w:name w:val="网格型105"/>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88">
    <w:name w:val="网格型223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9">
    <w:name w:val="网格型1371"/>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0">
    <w:name w:val="网格型116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1">
    <w:name w:val="网格型92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92">
    <w:name w:val="网格型1123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3">
    <w:name w:val="网格型1412"/>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4">
    <w:name w:val="网格型911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95">
    <w:name w:val="网格型46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6">
    <w:name w:val="网格型41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7">
    <w:name w:val="网格型1226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8">
    <w:name w:val="网格型10621"/>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99">
    <w:name w:val="网格型1214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0">
    <w:name w:val="网格型9611"/>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501">
    <w:name w:val="网格型12113"/>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2">
    <w:name w:val="网格型58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3">
    <w:name w:val="网格型1514"/>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4">
    <w:name w:val="网格型1613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505">
    <w:name w:val="网格型62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6">
    <w:name w:val="网格型1131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7">
    <w:name w:val="网格型62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8">
    <w:name w:val="网格型314"/>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09">
    <w:name w:val="网格型1443"/>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0">
    <w:name w:val="网格型1223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1">
    <w:name w:val="网格型1224"/>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2">
    <w:name w:val="网格型11210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3">
    <w:name w:val="网格型1125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4">
    <w:name w:val="网格型12110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5">
    <w:name w:val="网格型90"/>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6">
    <w:name w:val="网格型1371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7">
    <w:name w:val="网格型2116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8">
    <w:name w:val="网格型1423"/>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9">
    <w:name w:val="网格型1532"/>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0">
    <w:name w:val="网格型1632"/>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521">
    <w:name w:val="网格型43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2">
    <w:name w:val="网格型139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3">
    <w:name w:val="网格型782"/>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4">
    <w:name w:val="网格型123"/>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5">
    <w:name w:val="网格型1124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6">
    <w:name w:val="网格型12111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7">
    <w:name w:val="网格型1127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8">
    <w:name w:val="网格型183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9">
    <w:name w:val="中等深浅列表 1 - 着色 371"/>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530">
    <w:name w:val="网格型11113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1">
    <w:name w:val="中等深浅列表 1 - 着色 3322"/>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532">
    <w:name w:val="网格型11113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3">
    <w:name w:val="网格型225"/>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4">
    <w:name w:val="网格型1212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5">
    <w:name w:val="网格型1229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6">
    <w:name w:val="网格型72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7">
    <w:name w:val="Table Normal7"/>
    <w:semiHidden/>
    <w:qFormat/>
    <w:uiPriority w:val="2"/>
    <w:pPr>
      <w:widowControl w:val="0"/>
    </w:pPr>
    <w:rPr>
      <w:sz w:val="22"/>
      <w:szCs w:val="22"/>
      <w:lang w:eastAsia="en-US"/>
    </w:rPr>
    <w:tblPr>
      <w:tblCellMar>
        <w:top w:w="0" w:type="dxa"/>
        <w:left w:w="0" w:type="dxa"/>
        <w:bottom w:w="0" w:type="dxa"/>
        <w:right w:w="0" w:type="dxa"/>
      </w:tblCellMar>
    </w:tblPr>
  </w:style>
  <w:style w:type="table" w:customStyle="1" w:styleId="1538">
    <w:name w:val="网格型34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9">
    <w:name w:val="网格型1218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0">
    <w:name w:val="网格型1118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1">
    <w:name w:val="网格型115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2">
    <w:name w:val="网格型1361"/>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3">
    <w:name w:val="网格型11212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4">
    <w:name w:val="Table Normal22"/>
    <w:qFormat/>
    <w:uiPriority w:val="2"/>
    <w:pPr>
      <w:widowControl w:val="0"/>
    </w:pPr>
    <w:rPr>
      <w:sz w:val="22"/>
      <w:szCs w:val="22"/>
      <w:lang w:eastAsia="en-US"/>
    </w:rPr>
    <w:tblPr>
      <w:tblCellMar>
        <w:top w:w="0" w:type="dxa"/>
        <w:left w:w="0" w:type="dxa"/>
        <w:bottom w:w="0" w:type="dxa"/>
        <w:right w:w="0" w:type="dxa"/>
      </w:tblCellMar>
    </w:tblPr>
  </w:style>
  <w:style w:type="table" w:customStyle="1" w:styleId="1545">
    <w:name w:val="网格型2113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6">
    <w:name w:val="网格型66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7">
    <w:name w:val="网格型88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8">
    <w:name w:val="网格型11110"/>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9">
    <w:name w:val="网格型7113"/>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50">
    <w:name w:val="网格型21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51">
    <w:name w:val="网格型1214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52">
    <w:name w:val="网格型164"/>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553">
    <w:name w:val="网格型1642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554">
    <w:name w:val="网格型1381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55">
    <w:name w:val="网格型217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56">
    <w:name w:val="网格型11215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57">
    <w:name w:val="网格型1762"/>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58">
    <w:name w:val="网格型1601"/>
    <w:basedOn w:val="89"/>
    <w:semiHidden/>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59">
    <w:name w:val="网格型214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60">
    <w:name w:val="网格型1217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61">
    <w:name w:val="网格型511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62">
    <w:name w:val="中等深浅列表 1 - 着色 342"/>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563">
    <w:name w:val="网格型1631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564">
    <w:name w:val="网格型11210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65">
    <w:name w:val="网格型281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66">
    <w:name w:val="网格型12210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67">
    <w:name w:val="网格型914"/>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568">
    <w:name w:val="Table Normal73"/>
    <w:semiHidden/>
    <w:qFormat/>
    <w:uiPriority w:val="2"/>
    <w:pPr>
      <w:widowControl w:val="0"/>
    </w:pPr>
    <w:rPr>
      <w:sz w:val="22"/>
      <w:szCs w:val="22"/>
      <w:lang w:eastAsia="en-US"/>
    </w:rPr>
    <w:tblPr>
      <w:tblCellMar>
        <w:top w:w="0" w:type="dxa"/>
        <w:left w:w="0" w:type="dxa"/>
        <w:bottom w:w="0" w:type="dxa"/>
        <w:right w:w="0" w:type="dxa"/>
      </w:tblCellMar>
    </w:tblPr>
  </w:style>
  <w:style w:type="table" w:customStyle="1" w:styleId="1569">
    <w:name w:val="Table Normal121"/>
    <w:qFormat/>
    <w:uiPriority w:val="2"/>
    <w:pPr>
      <w:widowControl w:val="0"/>
    </w:pPr>
    <w:rPr>
      <w:sz w:val="22"/>
      <w:szCs w:val="22"/>
      <w:lang w:eastAsia="en-US"/>
    </w:rPr>
    <w:tblPr>
      <w:tblCellMar>
        <w:top w:w="0" w:type="dxa"/>
        <w:left w:w="0" w:type="dxa"/>
        <w:bottom w:w="0" w:type="dxa"/>
        <w:right w:w="0" w:type="dxa"/>
      </w:tblCellMar>
    </w:tblPr>
  </w:style>
  <w:style w:type="table" w:customStyle="1" w:styleId="1570">
    <w:name w:val="网格型15721"/>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71">
    <w:name w:val="网格型119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72">
    <w:name w:val="网格型27"/>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73">
    <w:name w:val="网格型1522"/>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74">
    <w:name w:val="网格型1632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575">
    <w:name w:val="网格型44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76">
    <w:name w:val="网格型1683"/>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577">
    <w:name w:val="网格型1023"/>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578">
    <w:name w:val="网格型1125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79">
    <w:name w:val="网格型228"/>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80">
    <w:name w:val="网格型1415"/>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81">
    <w:name w:val="网格型12111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82">
    <w:name w:val="网格型161011"/>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583">
    <w:name w:val="网格型220"/>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584">
    <w:name w:val="网格型515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85">
    <w:name w:val="网格型1014"/>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586">
    <w:name w:val="网格型410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87">
    <w:name w:val="网格型1230"/>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88">
    <w:name w:val="网格型84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89">
    <w:name w:val="网格型40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90">
    <w:name w:val="网格型59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91">
    <w:name w:val="网格型22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92">
    <w:name w:val="网格型112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93">
    <w:name w:val="网格型1127"/>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94">
    <w:name w:val="网格型1117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95">
    <w:name w:val="古典型 21"/>
    <w:basedOn w:val="89"/>
    <w:qFormat/>
    <w:uiPriority w:val="0"/>
    <w:pPr>
      <w:widowControl w:val="0"/>
      <w:spacing w:before="60" w:after="60" w:line="360" w:lineRule="auto"/>
      <w:ind w:firstLine="200" w:firstLineChars="200"/>
    </w:pPr>
    <w:rPr>
      <w:rFonts w:ascii="Calibri" w:hAnsi="Calibri"/>
      <w:kern w:val="2"/>
      <w:sz w:val="21"/>
      <w:szCs w:val="22"/>
    </w:rPr>
    <w:tblPr>
      <w:tblBorders>
        <w:top w:val="single" w:color="000000" w:sz="12" w:space="0"/>
        <w:bottom w:val="single" w:color="000000" w:sz="12" w:space="0"/>
      </w:tblBorders>
      <w:tblCellMar>
        <w:top w:w="0" w:type="dxa"/>
        <w:left w:w="108" w:type="dxa"/>
        <w:bottom w:w="0" w:type="dxa"/>
        <w:right w:w="108" w:type="dxa"/>
      </w:tblCellMar>
    </w:tbl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596">
    <w:name w:val="网格型1218"/>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97">
    <w:name w:val="网格型10421"/>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598">
    <w:name w:val="网格型116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99">
    <w:name w:val="网格型11217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0">
    <w:name w:val="网格型112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1">
    <w:name w:val="网格型156"/>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2">
    <w:name w:val="网格型1127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3">
    <w:name w:val="网格型219"/>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4">
    <w:name w:val="网格型63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5">
    <w:name w:val="网格型211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6">
    <w:name w:val="网格型85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7">
    <w:name w:val="网格型36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8">
    <w:name w:val="网格型153"/>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9">
    <w:name w:val="网格型410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0">
    <w:name w:val="网格型29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1">
    <w:name w:val="网格型1410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2">
    <w:name w:val="中等深浅列表 1 - 着色 33"/>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613">
    <w:name w:val="网格型262"/>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4">
    <w:name w:val="网格型132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5">
    <w:name w:val="网格型1313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6">
    <w:name w:val="网格型28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7">
    <w:name w:val="网格型40"/>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8">
    <w:name w:val="网格型133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9">
    <w:name w:val="网格型931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20">
    <w:name w:val="网格型1214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1">
    <w:name w:val="网格型218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2">
    <w:name w:val="网格型36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3">
    <w:name w:val="网格型35"/>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4">
    <w:name w:val="网格型1616"/>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25">
    <w:name w:val="网格型152"/>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6">
    <w:name w:val="网格型1362"/>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7">
    <w:name w:val="网格型129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8">
    <w:name w:val="网格型151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9">
    <w:name w:val="网格型1552"/>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0">
    <w:name w:val="网格型351"/>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1">
    <w:name w:val="网格型93"/>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32">
    <w:name w:val="网格型1343"/>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3">
    <w:name w:val="网格型 61"/>
    <w:basedOn w:val="89"/>
    <w:qFormat/>
    <w:uiPriority w:val="0"/>
    <w:pPr>
      <w:widowControl w:val="0"/>
      <w:spacing w:before="60" w:after="60" w:line="360" w:lineRule="auto"/>
      <w:ind w:firstLine="200" w:firstLineChars="200"/>
    </w:pPr>
    <w:rPr>
      <w:rFonts w:ascii="Calibri" w:hAnsi="Calibri"/>
      <w:kern w:val="2"/>
      <w:sz w:val="21"/>
      <w:szCs w:val="22"/>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34">
    <w:name w:val="网格型129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5">
    <w:name w:val="网格型9521"/>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36">
    <w:name w:val="网格型1124"/>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7">
    <w:name w:val="网格型1213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8">
    <w:name w:val="网格型1693"/>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39">
    <w:name w:val="网格型2110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0">
    <w:name w:val="网格型50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1">
    <w:name w:val="网格型1241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2">
    <w:name w:val="网格型910"/>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43">
    <w:name w:val="网格型1681"/>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44">
    <w:name w:val="中等深浅列表 1 - 着色 3331"/>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645">
    <w:name w:val="古典型 11"/>
    <w:basedOn w:val="89"/>
    <w:qFormat/>
    <w:uiPriority w:val="0"/>
    <w:pPr>
      <w:widowControl w:val="0"/>
      <w:spacing w:before="60" w:after="60" w:line="360" w:lineRule="auto"/>
      <w:ind w:firstLine="200" w:firstLineChars="200"/>
    </w:pPr>
    <w:rPr>
      <w:rFonts w:ascii="Calibri" w:hAnsi="Calibri"/>
      <w:kern w:val="2"/>
      <w:sz w:val="21"/>
      <w:szCs w:val="22"/>
    </w:r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46">
    <w:name w:val="网格型16101"/>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47">
    <w:name w:val="网格型216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8">
    <w:name w:val="网格型1131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9">
    <w:name w:val="网格型2110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0">
    <w:name w:val="网格型115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1">
    <w:name w:val="网格型1615"/>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52">
    <w:name w:val="网格型29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3">
    <w:name w:val="网格型1235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4">
    <w:name w:val="中等深浅列表 1 - 着色 364"/>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655">
    <w:name w:val="网格型23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6">
    <w:name w:val="网格型55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7">
    <w:name w:val="网格型46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8">
    <w:name w:val="网格型1433"/>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9">
    <w:name w:val="网格型27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0">
    <w:name w:val="网格型186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1">
    <w:name w:val="中等深浅列表 1 - 着色 3121"/>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662">
    <w:name w:val="Table Normal15"/>
    <w:qFormat/>
    <w:uiPriority w:val="2"/>
    <w:pPr>
      <w:widowControl w:val="0"/>
    </w:pPr>
    <w:rPr>
      <w:sz w:val="22"/>
      <w:szCs w:val="22"/>
      <w:lang w:eastAsia="en-US"/>
    </w:rPr>
    <w:tblPr>
      <w:tblCellMar>
        <w:top w:w="0" w:type="dxa"/>
        <w:left w:w="0" w:type="dxa"/>
        <w:bottom w:w="0" w:type="dxa"/>
        <w:right w:w="0" w:type="dxa"/>
      </w:tblCellMar>
    </w:tblPr>
  </w:style>
  <w:style w:type="table" w:customStyle="1" w:styleId="1663">
    <w:name w:val="网格型162"/>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64">
    <w:name w:val="网格型13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5">
    <w:name w:val="网格型792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6">
    <w:name w:val="网格型140"/>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7">
    <w:name w:val="网格型48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8">
    <w:name w:val="网格型58"/>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9">
    <w:name w:val="中等深浅列表 1 - 着色 331"/>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670">
    <w:name w:val="网格型12210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1">
    <w:name w:val="网格型1217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2">
    <w:name w:val="网格型202"/>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3">
    <w:name w:val="网格型813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4">
    <w:name w:val="网格型48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5">
    <w:name w:val="网格型113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6">
    <w:name w:val="网格型1562"/>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7">
    <w:name w:val="中等深浅列表 1 - 强调文字颜色 32"/>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678">
    <w:name w:val="网格型175"/>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9">
    <w:name w:val="网格型1222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0">
    <w:name w:val="网格型11211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1">
    <w:name w:val="网格型2114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2">
    <w:name w:val="网格型12110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3">
    <w:name w:val="网格型513"/>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4">
    <w:name w:val="网格型1533"/>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5">
    <w:name w:val="网格型87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6">
    <w:name w:val="网格型721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7">
    <w:name w:val="网格型1129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8">
    <w:name w:val="网格型114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9">
    <w:name w:val="网格型48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0">
    <w:name w:val="网格型189"/>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1">
    <w:name w:val="网格型282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2">
    <w:name w:val="网格型1452"/>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3">
    <w:name w:val="网格型12110"/>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4">
    <w:name w:val="网格型1541"/>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5">
    <w:name w:val="网格型16811"/>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96">
    <w:name w:val="网格型5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7">
    <w:name w:val="网格型1119"/>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8">
    <w:name w:val="网格型610"/>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9">
    <w:name w:val="网格型57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00">
    <w:name w:val="中等深浅列表 1 - 着色 3231"/>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701">
    <w:name w:val="网格型214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02">
    <w:name w:val="网格型213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03">
    <w:name w:val="网格型91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04">
    <w:name w:val="网格型54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05">
    <w:name w:val="网格型12103"/>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06">
    <w:name w:val="网格型11120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07">
    <w:name w:val="网格型185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08">
    <w:name w:val="网格型210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09">
    <w:name w:val="网格型75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10">
    <w:name w:val="网格型149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11">
    <w:name w:val="网格型1672"/>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12">
    <w:name w:val="网格型25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13">
    <w:name w:val="网格型16112"/>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14">
    <w:name w:val="网格型613"/>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15">
    <w:name w:val="网格型1126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16">
    <w:name w:val="网格型83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17">
    <w:name w:val="网格型1223"/>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18">
    <w:name w:val="Table Normal5"/>
    <w:semiHidden/>
    <w:qFormat/>
    <w:uiPriority w:val="2"/>
    <w:pPr>
      <w:widowControl w:val="0"/>
    </w:pPr>
    <w:rPr>
      <w:sz w:val="22"/>
      <w:szCs w:val="22"/>
      <w:lang w:eastAsia="en-US"/>
    </w:rPr>
    <w:tblPr>
      <w:tblCellMar>
        <w:top w:w="0" w:type="dxa"/>
        <w:left w:w="0" w:type="dxa"/>
        <w:bottom w:w="0" w:type="dxa"/>
        <w:right w:w="0" w:type="dxa"/>
      </w:tblCellMar>
    </w:tblPr>
  </w:style>
  <w:style w:type="table" w:customStyle="1" w:styleId="1719">
    <w:name w:val="网格型1451"/>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20">
    <w:name w:val="网格型63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21">
    <w:name w:val="Table Normal421"/>
    <w:semiHidden/>
    <w:qFormat/>
    <w:uiPriority w:val="2"/>
    <w:pPr>
      <w:widowControl w:val="0"/>
    </w:pPr>
    <w:rPr>
      <w:sz w:val="22"/>
      <w:szCs w:val="22"/>
      <w:lang w:eastAsia="en-US"/>
    </w:rPr>
    <w:tblPr>
      <w:tblCellMar>
        <w:top w:w="0" w:type="dxa"/>
        <w:left w:w="0" w:type="dxa"/>
        <w:bottom w:w="0" w:type="dxa"/>
        <w:right w:w="0" w:type="dxa"/>
      </w:tblCellMar>
    </w:tblPr>
  </w:style>
  <w:style w:type="table" w:customStyle="1" w:styleId="1722">
    <w:name w:val="网格型761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23">
    <w:name w:val="网格型65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24">
    <w:name w:val="网格型41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25">
    <w:name w:val="网格型11112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26">
    <w:name w:val="网格型29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27">
    <w:name w:val="中等深浅列表 1 - 着色 31"/>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728">
    <w:name w:val="网格型1115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29">
    <w:name w:val="网格型179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30">
    <w:name w:val="网格型19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31">
    <w:name w:val="网格型1315"/>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32">
    <w:name w:val="网格型511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33">
    <w:name w:val="网格型59"/>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34">
    <w:name w:val="网格型161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35">
    <w:name w:val="网格型128"/>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36">
    <w:name w:val="网格型716"/>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37">
    <w:name w:val="网格型713"/>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38">
    <w:name w:val="网格型1112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39">
    <w:name w:val="网格型152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40">
    <w:name w:val="网格型93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41">
    <w:name w:val="网格型50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42">
    <w:name w:val="网格型2114"/>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43">
    <w:name w:val="网格型301"/>
    <w:basedOn w:val="89"/>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44">
    <w:name w:val="网格型921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45">
    <w:name w:val="中等深浅底纹 1 - 强调文字颜色 111"/>
    <w:basedOn w:val="89"/>
    <w:qFormat/>
    <w:uiPriority w:val="63"/>
    <w:rPr>
      <w:rFonts w:ascii="Calibri" w:hAnsi="Calibri"/>
      <w:kern w:val="2"/>
      <w:sz w:val="21"/>
      <w:szCs w:val="22"/>
    </w:rPr>
    <w:tblPr>
      <w:tblBorders>
        <w:top w:val="single" w:color="7BA0CD" w:sz="8" w:space="0"/>
        <w:left w:val="single" w:color="7BA0CD" w:sz="8" w:space="0"/>
        <w:bottom w:val="single" w:color="7BA0CD" w:sz="8" w:space="0"/>
        <w:right w:val="single" w:color="7BA0CD" w:sz="8" w:space="0"/>
        <w:insideH w:val="single" w:color="7BA0CD"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tcBorders>
          <w:top w:val="single" w:color="7BA0CD" w:sz="8" w:space="0"/>
          <w:left w:val="single" w:color="7BA0CD" w:sz="8" w:space="0"/>
          <w:bottom w:val="single" w:color="7BA0CD" w:sz="8" w:space="0"/>
          <w:right w:val="single" w:color="7BA0CD" w:sz="8" w:space="0"/>
          <w:insideH w:val="nil"/>
          <w:insideV w:val="nil"/>
          <w:tl2br w:val="nil"/>
          <w:tr2bl w:val="nil"/>
        </w:tcBorders>
        <w:shd w:val="clear" w:color="auto" w:fill="4F81BD"/>
      </w:tcPr>
    </w:tblStylePr>
    <w:tblStylePr w:type="lastRow">
      <w:pPr>
        <w:spacing w:before="0" w:beforeLines="0" w:beforeAutospacing="0" w:after="0" w:afterLines="0" w:afterAutospacing="0" w:line="240" w:lineRule="auto"/>
      </w:pPr>
      <w:rPr>
        <w:b/>
        <w:bCs/>
      </w:rPr>
      <w:tcPr>
        <w:tcBorders>
          <w:top w:val="double" w:color="7BA0CD" w:sz="6" w:space="0"/>
          <w:left w:val="single" w:color="7BA0CD" w:sz="8" w:space="0"/>
          <w:bottom w:val="single" w:color="7BA0CD" w:sz="8" w:space="0"/>
          <w:right w:val="single" w:color="7BA0CD" w:sz="8" w:space="0"/>
          <w:insideH w:val="nil"/>
          <w:insideV w:val="nil"/>
          <w:tl2br w:val="nil"/>
          <w:tr2bl w:val="nil"/>
        </w:tcBorders>
      </w:tcPr>
    </w:tblStylePr>
    <w:tblStylePr w:type="firstCol">
      <w:rPr>
        <w:b/>
        <w:bCs/>
      </w:rPr>
    </w:tblStylePr>
    <w:tblStylePr w:type="lastCol">
      <w:rPr>
        <w:b/>
        <w:bCs/>
      </w:rPr>
    </w:tblStylePr>
    <w:tblStylePr w:type="band1Vert">
      <w:tcPr>
        <w:shd w:val="clear" w:color="auto" w:fill="D3DFEE"/>
      </w:tcPr>
    </w:tblStylePr>
    <w:tblStylePr w:type="band1Horz">
      <w:tcPr>
        <w:shd w:val="clear" w:color="auto" w:fill="D3DFEE"/>
      </w:tcPr>
    </w:tblStylePr>
  </w:style>
  <w:style w:type="table" w:customStyle="1" w:styleId="1746">
    <w:name w:val="网格型1126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47">
    <w:name w:val="网格型62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48">
    <w:name w:val="网格型1123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49">
    <w:name w:val="网格型135"/>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50">
    <w:name w:val="网格型1137"/>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51">
    <w:name w:val="网格型1713"/>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52">
    <w:name w:val="网格型162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53">
    <w:name w:val="网格型331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54">
    <w:name w:val="网格型722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55">
    <w:name w:val="网格型1227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56">
    <w:name w:val="Table Normal101"/>
    <w:qFormat/>
    <w:uiPriority w:val="2"/>
    <w:pPr>
      <w:widowControl w:val="0"/>
    </w:pPr>
    <w:rPr>
      <w:sz w:val="22"/>
      <w:szCs w:val="22"/>
      <w:lang w:eastAsia="en-US"/>
    </w:rPr>
    <w:tblPr>
      <w:tblCellMar>
        <w:top w:w="0" w:type="dxa"/>
        <w:left w:w="0" w:type="dxa"/>
        <w:bottom w:w="0" w:type="dxa"/>
        <w:right w:w="0" w:type="dxa"/>
      </w:tblCellMar>
    </w:tblPr>
  </w:style>
  <w:style w:type="table" w:customStyle="1" w:styleId="1757">
    <w:name w:val="网格型218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58">
    <w:name w:val="中等深浅列表 1 - 着色 3412"/>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759">
    <w:name w:val="网格型1224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60">
    <w:name w:val="网格型1228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61">
    <w:name w:val="中等深浅列表 1 - 着色 36"/>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762">
    <w:name w:val="网格型1283"/>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63">
    <w:name w:val="网格型811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64">
    <w:name w:val="简明型 21"/>
    <w:basedOn w:val="89"/>
    <w:qFormat/>
    <w:uiPriority w:val="0"/>
    <w:pPr>
      <w:widowControl w:val="0"/>
      <w:spacing w:before="60" w:after="60" w:line="360" w:lineRule="auto"/>
      <w:ind w:firstLine="200" w:firstLineChars="200"/>
    </w:pPr>
    <w:rPr>
      <w:rFonts w:ascii="Calibri" w:hAnsi="Calibri"/>
      <w:kern w:val="2"/>
      <w:sz w:val="21"/>
      <w:szCs w:val="22"/>
    </w:r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65">
    <w:name w:val="网格型1219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66">
    <w:name w:val="网格型110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67">
    <w:name w:val="网格型216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68">
    <w:name w:val="网格型610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69">
    <w:name w:val="网格型174"/>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70">
    <w:name w:val="网格型1126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71">
    <w:name w:val="网格型410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72">
    <w:name w:val="网格型813"/>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73">
    <w:name w:val="网格型414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74">
    <w:name w:val="网格型70"/>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75">
    <w:name w:val="网格型1217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76">
    <w:name w:val="网格型11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77">
    <w:name w:val="网格型125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78">
    <w:name w:val="网格型144"/>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79">
    <w:name w:val="网格型321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80">
    <w:name w:val="网格型1137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81">
    <w:name w:val="网格型3101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82">
    <w:name w:val="网格型811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83">
    <w:name w:val="网格型12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84">
    <w:name w:val="网格型1112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85">
    <w:name w:val="网格型134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86">
    <w:name w:val="网格型1413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87">
    <w:name w:val="网格型1225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88">
    <w:name w:val="网格型187"/>
    <w:basedOn w:val="8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89">
    <w:name w:val="网格型11111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90">
    <w:name w:val="网格型118"/>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91">
    <w:name w:val="网格型65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92">
    <w:name w:val="网格型214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93">
    <w:name w:val="网格型122"/>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94">
    <w:name w:val="网格型1282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95">
    <w:name w:val="网格型2201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96">
    <w:name w:val="网格型714"/>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97">
    <w:name w:val="网格型1125"/>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98">
    <w:name w:val="网格型1521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99">
    <w:name w:val="网格型23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0">
    <w:name w:val="网格型84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1">
    <w:name w:val="网格型55"/>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2">
    <w:name w:val="网格型1461"/>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3">
    <w:name w:val="网格型12115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4">
    <w:name w:val="网格型4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5">
    <w:name w:val="网格型11113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6">
    <w:name w:val="网格型66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7">
    <w:name w:val="网格型1225"/>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8">
    <w:name w:val="网格型1224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9">
    <w:name w:val="网格型12211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10">
    <w:name w:val="网格型11212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11">
    <w:name w:val="网格型713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12">
    <w:name w:val="网格型22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13">
    <w:name w:val="网格型1119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14">
    <w:name w:val="网格型54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15">
    <w:name w:val="网格型212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16">
    <w:name w:val="网格型1133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17">
    <w:name w:val="网格型11216"/>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18">
    <w:name w:val="网格型24"/>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19">
    <w:name w:val="网格型59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0">
    <w:name w:val="网格型614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1">
    <w:name w:val="中等深浅列表 1 - 着色 3811"/>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822">
    <w:name w:val="网格型118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3">
    <w:name w:val="网格型1318"/>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4">
    <w:name w:val="网格型1129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5">
    <w:name w:val="网格型89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6">
    <w:name w:val="网格型42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7">
    <w:name w:val="网格型29"/>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8">
    <w:name w:val="网格型14521"/>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9">
    <w:name w:val="网格型16113"/>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830">
    <w:name w:val="网格型11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31">
    <w:name w:val="网格型215"/>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32">
    <w:name w:val="网格型124"/>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33">
    <w:name w:val="网格型12210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34">
    <w:name w:val="Table Normal11"/>
    <w:qFormat/>
    <w:uiPriority w:val="2"/>
    <w:pPr>
      <w:widowControl w:val="0"/>
    </w:pPr>
    <w:rPr>
      <w:sz w:val="22"/>
      <w:szCs w:val="22"/>
      <w:lang w:eastAsia="en-US"/>
    </w:rPr>
    <w:tblPr>
      <w:tblCellMar>
        <w:top w:w="0" w:type="dxa"/>
        <w:left w:w="0" w:type="dxa"/>
        <w:bottom w:w="0" w:type="dxa"/>
        <w:right w:w="0" w:type="dxa"/>
      </w:tblCellMar>
    </w:tblPr>
  </w:style>
  <w:style w:type="table" w:customStyle="1" w:styleId="1835">
    <w:name w:val="网格型1743"/>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36">
    <w:name w:val="网格型47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37">
    <w:name w:val="网格型1042"/>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838">
    <w:name w:val="网格型518"/>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39">
    <w:name w:val="网格型77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40">
    <w:name w:val="网格型3103"/>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41">
    <w:name w:val="中等深浅列表 1 - 着色 362"/>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842">
    <w:name w:val="网格型411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43">
    <w:name w:val="网格型213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44">
    <w:name w:val="网格型211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45">
    <w:name w:val="网格型1672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846">
    <w:name w:val="网格型1113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47">
    <w:name w:val="网格型83"/>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48">
    <w:name w:val="网格型1219"/>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49">
    <w:name w:val="网格型1311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50">
    <w:name w:val="网格型14421"/>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51">
    <w:name w:val="网格型515"/>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52">
    <w:name w:val="网格型317"/>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53">
    <w:name w:val="网格型1127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54">
    <w:name w:val="网格型810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55">
    <w:name w:val="网格型3011"/>
    <w:basedOn w:val="89"/>
    <w:semiHidden/>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56">
    <w:name w:val="网格型1351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57">
    <w:name w:val="网格型1751"/>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58">
    <w:name w:val="网格型1130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59">
    <w:name w:val="网格型12116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60">
    <w:name w:val="网格型1733"/>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61">
    <w:name w:val="网格型1122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62">
    <w:name w:val="网格型96"/>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863">
    <w:name w:val="网格型12116"/>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64">
    <w:name w:val="网格型44"/>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65">
    <w:name w:val="网格型523"/>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66">
    <w:name w:val="网格型33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67">
    <w:name w:val="网格型73"/>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68">
    <w:name w:val="网格型130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69">
    <w:name w:val="网格型1130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70">
    <w:name w:val="网格型1237"/>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71">
    <w:name w:val="网格型910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872">
    <w:name w:val="网格型11212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73">
    <w:name w:val="中等深浅列表 1 - 着色 381"/>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874">
    <w:name w:val="网格型310"/>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75">
    <w:name w:val="网格型1132"/>
    <w:basedOn w:val="8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76">
    <w:name w:val="网格型1414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77">
    <w:name w:val="网格型172"/>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78">
    <w:name w:val="网格型1714"/>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79">
    <w:name w:val="网格型87"/>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80">
    <w:name w:val="网格型1115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81">
    <w:name w:val="网格型47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82">
    <w:name w:val="网格型180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83">
    <w:name w:val="网格型1226"/>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84">
    <w:name w:val="网格型65"/>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85">
    <w:name w:val="网格型511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86">
    <w:name w:val="Table Normal10"/>
    <w:qFormat/>
    <w:uiPriority w:val="2"/>
    <w:pPr>
      <w:widowControl w:val="0"/>
    </w:pPr>
    <w:rPr>
      <w:sz w:val="22"/>
      <w:szCs w:val="22"/>
      <w:lang w:eastAsia="en-US"/>
    </w:rPr>
    <w:tblPr>
      <w:tblCellMar>
        <w:top w:w="0" w:type="dxa"/>
        <w:left w:w="0" w:type="dxa"/>
        <w:bottom w:w="0" w:type="dxa"/>
        <w:right w:w="0" w:type="dxa"/>
      </w:tblCellMar>
    </w:tblPr>
  </w:style>
  <w:style w:type="table" w:customStyle="1" w:styleId="1887">
    <w:name w:val="网格型411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88">
    <w:name w:val="网格型34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89">
    <w:name w:val="网格型1117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0">
    <w:name w:val="网格型1223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1">
    <w:name w:val="网格型1416"/>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2">
    <w:name w:val="网格型1643"/>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893">
    <w:name w:val="网格型1218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4">
    <w:name w:val="网格型419"/>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5">
    <w:name w:val="网格型1442"/>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6">
    <w:name w:val="网格型1531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7">
    <w:name w:val="网格型95"/>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898">
    <w:name w:val="网格型615"/>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9">
    <w:name w:val="中等深浅列表 1 - 着色 341"/>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900">
    <w:name w:val="网格型1228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1">
    <w:name w:val="网格型63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2">
    <w:name w:val="网格型59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3">
    <w:name w:val="网格型9411"/>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904">
    <w:name w:val="网格型38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5">
    <w:name w:val="网格型11113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6">
    <w:name w:val="网格型315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7">
    <w:name w:val="网格型131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8">
    <w:name w:val="网格型132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9">
    <w:name w:val="网格型12302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10">
    <w:name w:val="网格型1671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911">
    <w:name w:val="网格型9511"/>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912">
    <w:name w:val="网格型816"/>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13">
    <w:name w:val="网格型45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14">
    <w:name w:val="网格型94"/>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915">
    <w:name w:val="网格型1114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16">
    <w:name w:val="网格型15421"/>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17">
    <w:name w:val="网格型52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18">
    <w:name w:val="网格型38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19">
    <w:name w:val="Table Normal9"/>
    <w:qFormat/>
    <w:uiPriority w:val="2"/>
    <w:pPr>
      <w:widowControl w:val="0"/>
    </w:pPr>
    <w:rPr>
      <w:sz w:val="22"/>
      <w:szCs w:val="22"/>
      <w:lang w:eastAsia="en-US"/>
    </w:rPr>
    <w:tblPr>
      <w:tblCellMar>
        <w:top w:w="0" w:type="dxa"/>
        <w:left w:w="0" w:type="dxa"/>
        <w:bottom w:w="0" w:type="dxa"/>
        <w:right w:w="0" w:type="dxa"/>
      </w:tblCellMar>
    </w:tblPr>
  </w:style>
  <w:style w:type="table" w:customStyle="1" w:styleId="1920">
    <w:name w:val="网格型11120"/>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21">
    <w:name w:val="网格型97"/>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922">
    <w:name w:val="网格型17711"/>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23">
    <w:name w:val="网格型12110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24">
    <w:name w:val="网格型1051"/>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925">
    <w:name w:val="网格型1232"/>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26">
    <w:name w:val="网格型53"/>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27">
    <w:name w:val="网格型1221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28">
    <w:name w:val="网格型184"/>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29">
    <w:name w:val="网格型1441"/>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30">
    <w:name w:val="中等深浅列表 1 - 着色 3721"/>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931">
    <w:name w:val="网格型211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32">
    <w:name w:val="中等深浅列表 1 - 着色 334"/>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933">
    <w:name w:val="网格型1012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934">
    <w:name w:val="网格型811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35">
    <w:name w:val="网格型312"/>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36">
    <w:name w:val="网格型27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37">
    <w:name w:val="中等深浅列表 1 - 着色 3511"/>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938">
    <w:name w:val="网格型56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39">
    <w:name w:val="网格型120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40">
    <w:name w:val="网格型311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41">
    <w:name w:val="网格型423"/>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42">
    <w:name w:val="网格型13102"/>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43">
    <w:name w:val="Table Normal2"/>
    <w:qFormat/>
    <w:uiPriority w:val="2"/>
    <w:pPr>
      <w:widowControl w:val="0"/>
    </w:pPr>
    <w:rPr>
      <w:sz w:val="22"/>
      <w:szCs w:val="22"/>
      <w:lang w:eastAsia="en-US"/>
    </w:rPr>
    <w:tblPr>
      <w:tblCellMar>
        <w:top w:w="0" w:type="dxa"/>
        <w:left w:w="0" w:type="dxa"/>
        <w:bottom w:w="0" w:type="dxa"/>
        <w:right w:w="0" w:type="dxa"/>
      </w:tblCellMar>
    </w:tblPr>
  </w:style>
  <w:style w:type="table" w:customStyle="1" w:styleId="1944">
    <w:name w:val="网格型817"/>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45">
    <w:name w:val="网格型1072"/>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946">
    <w:name w:val="网格型1372"/>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47">
    <w:name w:val="网格型7111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48">
    <w:name w:val="Table Normal721"/>
    <w:semiHidden/>
    <w:qFormat/>
    <w:uiPriority w:val="2"/>
    <w:pPr>
      <w:widowControl w:val="0"/>
    </w:pPr>
    <w:rPr>
      <w:sz w:val="22"/>
      <w:szCs w:val="22"/>
      <w:lang w:eastAsia="en-US"/>
    </w:rPr>
    <w:tblPr>
      <w:tblCellMar>
        <w:top w:w="0" w:type="dxa"/>
        <w:left w:w="0" w:type="dxa"/>
        <w:bottom w:w="0" w:type="dxa"/>
        <w:right w:w="0" w:type="dxa"/>
      </w:tblCellMar>
    </w:tblPr>
  </w:style>
  <w:style w:type="table" w:customStyle="1" w:styleId="1949">
    <w:name w:val="网格型83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50">
    <w:name w:val="网格型56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51">
    <w:name w:val="网格型165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952">
    <w:name w:val="网格型12114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53">
    <w:name w:val="网格型84"/>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54">
    <w:name w:val="网格型171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55">
    <w:name w:val="网格型56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56">
    <w:name w:val="网格型1215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57">
    <w:name w:val="网格型89"/>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58">
    <w:name w:val="网格型1692"/>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959">
    <w:name w:val="网格型65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60">
    <w:name w:val="网格型715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61">
    <w:name w:val="网格型219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62">
    <w:name w:val="网格型46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63">
    <w:name w:val="网格型86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64">
    <w:name w:val="网格型818"/>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65">
    <w:name w:val="Table Normal71"/>
    <w:semiHidden/>
    <w:qFormat/>
    <w:uiPriority w:val="2"/>
    <w:pPr>
      <w:widowControl w:val="0"/>
    </w:pPr>
    <w:rPr>
      <w:sz w:val="22"/>
      <w:szCs w:val="22"/>
      <w:lang w:eastAsia="en-US"/>
    </w:rPr>
    <w:tblPr>
      <w:tblCellMar>
        <w:top w:w="0" w:type="dxa"/>
        <w:left w:w="0" w:type="dxa"/>
        <w:bottom w:w="0" w:type="dxa"/>
        <w:right w:w="0" w:type="dxa"/>
      </w:tblCellMar>
    </w:tblPr>
  </w:style>
  <w:style w:type="table" w:customStyle="1" w:styleId="1966">
    <w:name w:val="网格型1701"/>
    <w:basedOn w:val="89"/>
    <w:semiHidden/>
    <w:qFormat/>
    <w:uiPriority w:val="59"/>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67">
    <w:name w:val="网格型55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68">
    <w:name w:val="网格型57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69">
    <w:name w:val="网格型1810"/>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70">
    <w:name w:val="Table Normal14"/>
    <w:qFormat/>
    <w:uiPriority w:val="2"/>
    <w:pPr>
      <w:widowControl w:val="0"/>
    </w:pPr>
    <w:rPr>
      <w:sz w:val="22"/>
      <w:szCs w:val="22"/>
      <w:lang w:eastAsia="en-US"/>
    </w:rPr>
    <w:tblPr>
      <w:tblCellMar>
        <w:top w:w="0" w:type="dxa"/>
        <w:left w:w="0" w:type="dxa"/>
        <w:bottom w:w="0" w:type="dxa"/>
        <w:right w:w="0" w:type="dxa"/>
      </w:tblCellMar>
    </w:tblPr>
  </w:style>
  <w:style w:type="table" w:customStyle="1" w:styleId="1971">
    <w:name w:val="中等深浅列表 1 - 着色 3622"/>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972">
    <w:name w:val="网格型36"/>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73">
    <w:name w:val="网格型1212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74">
    <w:name w:val="网格型7101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75">
    <w:name w:val="网格型717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76">
    <w:name w:val="网格型1221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77">
    <w:name w:val="网格型1242"/>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78">
    <w:name w:val="网格型87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79">
    <w:name w:val="网格型11210"/>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0">
    <w:name w:val="网格型1218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1">
    <w:name w:val="网格型167"/>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982">
    <w:name w:val="网格型1315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3">
    <w:name w:val="网格型11111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4">
    <w:name w:val="网格型1120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5">
    <w:name w:val="中等深浅列表 1 - 着色 372"/>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1986">
    <w:name w:val="Table Normal311"/>
    <w:qFormat/>
    <w:uiPriority w:val="2"/>
    <w:pPr>
      <w:widowControl w:val="0"/>
    </w:pPr>
    <w:rPr>
      <w:sz w:val="22"/>
      <w:szCs w:val="22"/>
      <w:lang w:eastAsia="en-US"/>
    </w:rPr>
    <w:tblPr>
      <w:tblCellMar>
        <w:top w:w="0" w:type="dxa"/>
        <w:left w:w="0" w:type="dxa"/>
        <w:bottom w:w="0" w:type="dxa"/>
        <w:right w:w="0" w:type="dxa"/>
      </w:tblCellMar>
    </w:tblPr>
  </w:style>
  <w:style w:type="table" w:customStyle="1" w:styleId="1987">
    <w:name w:val="网格型1233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8">
    <w:name w:val="网格型1227"/>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9">
    <w:name w:val="网格型11116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90">
    <w:name w:val="网格型752"/>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91">
    <w:name w:val="网格型1118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92">
    <w:name w:val="网格型1215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93">
    <w:name w:val="网格型1135"/>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94">
    <w:name w:val="网格型217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95">
    <w:name w:val="网格型1110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96">
    <w:name w:val="网格型972"/>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997">
    <w:name w:val="Table Normal1"/>
    <w:qFormat/>
    <w:uiPriority w:val="2"/>
    <w:pPr>
      <w:widowControl w:val="0"/>
    </w:pPr>
    <w:rPr>
      <w:sz w:val="22"/>
      <w:szCs w:val="22"/>
      <w:lang w:eastAsia="en-US"/>
    </w:rPr>
    <w:tblPr>
      <w:tblCellMar>
        <w:top w:w="0" w:type="dxa"/>
        <w:left w:w="0" w:type="dxa"/>
        <w:bottom w:w="0" w:type="dxa"/>
        <w:right w:w="0" w:type="dxa"/>
      </w:tblCellMar>
    </w:tblPr>
  </w:style>
  <w:style w:type="table" w:customStyle="1" w:styleId="1998">
    <w:name w:val="网格型718"/>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99">
    <w:name w:val="网格型1463"/>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00">
    <w:name w:val="网格型49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01">
    <w:name w:val="网格型781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02">
    <w:name w:val="网格型971"/>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003">
    <w:name w:val="网格型912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004">
    <w:name w:val="网格型110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05">
    <w:name w:val="网格型1341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06">
    <w:name w:val="中等深浅列表 1 - 着色 333"/>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007">
    <w:name w:val="网格型8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08">
    <w:name w:val="网格型223"/>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09">
    <w:name w:val="网格型2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10">
    <w:name w:val="网格型11211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11">
    <w:name w:val="网格型177"/>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12">
    <w:name w:val="网格型38"/>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13">
    <w:name w:val="网格型212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14">
    <w:name w:val="Table Normal4"/>
    <w:semiHidden/>
    <w:qFormat/>
    <w:uiPriority w:val="2"/>
    <w:pPr>
      <w:widowControl w:val="0"/>
    </w:pPr>
    <w:rPr>
      <w:sz w:val="22"/>
      <w:szCs w:val="22"/>
      <w:lang w:eastAsia="en-US"/>
    </w:rPr>
    <w:tblPr>
      <w:tblCellMar>
        <w:top w:w="0" w:type="dxa"/>
        <w:left w:w="0" w:type="dxa"/>
        <w:bottom w:w="0" w:type="dxa"/>
        <w:right w:w="0" w:type="dxa"/>
      </w:tblCellMar>
    </w:tblPr>
  </w:style>
  <w:style w:type="table" w:customStyle="1" w:styleId="2015">
    <w:name w:val="网格型1262"/>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16">
    <w:name w:val="网格型1673"/>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017">
    <w:name w:val="网格型1513"/>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18">
    <w:name w:val="网格型87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19">
    <w:name w:val="网格型98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020">
    <w:name w:val="网格型11213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1">
    <w:name w:val="网格型45"/>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2">
    <w:name w:val="网格型58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3">
    <w:name w:val="中等深浅列表 1 - 着色 343"/>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024">
    <w:name w:val="网格型1229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5">
    <w:name w:val="网格型124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6">
    <w:name w:val="网格型114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7">
    <w:name w:val="网格型11321"/>
    <w:basedOn w:val="89"/>
    <w:semiHidden/>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8">
    <w:name w:val="Table Normal6"/>
    <w:semiHidden/>
    <w:qFormat/>
    <w:uiPriority w:val="2"/>
    <w:pPr>
      <w:widowControl w:val="0"/>
    </w:pPr>
    <w:rPr>
      <w:sz w:val="22"/>
      <w:szCs w:val="22"/>
      <w:lang w:eastAsia="en-US"/>
    </w:rPr>
    <w:tblPr>
      <w:tblCellMar>
        <w:top w:w="0" w:type="dxa"/>
        <w:left w:w="0" w:type="dxa"/>
        <w:bottom w:w="0" w:type="dxa"/>
        <w:right w:w="0" w:type="dxa"/>
      </w:tblCellMar>
    </w:tblPr>
  </w:style>
  <w:style w:type="table" w:customStyle="1" w:styleId="2029">
    <w:name w:val="网格型1616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030">
    <w:name w:val="网格型517"/>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31">
    <w:name w:val="网格型1113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32">
    <w:name w:val="网格型942"/>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033">
    <w:name w:val="网格型722"/>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34">
    <w:name w:val="网格型1218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35">
    <w:name w:val="中等深浅列表 1 - 着色 310"/>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036">
    <w:name w:val="网格型303"/>
    <w:basedOn w:val="89"/>
    <w:semiHidden/>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37">
    <w:name w:val="网格型213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38">
    <w:name w:val="网格型313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39">
    <w:name w:val="网格型1129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40">
    <w:name w:val="中等深浅列表 1 - 着色 3612"/>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041">
    <w:name w:val="网格型15411"/>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42">
    <w:name w:val="网格型352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43">
    <w:name w:val="网格型12110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44">
    <w:name w:val="网格型12110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45">
    <w:name w:val="网格型961"/>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046">
    <w:name w:val="网格型1352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47">
    <w:name w:val="网格型36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48">
    <w:name w:val="网格型1227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49">
    <w:name w:val="网格型1561"/>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50">
    <w:name w:val="网格型1662"/>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051">
    <w:name w:val="网格型1211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52">
    <w:name w:val="网格型129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53">
    <w:name w:val="网格型2116"/>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54">
    <w:name w:val="网格型783"/>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55">
    <w:name w:val="网格型2110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56">
    <w:name w:val="网格型1129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57">
    <w:name w:val="网格型18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58">
    <w:name w:val="网格型1112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59">
    <w:name w:val="网格型1723"/>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60">
    <w:name w:val="网格型1372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61">
    <w:name w:val="网格型12213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62">
    <w:name w:val="网格型57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63">
    <w:name w:val="网格型161111"/>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064">
    <w:name w:val="网格型333"/>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65">
    <w:name w:val="网格型1662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066">
    <w:name w:val="网格型217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67">
    <w:name w:val="中等深浅列表 1 - 着色 3521"/>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068">
    <w:name w:val="网格型514"/>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69">
    <w:name w:val="网格型1221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70">
    <w:name w:val="网格型1117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71">
    <w:name w:val="网格型42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72">
    <w:name w:val="网格型1216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73">
    <w:name w:val="网格型1126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74">
    <w:name w:val="网格型64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75">
    <w:name w:val="Table Normal221"/>
    <w:qFormat/>
    <w:uiPriority w:val="2"/>
    <w:pPr>
      <w:widowControl w:val="0"/>
    </w:pPr>
    <w:rPr>
      <w:sz w:val="22"/>
      <w:szCs w:val="22"/>
      <w:lang w:eastAsia="en-US"/>
    </w:rPr>
    <w:tblPr>
      <w:tblCellMar>
        <w:top w:w="0" w:type="dxa"/>
        <w:left w:w="0" w:type="dxa"/>
        <w:bottom w:w="0" w:type="dxa"/>
        <w:right w:w="0" w:type="dxa"/>
      </w:tblCellMar>
    </w:tblPr>
  </w:style>
  <w:style w:type="table" w:customStyle="1" w:styleId="2076">
    <w:name w:val="网格型1553"/>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77">
    <w:name w:val="网格型1127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78">
    <w:name w:val="网格型332"/>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79">
    <w:name w:val="网格型115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80">
    <w:name w:val="网格型510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81">
    <w:name w:val="网格型11111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82">
    <w:name w:val="网格型14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83">
    <w:name w:val="网格型1652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084">
    <w:name w:val="网格型11212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85">
    <w:name w:val="网格型11118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86">
    <w:name w:val="网格型51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87">
    <w:name w:val="Table Normal32"/>
    <w:qFormat/>
    <w:uiPriority w:val="2"/>
    <w:pPr>
      <w:widowControl w:val="0"/>
    </w:pPr>
    <w:rPr>
      <w:sz w:val="22"/>
      <w:szCs w:val="22"/>
      <w:lang w:eastAsia="en-US"/>
    </w:rPr>
    <w:tblPr>
      <w:tblCellMar>
        <w:top w:w="0" w:type="dxa"/>
        <w:left w:w="0" w:type="dxa"/>
        <w:bottom w:w="0" w:type="dxa"/>
        <w:right w:w="0" w:type="dxa"/>
      </w:tblCellMar>
    </w:tblPr>
  </w:style>
  <w:style w:type="table" w:customStyle="1" w:styleId="2088">
    <w:name w:val="网格型66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89">
    <w:name w:val="Table Normal21"/>
    <w:qFormat/>
    <w:uiPriority w:val="2"/>
    <w:pPr>
      <w:widowControl w:val="0"/>
    </w:pPr>
    <w:rPr>
      <w:sz w:val="22"/>
      <w:szCs w:val="22"/>
      <w:lang w:eastAsia="en-US"/>
    </w:rPr>
    <w:tblPr>
      <w:tblCellMar>
        <w:top w:w="0" w:type="dxa"/>
        <w:left w:w="0" w:type="dxa"/>
        <w:bottom w:w="0" w:type="dxa"/>
        <w:right w:w="0" w:type="dxa"/>
      </w:tblCellMar>
    </w:tblPr>
  </w:style>
  <w:style w:type="table" w:customStyle="1" w:styleId="2090">
    <w:name w:val="网格型215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1">
    <w:name w:val="网格型102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092">
    <w:name w:val="网格型11213"/>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3">
    <w:name w:val="网格型133"/>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4">
    <w:name w:val="网格型114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5">
    <w:name w:val="古典型 31"/>
    <w:basedOn w:val="89"/>
    <w:qFormat/>
    <w:uiPriority w:val="0"/>
    <w:pPr>
      <w:widowControl w:val="0"/>
      <w:spacing w:before="60" w:after="60" w:line="360" w:lineRule="auto"/>
      <w:ind w:firstLine="200" w:firstLineChars="200"/>
    </w:pPr>
    <w:rPr>
      <w:rFonts w:ascii="Calibri" w:hAnsi="Calibri"/>
      <w:color w:val="000080"/>
      <w:kern w:val="2"/>
      <w:sz w:val="21"/>
      <w:szCs w:val="22"/>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2096">
    <w:name w:val="网格型16111"/>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097">
    <w:name w:val="网格型1128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8">
    <w:name w:val="网格型80"/>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9">
    <w:name w:val="网格型1633"/>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100">
    <w:name w:val="网格型14611"/>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01">
    <w:name w:val="网格型1361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02">
    <w:name w:val="中等深浅列表 1 - 着色 37"/>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103">
    <w:name w:val="网格型161121"/>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104">
    <w:name w:val="网格型1115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05">
    <w:name w:val="网格型1772"/>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06">
    <w:name w:val="Table Normal43"/>
    <w:semiHidden/>
    <w:qFormat/>
    <w:uiPriority w:val="2"/>
    <w:pPr>
      <w:widowControl w:val="0"/>
    </w:pPr>
    <w:rPr>
      <w:sz w:val="22"/>
      <w:szCs w:val="22"/>
      <w:lang w:eastAsia="en-US"/>
    </w:rPr>
    <w:tblPr>
      <w:tblCellMar>
        <w:top w:w="0" w:type="dxa"/>
        <w:left w:w="0" w:type="dxa"/>
        <w:bottom w:w="0" w:type="dxa"/>
        <w:right w:w="0" w:type="dxa"/>
      </w:tblCellMar>
    </w:tblPr>
  </w:style>
  <w:style w:type="table" w:customStyle="1" w:styleId="2107">
    <w:name w:val="网格型1363"/>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08">
    <w:name w:val="网格型1510"/>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09">
    <w:name w:val="网格型1217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0">
    <w:name w:val="网格型1222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1">
    <w:name w:val="网格型16821"/>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112">
    <w:name w:val="网格型63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3">
    <w:name w:val="Table Normal63"/>
    <w:semiHidden/>
    <w:qFormat/>
    <w:uiPriority w:val="2"/>
    <w:pPr>
      <w:widowControl w:val="0"/>
    </w:pPr>
    <w:rPr>
      <w:sz w:val="22"/>
      <w:szCs w:val="22"/>
      <w:lang w:eastAsia="en-US"/>
    </w:rPr>
    <w:tblPr>
      <w:tblCellMar>
        <w:top w:w="0" w:type="dxa"/>
        <w:left w:w="0" w:type="dxa"/>
        <w:bottom w:w="0" w:type="dxa"/>
        <w:right w:w="0" w:type="dxa"/>
      </w:tblCellMar>
    </w:tblPr>
  </w:style>
  <w:style w:type="table" w:customStyle="1" w:styleId="2114">
    <w:name w:val="网格型89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5">
    <w:name w:val="网格型932"/>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116">
    <w:name w:val="网格型1110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7">
    <w:name w:val="网格型314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8">
    <w:name w:val="网格型178"/>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9">
    <w:name w:val="网格型12210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0">
    <w:name w:val="网格型810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1">
    <w:name w:val="网格型11112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2">
    <w:name w:val="网格型732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3">
    <w:name w:val="网格型117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4">
    <w:name w:val="网格型139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5">
    <w:name w:val="Table Normal411"/>
    <w:semiHidden/>
    <w:qFormat/>
    <w:uiPriority w:val="2"/>
    <w:pPr>
      <w:widowControl w:val="0"/>
    </w:pPr>
    <w:rPr>
      <w:sz w:val="22"/>
      <w:szCs w:val="22"/>
      <w:lang w:eastAsia="en-US"/>
    </w:rPr>
    <w:tblPr>
      <w:tblCellMar>
        <w:top w:w="0" w:type="dxa"/>
        <w:left w:w="0" w:type="dxa"/>
        <w:bottom w:w="0" w:type="dxa"/>
        <w:right w:w="0" w:type="dxa"/>
      </w:tblCellMar>
    </w:tblPr>
  </w:style>
  <w:style w:type="table" w:customStyle="1" w:styleId="2126">
    <w:name w:val="网格型1212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7">
    <w:name w:val="网格型6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8">
    <w:name w:val="网格型1117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9">
    <w:name w:val="中等深浅列表 1 - 着色 312"/>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130">
    <w:name w:val="中等深浅列表 1 - 着色 392"/>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131">
    <w:name w:val="网格型282"/>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32">
    <w:name w:val="网格型3021"/>
    <w:basedOn w:val="89"/>
    <w:semiHidden/>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33">
    <w:name w:val="网格型99"/>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134">
    <w:name w:val="网格型1352"/>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35">
    <w:name w:val="网格型6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36">
    <w:name w:val="网格型122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37">
    <w:name w:val="网格型943"/>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138">
    <w:name w:val="中等深浅列表 1 - 着色 3621"/>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139">
    <w:name w:val="网格型58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40">
    <w:name w:val="网格型1113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41">
    <w:name w:val="网格型371"/>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42">
    <w:name w:val="网格型1010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143">
    <w:name w:val="网格型1511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44">
    <w:name w:val="网格型1462"/>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45">
    <w:name w:val="网格型18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46">
    <w:name w:val="网格型148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47">
    <w:name w:val="网格型812"/>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48">
    <w:name w:val="网格型1120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49">
    <w:name w:val="网格型215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50">
    <w:name w:val="网格型120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51">
    <w:name w:val="网格型117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52">
    <w:name w:val="网格型130"/>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53">
    <w:name w:val="网格型38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54">
    <w:name w:val="网格型120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55">
    <w:name w:val="网格型126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56">
    <w:name w:val="网格型511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57">
    <w:name w:val="网格型146"/>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58">
    <w:name w:val="网格型2110"/>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59">
    <w:name w:val="网格型973"/>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160">
    <w:name w:val="网格型50"/>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61">
    <w:name w:val="网格型1226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62">
    <w:name w:val="网格型114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63">
    <w:name w:val="网格型1110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64">
    <w:name w:val="中等深浅列表 1 - 着色 3222"/>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165">
    <w:name w:val="网页型 11"/>
    <w:basedOn w:val="89"/>
    <w:qFormat/>
    <w:uiPriority w:val="0"/>
    <w:pPr>
      <w:widowControl w:val="0"/>
      <w:spacing w:before="60" w:after="60" w:line="360" w:lineRule="auto"/>
      <w:ind w:firstLine="200" w:firstLineChars="200"/>
    </w:pPr>
    <w:rPr>
      <w:rFonts w:ascii="Calibri" w:hAnsi="Calibri"/>
      <w:kern w:val="2"/>
      <w:sz w:val="21"/>
      <w:szCs w:val="22"/>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2166">
    <w:name w:val="网格型119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67">
    <w:name w:val="网格型147"/>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68">
    <w:name w:val="网格型11112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69">
    <w:name w:val="网格型1021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170">
    <w:name w:val="网格型1211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71">
    <w:name w:val="网格型1136"/>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72">
    <w:name w:val="网格型 51"/>
    <w:basedOn w:val="89"/>
    <w:qFormat/>
    <w:uiPriority w:val="0"/>
    <w:pPr>
      <w:widowControl w:val="0"/>
      <w:spacing w:before="60" w:after="60" w:line="360" w:lineRule="auto"/>
      <w:ind w:firstLine="200" w:firstLineChars="200"/>
    </w:pPr>
    <w:rPr>
      <w:rFonts w:ascii="Calibri" w:hAnsi="Calibri"/>
      <w:kern w:val="2"/>
      <w:sz w:val="21"/>
      <w:szCs w:val="22"/>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73">
    <w:name w:val="网格型12210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74">
    <w:name w:val="网格型1473"/>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75">
    <w:name w:val="网格型188"/>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76">
    <w:name w:val="网格型1220"/>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77">
    <w:name w:val="网格型145"/>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78">
    <w:name w:val="Table Normal111"/>
    <w:qFormat/>
    <w:uiPriority w:val="2"/>
    <w:pPr>
      <w:widowControl w:val="0"/>
    </w:pPr>
    <w:rPr>
      <w:sz w:val="22"/>
      <w:szCs w:val="22"/>
      <w:lang w:eastAsia="en-US"/>
    </w:rPr>
    <w:tblPr>
      <w:tblCellMar>
        <w:top w:w="0" w:type="dxa"/>
        <w:left w:w="0" w:type="dxa"/>
        <w:bottom w:w="0" w:type="dxa"/>
        <w:right w:w="0" w:type="dxa"/>
      </w:tblCellMar>
    </w:tblPr>
  </w:style>
  <w:style w:type="table" w:customStyle="1" w:styleId="2179">
    <w:name w:val="网格型1228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80">
    <w:name w:val="网格型941"/>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181">
    <w:name w:val="Table Normal521"/>
    <w:semiHidden/>
    <w:qFormat/>
    <w:uiPriority w:val="2"/>
    <w:pPr>
      <w:widowControl w:val="0"/>
    </w:pPr>
    <w:rPr>
      <w:sz w:val="22"/>
      <w:szCs w:val="22"/>
      <w:lang w:eastAsia="en-US"/>
    </w:rPr>
    <w:tblPr>
      <w:tblCellMar>
        <w:top w:w="0" w:type="dxa"/>
        <w:left w:w="0" w:type="dxa"/>
        <w:bottom w:w="0" w:type="dxa"/>
        <w:right w:w="0" w:type="dxa"/>
      </w:tblCellMar>
    </w:tblPr>
  </w:style>
  <w:style w:type="table" w:customStyle="1" w:styleId="2182">
    <w:name w:val="网格型1281"/>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83">
    <w:name w:val="网格型1310"/>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84">
    <w:name w:val="网格型17421"/>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85">
    <w:name w:val="网格型12113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86">
    <w:name w:val="网格型12203"/>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87">
    <w:name w:val="网格型1316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88">
    <w:name w:val="网格型53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89">
    <w:name w:val="网格型1119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90">
    <w:name w:val="网格型513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91">
    <w:name w:val="网格型1214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92">
    <w:name w:val="网格型11117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93">
    <w:name w:val="网格型1211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94">
    <w:name w:val="网格型11110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95">
    <w:name w:val="网格型118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96">
    <w:name w:val="网格型14621"/>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97">
    <w:name w:val="网格型752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98">
    <w:name w:val="网格型64"/>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99">
    <w:name w:val="网格型1122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00">
    <w:name w:val="网格型40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01">
    <w:name w:val="网格型1216"/>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02">
    <w:name w:val="网格型1130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03">
    <w:name w:val="Table Normal33"/>
    <w:qFormat/>
    <w:uiPriority w:val="2"/>
    <w:pPr>
      <w:widowControl w:val="0"/>
    </w:pPr>
    <w:rPr>
      <w:sz w:val="22"/>
      <w:szCs w:val="22"/>
      <w:lang w:eastAsia="en-US"/>
    </w:rPr>
    <w:tblPr>
      <w:tblCellMar>
        <w:top w:w="0" w:type="dxa"/>
        <w:left w:w="0" w:type="dxa"/>
        <w:bottom w:w="0" w:type="dxa"/>
        <w:right w:w="0" w:type="dxa"/>
      </w:tblCellMar>
    </w:tblPr>
  </w:style>
  <w:style w:type="table" w:customStyle="1" w:styleId="2204">
    <w:name w:val="网格型129"/>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05">
    <w:name w:val="Table Normal511"/>
    <w:semiHidden/>
    <w:qFormat/>
    <w:uiPriority w:val="2"/>
    <w:pPr>
      <w:widowControl w:val="0"/>
    </w:pPr>
    <w:rPr>
      <w:sz w:val="22"/>
      <w:szCs w:val="22"/>
      <w:lang w:eastAsia="en-US"/>
    </w:rPr>
    <w:tblPr>
      <w:tblCellMar>
        <w:top w:w="0" w:type="dxa"/>
        <w:left w:w="0" w:type="dxa"/>
        <w:bottom w:w="0" w:type="dxa"/>
        <w:right w:w="0" w:type="dxa"/>
      </w:tblCellMar>
    </w:tblPr>
  </w:style>
  <w:style w:type="table" w:customStyle="1" w:styleId="2206">
    <w:name w:val="网格型13101"/>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07">
    <w:name w:val="网格型7101"/>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08">
    <w:name w:val="网格型9421"/>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209">
    <w:name w:val="网格型75"/>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0">
    <w:name w:val="网格型67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1">
    <w:name w:val="网格型12210"/>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2">
    <w:name w:val="网格型12213"/>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3">
    <w:name w:val="网格型40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4">
    <w:name w:val="网格型43"/>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5">
    <w:name w:val="网格型11215"/>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6">
    <w:name w:val="网格型85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7">
    <w:name w:val="网格型1120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8">
    <w:name w:val="网格型1120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9">
    <w:name w:val="网格型57"/>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20">
    <w:name w:val="网格型11110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21">
    <w:name w:val="网格型42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22">
    <w:name w:val="中等深浅列表 1 - 着色 3731"/>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223">
    <w:name w:val="网格型2115"/>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24">
    <w:name w:val="网格型50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25">
    <w:name w:val="中等深浅列表 1 - 着色 3312"/>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226">
    <w:name w:val="网格型52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27">
    <w:name w:val="网格型1126"/>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28">
    <w:name w:val="网格型27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29">
    <w:name w:val="网格型82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0">
    <w:name w:val="网格型14721"/>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1">
    <w:name w:val="网格型210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2">
    <w:name w:val="网格型3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3">
    <w:name w:val="网格型7102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4">
    <w:name w:val="网格型1119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5">
    <w:name w:val="网格型11111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6">
    <w:name w:val="网格型110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7">
    <w:name w:val="网格型2118"/>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8">
    <w:name w:val="网格型23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9">
    <w:name w:val="网格型31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0">
    <w:name w:val="网格型54"/>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1">
    <w:name w:val="网格型86"/>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2">
    <w:name w:val="网格型1382"/>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3">
    <w:name w:val="Table Normal711"/>
    <w:semiHidden/>
    <w:qFormat/>
    <w:uiPriority w:val="2"/>
    <w:pPr>
      <w:widowControl w:val="0"/>
    </w:pPr>
    <w:rPr>
      <w:sz w:val="22"/>
      <w:szCs w:val="22"/>
      <w:lang w:eastAsia="en-US"/>
    </w:rPr>
    <w:tblPr>
      <w:tblCellMar>
        <w:top w:w="0" w:type="dxa"/>
        <w:left w:w="0" w:type="dxa"/>
        <w:bottom w:w="0" w:type="dxa"/>
        <w:right w:w="0" w:type="dxa"/>
      </w:tblCellMar>
    </w:tblPr>
  </w:style>
  <w:style w:type="table" w:customStyle="1" w:styleId="2244">
    <w:name w:val="网格型1710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5">
    <w:name w:val="网格型1214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6">
    <w:name w:val="中等深浅列表 1 - 着色 38"/>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247">
    <w:name w:val="网格型1215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8">
    <w:name w:val="网格型120"/>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9">
    <w:name w:val="网格型1052"/>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250">
    <w:name w:val="网格型12111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51">
    <w:name w:val="网格型32"/>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52">
    <w:name w:val="网格型1711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53">
    <w:name w:val="网格型1314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54">
    <w:name w:val="网格型218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55">
    <w:name w:val="网格型1235"/>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56">
    <w:name w:val="网格型157"/>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57">
    <w:name w:val="网格型130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58">
    <w:name w:val="中等深浅列表 1 - 着色 3421"/>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259">
    <w:name w:val="网格型88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60">
    <w:name w:val="网格型1216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61">
    <w:name w:val="网格型7112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62">
    <w:name w:val="网格型43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63">
    <w:name w:val="网格型46"/>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64">
    <w:name w:val="网格型189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65">
    <w:name w:val="网格型11210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66">
    <w:name w:val="网格型49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67">
    <w:name w:val="网格型12214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68">
    <w:name w:val="网格型227"/>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69">
    <w:name w:val="网格型1222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70">
    <w:name w:val="网格型1331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71">
    <w:name w:val="网格型99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272">
    <w:name w:val="网格型741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73">
    <w:name w:val="网格型11211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74">
    <w:name w:val="网格型104"/>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275">
    <w:name w:val="网格型23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76">
    <w:name w:val="网格型414"/>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77">
    <w:name w:val="网格型49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78">
    <w:name w:val="网格型1411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79">
    <w:name w:val="网格型87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0">
    <w:name w:val="网格型17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1">
    <w:name w:val="网格型67"/>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2">
    <w:name w:val="网格型15711"/>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3">
    <w:name w:val="中等深浅列表 1 - 着色 311"/>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284">
    <w:name w:val="网格型16911"/>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285">
    <w:name w:val="网格型1114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6">
    <w:name w:val="网格型84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7">
    <w:name w:val="网格型1213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8">
    <w:name w:val="网格型1129"/>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9">
    <w:name w:val="网格型1571"/>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0">
    <w:name w:val="网格型1381"/>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1">
    <w:name w:val="网格型81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2">
    <w:name w:val="网格型1242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3">
    <w:name w:val="网格型1012"/>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294">
    <w:name w:val="中等深浅列表 1 - 着色 363"/>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295">
    <w:name w:val="网格型10411"/>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296">
    <w:name w:val="网格型1123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7">
    <w:name w:val="网格型71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8">
    <w:name w:val="网格型411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9">
    <w:name w:val="网格型12202"/>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0">
    <w:name w:val="网格型1261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1">
    <w:name w:val="网格型55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2">
    <w:name w:val="网格型1125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3">
    <w:name w:val="网格型11210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4">
    <w:name w:val="网格型1120"/>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5">
    <w:name w:val="Table Normal81"/>
    <w:qFormat/>
    <w:uiPriority w:val="2"/>
    <w:pPr>
      <w:widowControl w:val="0"/>
    </w:pPr>
    <w:rPr>
      <w:sz w:val="22"/>
      <w:szCs w:val="22"/>
      <w:lang w:eastAsia="en-US"/>
    </w:rPr>
    <w:tblPr>
      <w:tblCellMar>
        <w:top w:w="0" w:type="dxa"/>
        <w:left w:w="0" w:type="dxa"/>
        <w:bottom w:w="0" w:type="dxa"/>
        <w:right w:w="0" w:type="dxa"/>
      </w:tblCellMar>
    </w:tblPr>
  </w:style>
  <w:style w:type="table" w:customStyle="1" w:styleId="2306">
    <w:name w:val="网格型21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7">
    <w:name w:val="网格型12211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8">
    <w:name w:val="网格型57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9">
    <w:name w:val="网格型1623"/>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310">
    <w:name w:val="网格型44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1">
    <w:name w:val="网格型12102"/>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2">
    <w:name w:val="网格型1112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3">
    <w:name w:val="网格型25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4">
    <w:name w:val="网格型1621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315">
    <w:name w:val="网格型7112"/>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6">
    <w:name w:val="网格型1413"/>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7">
    <w:name w:val="网格型1114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8">
    <w:name w:val="网格型34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9">
    <w:name w:val="网格型1722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0">
    <w:name w:val="网格型141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1">
    <w:name w:val="网格型82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2">
    <w:name w:val="网格型762"/>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3">
    <w:name w:val="网格型12101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4">
    <w:name w:val="网格型46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5">
    <w:name w:val="网格型772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6">
    <w:name w:val="网格型772"/>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7">
    <w:name w:val="网格型1115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8">
    <w:name w:val="网格型215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9">
    <w:name w:val="网格型166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330">
    <w:name w:val="网格型20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31">
    <w:name w:val="网格型161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32">
    <w:name w:val="网格型1353"/>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33">
    <w:name w:val="网格型1121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34">
    <w:name w:val="网格型68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35">
    <w:name w:val="网格型67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36">
    <w:name w:val="网格型77"/>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37">
    <w:name w:val="网格型41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38">
    <w:name w:val="网格型137"/>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39">
    <w:name w:val="中等深浅列表 1 - 着色 3311"/>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340">
    <w:name w:val="网格型1116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41">
    <w:name w:val="网格型30"/>
    <w:basedOn w:val="89"/>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42">
    <w:name w:val="网格型115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43">
    <w:name w:val="网格型932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344">
    <w:name w:val="网格型121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45">
    <w:name w:val="网格型115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46">
    <w:name w:val="网格型47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47">
    <w:name w:val="网格型1228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48">
    <w:name w:val="网格型225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49">
    <w:name w:val="网格型38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50">
    <w:name w:val="网格型1061"/>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351">
    <w:name w:val="网格型24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52">
    <w:name w:val="网格型1113"/>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53">
    <w:name w:val="网格型140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54">
    <w:name w:val="网格型53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55">
    <w:name w:val="网格型1212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56">
    <w:name w:val="网格型11115"/>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57">
    <w:name w:val="网格型7111"/>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58">
    <w:name w:val="网格型119"/>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59">
    <w:name w:val="网格型17511"/>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0">
    <w:name w:val="网格型217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1">
    <w:name w:val="网格型933"/>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362">
    <w:name w:val="典雅型1"/>
    <w:basedOn w:val="89"/>
    <w:qFormat/>
    <w:uiPriority w:val="0"/>
    <w:pPr>
      <w:widowControl w:val="0"/>
      <w:spacing w:before="60" w:after="60" w:line="360" w:lineRule="auto"/>
      <w:ind w:firstLine="200" w:firstLineChars="200"/>
    </w:pPr>
    <w:rPr>
      <w:rFonts w:ascii="Calibri" w:hAnsi="Calibri"/>
      <w:kern w:val="2"/>
      <w:sz w:val="21"/>
      <w:szCs w:val="22"/>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2363">
    <w:name w:val="网格型1125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4">
    <w:name w:val="网格型793"/>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5">
    <w:name w:val="网格型12301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6">
    <w:name w:val="网格型1122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7">
    <w:name w:val="网格型125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8">
    <w:name w:val="网格型371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9">
    <w:name w:val="网格型2203"/>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370">
    <w:name w:val="网格型61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1">
    <w:name w:val="网格型510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2">
    <w:name w:val="网格型1143"/>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3">
    <w:name w:val="网格型1223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4">
    <w:name w:val="网格型322"/>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5">
    <w:name w:val="网格型963"/>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376">
    <w:name w:val="网格型53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7">
    <w:name w:val="网格型43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8">
    <w:name w:val="网格型1213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9">
    <w:name w:val="网格型116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0">
    <w:name w:val="网格型123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1">
    <w:name w:val="网格型2117"/>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2">
    <w:name w:val="网格型415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3">
    <w:name w:val="网格型19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4">
    <w:name w:val="网格型85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5">
    <w:name w:val="网格型100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6">
    <w:name w:val="网格型2115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7">
    <w:name w:val="中等深浅列表 1 - 着色 3101"/>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388">
    <w:name w:val="网格型1112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9">
    <w:name w:val="网格型1219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0">
    <w:name w:val="网格型11211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1">
    <w:name w:val="网格型1313"/>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2">
    <w:name w:val="网格型762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3">
    <w:name w:val="网格型43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4">
    <w:name w:val="网格型1226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5">
    <w:name w:val="网格型52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6">
    <w:name w:val="网格型316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7">
    <w:name w:val="网格型1722"/>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8">
    <w:name w:val="网格型13103"/>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9">
    <w:name w:val="网格型155"/>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0">
    <w:name w:val="网格型810"/>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1">
    <w:name w:val="网格型392"/>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2">
    <w:name w:val="网格型45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3">
    <w:name w:val="网格型36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4">
    <w:name w:val="网格型213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5">
    <w:name w:val="网格型1611"/>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406">
    <w:name w:val="网格型1111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7">
    <w:name w:val="网格型45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8">
    <w:name w:val="网格型116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9">
    <w:name w:val="网格型216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10">
    <w:name w:val="网格型1218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11">
    <w:name w:val="网格型9621"/>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412">
    <w:name w:val="网格型216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13">
    <w:name w:val="网格型215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14">
    <w:name w:val="网格型11119"/>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15">
    <w:name w:val="中等深浅列表 1 - 着色 3411"/>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416">
    <w:name w:val="网格型1032"/>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417">
    <w:name w:val="网格型167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418">
    <w:name w:val="网格型218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19">
    <w:name w:val="网格型12216"/>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0">
    <w:name w:val="网格型1225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1">
    <w:name w:val="网格型1229"/>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2">
    <w:name w:val="网格型54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3">
    <w:name w:val="网格型1712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4">
    <w:name w:val="网格型1138"/>
    <w:basedOn w:val="89"/>
    <w:semiHidden/>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5">
    <w:name w:val="网格型12218"/>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6">
    <w:name w:val="网格型2202"/>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427">
    <w:name w:val="网格型512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8">
    <w:name w:val="网格型25"/>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9">
    <w:name w:val="网格型132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30">
    <w:name w:val="网格型1118"/>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31">
    <w:name w:val="网格型1742"/>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32">
    <w:name w:val="网格型732"/>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33">
    <w:name w:val="网格型57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34">
    <w:name w:val="网格型812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35">
    <w:name w:val="中等深浅列表 1 - 着色 391"/>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436">
    <w:name w:val="网格型127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37">
    <w:name w:val="网格型11112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38">
    <w:name w:val="Table Normal611"/>
    <w:semiHidden/>
    <w:qFormat/>
    <w:uiPriority w:val="2"/>
    <w:pPr>
      <w:widowControl w:val="0"/>
    </w:pPr>
    <w:rPr>
      <w:sz w:val="22"/>
      <w:szCs w:val="22"/>
      <w:lang w:eastAsia="en-US"/>
    </w:rPr>
    <w:tblPr>
      <w:tblCellMar>
        <w:top w:w="0" w:type="dxa"/>
        <w:left w:w="0" w:type="dxa"/>
        <w:bottom w:w="0" w:type="dxa"/>
        <w:right w:w="0" w:type="dxa"/>
      </w:tblCellMar>
    </w:tblPr>
  </w:style>
  <w:style w:type="table" w:customStyle="1" w:styleId="2439">
    <w:name w:val="网格型86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40">
    <w:name w:val="中等深浅列表 1 - 着色 3512"/>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441">
    <w:name w:val="网格型1128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42">
    <w:name w:val="网格型1217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43">
    <w:name w:val="网格型791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44">
    <w:name w:val="网格型67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45">
    <w:name w:val="网格型118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46">
    <w:name w:val="网格型1542"/>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47">
    <w:name w:val="网格型102"/>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448">
    <w:name w:val="网格型127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49">
    <w:name w:val="网格型150"/>
    <w:basedOn w:val="8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50">
    <w:name w:val="网格型101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451">
    <w:name w:val="网格型1431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52">
    <w:name w:val="网格型1741"/>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53">
    <w:name w:val="网格型1512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54">
    <w:name w:val="网格型211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55">
    <w:name w:val="网格型262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56">
    <w:name w:val="中等深浅列表 1 - 着色 374"/>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457">
    <w:name w:val="中等深浅列表 1 - 着色 3111"/>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458">
    <w:name w:val="网格型1215"/>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59">
    <w:name w:val="网格型614"/>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60">
    <w:name w:val="网格型1682"/>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461">
    <w:name w:val="网格型1126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62">
    <w:name w:val="网格型224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63">
    <w:name w:val="网格型1234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64">
    <w:name w:val="网格型190"/>
    <w:basedOn w:val="89"/>
    <w:semiHidden/>
    <w:qFormat/>
    <w:uiPriority w:val="0"/>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65">
    <w:name w:val="网格型1225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66">
    <w:name w:val="网格型415"/>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67">
    <w:name w:val="网格型1113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68">
    <w:name w:val="网格型14711"/>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69">
    <w:name w:val="网格型56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70">
    <w:name w:val="专业型1"/>
    <w:basedOn w:val="89"/>
    <w:qFormat/>
    <w:uiPriority w:val="0"/>
    <w:pPr>
      <w:widowControl w:val="0"/>
      <w:spacing w:before="60" w:after="60" w:line="360" w:lineRule="auto"/>
      <w:ind w:firstLine="200" w:firstLineChars="200"/>
    </w:pPr>
    <w:rPr>
      <w:rFonts w:ascii="Calibri" w:hAnsi="Calibri"/>
      <w:kern w:val="2"/>
      <w:sz w:val="21"/>
      <w:szCs w:val="22"/>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471">
    <w:name w:val="网格型510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72">
    <w:name w:val="网格型782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73">
    <w:name w:val="网格型1222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74">
    <w:name w:val="网格型11116"/>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75">
    <w:name w:val="网格型1116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76">
    <w:name w:val="网格型715"/>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77">
    <w:name w:val="网格型83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78">
    <w:name w:val="网格型12301"/>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79">
    <w:name w:val="Table Normal51"/>
    <w:semiHidden/>
    <w:qFormat/>
    <w:uiPriority w:val="2"/>
    <w:pPr>
      <w:widowControl w:val="0"/>
    </w:pPr>
    <w:rPr>
      <w:sz w:val="22"/>
      <w:szCs w:val="22"/>
      <w:lang w:eastAsia="en-US"/>
    </w:rPr>
    <w:tblPr>
      <w:tblCellMar>
        <w:top w:w="0" w:type="dxa"/>
        <w:left w:w="0" w:type="dxa"/>
        <w:bottom w:w="0" w:type="dxa"/>
        <w:right w:w="0" w:type="dxa"/>
      </w:tblCellMar>
    </w:tblPr>
  </w:style>
  <w:style w:type="table" w:customStyle="1" w:styleId="2480">
    <w:name w:val="网格型221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1">
    <w:name w:val="中等深浅列表 1 - 着色 382"/>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482">
    <w:name w:val="网格型1610"/>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483">
    <w:name w:val="网格型61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4">
    <w:name w:val="网格型186"/>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5">
    <w:name w:val="网格型1117"/>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6">
    <w:name w:val="Table Normal52"/>
    <w:semiHidden/>
    <w:qFormat/>
    <w:uiPriority w:val="2"/>
    <w:pPr>
      <w:widowControl w:val="0"/>
    </w:pPr>
    <w:rPr>
      <w:sz w:val="22"/>
      <w:szCs w:val="22"/>
      <w:lang w:eastAsia="en-US"/>
    </w:rPr>
    <w:tblPr>
      <w:tblCellMar>
        <w:top w:w="0" w:type="dxa"/>
        <w:left w:w="0" w:type="dxa"/>
        <w:bottom w:w="0" w:type="dxa"/>
        <w:right w:w="0" w:type="dxa"/>
      </w:tblCellMar>
    </w:tblPr>
  </w:style>
  <w:style w:type="table" w:customStyle="1" w:styleId="2487">
    <w:name w:val="网格型219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8">
    <w:name w:val="网格型19"/>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9">
    <w:name w:val="网格型82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90">
    <w:name w:val="网格型63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91">
    <w:name w:val="网格型158"/>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92">
    <w:name w:val="网格型11211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93">
    <w:name w:val="网格型717"/>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94">
    <w:name w:val="网格型1471"/>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95">
    <w:name w:val="网格型159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96">
    <w:name w:val="网格型1062"/>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497">
    <w:name w:val="网格型10711"/>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498">
    <w:name w:val="网格型1373"/>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99">
    <w:name w:val="网格型10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00">
    <w:name w:val="网格型12111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01">
    <w:name w:val="网格型1119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02">
    <w:name w:val="网格型127"/>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03">
    <w:name w:val="网格型18"/>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04">
    <w:name w:val="网格型89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05">
    <w:name w:val="中等深浅列表 1 - 着色 3631"/>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506">
    <w:name w:val="网格型391"/>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07">
    <w:name w:val="网格型810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08">
    <w:name w:val="中等深浅列表 1 - 着色 3611"/>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509">
    <w:name w:val="网格型952"/>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10">
    <w:name w:val="网格型742"/>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1">
    <w:name w:val="网格型50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2">
    <w:name w:val="网格型173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3">
    <w:name w:val="网格型24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4">
    <w:name w:val="网格型1501"/>
    <w:basedOn w:val="89"/>
    <w:semiHidden/>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5">
    <w:name w:val="网格型22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6">
    <w:name w:val="网格型169"/>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17">
    <w:name w:val="网格型11223"/>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8">
    <w:name w:val="网格型1226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9">
    <w:name w:val="网格型47"/>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20">
    <w:name w:val="网格型418"/>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21">
    <w:name w:val="网格型332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22">
    <w:name w:val="网格型47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23">
    <w:name w:val="网格型44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24">
    <w:name w:val="网格型178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25">
    <w:name w:val="网格型107"/>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26">
    <w:name w:val="网格型15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27">
    <w:name w:val="网格型18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28">
    <w:name w:val="网格型2110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29">
    <w:name w:val="网格型1226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30">
    <w:name w:val="网格型17621"/>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31">
    <w:name w:val="网格型158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32">
    <w:name w:val="网格型1382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33">
    <w:name w:val="网格型20"/>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34">
    <w:name w:val="网格型1031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35">
    <w:name w:val="网格型44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36">
    <w:name w:val="网格型372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37">
    <w:name w:val="网格型815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38">
    <w:name w:val="网格型70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39">
    <w:name w:val="网格型11110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40">
    <w:name w:val="网格型89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41">
    <w:name w:val="网页型 21"/>
    <w:basedOn w:val="89"/>
    <w:qFormat/>
    <w:uiPriority w:val="0"/>
    <w:pPr>
      <w:widowControl w:val="0"/>
      <w:spacing w:before="60" w:after="60" w:line="360" w:lineRule="auto"/>
      <w:ind w:firstLine="200" w:firstLineChars="200"/>
    </w:pPr>
    <w:rPr>
      <w:rFonts w:ascii="Calibri" w:hAnsi="Calibri"/>
      <w:kern w:val="2"/>
      <w:sz w:val="21"/>
      <w:szCs w:val="22"/>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2542">
    <w:name w:val="网格型1563"/>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43">
    <w:name w:val="网格型763"/>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44">
    <w:name w:val="网格型143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45">
    <w:name w:val="网格型411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46">
    <w:name w:val="网格型10721"/>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47">
    <w:name w:val="网格型1219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48">
    <w:name w:val="网格型164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49">
    <w:name w:val="网格型1119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50">
    <w:name w:val="网格型413"/>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51">
    <w:name w:val="网格型60"/>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52">
    <w:name w:val="网格型121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53">
    <w:name w:val="网格型810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54">
    <w:name w:val="网格型1432"/>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55">
    <w:name w:val="网格型89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56">
    <w:name w:val="网格型510"/>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57">
    <w:name w:val="网格型66"/>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58">
    <w:name w:val="网格型352"/>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59">
    <w:name w:val="网格型1110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60">
    <w:name w:val="网格型1342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61">
    <w:name w:val="网格型12111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62">
    <w:name w:val="网格型12211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63">
    <w:name w:val="网格型7102"/>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64">
    <w:name w:val="网格型27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65">
    <w:name w:val="网格型1124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66">
    <w:name w:val="网格型1871"/>
    <w:basedOn w:val="89"/>
    <w:semiHidden/>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67">
    <w:name w:val="网格型49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68">
    <w:name w:val="网格型514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69">
    <w:name w:val="网格型1130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70">
    <w:name w:val="网格型11119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71">
    <w:name w:val="网格型1523"/>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72">
    <w:name w:val="网格型48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73">
    <w:name w:val="网格型74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74">
    <w:name w:val="网格型10521"/>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75">
    <w:name w:val="网格型816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76">
    <w:name w:val="网格型12114"/>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77">
    <w:name w:val="网格型11218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78">
    <w:name w:val="网格型1214"/>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79">
    <w:name w:val="网格型24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80">
    <w:name w:val="网格型139"/>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81">
    <w:name w:val="网格型1432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82">
    <w:name w:val="网格型88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83">
    <w:name w:val="网格型1752"/>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84">
    <w:name w:val="中等深浅列表 1 - 着色 373"/>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585">
    <w:name w:val="网格型12201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86">
    <w:name w:val="网格型16"/>
    <w:basedOn w:val="89"/>
    <w:qFormat/>
    <w:uiPriority w:val="39"/>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87">
    <w:name w:val="网格型373"/>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88">
    <w:name w:val="网格型46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89">
    <w:name w:val="网格型149"/>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90">
    <w:name w:val="网格型1234"/>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91">
    <w:name w:val="网格型1134"/>
    <w:basedOn w:val="8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92">
    <w:name w:val="网格型129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93">
    <w:name w:val="网格型1129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94">
    <w:name w:val="网格型45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95">
    <w:name w:val="网格型12215"/>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96">
    <w:name w:val="网格型12101"/>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97">
    <w:name w:val="网格型1712"/>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98">
    <w:name w:val="网格型12215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99">
    <w:name w:val="网格型1282"/>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00">
    <w:name w:val="网格型50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01">
    <w:name w:val="网格型1653"/>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602">
    <w:name w:val="网格型143"/>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03">
    <w:name w:val="网格型17"/>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04">
    <w:name w:val="网格型1114"/>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05">
    <w:name w:val="网格型216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06">
    <w:name w:val="网格型1422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07">
    <w:name w:val="网格型36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08">
    <w:name w:val="网格型86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09">
    <w:name w:val="网格型25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10">
    <w:name w:val="网格型510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11">
    <w:name w:val="网格型84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12">
    <w:name w:val="网格型64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13">
    <w:name w:val="中等深浅列表 1 - 着色 321"/>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614">
    <w:name w:val="网格型391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15">
    <w:name w:val="网格型922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616">
    <w:name w:val="网格型1111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17">
    <w:name w:val="网格型188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18">
    <w:name w:val="网格型1219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19">
    <w:name w:val="网格型7103"/>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20">
    <w:name w:val="网格型87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21">
    <w:name w:val="网格型613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22">
    <w:name w:val="网格型1316"/>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23">
    <w:name w:val="网格型11210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24">
    <w:name w:val="网格型185"/>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625">
    <w:name w:val="网格型49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26">
    <w:name w:val="网格型12214"/>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27">
    <w:name w:val="网格型1116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28">
    <w:name w:val="网格型1642"/>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629">
    <w:name w:val="网格型1130"/>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30">
    <w:name w:val="网格型11216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31">
    <w:name w:val="中等深浅列表 1 - 着色 314"/>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632">
    <w:name w:val="网格型416"/>
    <w:basedOn w:val="89"/>
    <w:semiHidden/>
    <w:qFormat/>
    <w:uiPriority w:val="0"/>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33">
    <w:name w:val="中等深浅列表 1 - 着色 3122"/>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634">
    <w:name w:val="网格型114"/>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35">
    <w:name w:val="网格型103"/>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636">
    <w:name w:val="网格型53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37">
    <w:name w:val="网格型11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38">
    <w:name w:val="网格型351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39">
    <w:name w:val="网格型12202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40">
    <w:name w:val="网格型1522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41">
    <w:name w:val="网格型17611"/>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42">
    <w:name w:val="网格型12118"/>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43">
    <w:name w:val="网格型69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44">
    <w:name w:val="网格型12217"/>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45">
    <w:name w:val="网格型82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46">
    <w:name w:val="网格型160"/>
    <w:basedOn w:val="8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47">
    <w:name w:val="网格型1128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48">
    <w:name w:val="网格型217"/>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49">
    <w:name w:val="网格型11111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50">
    <w:name w:val="网格型103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651">
    <w:name w:val="网格型12102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52">
    <w:name w:val="网格型170"/>
    <w:basedOn w:val="89"/>
    <w:qFormat/>
    <w:uiPriority w:val="59"/>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53">
    <w:name w:val="网格型44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54">
    <w:name w:val="网格型3102"/>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55">
    <w:name w:val="网格型1732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56">
    <w:name w:val="网格型127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57">
    <w:name w:val="网格型179"/>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58">
    <w:name w:val="网格型1761"/>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59">
    <w:name w:val="网格型27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60">
    <w:name w:val="网格型1763"/>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61">
    <w:name w:val="网格型113"/>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62">
    <w:name w:val="网格型1071"/>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663">
    <w:name w:val="网格型159"/>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64">
    <w:name w:val="网格型1229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65">
    <w:name w:val="网格型122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66">
    <w:name w:val="网格型1622"/>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667">
    <w:name w:val="网格型24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68">
    <w:name w:val="网格型1011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669">
    <w:name w:val="网格型1118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70">
    <w:name w:val="网格型210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71">
    <w:name w:val="网格型810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72">
    <w:name w:val="Table Normal23"/>
    <w:qFormat/>
    <w:uiPriority w:val="2"/>
    <w:pPr>
      <w:widowControl w:val="0"/>
    </w:pPr>
    <w:rPr>
      <w:sz w:val="22"/>
      <w:szCs w:val="22"/>
      <w:lang w:eastAsia="en-US"/>
    </w:rPr>
    <w:tblPr>
      <w:tblCellMar>
        <w:top w:w="0" w:type="dxa"/>
        <w:left w:w="0" w:type="dxa"/>
        <w:bottom w:w="0" w:type="dxa"/>
        <w:right w:w="0" w:type="dxa"/>
      </w:tblCellMar>
    </w:tblPr>
  </w:style>
  <w:style w:type="table" w:customStyle="1" w:styleId="2673">
    <w:name w:val="网格型1641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674">
    <w:name w:val="网格型1773"/>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75">
    <w:name w:val="网格型40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76">
    <w:name w:val="网格型139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77">
    <w:name w:val="网格型11115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78">
    <w:name w:val="网格型11113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79">
    <w:name w:val="网格型1213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80">
    <w:name w:val="网格型79"/>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81">
    <w:name w:val="网格型132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82">
    <w:name w:val="网格型127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83">
    <w:name w:val="网格型131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84">
    <w:name w:val="网格型1022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685">
    <w:name w:val="网格型1216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86">
    <w:name w:val="网格型1512"/>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87">
    <w:name w:val="网格型1124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88">
    <w:name w:val="网格型283"/>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89">
    <w:name w:val="网格型1120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90">
    <w:name w:val="网格型55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91">
    <w:name w:val="网格型92"/>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692">
    <w:name w:val="网格型111110"/>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93">
    <w:name w:val="网格型719"/>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94">
    <w:name w:val="网格型82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95">
    <w:name w:val="网格型98"/>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696">
    <w:name w:val="网格型76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97">
    <w:name w:val="Table Normal41"/>
    <w:semiHidden/>
    <w:qFormat/>
    <w:uiPriority w:val="2"/>
    <w:pPr>
      <w:widowControl w:val="0"/>
    </w:pPr>
    <w:rPr>
      <w:sz w:val="22"/>
      <w:szCs w:val="22"/>
      <w:lang w:eastAsia="en-US"/>
    </w:rPr>
    <w:tblPr>
      <w:tblCellMar>
        <w:top w:w="0" w:type="dxa"/>
        <w:left w:w="0" w:type="dxa"/>
        <w:bottom w:w="0" w:type="dxa"/>
        <w:right w:w="0" w:type="dxa"/>
      </w:tblCellMar>
    </w:tblPr>
  </w:style>
  <w:style w:type="table" w:customStyle="1" w:styleId="2698">
    <w:name w:val="网格型71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99">
    <w:name w:val="网格型218"/>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0">
    <w:name w:val="中等深浅列表 1 - 着色 32"/>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701">
    <w:name w:val="网格型74"/>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2">
    <w:name w:val="网格型1123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3">
    <w:name w:val="网格型132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4">
    <w:name w:val="Table Normal31"/>
    <w:qFormat/>
    <w:uiPriority w:val="2"/>
    <w:pPr>
      <w:widowControl w:val="0"/>
    </w:pPr>
    <w:rPr>
      <w:sz w:val="22"/>
      <w:szCs w:val="22"/>
      <w:lang w:eastAsia="en-US"/>
    </w:rPr>
    <w:tblPr>
      <w:tblCellMar>
        <w:top w:w="0" w:type="dxa"/>
        <w:left w:w="0" w:type="dxa"/>
        <w:bottom w:w="0" w:type="dxa"/>
        <w:right w:w="0" w:type="dxa"/>
      </w:tblCellMar>
    </w:tblPr>
  </w:style>
  <w:style w:type="table" w:customStyle="1" w:styleId="2705">
    <w:name w:val="网格型1229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6">
    <w:name w:val="中等深浅列表 1 - 着色 353"/>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707">
    <w:name w:val="网格型17721"/>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8">
    <w:name w:val="网格型417"/>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9">
    <w:name w:val="网格型9721"/>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710">
    <w:name w:val="网格型217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11">
    <w:name w:val="Table Normal8"/>
    <w:qFormat/>
    <w:uiPriority w:val="2"/>
    <w:pPr>
      <w:widowControl w:val="0"/>
    </w:pPr>
    <w:rPr>
      <w:sz w:val="22"/>
      <w:szCs w:val="22"/>
      <w:lang w:eastAsia="en-US"/>
    </w:rPr>
    <w:tblPr>
      <w:tblCellMar>
        <w:top w:w="0" w:type="dxa"/>
        <w:left w:w="0" w:type="dxa"/>
        <w:bottom w:w="0" w:type="dxa"/>
        <w:right w:w="0" w:type="dxa"/>
      </w:tblCellMar>
    </w:tblPr>
  </w:style>
  <w:style w:type="table" w:customStyle="1" w:styleId="2712">
    <w:name w:val="网格型176"/>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13">
    <w:name w:val="网格型127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14">
    <w:name w:val="网格型83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15">
    <w:name w:val="网格型1213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16">
    <w:name w:val="网格型48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17">
    <w:name w:val="网格型10611"/>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718">
    <w:name w:val="网格型64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19">
    <w:name w:val="网格型1022"/>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720">
    <w:name w:val="网格型34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21">
    <w:name w:val="网格型117"/>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22">
    <w:name w:val="网格型38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23">
    <w:name w:val="网格型26"/>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24">
    <w:name w:val="网格型85"/>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25">
    <w:name w:val="网格型23"/>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26">
    <w:name w:val="网格型224"/>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27">
    <w:name w:val="网格型126"/>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28">
    <w:name w:val="Table Normal321"/>
    <w:qFormat/>
    <w:uiPriority w:val="2"/>
    <w:pPr>
      <w:widowControl w:val="0"/>
    </w:pPr>
    <w:rPr>
      <w:sz w:val="22"/>
      <w:szCs w:val="22"/>
      <w:lang w:eastAsia="en-US"/>
    </w:rPr>
    <w:tblPr>
      <w:tblCellMar>
        <w:top w:w="0" w:type="dxa"/>
        <w:left w:w="0" w:type="dxa"/>
        <w:bottom w:w="0" w:type="dxa"/>
        <w:right w:w="0" w:type="dxa"/>
      </w:tblCellMar>
    </w:tblPr>
  </w:style>
  <w:style w:type="table" w:customStyle="1" w:styleId="2729">
    <w:name w:val="网格型15611"/>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30">
    <w:name w:val="网格型14511"/>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31">
    <w:name w:val="网格型322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32">
    <w:name w:val="网格型119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33">
    <w:name w:val="网格型410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34">
    <w:name w:val="网格型117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35">
    <w:name w:val="网格型1332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36">
    <w:name w:val="网格型65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37">
    <w:name w:val="中等深浅列表 1 - 着色 322"/>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738">
    <w:name w:val="网格型410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39">
    <w:name w:val="网格型119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40">
    <w:name w:val="网格型1236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41">
    <w:name w:val="网格型86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42">
    <w:name w:val="网格型212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43">
    <w:name w:val="中等深浅列表 1 - 着色 3212"/>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744">
    <w:name w:val="网格型1225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45">
    <w:name w:val="网格型1332"/>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46">
    <w:name w:val="网格型1114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47">
    <w:name w:val="网格型1123"/>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48">
    <w:name w:val="网格型1124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49">
    <w:name w:val="中等深浅列表 1 - 着色 3221"/>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750">
    <w:name w:val="中等深浅列表 1 - 着色 35"/>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751">
    <w:name w:val="网格型25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52">
    <w:name w:val="网格型1317"/>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53">
    <w:name w:val="网格型59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54">
    <w:name w:val="网格型16921"/>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755">
    <w:name w:val="网格型12302"/>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56">
    <w:name w:val="网格型12214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57">
    <w:name w:val="网格型110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58">
    <w:name w:val="网格型130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59">
    <w:name w:val="网格型313"/>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60">
    <w:name w:val="网格型1224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61">
    <w:name w:val="Table Normal211"/>
    <w:qFormat/>
    <w:uiPriority w:val="2"/>
    <w:pPr>
      <w:widowControl w:val="0"/>
    </w:pPr>
    <w:rPr>
      <w:sz w:val="22"/>
      <w:szCs w:val="22"/>
      <w:lang w:eastAsia="en-US"/>
    </w:rPr>
    <w:tblPr>
      <w:tblCellMar>
        <w:top w:w="0" w:type="dxa"/>
        <w:left w:w="0" w:type="dxa"/>
        <w:bottom w:w="0" w:type="dxa"/>
        <w:right w:w="0" w:type="dxa"/>
      </w:tblCellMar>
    </w:tblPr>
  </w:style>
  <w:style w:type="table" w:customStyle="1" w:styleId="2762">
    <w:name w:val="网格型210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63">
    <w:name w:val="网格型1131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64">
    <w:name w:val="网格型12115"/>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65">
    <w:name w:val="网格型118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66">
    <w:name w:val="网格型116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67">
    <w:name w:val="网格型1661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768">
    <w:name w:val="网格型219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69">
    <w:name w:val="网格型372"/>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70">
    <w:name w:val="网格型1114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71">
    <w:name w:val="网格型1223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72">
    <w:name w:val="网格型1721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73">
    <w:name w:val="网格型392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74">
    <w:name w:val="网格型48"/>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75">
    <w:name w:val="网格型213"/>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76">
    <w:name w:val="网格型432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77">
    <w:name w:val="网格型716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78">
    <w:name w:val="网格型19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79">
    <w:name w:val="网格型11124"/>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80">
    <w:name w:val="网格型1472"/>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81">
    <w:name w:val="网格型1233"/>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82">
    <w:name w:val="网格型923"/>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783">
    <w:name w:val="网格型23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84">
    <w:name w:val="中等深浅列表 1 - 着色 3722"/>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785">
    <w:name w:val="网格型54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86">
    <w:name w:val="网格型125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87">
    <w:name w:val="网格型88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88">
    <w:name w:val="网格型1133"/>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89">
    <w:name w:val="网格型11110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90">
    <w:name w:val="网格型15521"/>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91">
    <w:name w:val="网格型11113"/>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92">
    <w:name w:val="网格型19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93">
    <w:name w:val="网格型63"/>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94">
    <w:name w:val="网格型9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795">
    <w:name w:val="网格型1651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796">
    <w:name w:val="网格型59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97">
    <w:name w:val="网格型11219"/>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98">
    <w:name w:val="网格型2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99">
    <w:name w:val="中等深浅列表 1 - 强调文字颜色 31"/>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800">
    <w:name w:val="网格型953"/>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801">
    <w:name w:val="网格型1128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02">
    <w:name w:val="网格型723"/>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03">
    <w:name w:val="网格型516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04">
    <w:name w:val="网格型1113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05">
    <w:name w:val="网格型1124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06">
    <w:name w:val="网格型85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07">
    <w:name w:val="网格型312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08">
    <w:name w:val="网格型142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09">
    <w:name w:val="网格型1041"/>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810">
    <w:name w:val="网格型1130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11">
    <w:name w:val="网格型11114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12">
    <w:name w:val="网格型771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13">
    <w:name w:val="网格型1135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14">
    <w:name w:val="网格型353"/>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15">
    <w:name w:val="网格型73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16">
    <w:name w:val="Table Normal91"/>
    <w:qFormat/>
    <w:uiPriority w:val="2"/>
    <w:pPr>
      <w:widowControl w:val="0"/>
    </w:pPr>
    <w:rPr>
      <w:sz w:val="22"/>
      <w:szCs w:val="22"/>
      <w:lang w:eastAsia="en-US"/>
    </w:rPr>
    <w:tblPr>
      <w:tblCellMar>
        <w:top w:w="0" w:type="dxa"/>
        <w:left w:w="0" w:type="dxa"/>
        <w:bottom w:w="0" w:type="dxa"/>
        <w:right w:w="0" w:type="dxa"/>
      </w:tblCellMar>
    </w:tblPr>
  </w:style>
  <w:style w:type="table" w:customStyle="1" w:styleId="2817">
    <w:name w:val="网格型 11"/>
    <w:basedOn w:val="89"/>
    <w:qFormat/>
    <w:uiPriority w:val="0"/>
    <w:pPr>
      <w:widowControl w:val="0"/>
      <w:spacing w:before="60" w:after="60" w:line="360" w:lineRule="auto"/>
      <w:ind w:firstLine="200" w:firstLineChars="200"/>
    </w:pPr>
    <w:rPr>
      <w:rFonts w:ascii="Calibri" w:hAnsi="Calibri"/>
      <w:kern w:val="2"/>
      <w:sz w:val="21"/>
      <w:szCs w:val="22"/>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818">
    <w:name w:val="网格型16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819">
    <w:name w:val="网格型12193"/>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20">
    <w:name w:val="网格型1118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21">
    <w:name w:val="网格型1622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822">
    <w:name w:val="网格型733"/>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23">
    <w:name w:val="网格型1231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24">
    <w:name w:val="网格型180"/>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25">
    <w:name w:val="Table Normal621"/>
    <w:semiHidden/>
    <w:qFormat/>
    <w:uiPriority w:val="2"/>
    <w:pPr>
      <w:widowControl w:val="0"/>
    </w:pPr>
    <w:rPr>
      <w:sz w:val="22"/>
      <w:szCs w:val="22"/>
      <w:lang w:eastAsia="en-US"/>
    </w:rPr>
    <w:tblPr>
      <w:tblCellMar>
        <w:top w:w="0" w:type="dxa"/>
        <w:left w:w="0" w:type="dxa"/>
        <w:bottom w:w="0" w:type="dxa"/>
        <w:right w:w="0" w:type="dxa"/>
      </w:tblCellMar>
    </w:tblPr>
  </w:style>
  <w:style w:type="table" w:customStyle="1" w:styleId="2826">
    <w:name w:val="网格型2202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827">
    <w:name w:val="网格型86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28">
    <w:name w:val="网格型522"/>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29">
    <w:name w:val="网格型1422"/>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30">
    <w:name w:val="网格型64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31">
    <w:name w:val="网格型1224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32">
    <w:name w:val="网格型1033"/>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833">
    <w:name w:val="网格型263"/>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34">
    <w:name w:val="中等深浅列表 1 - 着色 354"/>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835">
    <w:name w:val="网格型109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836">
    <w:name w:val="网格型811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37">
    <w:name w:val="网格型1043"/>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838">
    <w:name w:val="网格型12303"/>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39">
    <w:name w:val="网格型1532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40">
    <w:name w:val="网格型417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41">
    <w:name w:val="网格型53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42">
    <w:name w:val="网格型168"/>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843">
    <w:name w:val="网格型814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44">
    <w:name w:val="网格型110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45">
    <w:name w:val="网格型1383"/>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46">
    <w:name w:val="网格型100"/>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47">
    <w:name w:val="网格型13621"/>
    <w:basedOn w:val="89"/>
    <w:semiHidden/>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48">
    <w:name w:val="网格型16151"/>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849">
    <w:name w:val="网格型1131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50">
    <w:name w:val="中等深浅列表 1 - 着色 3422"/>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851">
    <w:name w:val="网格型54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52">
    <w:name w:val="网格型1243"/>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53">
    <w:name w:val="网格型1127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54">
    <w:name w:val="中等深浅列表 1 - 着色 332"/>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855">
    <w:name w:val="网格型25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56">
    <w:name w:val="网格型1551"/>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57">
    <w:name w:val="网格型1128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58">
    <w:name w:val="网格型60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59">
    <w:name w:val="网格型11214"/>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60">
    <w:name w:val="网格型841"/>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61">
    <w:name w:val="网格型11181"/>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62">
    <w:name w:val="网格型154"/>
    <w:basedOn w:val="89"/>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63">
    <w:name w:val="网格型67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64">
    <w:name w:val="网格型1617"/>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65">
    <w:name w:val="网格型11341"/>
    <w:basedOn w:val="89"/>
    <w:semiHidden/>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66">
    <w:name w:val="网格型11112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67">
    <w:name w:val="网格型49"/>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68">
    <w:name w:val="网格型1115"/>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69">
    <w:name w:val="网格型214"/>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70">
    <w:name w:val="网格型161021"/>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871">
    <w:name w:val="网格型1229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72">
    <w:name w:val="网格型1212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73">
    <w:name w:val="网格型15511"/>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74">
    <w:name w:val="网格型1342"/>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75">
    <w:name w:val="网格型201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76">
    <w:name w:val="网格型471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77">
    <w:name w:val="网格型1618"/>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878">
    <w:name w:val="网格型166"/>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79">
    <w:name w:val="网格型226"/>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80">
    <w:name w:val="中等深浅列表 1 - 着色 3141"/>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881">
    <w:name w:val="网格型1303"/>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82">
    <w:name w:val="网格型1224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83">
    <w:name w:val="网格型731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84">
    <w:name w:val="Table Normal16"/>
    <w:qFormat/>
    <w:uiPriority w:val="2"/>
    <w:pPr>
      <w:widowControl w:val="0"/>
    </w:pPr>
    <w:rPr>
      <w:sz w:val="22"/>
      <w:szCs w:val="22"/>
      <w:lang w:eastAsia="en-US"/>
    </w:rPr>
    <w:tblPr>
      <w:tblCellMar>
        <w:top w:w="0" w:type="dxa"/>
        <w:left w:w="0" w:type="dxa"/>
        <w:bottom w:w="0" w:type="dxa"/>
        <w:right w:w="0" w:type="dxa"/>
      </w:tblCellMar>
    </w:tblPr>
  </w:style>
  <w:style w:type="table" w:customStyle="1" w:styleId="2885">
    <w:name w:val="Table Normal72"/>
    <w:semiHidden/>
    <w:qFormat/>
    <w:uiPriority w:val="2"/>
    <w:pPr>
      <w:widowControl w:val="0"/>
    </w:pPr>
    <w:rPr>
      <w:sz w:val="22"/>
      <w:szCs w:val="22"/>
      <w:lang w:eastAsia="en-US"/>
    </w:rPr>
    <w:tblPr>
      <w:tblCellMar>
        <w:top w:w="0" w:type="dxa"/>
        <w:left w:w="0" w:type="dxa"/>
        <w:bottom w:w="0" w:type="dxa"/>
        <w:right w:w="0" w:type="dxa"/>
      </w:tblCellMar>
    </w:tblPr>
  </w:style>
  <w:style w:type="table" w:customStyle="1" w:styleId="2886">
    <w:name w:val="网格型710"/>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87">
    <w:name w:val="网格型9711"/>
    <w:basedOn w:val="89"/>
    <w:semiHidden/>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888">
    <w:name w:val="网格型1112"/>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89">
    <w:name w:val="网格型4131"/>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90">
    <w:name w:val="简明型 31"/>
    <w:basedOn w:val="89"/>
    <w:qFormat/>
    <w:uiPriority w:val="0"/>
    <w:pPr>
      <w:widowControl w:val="0"/>
      <w:spacing w:before="60" w:after="60" w:line="360" w:lineRule="auto"/>
      <w:ind w:firstLine="200" w:firstLineChars="200"/>
    </w:pPr>
    <w:rPr>
      <w:rFonts w:ascii="Calibri" w:hAnsi="Calibri"/>
      <w:kern w:val="2"/>
      <w:sz w:val="21"/>
      <w:szCs w:val="22"/>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891">
    <w:name w:val="网格型1317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92">
    <w:name w:val="网格型148"/>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93">
    <w:name w:val="网格型302"/>
    <w:basedOn w:val="89"/>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94">
    <w:name w:val="网格型12216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95">
    <w:name w:val="Table Normal62"/>
    <w:semiHidden/>
    <w:qFormat/>
    <w:uiPriority w:val="2"/>
    <w:pPr>
      <w:widowControl w:val="0"/>
    </w:pPr>
    <w:rPr>
      <w:sz w:val="22"/>
      <w:szCs w:val="22"/>
      <w:lang w:eastAsia="en-US"/>
    </w:rPr>
    <w:tblPr>
      <w:tblCellMar>
        <w:top w:w="0" w:type="dxa"/>
        <w:left w:w="0" w:type="dxa"/>
        <w:bottom w:w="0" w:type="dxa"/>
        <w:right w:w="0" w:type="dxa"/>
      </w:tblCellMar>
    </w:tblPr>
  </w:style>
  <w:style w:type="table" w:customStyle="1" w:styleId="2896">
    <w:name w:val="Table Normal42"/>
    <w:semiHidden/>
    <w:qFormat/>
    <w:uiPriority w:val="2"/>
    <w:pPr>
      <w:widowControl w:val="0"/>
    </w:pPr>
    <w:rPr>
      <w:sz w:val="22"/>
      <w:szCs w:val="22"/>
      <w:lang w:eastAsia="en-US"/>
    </w:rPr>
    <w:tblPr>
      <w:tblCellMar>
        <w:top w:w="0" w:type="dxa"/>
        <w:left w:w="0" w:type="dxa"/>
        <w:bottom w:w="0" w:type="dxa"/>
        <w:right w:w="0" w:type="dxa"/>
      </w:tblCellMar>
    </w:tblPr>
  </w:style>
  <w:style w:type="table" w:customStyle="1" w:styleId="2897">
    <w:name w:val="网格型1215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98">
    <w:name w:val="网格型1210"/>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99">
    <w:name w:val="网格型1573"/>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00">
    <w:name w:val="网格型61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01">
    <w:name w:val="网格型39"/>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02">
    <w:name w:val="网格型12272"/>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03">
    <w:name w:val="网格型37"/>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04">
    <w:name w:val="网格型403"/>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05">
    <w:name w:val="网格型1139"/>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06">
    <w:name w:val="网格型1691"/>
    <w:basedOn w:val="89"/>
    <w:qFormat/>
    <w:uiPriority w:val="5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907">
    <w:name w:val="网格型138"/>
    <w:basedOn w:val="89"/>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08">
    <w:name w:val="网格型210"/>
    <w:basedOn w:val="8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09">
    <w:name w:val="网格型1664"/>
    <w:basedOn w:val="89"/>
    <w:semiHidden/>
    <w:qFormat/>
    <w:uiPriority w:val="59"/>
    <w:rPr>
      <w:rFonts w:ascii="等线" w:hAnsi="等线" w:eastAsia="等线"/>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910">
    <w:name w:val="网格型1753"/>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11">
    <w:name w:val="网格型4161"/>
    <w:basedOn w:val="89"/>
    <w:semiHidden/>
    <w:qFormat/>
    <w:uiPriority w:val="0"/>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12">
    <w:name w:val="网格型12117"/>
    <w:basedOn w:val="89"/>
    <w:semiHidden/>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13">
    <w:name w:val="网格型17521"/>
    <w:basedOn w:val="89"/>
    <w:semiHidden/>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14">
    <w:name w:val="网格型12211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15">
    <w:name w:val="网格型213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16">
    <w:name w:val="网格型18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17">
    <w:name w:val="网格型661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18">
    <w:name w:val="网格型11361"/>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19">
    <w:name w:val="网格型1131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20">
    <w:name w:val="网格型743"/>
    <w:basedOn w:val="89"/>
    <w:semiHidden/>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21">
    <w:name w:val="网格型1410"/>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22">
    <w:name w:val="网格型410"/>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23">
    <w:name w:val="网格型6521"/>
    <w:basedOn w:val="89"/>
    <w:semiHidden/>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24">
    <w:name w:val="网格型194"/>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25">
    <w:name w:val="网格型88"/>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26">
    <w:name w:val="网格型621"/>
    <w:basedOn w:val="8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27">
    <w:name w:val="网格型1392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28">
    <w:name w:val="中等深浅列表 1 - 着色 361"/>
    <w:basedOn w:val="89"/>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929">
    <w:name w:val="中等深浅列表 1 - 着色 323"/>
    <w:basedOn w:val="89"/>
    <w:semiHidden/>
    <w:qFormat/>
    <w:uiPriority w:val="65"/>
    <w:rPr>
      <w:rFonts w:ascii="Calibri" w:hAnsi="Calibri"/>
      <w:color w:val="000000"/>
      <w:kern w:val="2"/>
      <w:sz w:val="21"/>
      <w:szCs w:val="22"/>
    </w:rPr>
    <w:tblPr>
      <w:tblBorders>
        <w:top w:val="single" w:color="A5A5A5" w:sz="8" w:space="0"/>
        <w:bottom w:val="single" w:color="A5A5A5" w:sz="8" w:space="0"/>
      </w:tblBorders>
      <w:tblCellMar>
        <w:top w:w="0" w:type="dxa"/>
        <w:left w:w="108" w:type="dxa"/>
        <w:bottom w:w="0" w:type="dxa"/>
        <w:right w:w="108" w:type="dxa"/>
      </w:tblCellMar>
    </w:tblPr>
    <w:tblStylePr w:type="firstRow">
      <w:rPr>
        <w:rFonts w:hint="default" w:ascii="Calibri" w:hAnsi="Calibri" w:cs="Times New Roman"/>
      </w:rPr>
      <w:tcPr>
        <w:tcBorders>
          <w:top w:val="nil"/>
          <w:left w:val="nil"/>
          <w:bottom w:val="single" w:color="A5A5A5" w:sz="8" w:space="0"/>
          <w:right w:val="nil"/>
          <w:insideH w:val="nil"/>
          <w:insideV w:val="nil"/>
          <w:tl2br w:val="nil"/>
          <w:tr2bl w:val="nil"/>
        </w:tcBorders>
      </w:tcPr>
    </w:tblStylePr>
    <w:tblStylePr w:type="lastRow">
      <w:rPr>
        <w:b/>
        <w:bCs/>
        <w:color w:val="44546A"/>
      </w:rPr>
      <w:tcPr>
        <w:tcBorders>
          <w:top w:val="single" w:color="A5A5A5" w:sz="8" w:space="0"/>
          <w:left w:val="nil"/>
          <w:bottom w:val="single" w:color="A5A5A5" w:sz="8" w:space="0"/>
          <w:right w:val="nil"/>
          <w:insideH w:val="nil"/>
          <w:insideV w:val="nil"/>
          <w:tl2br w:val="nil"/>
          <w:tr2bl w:val="nil"/>
        </w:tcBorders>
      </w:tcPr>
    </w:tblStylePr>
    <w:tblStylePr w:type="firstCol">
      <w:rPr>
        <w:b/>
        <w:bCs/>
      </w:rPr>
    </w:tblStylePr>
    <w:tblStylePr w:type="lastCol">
      <w:rPr>
        <w:b/>
        <w:bCs/>
      </w:rPr>
      <w:tcPr>
        <w:tcBorders>
          <w:top w:val="single" w:color="A5A5A5" w:sz="8" w:space="0"/>
          <w:left w:val="nil"/>
          <w:bottom w:val="single" w:color="A5A5A5" w:sz="8" w:space="0"/>
          <w:right w:val="nil"/>
          <w:insideH w:val="nil"/>
          <w:insideV w:val="nil"/>
          <w:tl2br w:val="nil"/>
          <w:tr2bl w:val="nil"/>
        </w:tcBorders>
      </w:tcPr>
    </w:tblStylePr>
    <w:tblStylePr w:type="band1Vert">
      <w:tcPr>
        <w:shd w:val="clear" w:color="auto" w:fill="E8E8E8"/>
      </w:tcPr>
    </w:tblStylePr>
    <w:tblStylePr w:type="band1Horz">
      <w:tcPr>
        <w:shd w:val="clear" w:color="auto" w:fill="E8E8E8"/>
      </w:tcPr>
    </w:tblStylePr>
  </w:style>
  <w:style w:type="table" w:customStyle="1" w:styleId="2930">
    <w:name w:val="网格型2611"/>
    <w:basedOn w:val="89"/>
    <w:semiHidden/>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31">
    <w:name w:val="网格型56"/>
    <w:basedOn w:val="89"/>
    <w:qFormat/>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32">
    <w:name w:val="网格型13911"/>
    <w:basedOn w:val="89"/>
    <w:semiHidden/>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933">
    <w:name w:val="表文居中"/>
    <w:basedOn w:val="257"/>
    <w:qFormat/>
    <w:uiPriority w:val="0"/>
    <w:pPr>
      <w:keepNext/>
      <w:autoSpaceDE w:val="0"/>
      <w:autoSpaceDN w:val="0"/>
      <w:adjustRightInd w:val="0"/>
      <w:spacing w:line="240" w:lineRule="auto"/>
      <w:ind w:right="-64" w:rightChars="-64" w:firstLine="200"/>
    </w:pPr>
    <w:rPr>
      <w:rFonts w:ascii="黑体" w:hAnsi="Calibri"/>
      <w:sz w:val="18"/>
      <w:szCs w:val="22"/>
    </w:rPr>
  </w:style>
  <w:style w:type="paragraph" w:customStyle="1" w:styleId="2934">
    <w:name w:val="样式 样式 标题 1 + 小四 + 段前: 0.5 行 段后: 0.5 行"/>
    <w:basedOn w:val="404"/>
    <w:qFormat/>
    <w:uiPriority w:val="0"/>
    <w:pPr>
      <w:tabs>
        <w:tab w:val="left" w:pos="-426"/>
      </w:tabs>
      <w:ind w:hanging="425"/>
    </w:pPr>
    <w:rPr>
      <w:rFonts w:ascii="Times New Roman"/>
      <w:szCs w:val="28"/>
    </w:rPr>
  </w:style>
  <w:style w:type="paragraph" w:customStyle="1" w:styleId="2935">
    <w:name w:val="样式 样式 标题 4 + 首行缩进:  0.87 厘米 + 首行缩进:  0.85 厘米"/>
    <w:basedOn w:val="670"/>
    <w:qFormat/>
    <w:uiPriority w:val="0"/>
  </w:style>
  <w:style w:type="paragraph" w:customStyle="1" w:styleId="2936">
    <w:name w:val="Z小节标题"/>
    <w:basedOn w:val="316"/>
    <w:next w:val="1"/>
    <w:qFormat/>
    <w:uiPriority w:val="0"/>
    <w:pPr>
      <w:spacing w:before="240"/>
      <w:outlineLvl w:val="2"/>
    </w:pPr>
    <w:rPr>
      <w:sz w:val="28"/>
      <w:szCs w:val="28"/>
    </w:rPr>
  </w:style>
  <w:style w:type="paragraph" w:customStyle="1" w:styleId="2937">
    <w:name w:val="样式 样式4 + (中文) 黑体 四号"/>
    <w:basedOn w:val="459"/>
    <w:qFormat/>
    <w:uiPriority w:val="0"/>
    <w:pPr>
      <w:tabs>
        <w:tab w:val="left" w:pos="2118"/>
        <w:tab w:val="clear" w:pos="280"/>
        <w:tab w:val="clear" w:pos="8505"/>
      </w:tabs>
      <w:adjustRightInd w:val="0"/>
      <w:spacing w:before="280" w:after="290" w:line="240" w:lineRule="auto"/>
      <w:ind w:left="2118" w:hanging="420"/>
      <w:outlineLvl w:val="3"/>
    </w:pPr>
    <w:rPr>
      <w:rFonts w:ascii="Arial" w:hAnsi="Arial"/>
      <w:b w:val="0"/>
      <w:bCs w:val="0"/>
      <w:caps w:val="0"/>
      <w:color w:val="auto"/>
      <w:sz w:val="21"/>
      <w:szCs w:val="28"/>
    </w:rPr>
  </w:style>
  <w:style w:type="paragraph" w:customStyle="1" w:styleId="2938">
    <w:name w:val="Z小小节标题"/>
    <w:basedOn w:val="2936"/>
    <w:qFormat/>
    <w:uiPriority w:val="0"/>
    <w:pPr>
      <w:spacing w:before="200"/>
      <w:outlineLvl w:val="3"/>
    </w:pPr>
    <w:rPr>
      <w:rFonts w:eastAsia="宋体"/>
      <w:b/>
    </w:rPr>
  </w:style>
  <w:style w:type="paragraph" w:customStyle="1" w:styleId="2939">
    <w:name w:val="fy图表"/>
    <w:basedOn w:val="521"/>
    <w:qFormat/>
    <w:uiPriority w:val="0"/>
    <w:pPr>
      <w:spacing w:line="240" w:lineRule="auto"/>
      <w:jc w:val="center"/>
    </w:pPr>
    <w:rPr>
      <w:kern w:val="0"/>
      <w:sz w:val="21"/>
      <w:szCs w:val="20"/>
      <w:lang w:val="zh-CN"/>
    </w:rPr>
  </w:style>
  <w:style w:type="paragraph" w:customStyle="1" w:styleId="2940">
    <w:name w:val="样式 样式 样式 标题 3 + + 首行缩进:  0.99 厘米 +"/>
    <w:basedOn w:val="757"/>
    <w:qFormat/>
    <w:uiPriority w:val="0"/>
    <w:pPr>
      <w:ind w:firstLine="0"/>
    </w:pPr>
  </w:style>
  <w:style w:type="paragraph" w:customStyle="1" w:styleId="2941">
    <w:name w:val="样式 样式 样式 标题 4 + 首行缩进:  0.87 厘米 + 首行缩进:  0.85 厘米 + 首行缩进:  0.85 厘米"/>
    <w:basedOn w:val="2935"/>
    <w:qFormat/>
    <w:uiPriority w:val="0"/>
  </w:style>
  <w:style w:type="character" w:customStyle="1" w:styleId="2942">
    <w:name w:val="0-表格内容 Char"/>
    <w:link w:val="2943"/>
    <w:qFormat/>
    <w:uiPriority w:val="0"/>
    <w:rPr>
      <w:kern w:val="2"/>
      <w:sz w:val="21"/>
      <w:szCs w:val="24"/>
    </w:rPr>
  </w:style>
  <w:style w:type="paragraph" w:customStyle="1" w:styleId="2943">
    <w:name w:val="0-表格内容"/>
    <w:basedOn w:val="1"/>
    <w:link w:val="2942"/>
    <w:qFormat/>
    <w:uiPriority w:val="0"/>
    <w:pPr>
      <w:autoSpaceDE/>
      <w:autoSpaceDN/>
      <w:adjustRightInd w:val="0"/>
      <w:snapToGrid w:val="0"/>
      <w:jc w:val="center"/>
    </w:pPr>
    <w:rPr>
      <w:rFonts w:ascii="Times New Roman" w:hAnsi="Times New Roman" w:cs="Times New Roman"/>
      <w:kern w:val="2"/>
      <w:sz w:val="21"/>
      <w:szCs w:val="24"/>
      <w:lang w:val="en-US" w:bidi="ar-SA"/>
    </w:rPr>
  </w:style>
  <w:style w:type="table" w:customStyle="1" w:styleId="2944">
    <w:name w:val="网格型195"/>
    <w:basedOn w:val="89"/>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45">
    <w:name w:val="网格型196"/>
    <w:basedOn w:val="89"/>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46">
    <w:name w:val="网格型197"/>
    <w:basedOn w:val="89"/>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47">
    <w:name w:val="网格型198"/>
    <w:basedOn w:val="89"/>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48">
    <w:name w:val="网格型199"/>
    <w:basedOn w:val="89"/>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49">
    <w:name w:val="网格型200"/>
    <w:basedOn w:val="89"/>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50">
    <w:name w:val="网格型!3"/>
    <w:basedOn w:val="8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51">
    <w:name w:val="网格型!2"/>
    <w:basedOn w:val="8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52">
    <w:name w:val="网格型204"/>
    <w:basedOn w:val="8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53">
    <w:name w:val="网格型205"/>
    <w:basedOn w:val="8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54">
    <w:name w:val="网格型206"/>
    <w:basedOn w:val="8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955">
    <w:name w:val="0-表格 字符"/>
    <w:link w:val="414"/>
    <w:qFormat/>
    <w:uiPriority w:val="0"/>
    <w:rPr>
      <w:color w:val="000000"/>
      <w:kern w:val="2"/>
      <w:sz w:val="24"/>
      <w:szCs w:val="24"/>
    </w:rPr>
  </w:style>
  <w:style w:type="paragraph" w:customStyle="1" w:styleId="2956">
    <w:name w:val="正文首行缩进 2 + Times New Roman"/>
    <w:basedOn w:val="1"/>
    <w:link w:val="2957"/>
    <w:qFormat/>
    <w:uiPriority w:val="0"/>
    <w:pPr>
      <w:tabs>
        <w:tab w:val="left" w:pos="0"/>
        <w:tab w:val="left" w:pos="870"/>
        <w:tab w:val="left" w:pos="3150"/>
      </w:tabs>
      <w:spacing w:line="360" w:lineRule="auto"/>
      <w:ind w:right="210" w:rightChars="100" w:firstLine="482" w:firstLineChars="200"/>
      <w:jc w:val="center"/>
    </w:pPr>
    <w:rPr>
      <w:rFonts w:ascii="Times New Roman" w:hAnsi="Times New Roman" w:cs="Times New Roman"/>
      <w:b/>
      <w:kern w:val="2"/>
      <w:sz w:val="24"/>
      <w:szCs w:val="24"/>
      <w:lang w:val="en-US" w:bidi="ar-SA"/>
    </w:rPr>
  </w:style>
  <w:style w:type="character" w:customStyle="1" w:styleId="2957">
    <w:name w:val="正文首行缩进 2 + Times New Roman Char"/>
    <w:basedOn w:val="106"/>
    <w:link w:val="2956"/>
    <w:qFormat/>
    <w:uiPriority w:val="0"/>
    <w:rPr>
      <w:b/>
      <w:kern w:val="2"/>
      <w:sz w:val="24"/>
      <w:szCs w:val="24"/>
    </w:rPr>
  </w:style>
  <w:style w:type="paragraph" w:styleId="2958">
    <w:name w:val="Intense Quote"/>
    <w:basedOn w:val="1"/>
    <w:next w:val="1"/>
    <w:link w:val="2959"/>
    <w:qFormat/>
    <w:uiPriority w:val="0"/>
    <w:pPr>
      <w:widowControl/>
      <w:autoSpaceDE/>
      <w:autoSpaceDN/>
      <w:snapToGrid w:val="0"/>
      <w:contextualSpacing/>
      <w:jc w:val="center"/>
    </w:pPr>
    <w:rPr>
      <w:rFonts w:ascii="Times New Roman" w:hAnsi="Times New Roman" w:cs="Times New Roman"/>
      <w:bCs/>
      <w:iCs/>
      <w:sz w:val="21"/>
      <w:lang w:val="en-US" w:eastAsia="en-US" w:bidi="en-US"/>
    </w:rPr>
  </w:style>
  <w:style w:type="character" w:customStyle="1" w:styleId="2959">
    <w:name w:val="明显引用 Char"/>
    <w:basedOn w:val="106"/>
    <w:link w:val="2958"/>
    <w:qFormat/>
    <w:uiPriority w:val="0"/>
    <w:rPr>
      <w:bCs/>
      <w:iCs/>
      <w:sz w:val="21"/>
      <w:szCs w:val="22"/>
      <w:lang w:eastAsia="en-US" w:bidi="en-US"/>
    </w:rPr>
  </w:style>
  <w:style w:type="character" w:customStyle="1" w:styleId="2960">
    <w:name w:val="引用 Char"/>
    <w:link w:val="2961"/>
    <w:qFormat/>
    <w:uiPriority w:val="0"/>
    <w:rPr>
      <w:b/>
      <w:iCs/>
      <w:color w:val="000000"/>
      <w:sz w:val="21"/>
    </w:rPr>
  </w:style>
  <w:style w:type="paragraph" w:styleId="2961">
    <w:name w:val="Quote"/>
    <w:basedOn w:val="1"/>
    <w:next w:val="1"/>
    <w:link w:val="2960"/>
    <w:qFormat/>
    <w:uiPriority w:val="0"/>
    <w:pPr>
      <w:widowControl/>
      <w:autoSpaceDE/>
      <w:autoSpaceDN/>
      <w:snapToGrid w:val="0"/>
      <w:spacing w:beforeLines="50"/>
      <w:contextualSpacing/>
      <w:jc w:val="center"/>
    </w:pPr>
    <w:rPr>
      <w:rFonts w:ascii="Times New Roman" w:hAnsi="Times New Roman" w:cs="Times New Roman"/>
      <w:b/>
      <w:iCs/>
      <w:color w:val="000000"/>
      <w:sz w:val="21"/>
      <w:szCs w:val="20"/>
      <w:lang w:val="en-US" w:bidi="ar-SA"/>
    </w:rPr>
  </w:style>
  <w:style w:type="character" w:customStyle="1" w:styleId="2962">
    <w:name w:val="引用 Char1"/>
    <w:basedOn w:val="106"/>
    <w:qFormat/>
    <w:uiPriority w:val="99"/>
    <w:rPr>
      <w:rFonts w:ascii="宋体" w:hAnsi="宋体" w:cs="宋体"/>
      <w:i/>
      <w:iCs/>
      <w:color w:val="000000" w:themeColor="text1"/>
      <w:sz w:val="22"/>
      <w:szCs w:val="22"/>
      <w:lang w:val="zh-CN" w:bidi="zh-CN"/>
      <w14:textFill>
        <w14:solidFill>
          <w14:schemeClr w14:val="tx1"/>
        </w14:solidFill>
      </w14:textFill>
    </w:rPr>
  </w:style>
  <w:style w:type="paragraph" w:customStyle="1" w:styleId="2963">
    <w:name w:val="图表题目"/>
    <w:basedOn w:val="1"/>
    <w:next w:val="1"/>
    <w:link w:val="2964"/>
    <w:qFormat/>
    <w:uiPriority w:val="0"/>
    <w:pPr>
      <w:keepNext/>
      <w:keepLines/>
      <w:autoSpaceDE/>
      <w:autoSpaceDN/>
      <w:adjustRightInd w:val="0"/>
      <w:snapToGrid w:val="0"/>
      <w:spacing w:before="100" w:beforeLines="100" w:line="360" w:lineRule="auto"/>
      <w:ind w:firstLine="520" w:firstLineChars="200"/>
      <w:jc w:val="center"/>
      <w:outlineLvl w:val="4"/>
    </w:pPr>
    <w:rPr>
      <w:rFonts w:ascii="Times New Roman" w:hAnsi="Times New Roman" w:cs="Times New Roman"/>
      <w:b/>
      <w:sz w:val="24"/>
      <w:szCs w:val="20"/>
      <w:lang w:val="en-US" w:bidi="ar-SA"/>
    </w:rPr>
  </w:style>
  <w:style w:type="character" w:customStyle="1" w:styleId="2964">
    <w:name w:val="图表题目 Char"/>
    <w:link w:val="2963"/>
    <w:qFormat/>
    <w:uiPriority w:val="0"/>
    <w:rPr>
      <w:b/>
      <w:sz w:val="24"/>
    </w:rPr>
  </w:style>
  <w:style w:type="paragraph" w:customStyle="1" w:styleId="2965">
    <w:name w:val="表 图 内容"/>
    <w:basedOn w:val="1"/>
    <w:qFormat/>
    <w:uiPriority w:val="0"/>
    <w:pPr>
      <w:autoSpaceDE/>
      <w:autoSpaceDN/>
      <w:adjustRightInd w:val="0"/>
      <w:snapToGrid w:val="0"/>
      <w:spacing w:line="360" w:lineRule="auto"/>
    </w:pPr>
    <w:rPr>
      <w:rFonts w:ascii="Times New Roman" w:hAnsi="Times New Roman" w:cs="Times New Roman"/>
      <w:color w:val="000000"/>
      <w:sz w:val="21"/>
      <w:szCs w:val="24"/>
      <w:lang w:val="en-US" w:bidi="ar-SA"/>
    </w:rPr>
  </w:style>
  <w:style w:type="paragraph" w:customStyle="1" w:styleId="2966">
    <w:name w:val="环评正文"/>
    <w:basedOn w:val="1"/>
    <w:qFormat/>
    <w:uiPriority w:val="0"/>
    <w:pPr>
      <w:autoSpaceDE/>
      <w:autoSpaceDN/>
      <w:spacing w:line="360" w:lineRule="auto"/>
      <w:ind w:firstLine="480" w:firstLineChars="200"/>
      <w:jc w:val="both"/>
    </w:pPr>
    <w:rPr>
      <w:rFonts w:ascii="Calibri" w:hAnsi="Calibri" w:cs="Times New Roman"/>
      <w:kern w:val="2"/>
      <w:sz w:val="24"/>
      <w:szCs w:val="24"/>
      <w:lang w:val="en-US" w:bidi="ar-SA"/>
    </w:rPr>
  </w:style>
  <w:style w:type="character" w:customStyle="1" w:styleId="2967">
    <w:name w:val="样式5 Char"/>
    <w:link w:val="815"/>
    <w:qFormat/>
    <w:uiPriority w:val="0"/>
    <w:rPr>
      <w:rFonts w:ascii="宋体" w:hAnsi="宋体" w:eastAsia="仿宋_GB2312" w:cs="宋体"/>
      <w:smallCaps/>
      <w:color w:val="000000"/>
      <w:kern w:val="2"/>
      <w:sz w:val="24"/>
    </w:rPr>
  </w:style>
  <w:style w:type="paragraph" w:customStyle="1" w:styleId="2968">
    <w:name w:val="表格内容"/>
    <w:basedOn w:val="1"/>
    <w:link w:val="2969"/>
    <w:qFormat/>
    <w:uiPriority w:val="0"/>
    <w:pPr>
      <w:autoSpaceDE/>
      <w:autoSpaceDN/>
      <w:jc w:val="center"/>
    </w:pPr>
    <w:rPr>
      <w:rFonts w:ascii="Times New Roman" w:hAnsi="Times New Roman" w:cstheme="minorBidi"/>
      <w:kern w:val="2"/>
      <w:sz w:val="21"/>
      <w:lang w:val="en-US" w:bidi="ar-SA"/>
    </w:rPr>
  </w:style>
  <w:style w:type="character" w:customStyle="1" w:styleId="2969">
    <w:name w:val="表格内容 Char"/>
    <w:basedOn w:val="106"/>
    <w:link w:val="2968"/>
    <w:qFormat/>
    <w:uiPriority w:val="0"/>
    <w:rPr>
      <w:rFonts w:cstheme="minorBidi"/>
      <w:kern w:val="2"/>
      <w:sz w:val="21"/>
      <w:szCs w:val="22"/>
    </w:rPr>
  </w:style>
  <w:style w:type="character" w:customStyle="1" w:styleId="2970">
    <w:name w:val="标题 2 Char3"/>
    <w:basedOn w:val="106"/>
    <w:qFormat/>
    <w:uiPriority w:val="0"/>
    <w:rPr>
      <w:rFonts w:ascii="宋体" w:hAnsi="宋体" w:cs="宋体"/>
      <w:b/>
      <w:bCs/>
      <w:sz w:val="30"/>
      <w:szCs w:val="30"/>
      <w:lang w:val="zh-CN" w:bidi="zh-CN"/>
    </w:rPr>
  </w:style>
  <w:style w:type="paragraph" w:customStyle="1" w:styleId="2971">
    <w:name w:val="样式9"/>
    <w:basedOn w:val="1"/>
    <w:qFormat/>
    <w:uiPriority w:val="0"/>
    <w:pPr>
      <w:numPr>
        <w:ilvl w:val="1"/>
        <w:numId w:val="8"/>
      </w:numPr>
      <w:tabs>
        <w:tab w:val="left" w:pos="432"/>
      </w:tabs>
      <w:autoSpaceDE/>
      <w:autoSpaceDN/>
      <w:jc w:val="both"/>
    </w:pPr>
    <w:rPr>
      <w:rFonts w:ascii="Calibri" w:hAnsi="Calibri" w:cs="Times New Roman"/>
      <w:kern w:val="2"/>
      <w:sz w:val="21"/>
      <w:szCs w:val="21"/>
      <w:lang w:val="en-US" w:bidi="ar-SA"/>
    </w:rPr>
  </w:style>
  <w:style w:type="paragraph" w:customStyle="1" w:styleId="2972">
    <w:name w:val="11正文"/>
    <w:basedOn w:val="1"/>
    <w:qFormat/>
    <w:uiPriority w:val="0"/>
    <w:pPr>
      <w:autoSpaceDE/>
      <w:autoSpaceDN/>
      <w:spacing w:line="500" w:lineRule="exact"/>
      <w:ind w:firstLine="200" w:firstLineChars="200"/>
      <w:jc w:val="both"/>
    </w:pPr>
    <w:rPr>
      <w:rFonts w:ascii="Times New Roman" w:hAnsi="Times New Roman" w:cs="Times New Roman"/>
      <w:kern w:val="2"/>
      <w:sz w:val="24"/>
      <w:szCs w:val="24"/>
      <w:lang w:val="en-US" w:bidi="ar-SA"/>
    </w:rPr>
  </w:style>
  <w:style w:type="paragraph" w:customStyle="1" w:styleId="2973">
    <w:name w:val="_Style 1"/>
    <w:qFormat/>
    <w:uiPriority w:val="1"/>
    <w:pPr>
      <w:adjustRightInd w:val="0"/>
      <w:snapToGrid w:val="0"/>
      <w:spacing w:line="360" w:lineRule="auto"/>
      <w:jc w:val="center"/>
    </w:pPr>
    <w:rPr>
      <w:rFonts w:ascii="Tahoma" w:hAnsi="Tahoma" w:eastAsia="宋体" w:cs="Times New Roman"/>
      <w:sz w:val="24"/>
      <w:szCs w:val="22"/>
      <w:lang w:val="en-US" w:eastAsia="zh-CN" w:bidi="ar-SA"/>
    </w:rPr>
  </w:style>
  <w:style w:type="paragraph" w:customStyle="1" w:styleId="2974">
    <w:name w:val="xdhb-0"/>
    <w:qFormat/>
    <w:uiPriority w:val="0"/>
    <w:pPr>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2975">
    <w:name w:val="xdhb-C"/>
    <w:next w:val="2974"/>
    <w:qFormat/>
    <w:uiPriority w:val="0"/>
    <w:pPr>
      <w:spacing w:line="360" w:lineRule="auto"/>
      <w:outlineLvl w:val="2"/>
    </w:pPr>
    <w:rPr>
      <w:rFonts w:ascii="Times New Roman" w:hAnsi="Times New Roman" w:eastAsia="黑体" w:cs="Times New Roman"/>
      <w:kern w:val="2"/>
      <w:sz w:val="24"/>
      <w:szCs w:val="24"/>
      <w:lang w:val="en-US" w:eastAsia="zh-CN" w:bidi="ar-SA"/>
    </w:rPr>
  </w:style>
  <w:style w:type="paragraph" w:customStyle="1" w:styleId="2976">
    <w:name w:val="xdhb-TB-Head"/>
    <w:basedOn w:val="1"/>
    <w:next w:val="2974"/>
    <w:qFormat/>
    <w:uiPriority w:val="0"/>
    <w:pPr>
      <w:spacing w:line="360" w:lineRule="auto"/>
      <w:jc w:val="center"/>
    </w:pPr>
    <w:rPr>
      <w:rFonts w:eastAsia="黑体"/>
      <w:sz w:val="24"/>
    </w:rPr>
  </w:style>
  <w:style w:type="paragraph" w:customStyle="1" w:styleId="2977">
    <w:name w:val="xdhb-TB"/>
    <w:qFormat/>
    <w:uiPriority w:val="0"/>
    <w:pPr>
      <w:jc w:val="center"/>
    </w:pPr>
    <w:rPr>
      <w:rFonts w:ascii="Times New Roman" w:hAnsi="Times New Roman" w:eastAsia="宋体" w:cs="Times New Roman"/>
      <w:kern w:val="2"/>
      <w:sz w:val="21"/>
      <w:szCs w:val="24"/>
      <w:lang w:val="en-US" w:eastAsia="zh-CN" w:bidi="ar-SA"/>
    </w:rPr>
  </w:style>
  <w:style w:type="paragraph" w:customStyle="1" w:styleId="2978">
    <w:name w:val="表中字"/>
    <w:qFormat/>
    <w:uiPriority w:val="0"/>
    <w:pPr>
      <w:jc w:val="center"/>
    </w:pPr>
    <w:rPr>
      <w:rFonts w:ascii="Times New Roman" w:hAnsi="Times New Roman" w:eastAsia="宋体" w:cs="Times New Roman"/>
      <w:kern w:val="2"/>
      <w:sz w:val="21"/>
      <w:szCs w:val="24"/>
      <w:lang w:val="en-US" w:eastAsia="zh-CN" w:bidi="ar-SA"/>
    </w:rPr>
  </w:style>
  <w:style w:type="paragraph" w:customStyle="1" w:styleId="2979">
    <w:name w:val="四级标题"/>
    <w:basedOn w:val="1"/>
    <w:qFormat/>
    <w:uiPriority w:val="0"/>
    <w:pPr>
      <w:outlineLvl w:val="3"/>
    </w:pPr>
    <w:rPr>
      <w:b/>
      <w:szCs w:val="22"/>
    </w:rPr>
  </w:style>
  <w:style w:type="paragraph" w:customStyle="1" w:styleId="2980">
    <w:name w:val="0730-表内文字"/>
    <w:basedOn w:val="1"/>
    <w:next w:val="1"/>
    <w:qFormat/>
    <w:uiPriority w:val="99"/>
    <w:pPr>
      <w:jc w:val="center"/>
    </w:pPr>
    <w:rPr>
      <w:rFonts w:cs="Courier New"/>
    </w:rPr>
  </w:style>
  <w:style w:type="paragraph" w:customStyle="1" w:styleId="2981">
    <w:name w:val="xdhb-B"/>
    <w:next w:val="2974"/>
    <w:qFormat/>
    <w:uiPriority w:val="0"/>
    <w:pPr>
      <w:spacing w:line="360" w:lineRule="auto"/>
      <w:outlineLvl w:val="1"/>
    </w:pPr>
    <w:rPr>
      <w:rFonts w:ascii="Times New Roman" w:hAnsi="Times New Roman" w:eastAsia="黑体" w:cs="Times New Roman"/>
      <w:kern w:val="2"/>
      <w:sz w:val="28"/>
      <w:szCs w:val="24"/>
      <w:lang w:val="en-US" w:eastAsia="zh-CN" w:bidi="ar-SA"/>
    </w:rPr>
  </w:style>
  <w:style w:type="paragraph" w:customStyle="1" w:styleId="2982">
    <w:name w:val="xdhb-D"/>
    <w:next w:val="2974"/>
    <w:qFormat/>
    <w:uiPriority w:val="0"/>
    <w:pPr>
      <w:spacing w:line="360" w:lineRule="auto"/>
      <w:outlineLvl w:val="3"/>
    </w:pPr>
    <w:rPr>
      <w:rFonts w:ascii="Times New Roman" w:hAnsi="Times New Roman" w:eastAsia="黑体" w:cs="Times New Roman"/>
      <w:kern w:val="2"/>
      <w:sz w:val="24"/>
      <w:szCs w:val="24"/>
      <w:lang w:val="en-US" w:eastAsia="zh-CN" w:bidi="ar-SA"/>
    </w:rPr>
  </w:style>
  <w:style w:type="paragraph" w:customStyle="1" w:styleId="2983">
    <w:name w:val="图标题"/>
    <w:basedOn w:val="846"/>
    <w:next w:val="846"/>
    <w:qFormat/>
    <w:uiPriority w:val="0"/>
    <w:pPr>
      <w:tabs>
        <w:tab w:val="left" w:pos="0"/>
      </w:tabs>
      <w:spacing w:line="240" w:lineRule="auto"/>
      <w:ind w:firstLine="0" w:firstLineChars="0"/>
      <w:jc w:val="center"/>
    </w:pPr>
    <w:rPr>
      <w:b/>
      <w:snapToGrid/>
      <w:szCs w:val="20"/>
    </w:rPr>
  </w:style>
  <w:style w:type="paragraph" w:customStyle="1" w:styleId="2984">
    <w:name w:val="正文  专项"/>
    <w:basedOn w:val="1"/>
    <w:qFormat/>
    <w:uiPriority w:val="0"/>
    <w:pPr>
      <w:spacing w:line="360" w:lineRule="auto"/>
      <w:ind w:firstLine="200" w:firstLineChars="200"/>
    </w:pPr>
    <w:rPr>
      <w:sz w:val="24"/>
    </w:rPr>
  </w:style>
  <w:style w:type="paragraph" w:customStyle="1" w:styleId="2985">
    <w:name w:val="Other|1"/>
    <w:basedOn w:val="1"/>
    <w:qFormat/>
    <w:uiPriority w:val="0"/>
    <w:pPr>
      <w:widowControl w:val="0"/>
      <w:shd w:val="clear" w:color="auto" w:fill="auto"/>
      <w:jc w:val="center"/>
    </w:pPr>
    <w:rPr>
      <w:rFonts w:ascii="宋体" w:hAnsi="宋体" w:eastAsia="宋体" w:cs="宋体"/>
      <w:sz w:val="20"/>
      <w:szCs w:val="20"/>
      <w:u w:val="none"/>
      <w:shd w:val="clear" w:color="auto" w:fill="auto"/>
      <w:lang w:val="zh-TW" w:eastAsia="zh-TW" w:bidi="zh-TW"/>
    </w:rPr>
  </w:style>
  <w:style w:type="paragraph" w:customStyle="1" w:styleId="2986">
    <w:name w:val="图表文字"/>
    <w:basedOn w:val="1"/>
    <w:next w:val="1"/>
    <w:qFormat/>
    <w:uiPriority w:val="0"/>
    <w:pPr>
      <w:adjustRightInd w:val="0"/>
      <w:snapToGrid w:val="0"/>
      <w:jc w:val="center"/>
    </w:pPr>
    <w:rPr>
      <w:rFonts w:ascii="Times New Roman" w:hAnsi="Times New Roman"/>
    </w:rPr>
  </w:style>
  <w:style w:type="paragraph" w:customStyle="1" w:styleId="2987">
    <w:name w:val="样式2"/>
    <w:basedOn w:val="5"/>
    <w:qFormat/>
    <w:uiPriority w:val="0"/>
    <w:pPr>
      <w:adjustRightInd w:val="0"/>
      <w:snapToGrid w:val="0"/>
      <w:spacing w:before="312"/>
    </w:pPr>
    <w:rPr>
      <w:rFonts w:ascii="Times New Roman" w:hAnsi="Times New Roman"/>
    </w:rPr>
  </w:style>
  <w:style w:type="paragraph" w:customStyle="1" w:styleId="2988">
    <w:name w:val="05正文"/>
    <w:qFormat/>
    <w:uiPriority w:val="0"/>
    <w:pPr>
      <w:spacing w:line="360" w:lineRule="auto"/>
      <w:ind w:firstLine="200" w:firstLineChars="200"/>
      <w:jc w:val="both"/>
    </w:pPr>
    <w:rPr>
      <w:rFonts w:ascii="Times New Roman" w:hAnsi="Times New Roman" w:eastAsia="宋体" w:cs="Times New Roman"/>
      <w:bCs/>
      <w:kern w:val="2"/>
      <w:sz w:val="24"/>
      <w:szCs w:val="32"/>
      <w:lang w:val="en-US" w:eastAsia="zh-CN" w:bidi="ar-SA"/>
    </w:rPr>
  </w:style>
  <w:style w:type="paragraph" w:customStyle="1" w:styleId="2989">
    <w:name w:val="样式 Times New Roman 行距: 1.5 倍行距"/>
    <w:basedOn w:val="1"/>
    <w:qFormat/>
    <w:uiPriority w:val="0"/>
    <w:pPr>
      <w:spacing w:line="360" w:lineRule="auto"/>
      <w:ind w:firstLine="480" w:firstLineChars="200"/>
    </w:pPr>
    <w:rPr>
      <w:rFonts w:ascii="Times New Roman" w:hAnsi="Times New Roman" w:cs="宋体"/>
      <w:kern w:val="2"/>
      <w:sz w:val="24"/>
      <w:szCs w:val="20"/>
    </w:rPr>
  </w:style>
  <w:style w:type="paragraph" w:customStyle="1" w:styleId="2990">
    <w:name w:val="公式1"/>
    <w:basedOn w:val="1"/>
    <w:qFormat/>
    <w:uiPriority w:val="0"/>
    <w:pPr>
      <w:ind w:left="354"/>
      <w:jc w:val="center"/>
    </w:pPr>
    <w:rPr>
      <w:rFonts w:ascii="Times New Roman" w:hAnsi="Times New Roman"/>
      <w:kern w:val="2"/>
      <w:sz w:val="24"/>
    </w:rPr>
  </w:style>
  <w:style w:type="paragraph" w:customStyle="1" w:styleId="2991">
    <w:name w:val="缩进5"/>
    <w:basedOn w:val="71"/>
    <w:qFormat/>
    <w:uiPriority w:val="0"/>
    <w:pPr>
      <w:overflowPunct/>
      <w:adjustRightInd/>
      <w:snapToGrid/>
      <w:spacing w:line="500" w:lineRule="exact"/>
      <w:ind w:firstLine="500" w:firstLineChars="500"/>
    </w:pPr>
    <w:rPr>
      <w:kern w:val="0"/>
      <w:sz w:val="24"/>
    </w:rPr>
  </w:style>
  <w:style w:type="paragraph" w:customStyle="1" w:styleId="2992">
    <w:name w:val="表格字体"/>
    <w:basedOn w:val="1"/>
    <w:qFormat/>
    <w:uiPriority w:val="0"/>
    <w:pPr>
      <w:adjustRightInd w:val="0"/>
      <w:spacing w:before="62" w:beforeLines="20" w:after="62" w:afterLines="20"/>
      <w:jc w:val="center"/>
      <w:textAlignment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4" Type="http://schemas.microsoft.com/office/2011/relationships/people" Target="people.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microsoft.com/office/2011/relationships/commentsExtended" Target="commentsExtended.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comments" Target="comments.xml"/><Relationship Id="rId29" Type="http://schemas.openxmlformats.org/officeDocument/2006/relationships/image" Target="media/image11.png"/><Relationship Id="rId28" Type="http://schemas.openxmlformats.org/officeDocument/2006/relationships/image" Target="media/image10.jpeg"/><Relationship Id="rId27" Type="http://schemas.openxmlformats.org/officeDocument/2006/relationships/image" Target="media/image9.jpeg"/><Relationship Id="rId26" Type="http://schemas.openxmlformats.org/officeDocument/2006/relationships/image" Target="media/image8.png"/><Relationship Id="rId25" Type="http://schemas.openxmlformats.org/officeDocument/2006/relationships/image" Target="media/image7.wmf"/><Relationship Id="rId24" Type="http://schemas.openxmlformats.org/officeDocument/2006/relationships/oleObject" Target="embeddings/oleObject4.bin"/><Relationship Id="rId23" Type="http://schemas.openxmlformats.org/officeDocument/2006/relationships/image" Target="media/image6.wmf"/><Relationship Id="rId22" Type="http://schemas.openxmlformats.org/officeDocument/2006/relationships/oleObject" Target="embeddings/oleObject3.bin"/><Relationship Id="rId21" Type="http://schemas.openxmlformats.org/officeDocument/2006/relationships/image" Target="media/image5.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oleObject" Target="embeddings/oleObject1.bin"/><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D577E1-6F04-4D24-AD43-7C57046D5FA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186</Pages>
  <Words>116343</Words>
  <Characters>139542</Characters>
  <Lines>722</Lines>
  <Paragraphs>203</Paragraphs>
  <TotalTime>9</TotalTime>
  <ScaleCrop>false</ScaleCrop>
  <LinksUpToDate>false</LinksUpToDate>
  <CharactersWithSpaces>141302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2021-04-16T07:12:00Z</dcterms:created>
  <dc:creator>admin</dc:creator>
  <cp:lastModifiedBy>蒋阔</cp:lastModifiedBy>
  <cp:lastPrinted>2021-09-22T02:45:00Z</cp:lastPrinted>
  <dcterms:modified xsi:type="dcterms:W3CDTF">2024-08-28T01:16:18Z</dcterms:modified>
  <cp:revision>219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2020-06-10T00:00:00Z</vt:filetime>
  </property>
  <property fmtid="{D5CDD505-2E9C-101B-9397-08002B2CF9AE}" pid="3" name="Creator">
    <vt:lpwstr>Microsoft® Office Word 2007</vt:lpwstr>
  </property>
  <property fmtid="{D5CDD505-2E9C-101B-9397-08002B2CF9AE}" pid="4" name="LastSaved">
    <vt:filetime>2020-06-22T00:00:00Z</vt:filetime>
  </property>
  <property fmtid="{D5CDD505-2E9C-101B-9397-08002B2CF9AE}" pid="5" name="KSOProductBuildVer">
    <vt:lpwstr>2052-11.1.0.12598</vt:lpwstr>
  </property>
  <property fmtid="{D5CDD505-2E9C-101B-9397-08002B2CF9AE}" pid="6" name="ICV">
    <vt:lpwstr>54AC74F9273C4A569ABCBD5A1BC440DA</vt:lpwstr>
  </property>
</Properties>
</file>