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hint="eastAsia" w:ascii="宋体" w:hAnsi="宋体" w:eastAsia="宋体"/>
          <w:b/>
          <w:sz w:val="48"/>
        </w:rPr>
      </w:pPr>
      <w:r>
        <w:rPr>
          <w:rFonts w:hint="eastAsia" w:ascii="宋体" w:hAnsi="宋体" w:eastAsia="宋体"/>
          <w:b/>
          <w:sz w:val="48"/>
        </w:rPr>
        <w:t>2023年度部门整体支出绩效自评报告</w:t>
      </w: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hint="eastAsia" w:ascii="宋体" w:hAnsi="宋体" w:eastAsia="宋体"/>
          <w:b/>
          <w:sz w:val="36"/>
        </w:rPr>
      </w:pPr>
      <w:r>
        <w:rPr>
          <w:rFonts w:hint="eastAsia" w:ascii="宋体" w:hAnsi="宋体" w:eastAsia="宋体"/>
          <w:b/>
          <w:sz w:val="36"/>
        </w:rPr>
        <w:t>单位名称(盖章)：祁东县农业农村局</w:t>
      </w:r>
    </w:p>
    <w:p>
      <w:pPr>
        <w:jc w:val="center"/>
        <w:rPr>
          <w:rFonts w:ascii="宋体" w:hAnsi="宋体" w:eastAsia="宋体"/>
          <w:b/>
          <w:sz w:val="36"/>
        </w:rPr>
      </w:pPr>
    </w:p>
    <w:p>
      <w:pPr>
        <w:jc w:val="center"/>
        <w:rPr>
          <w:rFonts w:hint="eastAsia" w:ascii="宋体" w:hAnsi="宋体" w:eastAsia="宋体"/>
          <w:b/>
          <w:sz w:val="36"/>
        </w:rPr>
      </w:pPr>
      <w:r>
        <w:rPr>
          <w:rFonts w:hint="eastAsia" w:ascii="宋体" w:hAnsi="宋体" w:eastAsia="宋体"/>
          <w:b/>
          <w:sz w:val="36"/>
        </w:rPr>
        <w:t>2024年04月23日</w:t>
      </w:r>
    </w:p>
    <w:p>
      <w:pPr>
        <w:jc w:val="center"/>
        <w:rPr>
          <w:rFonts w:ascii="宋体" w:hAnsi="宋体" w:eastAsia="宋体"/>
          <w:b/>
          <w:sz w:val="48"/>
        </w:rPr>
      </w:pPr>
    </w:p>
    <w:p>
      <w:pPr>
        <w:jc w:val="center"/>
        <w:rPr>
          <w:rFonts w:ascii="宋体" w:hAnsi="宋体" w:eastAsia="宋体"/>
          <w:b/>
          <w:sz w:val="48"/>
        </w:rPr>
      </w:pPr>
    </w:p>
    <w:p>
      <w:pPr>
        <w:spacing w:line="480" w:lineRule="auto"/>
        <w:ind w:firstLine="562" w:firstLineChars="200"/>
        <w:jc w:val="center"/>
        <w:rPr>
          <w:rFonts w:ascii="宋体" w:hAnsi="宋体" w:eastAsia="宋体"/>
          <w:b/>
          <w:sz w:val="28"/>
        </w:rPr>
      </w:pPr>
    </w:p>
    <w:p>
      <w:pPr>
        <w:spacing w:line="480" w:lineRule="auto"/>
        <w:ind w:firstLine="560" w:firstLineChars="200"/>
        <w:rPr>
          <w:rFonts w:ascii="宋体" w:hAnsi="宋体" w:eastAsia="宋体"/>
          <w:sz w:val="28"/>
        </w:rPr>
      </w:pPr>
    </w:p>
    <w:p>
      <w:pPr>
        <w:spacing w:line="480" w:lineRule="auto"/>
        <w:ind w:firstLine="562" w:firstLineChars="200"/>
        <w:rPr>
          <w:rFonts w:hint="eastAsia" w:ascii="宋体" w:hAnsi="宋体" w:eastAsia="宋体"/>
          <w:b/>
          <w:sz w:val="28"/>
        </w:rPr>
      </w:pPr>
      <w:r>
        <w:rPr>
          <w:rFonts w:hint="eastAsia" w:ascii="宋体" w:hAnsi="宋体" w:eastAsia="宋体"/>
          <w:b/>
          <w:sz w:val="28"/>
        </w:rPr>
        <w:t>一、部门基本情况</w:t>
      </w:r>
    </w:p>
    <w:p>
      <w:pPr>
        <w:spacing w:line="480" w:lineRule="auto"/>
        <w:ind w:firstLine="560" w:firstLineChars="200"/>
        <w:rPr>
          <w:rFonts w:hint="eastAsia" w:ascii="宋体" w:hAnsi="宋体" w:eastAsia="宋体"/>
          <w:sz w:val="28"/>
        </w:rPr>
      </w:pPr>
      <w:r>
        <w:rPr>
          <w:rFonts w:hint="eastAsia" w:ascii="宋体" w:hAnsi="宋体" w:eastAsia="宋体"/>
          <w:sz w:val="28"/>
        </w:rPr>
        <w:t>（一）部门职责</w:t>
      </w:r>
    </w:p>
    <w:p>
      <w:pPr>
        <w:spacing w:line="480" w:lineRule="auto"/>
        <w:ind w:firstLine="560" w:firstLineChars="200"/>
        <w:rPr>
          <w:rFonts w:hint="eastAsia" w:ascii="宋体" w:hAnsi="宋体" w:eastAsia="宋体"/>
          <w:sz w:val="28"/>
        </w:rPr>
      </w:pPr>
      <w:r>
        <w:rPr>
          <w:rFonts w:hint="eastAsia" w:ascii="宋体" w:hAnsi="宋体" w:eastAsia="宋体"/>
          <w:sz w:val="28"/>
        </w:rPr>
        <w:t>1、统筹研究和组织实施“三农”工作的发展中长期规划、重大政策。组织起草农业农村有关地方性法规和县政府规章草案，指导农业综合执法。参与涉农的价格、收储、金融保险、进出口等政策制定。</w:t>
      </w:r>
    </w:p>
    <w:p>
      <w:pPr>
        <w:spacing w:line="480" w:lineRule="auto"/>
        <w:ind w:firstLine="560" w:firstLineChars="200"/>
        <w:rPr>
          <w:rFonts w:hint="eastAsia" w:ascii="宋体" w:hAnsi="宋体" w:eastAsia="宋体"/>
          <w:sz w:val="28"/>
        </w:rPr>
      </w:pPr>
      <w:r>
        <w:rPr>
          <w:rFonts w:hint="eastAsia" w:ascii="宋体" w:hAnsi="宋体" w:eastAsia="宋体"/>
          <w:sz w:val="28"/>
        </w:rPr>
        <w:t>2、统筹推动发展全县农村社会事业、农村公共服务、农村文化、农村基础设施和乡村治理。牵头组织改善农村人居环境。指导农村精神文明和优秀农耕文化建设。指导农业行业安全生产工作，配合有关部门做好农业劳动模范管理工作</w:t>
      </w:r>
    </w:p>
    <w:p>
      <w:pPr>
        <w:spacing w:line="480" w:lineRule="auto"/>
        <w:ind w:firstLine="560" w:firstLineChars="200"/>
        <w:rPr>
          <w:rFonts w:hint="eastAsia" w:ascii="宋体" w:hAnsi="宋体" w:eastAsia="宋体"/>
          <w:sz w:val="28"/>
        </w:rPr>
      </w:pPr>
      <w:r>
        <w:rPr>
          <w:rFonts w:hint="eastAsia" w:ascii="宋体" w:hAnsi="宋体" w:eastAsia="宋体"/>
          <w:sz w:val="28"/>
        </w:rPr>
        <w:t>3、贯彻落实国家关于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spacing w:line="480" w:lineRule="auto"/>
        <w:ind w:firstLine="560" w:firstLineChars="200"/>
        <w:rPr>
          <w:rFonts w:hint="eastAsia" w:ascii="宋体" w:hAnsi="宋体" w:eastAsia="宋体"/>
          <w:sz w:val="28"/>
        </w:rPr>
      </w:pPr>
      <w:r>
        <w:rPr>
          <w:rFonts w:hint="eastAsia" w:ascii="宋体" w:hAnsi="宋体" w:eastAsia="宋体"/>
          <w:sz w:val="28"/>
        </w:rPr>
        <w:t>4、指导全县乡村特色产业、农产品加工业、休闲农业和乡镇企业发展工作。提出促进大宗农产品流通的建议，培育、保护农业品牌。发布农业农村经济信息，监测分析农业农村经济运行。承担农业统计和农业农村信息化有关工作。</w:t>
      </w:r>
    </w:p>
    <w:p>
      <w:pPr>
        <w:spacing w:line="480" w:lineRule="auto"/>
        <w:ind w:firstLine="560" w:firstLineChars="200"/>
        <w:rPr>
          <w:rFonts w:hint="eastAsia" w:ascii="宋体" w:hAnsi="宋体" w:eastAsia="宋体"/>
          <w:sz w:val="28"/>
        </w:rPr>
      </w:pPr>
      <w:r>
        <w:rPr>
          <w:rFonts w:hint="eastAsia" w:ascii="宋体" w:hAnsi="宋体" w:eastAsia="宋体"/>
          <w:sz w:val="28"/>
        </w:rPr>
        <w:t>5、负责种植业、畜牧业、渔业、农垦、农业机械化等农业各产业的监督管理， 指导粮食等农产品生产。组织构建现代农业产业体系、生产体系、经营体系，指导农业标准化生产，负责全县渔业、渔民和渔船监督管理和渔船检验工作。</w:t>
      </w:r>
    </w:p>
    <w:p>
      <w:pPr>
        <w:spacing w:line="480" w:lineRule="auto"/>
        <w:ind w:firstLine="560" w:firstLineChars="200"/>
        <w:rPr>
          <w:rFonts w:hint="eastAsia" w:ascii="宋体" w:hAnsi="宋体" w:eastAsia="宋体"/>
          <w:sz w:val="28"/>
        </w:rPr>
      </w:pPr>
      <w:r>
        <w:rPr>
          <w:rFonts w:hint="eastAsia" w:ascii="宋体" w:hAnsi="宋体" w:eastAsia="宋体"/>
          <w:sz w:val="28"/>
        </w:rPr>
        <w:t>6、负责农产品质量安全监督管理。组织开展农产品质量安全监测、追溯、风险评估，发布农产品质量安全信息。贯彻执行农产品质量安全国家标准，参与制定农产品质量安全地方标准并会同有关部门组织实施。指导农业检验检测体系建设。负责食用农产品从种植养殖环节 到进入批发、零售市场或生产加工企业前的质量安全监督管理；负责动植物疫病防控、畜禽屠宰环节、生鲜乳收购环境质量安全的监督管理。依法实施符合安全标准的农产品认证和监督管理。</w:t>
      </w:r>
    </w:p>
    <w:p>
      <w:pPr>
        <w:spacing w:line="480" w:lineRule="auto"/>
        <w:ind w:firstLine="560" w:firstLineChars="200"/>
        <w:rPr>
          <w:rFonts w:hint="eastAsia" w:ascii="宋体" w:hAnsi="宋体" w:eastAsia="宋体"/>
          <w:sz w:val="28"/>
        </w:rPr>
      </w:pPr>
      <w:r>
        <w:rPr>
          <w:rFonts w:hint="eastAsia" w:ascii="宋体" w:hAnsi="宋体" w:eastAsia="宋体"/>
          <w:sz w:val="28"/>
        </w:rPr>
        <w:t>7、组织农业资源区划工作。指导农用地、渔业水域以及农业生物物种资源的保护和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spacing w:line="480" w:lineRule="auto"/>
        <w:ind w:firstLine="560" w:firstLineChars="200"/>
        <w:rPr>
          <w:rFonts w:hint="eastAsia" w:ascii="宋体" w:hAnsi="宋体" w:eastAsia="宋体"/>
          <w:sz w:val="28"/>
        </w:rPr>
      </w:pPr>
      <w:r>
        <w:rPr>
          <w:rFonts w:hint="eastAsia" w:ascii="宋体" w:hAnsi="宋体" w:eastAsia="宋体"/>
          <w:sz w:val="28"/>
        </w:rPr>
        <w:t>8、负责有关农业生产资料和农业投入品的监督管理。贯彻执行农业生产资料、兽药质量、兽药残留限量和残留检测方法国家标准  并监督实施。组织兽医医政、兽药药政药检工作，负责执业兽医和畜禽屠宰行业管理。</w:t>
      </w:r>
    </w:p>
    <w:p>
      <w:pPr>
        <w:spacing w:line="480" w:lineRule="auto"/>
        <w:ind w:firstLine="560" w:firstLineChars="200"/>
        <w:rPr>
          <w:rFonts w:hint="eastAsia" w:ascii="宋体" w:hAnsi="宋体" w:eastAsia="宋体"/>
          <w:sz w:val="28"/>
        </w:rPr>
      </w:pPr>
      <w:r>
        <w:rPr>
          <w:rFonts w:hint="eastAsia" w:ascii="宋体" w:hAnsi="宋体" w:eastAsia="宋体"/>
          <w:sz w:val="28"/>
        </w:rPr>
        <w:t>9、负责农业防灾减灾、农作物重大病虫害防治工作。指导动植物防疫检疫体系建设，组织、监督县内动植物的防疫检疫工作，发布疫情并组织扑灭。配合有关部门制定血吸虫病防治工作计划并组织实施。组织救灾物资储备和调拨，提出生产救灾资金安排建议，指导紧急救灾和灾后生产恢复。</w:t>
      </w:r>
    </w:p>
    <w:p>
      <w:pPr>
        <w:spacing w:line="480" w:lineRule="auto"/>
        <w:ind w:firstLine="560" w:firstLineChars="200"/>
        <w:rPr>
          <w:rFonts w:hint="eastAsia" w:ascii="宋体" w:hAnsi="宋体" w:eastAsia="宋体"/>
          <w:sz w:val="28"/>
        </w:rPr>
      </w:pPr>
      <w:r>
        <w:rPr>
          <w:rFonts w:hint="eastAsia" w:ascii="宋体" w:hAnsi="宋体" w:eastAsia="宋体"/>
          <w:sz w:val="28"/>
        </w:rPr>
        <w:t>10、负责农业投资管理。编制农业投资项目建设规划，提出农业投资规模和方向、扶持农业农村发展财政项目的建设，按规定权限审批农业投资项目；负责农业投资项目资金安排和监督管理。</w:t>
      </w:r>
    </w:p>
    <w:p>
      <w:pPr>
        <w:spacing w:line="480" w:lineRule="auto"/>
        <w:ind w:firstLine="560" w:firstLineChars="200"/>
        <w:rPr>
          <w:rFonts w:hint="eastAsia" w:ascii="宋体" w:hAnsi="宋体" w:eastAsia="宋体"/>
          <w:sz w:val="28"/>
        </w:rPr>
      </w:pPr>
      <w:r>
        <w:rPr>
          <w:rFonts w:hint="eastAsia" w:ascii="宋体" w:hAnsi="宋体" w:eastAsia="宋体"/>
          <w:sz w:val="28"/>
        </w:rPr>
        <w:t>11、推动农业科技体系改革和农业科技创新体系建设。指导农业产业技术体系和农技推广体系建设，组织开展农业领域的高新技术和应用技术研究、农业科技成果转化和技术推广。负责农业植物新品种保护及农业转基因生物安全监督管理。</w:t>
      </w:r>
    </w:p>
    <w:p>
      <w:pPr>
        <w:spacing w:line="480" w:lineRule="auto"/>
        <w:ind w:firstLine="560" w:firstLineChars="200"/>
        <w:rPr>
          <w:rFonts w:hint="eastAsia" w:ascii="宋体" w:hAnsi="宋体" w:eastAsia="宋体"/>
          <w:sz w:val="28"/>
        </w:rPr>
      </w:pPr>
      <w:r>
        <w:rPr>
          <w:rFonts w:hint="eastAsia" w:ascii="宋体" w:hAnsi="宋体" w:eastAsia="宋体"/>
          <w:sz w:val="28"/>
        </w:rPr>
        <w:t>12、指导农业农村人才工作。拟订全县农业农村人才队伍建设规划并组织实施，指导农业教育和农业职业技能开发，指导新型职业农民培育、农业科技人才培养和农村实用人才培训工作，承担农村劳动力就地就近就业培训工作，会同有关主管部门依法实施农业农村人才专业技术资格和从业资格管理。</w:t>
      </w:r>
    </w:p>
    <w:p>
      <w:pPr>
        <w:spacing w:line="480" w:lineRule="auto"/>
        <w:ind w:firstLine="560" w:firstLineChars="200"/>
        <w:rPr>
          <w:rFonts w:hint="eastAsia" w:ascii="宋体" w:hAnsi="宋体" w:eastAsia="宋体"/>
          <w:sz w:val="28"/>
        </w:rPr>
      </w:pPr>
      <w:r>
        <w:rPr>
          <w:rFonts w:hint="eastAsia" w:ascii="宋体" w:hAnsi="宋体" w:eastAsia="宋体"/>
          <w:sz w:val="28"/>
        </w:rPr>
        <w:t>13、组织参与农业对外合作工作，承办有关农业涉外事务，组织开展农业贸易促进和有关国际技术交流与合作，协助有关部门执行有关农业援外项目。</w:t>
      </w:r>
    </w:p>
    <w:p>
      <w:pPr>
        <w:spacing w:line="480" w:lineRule="auto"/>
        <w:ind w:firstLine="560" w:firstLineChars="200"/>
        <w:rPr>
          <w:rFonts w:hint="eastAsia" w:ascii="宋体" w:hAnsi="宋体" w:eastAsia="宋体"/>
          <w:sz w:val="28"/>
        </w:rPr>
      </w:pPr>
      <w:r>
        <w:rPr>
          <w:rFonts w:hint="eastAsia" w:ascii="宋体" w:hAnsi="宋体" w:eastAsia="宋体"/>
          <w:sz w:val="28"/>
        </w:rPr>
        <w:t>14、负责全县黄花菜产业中长期发展规划，区域布局，无公害生产监管，地理标志、绿色认证呈报，并指导加工、流通、网络营销。</w:t>
      </w:r>
    </w:p>
    <w:p>
      <w:pPr>
        <w:spacing w:line="480" w:lineRule="auto"/>
        <w:ind w:firstLine="560" w:firstLineChars="200"/>
        <w:rPr>
          <w:rFonts w:hint="eastAsia" w:ascii="宋体" w:hAnsi="宋体" w:eastAsia="宋体"/>
          <w:sz w:val="28"/>
        </w:rPr>
      </w:pPr>
      <w:r>
        <w:rPr>
          <w:rFonts w:hint="eastAsia" w:ascii="宋体" w:hAnsi="宋体" w:eastAsia="宋体"/>
          <w:sz w:val="28"/>
        </w:rPr>
        <w:t>15、完成县委、县政府和县委农村工作领导小组交办的其他任务。</w:t>
      </w:r>
    </w:p>
    <w:p>
      <w:pPr>
        <w:spacing w:line="480" w:lineRule="auto"/>
        <w:ind w:firstLine="560" w:firstLineChars="200"/>
        <w:rPr>
          <w:rFonts w:hint="eastAsia" w:ascii="宋体" w:hAnsi="宋体" w:eastAsia="宋体"/>
          <w:sz w:val="28"/>
        </w:rPr>
      </w:pPr>
      <w:r>
        <w:rPr>
          <w:rFonts w:hint="eastAsia" w:ascii="宋体" w:hAnsi="宋体" w:eastAsia="宋体"/>
          <w:sz w:val="28"/>
        </w:rPr>
        <w:t>16、职能转变。</w:t>
      </w:r>
    </w:p>
    <w:p>
      <w:pPr>
        <w:spacing w:line="480" w:lineRule="auto"/>
        <w:ind w:firstLine="560" w:firstLineChars="200"/>
        <w:rPr>
          <w:rFonts w:hint="eastAsia" w:ascii="宋体" w:hAnsi="宋体" w:eastAsia="宋体"/>
          <w:sz w:val="28"/>
        </w:rPr>
      </w:pPr>
      <w:r>
        <w:rPr>
          <w:rFonts w:hint="eastAsia" w:ascii="宋体" w:hAnsi="宋体" w:eastAsia="宋体"/>
          <w:sz w:val="28"/>
        </w:rPr>
        <w:t>（1）、统筹实施乡村振兴战略，深化农业供给侧结构性改革，提升农业发展质量，扎实推进美丽乡村建设，推动农业全面升级、农村全面进步、农民全面发展，加快实现农业农村现代化。</w:t>
      </w:r>
    </w:p>
    <w:p>
      <w:pPr>
        <w:spacing w:line="480" w:lineRule="auto"/>
        <w:ind w:firstLine="560" w:firstLineChars="200"/>
        <w:rPr>
          <w:rFonts w:hint="eastAsia" w:ascii="宋体" w:hAnsi="宋体" w:eastAsia="宋体"/>
          <w:sz w:val="28"/>
        </w:rPr>
      </w:pPr>
      <w:r>
        <w:rPr>
          <w:rFonts w:hint="eastAsia" w:ascii="宋体" w:hAnsi="宋体" w:eastAsia="宋体"/>
          <w:sz w:val="28"/>
        </w:rPr>
        <w:t>（2）、加强农产品质量安全和相关农业生产资料、农业投入品的监督管理，坚持最严谨的标准、最严格的监管、最严厉的处罚、最严肃的问责，严防、严管、严控质量安全风险，让人民群众吃得放心、安心。</w:t>
      </w:r>
    </w:p>
    <w:p>
      <w:pPr>
        <w:spacing w:line="480" w:lineRule="auto"/>
        <w:ind w:firstLine="560" w:firstLineChars="200"/>
        <w:rPr>
          <w:rFonts w:hint="eastAsia" w:ascii="宋体" w:hAnsi="宋体" w:eastAsia="宋体"/>
          <w:sz w:val="28"/>
        </w:rPr>
      </w:pPr>
      <w:r>
        <w:rPr>
          <w:rFonts w:hint="eastAsia" w:ascii="宋体" w:hAnsi="宋体" w:eastAsia="宋体"/>
          <w:sz w:val="28"/>
        </w:rPr>
        <w:t>（3）、深入推进简政放权，加强对行业内交叉重复以及性质相同、用途相近的农业投资项目的统筹整合，加强事中事后监管，切实提升国家支农政策效果和资金使用效益。</w:t>
      </w:r>
    </w:p>
    <w:p>
      <w:pPr>
        <w:spacing w:line="480" w:lineRule="auto"/>
        <w:ind w:firstLine="560" w:firstLineChars="200"/>
        <w:rPr>
          <w:rFonts w:hint="eastAsia" w:ascii="宋体" w:hAnsi="宋体" w:eastAsia="宋体"/>
          <w:sz w:val="28"/>
        </w:rPr>
      </w:pPr>
      <w:r>
        <w:rPr>
          <w:rFonts w:hint="eastAsia" w:ascii="宋体" w:hAnsi="宋体" w:eastAsia="宋体"/>
          <w:sz w:val="28"/>
        </w:rPr>
        <w:t>17、有关职责分工。</w:t>
      </w:r>
    </w:p>
    <w:p>
      <w:pPr>
        <w:spacing w:line="480" w:lineRule="auto"/>
        <w:ind w:firstLine="560" w:firstLineChars="200"/>
        <w:rPr>
          <w:rFonts w:hint="eastAsia" w:ascii="宋体" w:hAnsi="宋体" w:eastAsia="宋体"/>
          <w:sz w:val="28"/>
        </w:rPr>
      </w:pPr>
      <w:r>
        <w:rPr>
          <w:rFonts w:hint="eastAsia" w:ascii="宋体" w:hAnsi="宋体" w:eastAsia="宋体"/>
          <w:sz w:val="28"/>
        </w:rPr>
        <w:t>（1）、与县市场监督管理局有关职责分工。（1）县农业农村局负责食用农产品从种植养殖环节到进入批发、零售市场或生产加工企业前的质量安全监督管理。食用农产品进入批发、零售市场或生产加工企业后，由县市场监督管理局监督管理。（2）县农业农村局负责动植物疫病防控、畜禽屠宰环节、生鲜乳收购环节质量安全的监督管理。（3）两部门要建立食品安全地准出、市场准入和追溯机制，加强协调配合和工作衔接，形成监管合力。</w:t>
      </w:r>
    </w:p>
    <w:p>
      <w:pPr>
        <w:spacing w:line="480" w:lineRule="auto"/>
        <w:ind w:firstLine="560" w:firstLineChars="200"/>
        <w:rPr>
          <w:rFonts w:hint="eastAsia" w:ascii="宋体" w:hAnsi="宋体" w:eastAsia="宋体"/>
          <w:sz w:val="28"/>
        </w:rPr>
      </w:pPr>
      <w:r>
        <w:rPr>
          <w:rFonts w:hint="eastAsia" w:ascii="宋体" w:hAnsi="宋体" w:eastAsia="宋体"/>
          <w:sz w:val="28"/>
        </w:rPr>
        <w:t>（2）、与县商务和粮食局有关职责分工：县农业农村局负责粮食生产环节的质量安全监管，切实担负起粮食从生产环节到进入批发、零售市场或生产加工企业前的质量安全监管职责。县商务和粮食局负责粮食（含食用油）收购、储存、运输环节和政策性用粮购销活动中的粮食质量安全和原粮卫生的监督管理；</w:t>
      </w:r>
    </w:p>
    <w:p>
      <w:pPr>
        <w:spacing w:line="480" w:lineRule="auto"/>
        <w:ind w:firstLine="560" w:firstLineChars="200"/>
        <w:rPr>
          <w:rFonts w:hint="eastAsia" w:ascii="宋体" w:hAnsi="宋体" w:eastAsia="宋体"/>
          <w:sz w:val="28"/>
        </w:rPr>
      </w:pPr>
      <w:r>
        <w:rPr>
          <w:rFonts w:hint="eastAsia" w:ascii="宋体" w:hAnsi="宋体" w:eastAsia="宋体"/>
          <w:sz w:val="28"/>
        </w:rPr>
        <w:t>（二）机构设置和人员编制情况</w:t>
      </w:r>
    </w:p>
    <w:p>
      <w:pPr>
        <w:spacing w:line="480" w:lineRule="auto"/>
        <w:ind w:firstLine="560" w:firstLineChars="200"/>
        <w:rPr>
          <w:rFonts w:hint="eastAsia" w:ascii="宋体" w:hAnsi="宋体" w:eastAsia="宋体"/>
          <w:sz w:val="28"/>
        </w:rPr>
      </w:pPr>
      <w:r>
        <w:rPr>
          <w:rFonts w:hint="eastAsia" w:ascii="宋体" w:hAnsi="宋体" w:eastAsia="宋体"/>
          <w:sz w:val="28"/>
        </w:rPr>
        <w:t>祁东县农业农村局机关是正科级全额拨款公务员单位，14个内设机构：办公室、人事股、计划财务股科技教育股（县农业转基因生物安全管理办公室）、行政审批服务股（政策法规股）、农村政策与合作经济改革股（农村改革与发展股）、乡村产业发展股、种植业管理股（农药管理股）、农产品质量安全监管股、市场信息与对外交流股、农村社会事业促进股、农业机械化管理股、农田建设与农垦股、畜牧水产管理股。</w:t>
      </w:r>
    </w:p>
    <w:p>
      <w:pPr>
        <w:spacing w:line="480" w:lineRule="auto"/>
        <w:ind w:firstLine="560" w:firstLineChars="200"/>
        <w:rPr>
          <w:rFonts w:ascii="宋体" w:hAnsi="宋体" w:eastAsia="宋体"/>
          <w:sz w:val="28"/>
        </w:rPr>
      </w:pPr>
      <w:r>
        <w:rPr>
          <w:rFonts w:hint="eastAsia" w:ascii="宋体" w:hAnsi="宋体" w:eastAsia="宋体"/>
          <w:sz w:val="28"/>
        </w:rPr>
        <w:t>祁东县农业农村局机关行政编制23名。设局长1名，副局长3名，总农艺师1名；正股级职数14名。机关后勤服务财政全额拨款事业编制3名，人员只出不进。</w:t>
      </w:r>
    </w:p>
    <w:p>
      <w:pPr>
        <w:spacing w:line="480" w:lineRule="auto"/>
        <w:ind w:firstLine="560" w:firstLineChars="200"/>
        <w:rPr>
          <w:rFonts w:hint="eastAsia" w:ascii="宋体" w:hAnsi="宋体" w:eastAsia="宋体"/>
          <w:sz w:val="28"/>
        </w:rPr>
      </w:pPr>
      <w:r>
        <w:rPr>
          <w:rFonts w:hint="eastAsia" w:ascii="宋体" w:hAnsi="宋体" w:eastAsia="宋体"/>
          <w:sz w:val="28"/>
        </w:rPr>
        <w:t>（三）2023年度重点工作计划</w:t>
      </w:r>
    </w:p>
    <w:p>
      <w:pPr>
        <w:spacing w:line="480" w:lineRule="auto"/>
        <w:ind w:firstLine="560" w:firstLineChars="200"/>
        <w:rPr>
          <w:rFonts w:ascii="宋体" w:hAnsi="宋体" w:eastAsia="宋体"/>
          <w:sz w:val="28"/>
        </w:rPr>
      </w:pPr>
      <w:r>
        <w:rPr>
          <w:rFonts w:hint="eastAsia" w:ascii="宋体" w:hAnsi="宋体" w:eastAsia="宋体"/>
          <w:sz w:val="28"/>
        </w:rPr>
        <w:t>（各单位办公室应该都有相关资料,可以参考。）</w:t>
      </w:r>
    </w:p>
    <w:p>
      <w:pPr>
        <w:spacing w:line="480" w:lineRule="auto"/>
        <w:ind w:firstLine="560" w:firstLineChars="200"/>
        <w:rPr>
          <w:rFonts w:hint="eastAsia" w:ascii="宋体" w:hAnsi="宋体" w:eastAsia="宋体"/>
          <w:sz w:val="28"/>
        </w:rPr>
      </w:pPr>
      <w:r>
        <w:rPr>
          <w:rFonts w:hint="eastAsia" w:ascii="宋体" w:hAnsi="宋体" w:eastAsia="宋体"/>
          <w:sz w:val="28"/>
        </w:rPr>
        <w:t>二、一般公共预算支出情况</w:t>
      </w:r>
    </w:p>
    <w:p>
      <w:pPr>
        <w:spacing w:line="480" w:lineRule="auto"/>
        <w:ind w:firstLine="560" w:firstLineChars="200"/>
        <w:rPr>
          <w:rFonts w:hint="eastAsia" w:ascii="宋体" w:hAnsi="宋体" w:eastAsia="宋体"/>
          <w:sz w:val="28"/>
        </w:rPr>
      </w:pPr>
      <w:r>
        <w:rPr>
          <w:rFonts w:hint="eastAsia" w:ascii="宋体" w:hAnsi="宋体" w:eastAsia="宋体"/>
          <w:sz w:val="28"/>
        </w:rPr>
        <w:t>本年收入合计20651.65万元，其中：一般公共预算财政拨款收入20415.72万元，占比98.86%；政府性基金预算财政拨款收入139.79万元，占比0.68%；其他收入96.14万元，占比0.47%。本年支出合计20651.65万元，其中。</w:t>
      </w:r>
    </w:p>
    <w:p>
      <w:pPr>
        <w:spacing w:line="480" w:lineRule="auto"/>
        <w:ind w:firstLine="560" w:firstLineChars="200"/>
        <w:rPr>
          <w:rFonts w:hint="eastAsia" w:ascii="宋体" w:hAnsi="宋体" w:eastAsia="宋体"/>
          <w:sz w:val="28"/>
        </w:rPr>
      </w:pPr>
      <w:r>
        <w:rPr>
          <w:rFonts w:hint="eastAsia" w:ascii="宋体" w:hAnsi="宋体" w:eastAsia="宋体"/>
          <w:sz w:val="28"/>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他商品和服务支出等；项目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pPr>
        <w:spacing w:line="480" w:lineRule="auto"/>
        <w:ind w:firstLine="562" w:firstLineChars="200"/>
        <w:rPr>
          <w:rFonts w:hint="eastAsia" w:ascii="宋体" w:hAnsi="宋体" w:eastAsia="宋体"/>
          <w:b/>
          <w:sz w:val="28"/>
        </w:rPr>
      </w:pPr>
      <w:r>
        <w:rPr>
          <w:rFonts w:hint="eastAsia" w:ascii="宋体" w:hAnsi="宋体" w:eastAsia="宋体"/>
          <w:b/>
          <w:sz w:val="28"/>
        </w:rPr>
        <w:t>（一）基本支出情况</w:t>
      </w:r>
    </w:p>
    <w:p>
      <w:pPr>
        <w:spacing w:line="480" w:lineRule="auto"/>
        <w:ind w:firstLine="560" w:firstLineChars="200"/>
        <w:rPr>
          <w:rFonts w:hint="eastAsia" w:ascii="宋体" w:hAnsi="宋体" w:eastAsia="宋体"/>
          <w:sz w:val="28"/>
        </w:rPr>
      </w:pPr>
      <w:r>
        <w:rPr>
          <w:rFonts w:hint="eastAsia" w:ascii="宋体" w:hAnsi="宋体" w:eastAsia="宋体"/>
          <w:sz w:val="28"/>
        </w:rPr>
        <w:t>1、实际整体收支情况</w:t>
      </w:r>
    </w:p>
    <w:p>
      <w:pPr>
        <w:spacing w:line="480" w:lineRule="auto"/>
        <w:ind w:firstLine="560" w:firstLineChars="200"/>
        <w:rPr>
          <w:rFonts w:hint="eastAsia" w:ascii="宋体" w:hAnsi="宋体" w:eastAsia="宋体"/>
          <w:sz w:val="28"/>
        </w:rPr>
      </w:pPr>
      <w:r>
        <w:rPr>
          <w:rFonts w:hint="eastAsia" w:ascii="宋体" w:hAnsi="宋体" w:eastAsia="宋体"/>
          <w:sz w:val="28"/>
        </w:rPr>
        <w:t>2023年度收、支总计20651.65万元。与上年相比减少10553.86万元，下降33.82%，主要是因为：退休、异动等人员经费、专项资金减少。</w:t>
      </w:r>
    </w:p>
    <w:p>
      <w:pPr>
        <w:spacing w:line="480" w:lineRule="auto"/>
        <w:ind w:firstLine="560" w:firstLineChars="200"/>
        <w:rPr>
          <w:rFonts w:hint="eastAsia" w:ascii="宋体" w:hAnsi="宋体" w:eastAsia="宋体"/>
          <w:sz w:val="28"/>
        </w:rPr>
      </w:pPr>
      <w:r>
        <w:rPr>
          <w:rFonts w:hint="eastAsia" w:ascii="宋体" w:hAnsi="宋体" w:eastAsia="宋体"/>
          <w:sz w:val="28"/>
        </w:rPr>
        <w:t>2023年度财政拨款基本支出1939.43万元，其中：人员经费1722.91万元，占基本支出的88.84%,主要包括本工资、津贴补贴、奖金、伙食补助费、机关事业单位基本养老保险缴费、职工基本医疗保险缴费、其他社会保障缴费、住房公积金、其他工资福利支出、抚恤金、生活补助、医疗费补助、奖励金；公用经费216.52万元，占基本支出的11.16%,主要包括办公费、印刷费、水费、电费、邮电费、差旅费、维修（护）费、公务接待费、劳务费、委托业务费、工会经费、福利费、其他交通费用、其他商品和服务支出、办公设备购置。</w:t>
      </w:r>
    </w:p>
    <w:p>
      <w:pPr>
        <w:spacing w:line="480" w:lineRule="auto"/>
        <w:ind w:firstLine="560" w:firstLineChars="200"/>
        <w:rPr>
          <w:rFonts w:hint="eastAsia" w:ascii="宋体" w:hAnsi="宋体" w:eastAsia="宋体"/>
          <w:sz w:val="28"/>
        </w:rPr>
      </w:pPr>
      <w:r>
        <w:rPr>
          <w:rFonts w:hint="eastAsia" w:ascii="宋体" w:hAnsi="宋体" w:eastAsia="宋体"/>
          <w:sz w:val="28"/>
        </w:rPr>
        <w:t>2、“三公”经费总支出情况</w:t>
      </w:r>
    </w:p>
    <w:p>
      <w:pPr>
        <w:spacing w:line="480" w:lineRule="auto"/>
        <w:ind w:firstLine="560" w:firstLineChars="200"/>
        <w:rPr>
          <w:rFonts w:ascii="宋体" w:hAnsi="宋体" w:eastAsia="宋体"/>
          <w:sz w:val="28"/>
        </w:rPr>
      </w:pPr>
      <w:r>
        <w:rPr>
          <w:rFonts w:hint="eastAsia" w:ascii="宋体" w:hAnsi="宋体" w:eastAsia="宋体"/>
          <w:sz w:val="28"/>
        </w:rPr>
        <w:t>2023年“三公”经费预算为—万元，支出为—万元，比预算节约0万元。其中：“因公出国（境）费预算数0.00万元，支出0.00万元、公务用车购置及运行维护费预算数0.00万元，支出0.00万元、公务接待费预算数2.73万元，支出2.73万元。“三公”经费相关数据统计：国内公务接待批次60个，国内公务接待人次700人。</w:t>
      </w:r>
    </w:p>
    <w:p>
      <w:pPr>
        <w:spacing w:line="480" w:lineRule="auto"/>
        <w:ind w:firstLine="562" w:firstLineChars="200"/>
        <w:rPr>
          <w:rFonts w:hint="eastAsia" w:ascii="宋体" w:hAnsi="宋体" w:eastAsia="宋体"/>
          <w:b/>
          <w:sz w:val="28"/>
        </w:rPr>
      </w:pPr>
      <w:r>
        <w:rPr>
          <w:rFonts w:hint="eastAsia" w:ascii="宋体" w:hAnsi="宋体" w:eastAsia="宋体"/>
          <w:b/>
          <w:sz w:val="28"/>
        </w:rPr>
        <w:t>（二）项目支出</w:t>
      </w:r>
    </w:p>
    <w:p>
      <w:pPr>
        <w:spacing w:line="480" w:lineRule="auto"/>
        <w:ind w:firstLine="560" w:firstLineChars="200"/>
        <w:rPr>
          <w:rFonts w:hint="eastAsia" w:ascii="宋体" w:hAnsi="宋体" w:eastAsia="宋体"/>
          <w:sz w:val="28"/>
        </w:rPr>
      </w:pPr>
      <w:r>
        <w:rPr>
          <w:rFonts w:hint="eastAsia" w:ascii="宋体" w:hAnsi="宋体" w:eastAsia="宋体"/>
          <w:sz w:val="28"/>
        </w:rPr>
        <w:t>1、项目资金安排、使用</w:t>
      </w:r>
    </w:p>
    <w:p>
      <w:pPr>
        <w:spacing w:line="480" w:lineRule="auto"/>
        <w:ind w:firstLine="560" w:firstLineChars="200"/>
        <w:rPr>
          <w:rFonts w:hint="eastAsia" w:ascii="宋体" w:hAnsi="宋体" w:eastAsia="宋体"/>
          <w:sz w:val="28"/>
        </w:rPr>
      </w:pPr>
      <w:r>
        <w:rPr>
          <w:rFonts w:hint="eastAsia" w:ascii="宋体" w:hAnsi="宋体" w:eastAsia="宋体"/>
          <w:sz w:val="28"/>
        </w:rPr>
        <w:t>2023年度项目资金收入支出合计18614.59万元，其中：县级专项资金43.00万元，上级专项资金18571.59万元，主要项目包括：湖南省耕地土壤与农产品重金属污染加密调查资金3.19万元、湖南省耕地土壤与农产品重金属污染加密调查资金75万元、畜禽粪污资源化利用整县推进项目和生猪规模化养殖场建设补助项目678.8万元、畜禽粪污资源化利用整县推进项目养殖场奖补资金116.5万元、黄花菜节经费25.38万元、粮食安全专项资金138.31万元、农机补贴371.85万元、高素质农民培训资金28万元、植保防疫防控补助资金15.63万元、农业生产救灾资金355.76万元、省级农药安全监管专项资金1万元、农药安全监管资金5万元、中央植物疫情防控资金47.57万元、耕地轮作休耕试点资金677.08万元、农业生产救灾资金82.17万元、现代农业产业园创建资金81.86万元、2023年中央耕地地力保护补贴资金6574.52万元、打卡发放3855万元、市级产业化奖补资金140万元、2020年优级农产品品牌补助14.6万元、农村改厕奖补资金51.92万元、长江禁捕退捕结算资金及直达资金75.48万元、农业资源及生态保护补助资金77.84万元、耕地保护与地力提升和化肥减量增效资金139万元、标准准农田建设项目115.5万元、农业体系能力建设与补短板项目资金30万元、2022地理标志农产品保护与农产品绿色有机品牌认证资金14万元、2021年茶叶产业发展资金10万元、2021年省级农业产业强镇资金20万元、产油大县奖励资金4.66万元、打卡发放215.84万元、标准准农田建设项目500万元、标准准农田建设项目759.7万元、标准准农田建设项目356.12万元、标准准农田建设项目55.65万元、2021年农村人居环境整治常态化保洁工作经费2.16万元、财政衔接推进乡村振兴补助资金874.21万元、林场税改资金38万元、棉花大县奖励资金291.19万元、财政农业资金14万元、畜禽粪污资源化利用整县推进项目养殖场奖补资金347.8万元、生猪调出大县奖励资金133.4万元、产油大县奖励资金1200.9万元。</w:t>
      </w:r>
    </w:p>
    <w:p>
      <w:pPr>
        <w:spacing w:line="480" w:lineRule="auto"/>
        <w:ind w:firstLine="560" w:firstLineChars="200"/>
        <w:rPr>
          <w:rFonts w:hint="eastAsia" w:ascii="宋体" w:hAnsi="宋体" w:eastAsia="宋体"/>
          <w:sz w:val="28"/>
        </w:rPr>
      </w:pPr>
      <w:r>
        <w:rPr>
          <w:rFonts w:hint="eastAsia" w:ascii="宋体" w:hAnsi="宋体" w:eastAsia="宋体"/>
          <w:sz w:val="28"/>
        </w:rPr>
        <w:t>2、项目资金管理、组织实施</w:t>
      </w:r>
    </w:p>
    <w:p>
      <w:pPr>
        <w:spacing w:line="480" w:lineRule="auto"/>
        <w:ind w:firstLine="560" w:firstLineChars="200"/>
        <w:rPr>
          <w:rFonts w:ascii="宋体" w:hAnsi="宋体" w:eastAsia="宋体"/>
          <w:sz w:val="28"/>
        </w:rPr>
      </w:pPr>
      <w:r>
        <w:rPr>
          <w:rFonts w:hint="eastAsia" w:ascii="宋体" w:hAnsi="宋体" w:eastAsia="宋体"/>
          <w:sz w:val="28"/>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pPr>
        <w:spacing w:line="480" w:lineRule="auto"/>
        <w:ind w:firstLine="562" w:firstLineChars="200"/>
        <w:rPr>
          <w:rFonts w:hint="eastAsia" w:ascii="宋体" w:hAnsi="宋体" w:eastAsia="宋体"/>
          <w:b/>
          <w:sz w:val="28"/>
        </w:rPr>
      </w:pPr>
      <w:r>
        <w:rPr>
          <w:rFonts w:hint="eastAsia" w:ascii="宋体" w:hAnsi="宋体" w:eastAsia="宋体"/>
          <w:b/>
          <w:sz w:val="28"/>
        </w:rPr>
        <w:t>三、政府性基金预算支出情况</w:t>
      </w:r>
    </w:p>
    <w:p>
      <w:pPr>
        <w:spacing w:line="480" w:lineRule="auto"/>
        <w:ind w:firstLine="560" w:firstLineChars="200"/>
        <w:rPr>
          <w:rFonts w:ascii="宋体" w:hAnsi="宋体" w:eastAsia="宋体"/>
          <w:sz w:val="28"/>
        </w:rPr>
      </w:pPr>
      <w:r>
        <w:rPr>
          <w:rFonts w:hint="eastAsia" w:ascii="宋体" w:hAnsi="宋体" w:eastAsia="宋体"/>
          <w:sz w:val="28"/>
        </w:rPr>
        <w:t>2023政府性基金预算财政拨款收入支出139.79万元，其中：基本支出1.48万元；项目支出138.31万元。</w:t>
      </w:r>
    </w:p>
    <w:p>
      <w:pPr>
        <w:spacing w:line="480" w:lineRule="auto"/>
        <w:ind w:firstLine="562" w:firstLineChars="200"/>
        <w:rPr>
          <w:rFonts w:hint="eastAsia" w:ascii="宋体" w:hAnsi="宋体" w:eastAsia="宋体"/>
          <w:b/>
          <w:sz w:val="28"/>
        </w:rPr>
      </w:pPr>
      <w:r>
        <w:rPr>
          <w:rFonts w:hint="eastAsia" w:ascii="宋体" w:hAnsi="宋体" w:eastAsia="宋体"/>
          <w:b/>
          <w:sz w:val="28"/>
        </w:rPr>
        <w:t>四、国有资本经营预算支出情况</w:t>
      </w:r>
    </w:p>
    <w:p>
      <w:pPr>
        <w:spacing w:line="480" w:lineRule="auto"/>
        <w:ind w:firstLine="560" w:firstLineChars="200"/>
        <w:rPr>
          <w:rFonts w:ascii="宋体" w:hAnsi="宋体" w:eastAsia="宋体"/>
          <w:sz w:val="28"/>
        </w:rPr>
      </w:pPr>
      <w:r>
        <w:rPr>
          <w:rFonts w:hint="eastAsia" w:ascii="宋体" w:hAnsi="宋体" w:eastAsia="宋体"/>
          <w:sz w:val="28"/>
        </w:rPr>
        <w:t>2023年没有国有资本经营预算支出。</w:t>
      </w:r>
    </w:p>
    <w:p>
      <w:pPr>
        <w:spacing w:line="480" w:lineRule="auto"/>
        <w:ind w:firstLine="562" w:firstLineChars="200"/>
        <w:rPr>
          <w:rFonts w:hint="eastAsia" w:ascii="宋体" w:hAnsi="宋体" w:eastAsia="宋体"/>
          <w:b/>
          <w:sz w:val="28"/>
        </w:rPr>
      </w:pPr>
      <w:r>
        <w:rPr>
          <w:rFonts w:hint="eastAsia" w:ascii="宋体" w:hAnsi="宋体" w:eastAsia="宋体"/>
          <w:b/>
          <w:sz w:val="28"/>
        </w:rPr>
        <w:t>五、社会保险基金预算支出情况</w:t>
      </w:r>
    </w:p>
    <w:p>
      <w:pPr>
        <w:spacing w:line="480" w:lineRule="auto"/>
        <w:ind w:firstLine="560" w:firstLineChars="200"/>
        <w:rPr>
          <w:rFonts w:ascii="宋体" w:hAnsi="宋体" w:eastAsia="宋体"/>
          <w:sz w:val="28"/>
        </w:rPr>
      </w:pPr>
      <w:r>
        <w:rPr>
          <w:rFonts w:hint="eastAsia" w:ascii="宋体" w:hAnsi="宋体" w:eastAsia="宋体"/>
          <w:sz w:val="28"/>
        </w:rPr>
        <w:t>本年度没有社会保险基金预算支出。</w:t>
      </w:r>
    </w:p>
    <w:p>
      <w:pPr>
        <w:spacing w:line="480" w:lineRule="auto"/>
        <w:ind w:firstLine="562" w:firstLineChars="200"/>
        <w:rPr>
          <w:rFonts w:hint="eastAsia" w:ascii="宋体" w:hAnsi="宋体" w:eastAsia="宋体"/>
          <w:b/>
          <w:sz w:val="28"/>
        </w:rPr>
      </w:pPr>
      <w:r>
        <w:rPr>
          <w:rFonts w:hint="eastAsia" w:ascii="宋体" w:hAnsi="宋体" w:eastAsia="宋体"/>
          <w:b/>
          <w:sz w:val="28"/>
        </w:rPr>
        <w:t>六、部门整体支出绩效情况</w:t>
      </w:r>
    </w:p>
    <w:p>
      <w:pPr>
        <w:spacing w:line="480" w:lineRule="auto"/>
        <w:ind w:firstLine="560" w:firstLineChars="200"/>
        <w:rPr>
          <w:rFonts w:hint="eastAsia" w:ascii="宋体" w:hAnsi="宋体" w:eastAsia="宋体"/>
          <w:sz w:val="28"/>
        </w:rPr>
      </w:pPr>
      <w:r>
        <w:rPr>
          <w:rFonts w:hint="eastAsia" w:ascii="宋体" w:hAnsi="宋体" w:eastAsia="宋体"/>
          <w:sz w:val="28"/>
        </w:rPr>
        <w:t>（一）单位总支出情况的绩效</w:t>
      </w:r>
    </w:p>
    <w:p>
      <w:pPr>
        <w:spacing w:line="480" w:lineRule="auto"/>
        <w:ind w:firstLine="560" w:firstLineChars="200"/>
        <w:rPr>
          <w:rFonts w:hint="eastAsia" w:ascii="宋体" w:hAnsi="宋体" w:eastAsia="宋体"/>
          <w:sz w:val="28"/>
        </w:rPr>
      </w:pPr>
      <w:r>
        <w:rPr>
          <w:rFonts w:hint="eastAsia" w:ascii="宋体" w:hAnsi="宋体" w:eastAsia="宋体"/>
          <w:sz w:val="28"/>
        </w:rPr>
        <w:t>2023年度支出总额20651.65万元，其中基本支出2037.05万元，基本支出保障了单位正常运转的日常支出，包括基本工资、津贴补贴等人员经费以及办公费、水电费、差旅费等日常公用经费；项目支出金额18614.60万元，项目支出主要用于为完成本级财政和及上级安排特定的工作任务或目标支出。</w:t>
      </w:r>
    </w:p>
    <w:p>
      <w:pPr>
        <w:spacing w:line="480" w:lineRule="auto"/>
        <w:ind w:firstLine="560" w:firstLineChars="200"/>
        <w:rPr>
          <w:rFonts w:hint="eastAsia" w:ascii="宋体" w:hAnsi="宋体" w:eastAsia="宋体"/>
          <w:sz w:val="28"/>
        </w:rPr>
      </w:pPr>
      <w:r>
        <w:rPr>
          <w:rFonts w:hint="eastAsia" w:ascii="宋体" w:hAnsi="宋体" w:eastAsia="宋体"/>
          <w:sz w:val="28"/>
        </w:rPr>
        <w:t>（二）部门整体绩效情况</w:t>
      </w:r>
    </w:p>
    <w:p>
      <w:pPr>
        <w:spacing w:line="480" w:lineRule="auto"/>
        <w:ind w:firstLine="560" w:firstLineChars="200"/>
        <w:rPr>
          <w:rFonts w:hint="eastAsia" w:ascii="宋体" w:hAnsi="宋体" w:eastAsia="宋体"/>
          <w:sz w:val="28"/>
        </w:rPr>
      </w:pPr>
      <w:r>
        <w:rPr>
          <w:rFonts w:hint="eastAsia" w:ascii="宋体" w:hAnsi="宋体" w:eastAsia="宋体"/>
          <w:sz w:val="28"/>
        </w:rPr>
        <w:t>（摘抄2023年工作总结部分内容）</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bCs/>
          <w:color w:val="000000"/>
          <w:sz w:val="28"/>
          <w:szCs w:val="28"/>
        </w:rPr>
        <w:t>聚力中心化攻坚年</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bCs/>
          <w:color w:val="000000"/>
          <w:sz w:val="28"/>
          <w:szCs w:val="28"/>
        </w:rPr>
        <w:t>统筹推进乡村振兴战略</w:t>
      </w:r>
    </w:p>
    <w:p>
      <w:pPr>
        <w:spacing w:line="480" w:lineRule="auto"/>
        <w:ind w:firstLine="560" w:firstLineChars="200"/>
        <w:rPr>
          <w:rFonts w:hint="eastAsia" w:ascii="宋体" w:hAnsi="宋体" w:eastAsia="宋体" w:cs="宋体"/>
          <w:bCs/>
          <w:color w:val="000000"/>
          <w:sz w:val="28"/>
          <w:szCs w:val="28"/>
        </w:rPr>
      </w:pPr>
      <w:r>
        <w:rPr>
          <w:rFonts w:hint="eastAsia" w:ascii="宋体" w:hAnsi="宋体" w:eastAsia="宋体" w:cs="宋体"/>
          <w:sz w:val="28"/>
          <w:szCs w:val="28"/>
        </w:rPr>
        <w:t>3、</w:t>
      </w:r>
      <w:r>
        <w:rPr>
          <w:rFonts w:hint="eastAsia" w:ascii="宋体" w:hAnsi="宋体" w:eastAsia="宋体" w:cs="宋体"/>
          <w:bCs/>
          <w:color w:val="000000"/>
          <w:sz w:val="28"/>
          <w:szCs w:val="28"/>
        </w:rPr>
        <w:t>全力抓好农业生产</w:t>
      </w:r>
    </w:p>
    <w:p>
      <w:pPr>
        <w:spacing w:line="480" w:lineRule="auto"/>
        <w:ind w:firstLine="560" w:firstLineChars="200"/>
        <w:rPr>
          <w:rFonts w:hint="eastAsia" w:asciiTheme="minorEastAsia" w:hAnsiTheme="minorEastAsia" w:eastAsiaTheme="minorEastAsia" w:cstheme="minorEastAsia"/>
          <w:bCs/>
          <w:color w:val="000000"/>
          <w:sz w:val="28"/>
          <w:szCs w:val="28"/>
        </w:rPr>
      </w:pPr>
      <w:r>
        <w:rPr>
          <w:rFonts w:hint="eastAsia" w:ascii="宋体" w:hAnsi="宋体" w:eastAsia="宋体" w:cs="宋体"/>
          <w:bCs/>
          <w:color w:val="000000"/>
          <w:sz w:val="28"/>
          <w:szCs w:val="28"/>
          <w:lang w:val="en-US" w:eastAsia="zh-CN"/>
        </w:rPr>
        <w:t>4、</w:t>
      </w:r>
      <w:r>
        <w:rPr>
          <w:rFonts w:hint="eastAsia" w:asciiTheme="minorEastAsia" w:hAnsiTheme="minorEastAsia" w:eastAsiaTheme="minorEastAsia" w:cstheme="minorEastAsia"/>
          <w:bCs/>
          <w:color w:val="000000"/>
          <w:sz w:val="28"/>
          <w:szCs w:val="28"/>
        </w:rPr>
        <w:t>加快推进优势特色产业建设</w:t>
      </w:r>
    </w:p>
    <w:p>
      <w:pPr>
        <w:spacing w:line="480" w:lineRule="auto"/>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cstheme="minorEastAsia"/>
          <w:bCs/>
          <w:color w:val="000000"/>
          <w:sz w:val="28"/>
          <w:szCs w:val="28"/>
          <w:lang w:val="en-US" w:eastAsia="zh-CN"/>
        </w:rPr>
        <w:t>5、</w:t>
      </w:r>
      <w:r>
        <w:rPr>
          <w:rFonts w:hint="eastAsia" w:asciiTheme="minorEastAsia" w:hAnsiTheme="minorEastAsia" w:eastAsiaTheme="minorEastAsia" w:cstheme="minorEastAsia"/>
          <w:bCs/>
          <w:color w:val="000000"/>
          <w:sz w:val="28"/>
          <w:szCs w:val="28"/>
        </w:rPr>
        <w:t>加强新型经营主体培育</w:t>
      </w:r>
    </w:p>
    <w:p>
      <w:pPr>
        <w:spacing w:line="480" w:lineRule="auto"/>
        <w:ind w:firstLine="560" w:firstLineChars="200"/>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cstheme="minorEastAsia"/>
          <w:bCs/>
          <w:color w:val="000000"/>
          <w:sz w:val="28"/>
          <w:szCs w:val="28"/>
          <w:lang w:val="en-US" w:eastAsia="zh-CN"/>
        </w:rPr>
        <w:t>6、</w:t>
      </w:r>
      <w:r>
        <w:rPr>
          <w:rFonts w:hint="eastAsia" w:asciiTheme="minorEastAsia" w:hAnsiTheme="minorEastAsia" w:eastAsiaTheme="minorEastAsia" w:cstheme="minorEastAsia"/>
          <w:bCs/>
          <w:color w:val="000000"/>
          <w:sz w:val="28"/>
          <w:szCs w:val="28"/>
        </w:rPr>
        <w:t>发展壮大村集体经济</w:t>
      </w:r>
    </w:p>
    <w:p>
      <w:pPr>
        <w:spacing w:line="480" w:lineRule="auto"/>
        <w:ind w:firstLine="560" w:firstLineChars="200"/>
        <w:rPr>
          <w:rFonts w:hint="eastAsia" w:ascii="宋体" w:hAnsi="宋体" w:eastAsia="宋体"/>
          <w:sz w:val="28"/>
        </w:rPr>
      </w:pPr>
      <w:r>
        <w:rPr>
          <w:rFonts w:hint="eastAsia" w:ascii="宋体" w:hAnsi="宋体" w:eastAsia="宋体"/>
          <w:sz w:val="28"/>
          <w:lang w:val="en-US" w:eastAsia="zh-CN"/>
        </w:rPr>
        <w:t>7、</w:t>
      </w:r>
      <w:r>
        <w:rPr>
          <w:rFonts w:hint="eastAsia" w:ascii="宋体" w:hAnsi="宋体" w:eastAsia="宋体"/>
          <w:sz w:val="28"/>
        </w:rPr>
        <w:t>综合评价情况及评价结论</w:t>
      </w:r>
    </w:p>
    <w:p>
      <w:pPr>
        <w:spacing w:line="480" w:lineRule="auto"/>
        <w:ind w:firstLine="560" w:firstLineChars="200"/>
        <w:rPr>
          <w:rFonts w:ascii="宋体" w:hAnsi="宋体" w:eastAsia="宋体"/>
          <w:sz w:val="28"/>
        </w:rPr>
      </w:pPr>
      <w:r>
        <w:rPr>
          <w:rFonts w:hint="eastAsia" w:ascii="宋体" w:hAnsi="宋体" w:eastAsia="宋体"/>
          <w:sz w:val="28"/>
        </w:rPr>
        <w:t>祁东县农业农村局2023年度项目资金绩效自评综合得分为96分，具体自评情况见附表。</w:t>
      </w:r>
    </w:p>
    <w:p>
      <w:pPr>
        <w:spacing w:line="480" w:lineRule="auto"/>
        <w:ind w:firstLine="562" w:firstLineChars="200"/>
        <w:rPr>
          <w:rFonts w:hint="eastAsia" w:ascii="宋体" w:hAnsi="宋体" w:eastAsia="宋体"/>
          <w:b/>
          <w:sz w:val="28"/>
        </w:rPr>
      </w:pPr>
      <w:r>
        <w:rPr>
          <w:rFonts w:hint="eastAsia" w:ascii="宋体" w:hAnsi="宋体" w:eastAsia="宋体"/>
          <w:b/>
          <w:sz w:val="28"/>
        </w:rPr>
        <w:t>七、存在的问题及原因分析</w:t>
      </w:r>
    </w:p>
    <w:p>
      <w:pPr>
        <w:spacing w:line="480" w:lineRule="auto"/>
        <w:ind w:firstLine="560" w:firstLineChars="200"/>
        <w:rPr>
          <w:rFonts w:hint="eastAsia" w:ascii="宋体" w:hAnsi="宋体" w:eastAsia="宋体"/>
          <w:sz w:val="28"/>
        </w:rPr>
      </w:pPr>
      <w:r>
        <w:rPr>
          <w:rFonts w:hint="eastAsia" w:ascii="宋体" w:hAnsi="宋体" w:eastAsia="宋体"/>
          <w:sz w:val="28"/>
        </w:rPr>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pPr>
        <w:spacing w:line="480" w:lineRule="auto"/>
        <w:ind w:firstLine="560" w:firstLineChars="200"/>
        <w:rPr>
          <w:rFonts w:hint="eastAsia" w:ascii="宋体" w:hAnsi="宋体" w:eastAsia="宋体"/>
          <w:sz w:val="28"/>
        </w:rPr>
      </w:pPr>
      <w:r>
        <w:rPr>
          <w:rFonts w:hint="eastAsia" w:ascii="宋体" w:hAnsi="宋体" w:eastAsia="宋体"/>
          <w:sz w:val="28"/>
        </w:rPr>
        <w:t>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pPr>
        <w:spacing w:line="480" w:lineRule="auto"/>
        <w:ind w:firstLine="560" w:firstLineChars="200"/>
        <w:rPr>
          <w:rFonts w:ascii="宋体" w:hAnsi="宋体" w:eastAsia="宋体"/>
          <w:sz w:val="28"/>
        </w:rPr>
      </w:pPr>
      <w:r>
        <w:rPr>
          <w:rFonts w:hint="eastAsia" w:ascii="宋体" w:hAnsi="宋体" w:eastAsia="宋体"/>
          <w:sz w:val="28"/>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pPr>
        <w:spacing w:line="480" w:lineRule="auto"/>
        <w:ind w:firstLine="562" w:firstLineChars="200"/>
        <w:rPr>
          <w:rFonts w:hint="eastAsia" w:ascii="宋体" w:hAnsi="宋体" w:eastAsia="宋体"/>
          <w:b/>
          <w:sz w:val="28"/>
        </w:rPr>
      </w:pPr>
      <w:r>
        <w:rPr>
          <w:rFonts w:hint="eastAsia" w:ascii="宋体" w:hAnsi="宋体" w:eastAsia="宋体"/>
          <w:b/>
          <w:sz w:val="28"/>
        </w:rPr>
        <w:t>八、下一步改进措施</w:t>
      </w:r>
    </w:p>
    <w:p>
      <w:pPr>
        <w:spacing w:line="480" w:lineRule="auto"/>
        <w:ind w:firstLine="560" w:firstLineChars="200"/>
        <w:rPr>
          <w:rFonts w:ascii="宋体" w:hAnsi="宋体" w:eastAsia="宋体"/>
          <w:sz w:val="28"/>
        </w:rPr>
      </w:pPr>
      <w:r>
        <w:rPr>
          <w:rFonts w:hint="eastAsia" w:ascii="宋体" w:hAnsi="宋体" w:eastAsia="宋体"/>
          <w:sz w:val="28"/>
        </w:rPr>
        <w:t>本着“勤俭节约、保障运转”的原则进行预算的编制，进一步提高预算编制的科学性、合理性、严谨性和可控性，提高财政资金使用效益。</w:t>
      </w:r>
    </w:p>
    <w:p>
      <w:pPr>
        <w:spacing w:line="480" w:lineRule="auto"/>
        <w:ind w:firstLine="562" w:firstLineChars="200"/>
        <w:rPr>
          <w:rFonts w:hint="eastAsia" w:ascii="宋体" w:hAnsi="宋体" w:eastAsia="宋体"/>
          <w:b/>
          <w:sz w:val="28"/>
        </w:rPr>
      </w:pPr>
      <w:r>
        <w:rPr>
          <w:rFonts w:hint="eastAsia" w:ascii="宋体" w:hAnsi="宋体" w:eastAsia="宋体"/>
          <w:b/>
          <w:sz w:val="28"/>
        </w:rPr>
        <w:t>九、部门整体支出绩效自评结果拟应用和公开情况</w:t>
      </w:r>
    </w:p>
    <w:p>
      <w:pPr>
        <w:spacing w:line="480" w:lineRule="auto"/>
        <w:ind w:firstLine="560" w:firstLineChars="200"/>
        <w:rPr>
          <w:rFonts w:hint="eastAsia" w:ascii="宋体" w:hAnsi="宋体" w:eastAsia="宋体"/>
          <w:sz w:val="28"/>
        </w:rPr>
      </w:pPr>
      <w:r>
        <w:rPr>
          <w:rFonts w:hint="eastAsia" w:ascii="宋体" w:hAnsi="宋体" w:eastAsia="宋体"/>
          <w:sz w:val="28"/>
        </w:rPr>
        <w:t>通过绩效自评，进一步掌握了资金使用情况和取得的效果，发现了工作中存在的问题和不足，为今后加强资金使用管理、完善资金绩效管理、提高资金使用效益工作提供了重要的参考依据。</w:t>
      </w:r>
    </w:p>
    <w:p>
      <w:pPr>
        <w:spacing w:line="480" w:lineRule="auto"/>
        <w:ind w:firstLine="560" w:firstLineChars="200"/>
        <w:rPr>
          <w:rFonts w:ascii="宋体" w:hAnsi="宋体" w:eastAsia="宋体"/>
          <w:sz w:val="28"/>
        </w:rPr>
      </w:pPr>
      <w:r>
        <w:rPr>
          <w:rFonts w:hint="eastAsia" w:ascii="宋体" w:hAnsi="宋体" w:eastAsia="宋体"/>
          <w:sz w:val="28"/>
        </w:rPr>
        <w:t>将此次绩效自评报告在本县党政门户网站上予以公布，向社会公开，广泛接受群众监督。</w:t>
      </w:r>
    </w:p>
    <w:p>
      <w:pPr>
        <w:spacing w:line="480" w:lineRule="auto"/>
        <w:ind w:firstLine="562" w:firstLineChars="200"/>
        <w:rPr>
          <w:rFonts w:hint="eastAsia" w:ascii="宋体" w:hAnsi="宋体" w:eastAsia="宋体"/>
          <w:b/>
          <w:sz w:val="28"/>
        </w:rPr>
      </w:pPr>
      <w:r>
        <w:rPr>
          <w:rFonts w:hint="eastAsia" w:ascii="宋体" w:hAnsi="宋体" w:eastAsia="宋体"/>
          <w:b/>
          <w:sz w:val="28"/>
        </w:rPr>
        <w:t>十、其他需要说明的情况</w:t>
      </w:r>
    </w:p>
    <w:p>
      <w:pPr>
        <w:spacing w:line="480" w:lineRule="auto"/>
        <w:ind w:firstLine="560" w:firstLineChars="200"/>
        <w:rPr>
          <w:rFonts w:hint="eastAsia" w:ascii="宋体" w:hAnsi="宋体" w:eastAsia="宋体"/>
          <w:sz w:val="28"/>
        </w:rPr>
      </w:pPr>
      <w:r>
        <w:rPr>
          <w:rFonts w:hint="eastAsia" w:ascii="宋体" w:hAnsi="宋体" w:eastAsia="宋体"/>
          <w:sz w:val="28"/>
        </w:rPr>
        <w:t>无。</w:t>
      </w:r>
    </w:p>
    <w:p>
      <w:pPr>
        <w:spacing w:line="480" w:lineRule="auto"/>
        <w:ind w:firstLine="560" w:firstLineChars="200"/>
        <w:rPr>
          <w:rFonts w:ascii="宋体" w:hAnsi="宋体" w:eastAsia="宋体"/>
          <w:sz w:val="28"/>
        </w:rPr>
      </w:pPr>
      <w:r>
        <w:rPr>
          <w:rFonts w:hint="eastAsia" w:ascii="宋体" w:hAnsi="宋体" w:eastAsia="宋体"/>
          <w:sz w:val="28"/>
        </w:rPr>
        <w:t>附表：1、部门整体支出绩效评价指标评分表</w:t>
      </w:r>
    </w:p>
    <w:p>
      <w:pPr>
        <w:spacing w:line="480" w:lineRule="auto"/>
        <w:ind w:firstLine="560" w:firstLineChars="200"/>
        <w:rPr>
          <w:rFonts w:ascii="宋体" w:hAnsi="宋体" w:eastAsia="宋体"/>
          <w:sz w:val="28"/>
        </w:rPr>
      </w:pPr>
      <w:r>
        <w:rPr>
          <w:rFonts w:hint="eastAsia" w:ascii="宋体" w:hAnsi="宋体" w:eastAsia="宋体"/>
          <w:sz w:val="28"/>
        </w:rPr>
        <w:t xml:space="preserve">      2、部门整体支出绩效评价基础数据表</w:t>
      </w:r>
    </w:p>
    <w:p>
      <w:pPr>
        <w:spacing w:line="480" w:lineRule="auto"/>
        <w:ind w:firstLine="560" w:firstLineChars="200"/>
        <w:rPr>
          <w:rFonts w:ascii="宋体" w:hAnsi="宋体" w:eastAsia="宋体"/>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80478"/>
    <w:multiLevelType w:val="multilevel"/>
    <w:tmpl w:val="06F80478"/>
    <w:lvl w:ilvl="0" w:tentative="0">
      <w:start w:val="1"/>
      <w:numFmt w:val="lowerLetter"/>
      <w:pStyle w:val="74"/>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0C89246C"/>
    <w:multiLevelType w:val="multilevel"/>
    <w:tmpl w:val="0C89246C"/>
    <w:lvl w:ilvl="0" w:tentative="0">
      <w:start w:val="1"/>
      <w:numFmt w:val="lowerLetter"/>
      <w:pStyle w:val="62"/>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0D162AB7"/>
    <w:multiLevelType w:val="multilevel"/>
    <w:tmpl w:val="0D162AB7"/>
    <w:lvl w:ilvl="0" w:tentative="0">
      <w:start w:val="1"/>
      <w:numFmt w:val="decimal"/>
      <w:pStyle w:val="80"/>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0EFC1DE8"/>
    <w:multiLevelType w:val="multilevel"/>
    <w:tmpl w:val="0EFC1DE8"/>
    <w:lvl w:ilvl="0" w:tentative="0">
      <w:start w:val="1"/>
      <w:numFmt w:val="lowerRoman"/>
      <w:pStyle w:val="66"/>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0F89325A"/>
    <w:multiLevelType w:val="multilevel"/>
    <w:tmpl w:val="0F89325A"/>
    <w:lvl w:ilvl="0" w:tentative="0">
      <w:start w:val="1"/>
      <w:numFmt w:val="chineseCountingThousand"/>
      <w:pStyle w:val="46"/>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1353089F"/>
    <w:multiLevelType w:val="multilevel"/>
    <w:tmpl w:val="1353089F"/>
    <w:lvl w:ilvl="0" w:tentative="0">
      <w:start w:val="1"/>
      <w:numFmt w:val="upperRoman"/>
      <w:pStyle w:val="100"/>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1A2947A4"/>
    <w:multiLevelType w:val="multilevel"/>
    <w:tmpl w:val="1A2947A4"/>
    <w:lvl w:ilvl="0" w:tentative="0">
      <w:start w:val="1"/>
      <w:numFmt w:val="lowerRoman"/>
      <w:pStyle w:val="78"/>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21D93A5C"/>
    <w:multiLevelType w:val="multilevel"/>
    <w:tmpl w:val="21D93A5C"/>
    <w:lvl w:ilvl="0" w:tentative="0">
      <w:start w:val="1"/>
      <w:numFmt w:val="chineseCountingThousand"/>
      <w:pStyle w:val="70"/>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227069AC"/>
    <w:multiLevelType w:val="multilevel"/>
    <w:tmpl w:val="227069AC"/>
    <w:lvl w:ilvl="0" w:tentative="0">
      <w:start w:val="1"/>
      <w:numFmt w:val="upperLetter"/>
      <w:pStyle w:val="84"/>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2F1034A3"/>
    <w:multiLevelType w:val="multilevel"/>
    <w:tmpl w:val="2F1034A3"/>
    <w:lvl w:ilvl="0" w:tentative="0">
      <w:start w:val="1"/>
      <w:numFmt w:val="lowerLetter"/>
      <w:pStyle w:val="86"/>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2F5B7434"/>
    <w:multiLevelType w:val="multilevel"/>
    <w:tmpl w:val="2F5B7434"/>
    <w:lvl w:ilvl="0" w:tentative="0">
      <w:start w:val="1"/>
      <w:numFmt w:val="upperLetter"/>
      <w:pStyle w:val="72"/>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30072A41"/>
    <w:multiLevelType w:val="multilevel"/>
    <w:tmpl w:val="30072A41"/>
    <w:lvl w:ilvl="0" w:tentative="0">
      <w:start w:val="1"/>
      <w:numFmt w:val="chineseCountingThousand"/>
      <w:pStyle w:val="94"/>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
    <w:nsid w:val="3C210087"/>
    <w:multiLevelType w:val="multilevel"/>
    <w:tmpl w:val="3C210087"/>
    <w:lvl w:ilvl="0" w:tentative="0">
      <w:start w:val="1"/>
      <w:numFmt w:val="upperRoman"/>
      <w:pStyle w:val="52"/>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3">
    <w:nsid w:val="3F277ACD"/>
    <w:multiLevelType w:val="multilevel"/>
    <w:tmpl w:val="3F277ACD"/>
    <w:lvl w:ilvl="0" w:tentative="0">
      <w:start w:val="1"/>
      <w:numFmt w:val="decimal"/>
      <w:pStyle w:val="92"/>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4">
    <w:nsid w:val="45BA3CB8"/>
    <w:multiLevelType w:val="multilevel"/>
    <w:tmpl w:val="45BA3CB8"/>
    <w:lvl w:ilvl="0" w:tentative="0">
      <w:start w:val="1"/>
      <w:numFmt w:val="lowerRoman"/>
      <w:pStyle w:val="90"/>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48441C83"/>
    <w:multiLevelType w:val="multilevel"/>
    <w:tmpl w:val="48441C83"/>
    <w:lvl w:ilvl="0" w:tentative="0">
      <w:start w:val="1"/>
      <w:numFmt w:val="upperRoman"/>
      <w:pStyle w:val="76"/>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6">
    <w:nsid w:val="48D258B5"/>
    <w:multiLevelType w:val="multilevel"/>
    <w:tmpl w:val="48D258B5"/>
    <w:lvl w:ilvl="0" w:tentative="0">
      <w:start w:val="1"/>
      <w:numFmt w:val="decimal"/>
      <w:pStyle w:val="56"/>
      <w:lvlText w:val="%1."/>
      <w:lvlJc w:val="left"/>
      <w:pPr>
        <w:ind w:left="704" w:hanging="420"/>
      </w:pPr>
      <w:rPr>
        <w:rFonts w:hint="eastAsia"/>
        <w:sz w:val="72"/>
        <w:szCs w:val="7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4BCC1CF2"/>
    <w:multiLevelType w:val="multilevel"/>
    <w:tmpl w:val="4BCC1CF2"/>
    <w:lvl w:ilvl="0" w:tentative="0">
      <w:start w:val="1"/>
      <w:numFmt w:val="lowerRoman"/>
      <w:pStyle w:val="102"/>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8">
    <w:nsid w:val="4C022313"/>
    <w:multiLevelType w:val="multilevel"/>
    <w:tmpl w:val="4C022313"/>
    <w:lvl w:ilvl="0" w:tentative="0">
      <w:start w:val="1"/>
      <w:numFmt w:val="upperLetter"/>
      <w:pStyle w:val="96"/>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9">
    <w:nsid w:val="4E793448"/>
    <w:multiLevelType w:val="multilevel"/>
    <w:tmpl w:val="4E793448"/>
    <w:lvl w:ilvl="0" w:tentative="0">
      <w:start w:val="1"/>
      <w:numFmt w:val="lowerLetter"/>
      <w:pStyle w:val="98"/>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0">
    <w:nsid w:val="56361809"/>
    <w:multiLevelType w:val="multilevel"/>
    <w:tmpl w:val="56361809"/>
    <w:lvl w:ilvl="0" w:tentative="0">
      <w:start w:val="1"/>
      <w:numFmt w:val="upperLetter"/>
      <w:pStyle w:val="60"/>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1">
    <w:nsid w:val="57D67E27"/>
    <w:multiLevelType w:val="multilevel"/>
    <w:tmpl w:val="57D67E27"/>
    <w:lvl w:ilvl="0" w:tentative="0">
      <w:start w:val="1"/>
      <w:numFmt w:val="decimal"/>
      <w:pStyle w:val="44"/>
      <w:lvlText w:val="%1."/>
      <w:lvlJc w:val="left"/>
      <w:pPr>
        <w:ind w:left="704" w:hanging="420"/>
      </w:pPr>
      <w:rPr>
        <w:rFonts w:hint="eastAsia"/>
        <w:sz w:val="96"/>
        <w:szCs w:val="9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2">
    <w:nsid w:val="5A181799"/>
    <w:multiLevelType w:val="multilevel"/>
    <w:tmpl w:val="5A181799"/>
    <w:lvl w:ilvl="0" w:tentative="0">
      <w:start w:val="1"/>
      <w:numFmt w:val="lowerLetter"/>
      <w:pStyle w:val="50"/>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3">
    <w:nsid w:val="5FA0565C"/>
    <w:multiLevelType w:val="multilevel"/>
    <w:tmpl w:val="5FA0565C"/>
    <w:lvl w:ilvl="0" w:tentative="0">
      <w:start w:val="1"/>
      <w:numFmt w:val="lowerRoman"/>
      <w:pStyle w:val="54"/>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4">
    <w:nsid w:val="602D6C19"/>
    <w:multiLevelType w:val="multilevel"/>
    <w:tmpl w:val="602D6C19"/>
    <w:lvl w:ilvl="0" w:tentative="0">
      <w:start w:val="1"/>
      <w:numFmt w:val="upperLetter"/>
      <w:pStyle w:val="48"/>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5">
    <w:nsid w:val="638B253F"/>
    <w:multiLevelType w:val="multilevel"/>
    <w:tmpl w:val="638B253F"/>
    <w:lvl w:ilvl="0" w:tentative="0">
      <w:start w:val="1"/>
      <w:numFmt w:val="upperRoman"/>
      <w:pStyle w:val="64"/>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6">
    <w:nsid w:val="64F12C63"/>
    <w:multiLevelType w:val="multilevel"/>
    <w:tmpl w:val="64F12C63"/>
    <w:lvl w:ilvl="0" w:tentative="0">
      <w:start w:val="1"/>
      <w:numFmt w:val="chineseCountingThousand"/>
      <w:pStyle w:val="82"/>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7">
    <w:nsid w:val="67D9330E"/>
    <w:multiLevelType w:val="multilevel"/>
    <w:tmpl w:val="67D9330E"/>
    <w:lvl w:ilvl="0" w:tentative="0">
      <w:start w:val="1"/>
      <w:numFmt w:val="decimal"/>
      <w:pStyle w:val="68"/>
      <w:lvlText w:val="%1."/>
      <w:lvlJc w:val="left"/>
      <w:pPr>
        <w:ind w:left="704" w:hanging="420"/>
      </w:pPr>
      <w:rPr>
        <w:rFonts w:hint="eastAsia"/>
        <w:sz w:val="56"/>
        <w:szCs w:val="5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8">
    <w:nsid w:val="6AF34339"/>
    <w:multiLevelType w:val="multilevel"/>
    <w:tmpl w:val="6AF34339"/>
    <w:lvl w:ilvl="0" w:tentative="0">
      <w:start w:val="1"/>
      <w:numFmt w:val="upperRoman"/>
      <w:pStyle w:val="88"/>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9">
    <w:nsid w:val="7C73237E"/>
    <w:multiLevelType w:val="multilevel"/>
    <w:tmpl w:val="7C73237E"/>
    <w:lvl w:ilvl="0" w:tentative="0">
      <w:start w:val="1"/>
      <w:numFmt w:val="chineseCountingThousand"/>
      <w:pStyle w:val="58"/>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21"/>
  </w:num>
  <w:num w:numId="2">
    <w:abstractNumId w:val="4"/>
  </w:num>
  <w:num w:numId="3">
    <w:abstractNumId w:val="24"/>
  </w:num>
  <w:num w:numId="4">
    <w:abstractNumId w:val="22"/>
  </w:num>
  <w:num w:numId="5">
    <w:abstractNumId w:val="12"/>
  </w:num>
  <w:num w:numId="6">
    <w:abstractNumId w:val="23"/>
  </w:num>
  <w:num w:numId="7">
    <w:abstractNumId w:val="16"/>
  </w:num>
  <w:num w:numId="8">
    <w:abstractNumId w:val="29"/>
  </w:num>
  <w:num w:numId="9">
    <w:abstractNumId w:val="20"/>
  </w:num>
  <w:num w:numId="10">
    <w:abstractNumId w:val="1"/>
  </w:num>
  <w:num w:numId="11">
    <w:abstractNumId w:val="25"/>
  </w:num>
  <w:num w:numId="12">
    <w:abstractNumId w:val="3"/>
  </w:num>
  <w:num w:numId="13">
    <w:abstractNumId w:val="27"/>
  </w:num>
  <w:num w:numId="14">
    <w:abstractNumId w:val="7"/>
  </w:num>
  <w:num w:numId="15">
    <w:abstractNumId w:val="10"/>
  </w:num>
  <w:num w:numId="16">
    <w:abstractNumId w:val="0"/>
  </w:num>
  <w:num w:numId="17">
    <w:abstractNumId w:val="15"/>
  </w:num>
  <w:num w:numId="18">
    <w:abstractNumId w:val="6"/>
  </w:num>
  <w:num w:numId="19">
    <w:abstractNumId w:val="2"/>
  </w:num>
  <w:num w:numId="20">
    <w:abstractNumId w:val="26"/>
  </w:num>
  <w:num w:numId="21">
    <w:abstractNumId w:val="8"/>
  </w:num>
  <w:num w:numId="22">
    <w:abstractNumId w:val="9"/>
  </w:num>
  <w:num w:numId="23">
    <w:abstractNumId w:val="28"/>
  </w:num>
  <w:num w:numId="24">
    <w:abstractNumId w:val="14"/>
  </w:num>
  <w:num w:numId="25">
    <w:abstractNumId w:val="13"/>
  </w:num>
  <w:num w:numId="26">
    <w:abstractNumId w:val="11"/>
  </w:num>
  <w:num w:numId="27">
    <w:abstractNumId w:val="18"/>
  </w:num>
  <w:num w:numId="28">
    <w:abstractNumId w:val="19"/>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hlNDhiNTdjOWVkMTRhYzJhODdjYjFlZTg1YWNlODgifQ=="/>
  </w:docVars>
  <w:rsids>
    <w:rsidRoot w:val="001F61A4"/>
    <w:rsid w:val="001F61A4"/>
    <w:rsid w:val="003A0158"/>
    <w:rsid w:val="003A21F9"/>
    <w:rsid w:val="00467203"/>
    <w:rsid w:val="00686699"/>
    <w:rsid w:val="00693955"/>
    <w:rsid w:val="006B322D"/>
    <w:rsid w:val="00B841D9"/>
    <w:rsid w:val="00CF40E9"/>
    <w:rsid w:val="00D06BB0"/>
    <w:rsid w:val="00D859A8"/>
    <w:rsid w:val="00EE4117"/>
    <w:rsid w:val="00F75291"/>
    <w:rsid w:val="499A58A3"/>
    <w:rsid w:val="6C794C2B"/>
    <w:rsid w:val="73F8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41" w:hanging="357"/>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5" w:lineRule="auto"/>
      <w:ind w:left="284" w:firstLine="0"/>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autoRedefine/>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6"/>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rPr>
      <w:rFonts w:eastAsia="黑体" w:asciiTheme="majorHAnsi" w:hAnsiTheme="majorHAnsi" w:cstheme="majorBidi"/>
      <w:sz w:val="20"/>
      <w:szCs w:val="20"/>
    </w:rPr>
  </w:style>
  <w:style w:type="paragraph" w:styleId="12">
    <w:name w:val="Subtitle"/>
    <w:basedOn w:val="1"/>
    <w:next w:val="1"/>
    <w:link w:val="28"/>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3">
    <w:name w:val="Title"/>
    <w:basedOn w:val="1"/>
    <w:next w:val="1"/>
    <w:link w:val="27"/>
    <w:autoRedefine/>
    <w:qFormat/>
    <w:uiPriority w:val="10"/>
    <w:pPr>
      <w:spacing w:before="240" w:after="60"/>
      <w:jc w:val="center"/>
      <w:outlineLvl w:val="0"/>
    </w:pPr>
    <w:rPr>
      <w:rFonts w:eastAsia="宋体" w:asciiTheme="majorHAnsi" w:hAnsiTheme="majorHAnsi" w:cstheme="majorBidi"/>
      <w:b/>
      <w:bCs/>
      <w:sz w:val="32"/>
      <w:szCs w:val="32"/>
    </w:rPr>
  </w:style>
  <w:style w:type="character" w:styleId="16">
    <w:name w:val="Strong"/>
    <w:basedOn w:val="15"/>
    <w:autoRedefine/>
    <w:qFormat/>
    <w:uiPriority w:val="22"/>
    <w:rPr>
      <w:b/>
      <w:bCs/>
    </w:rPr>
  </w:style>
  <w:style w:type="character" w:styleId="17">
    <w:name w:val="Emphasis"/>
    <w:basedOn w:val="15"/>
    <w:autoRedefine/>
    <w:qFormat/>
    <w:uiPriority w:val="20"/>
    <w:rPr>
      <w:i/>
      <w:iCs/>
    </w:rPr>
  </w:style>
  <w:style w:type="character" w:customStyle="1" w:styleId="18">
    <w:name w:val="标题 1 Char"/>
    <w:basedOn w:val="15"/>
    <w:link w:val="2"/>
    <w:autoRedefine/>
    <w:qFormat/>
    <w:uiPriority w:val="9"/>
    <w:rPr>
      <w:b/>
      <w:bCs/>
      <w:kern w:val="44"/>
      <w:sz w:val="44"/>
      <w:szCs w:val="44"/>
    </w:rPr>
  </w:style>
  <w:style w:type="character" w:customStyle="1" w:styleId="19">
    <w:name w:val="标题 2 Char"/>
    <w:basedOn w:val="15"/>
    <w:link w:val="3"/>
    <w:autoRedefine/>
    <w:qFormat/>
    <w:uiPriority w:val="9"/>
    <w:rPr>
      <w:rFonts w:asciiTheme="majorHAnsi" w:hAnsiTheme="majorHAnsi" w:eastAsiaTheme="majorEastAsia" w:cstheme="majorBidi"/>
      <w:b/>
      <w:bCs/>
      <w:sz w:val="32"/>
      <w:szCs w:val="32"/>
    </w:rPr>
  </w:style>
  <w:style w:type="character" w:customStyle="1" w:styleId="20">
    <w:name w:val="标题 3 Char"/>
    <w:basedOn w:val="15"/>
    <w:link w:val="4"/>
    <w:autoRedefine/>
    <w:qFormat/>
    <w:uiPriority w:val="9"/>
    <w:rPr>
      <w:b/>
      <w:bCs/>
      <w:sz w:val="32"/>
      <w:szCs w:val="32"/>
    </w:rPr>
  </w:style>
  <w:style w:type="character" w:customStyle="1" w:styleId="21">
    <w:name w:val="标题 4 Char"/>
    <w:basedOn w:val="15"/>
    <w:link w:val="5"/>
    <w:autoRedefine/>
    <w:semiHidden/>
    <w:qFormat/>
    <w:uiPriority w:val="9"/>
    <w:rPr>
      <w:rFonts w:asciiTheme="majorHAnsi" w:hAnsiTheme="majorHAnsi" w:eastAsiaTheme="majorEastAsia" w:cstheme="majorBidi"/>
      <w:b/>
      <w:bCs/>
      <w:sz w:val="28"/>
      <w:szCs w:val="28"/>
    </w:rPr>
  </w:style>
  <w:style w:type="character" w:customStyle="1" w:styleId="22">
    <w:name w:val="标题 5 Char"/>
    <w:basedOn w:val="15"/>
    <w:link w:val="6"/>
    <w:autoRedefine/>
    <w:semiHidden/>
    <w:qFormat/>
    <w:uiPriority w:val="9"/>
    <w:rPr>
      <w:b/>
      <w:bCs/>
      <w:sz w:val="28"/>
      <w:szCs w:val="28"/>
    </w:rPr>
  </w:style>
  <w:style w:type="character" w:customStyle="1" w:styleId="23">
    <w:name w:val="标题 6 Char"/>
    <w:basedOn w:val="15"/>
    <w:link w:val="7"/>
    <w:autoRedefine/>
    <w:semiHidden/>
    <w:qFormat/>
    <w:uiPriority w:val="9"/>
    <w:rPr>
      <w:rFonts w:asciiTheme="majorHAnsi" w:hAnsiTheme="majorHAnsi" w:eastAsiaTheme="majorEastAsia" w:cstheme="majorBidi"/>
      <w:b/>
      <w:bCs/>
      <w:sz w:val="24"/>
      <w:szCs w:val="24"/>
    </w:rPr>
  </w:style>
  <w:style w:type="character" w:customStyle="1" w:styleId="24">
    <w:name w:val="标题 7 Char"/>
    <w:basedOn w:val="15"/>
    <w:link w:val="8"/>
    <w:autoRedefine/>
    <w:semiHidden/>
    <w:qFormat/>
    <w:uiPriority w:val="9"/>
    <w:rPr>
      <w:b/>
      <w:bCs/>
      <w:sz w:val="24"/>
      <w:szCs w:val="24"/>
    </w:rPr>
  </w:style>
  <w:style w:type="character" w:customStyle="1" w:styleId="25">
    <w:name w:val="标题 8 Char"/>
    <w:basedOn w:val="15"/>
    <w:link w:val="9"/>
    <w:autoRedefine/>
    <w:semiHidden/>
    <w:qFormat/>
    <w:uiPriority w:val="9"/>
    <w:rPr>
      <w:rFonts w:asciiTheme="majorHAnsi" w:hAnsiTheme="majorHAnsi" w:eastAsiaTheme="majorEastAsia" w:cstheme="majorBidi"/>
      <w:sz w:val="24"/>
      <w:szCs w:val="24"/>
    </w:rPr>
  </w:style>
  <w:style w:type="character" w:customStyle="1" w:styleId="26">
    <w:name w:val="标题 9 Char"/>
    <w:basedOn w:val="15"/>
    <w:link w:val="10"/>
    <w:autoRedefine/>
    <w:semiHidden/>
    <w:qFormat/>
    <w:uiPriority w:val="9"/>
    <w:rPr>
      <w:rFonts w:asciiTheme="majorHAnsi" w:hAnsiTheme="majorHAnsi" w:eastAsiaTheme="majorEastAsia" w:cstheme="majorBidi"/>
      <w:szCs w:val="21"/>
    </w:rPr>
  </w:style>
  <w:style w:type="character" w:customStyle="1" w:styleId="27">
    <w:name w:val="标题 Char"/>
    <w:basedOn w:val="15"/>
    <w:link w:val="13"/>
    <w:autoRedefine/>
    <w:qFormat/>
    <w:uiPriority w:val="10"/>
    <w:rPr>
      <w:rFonts w:eastAsia="宋体" w:asciiTheme="majorHAnsi" w:hAnsiTheme="majorHAnsi" w:cstheme="majorBidi"/>
      <w:b/>
      <w:bCs/>
      <w:sz w:val="32"/>
      <w:szCs w:val="32"/>
    </w:rPr>
  </w:style>
  <w:style w:type="character" w:customStyle="1" w:styleId="28">
    <w:name w:val="副标题 Char"/>
    <w:basedOn w:val="15"/>
    <w:link w:val="12"/>
    <w:autoRedefine/>
    <w:qFormat/>
    <w:uiPriority w:val="11"/>
    <w:rPr>
      <w:rFonts w:eastAsia="宋体" w:asciiTheme="majorHAnsi" w:hAnsiTheme="majorHAnsi" w:cstheme="majorBidi"/>
      <w:b/>
      <w:bCs/>
      <w:kern w:val="28"/>
      <w:sz w:val="32"/>
      <w:szCs w:val="32"/>
    </w:rPr>
  </w:style>
  <w:style w:type="paragraph" w:styleId="29">
    <w:name w:val="No Spacing"/>
    <w:link w:val="30"/>
    <w:autoRedefine/>
    <w:qFormat/>
    <w:uiPriority w:val="1"/>
    <w:pPr>
      <w:widowControl w:val="0"/>
      <w:ind w:left="641" w:hanging="357"/>
      <w:jc w:val="both"/>
    </w:pPr>
    <w:rPr>
      <w:rFonts w:asciiTheme="minorHAnsi" w:hAnsiTheme="minorHAnsi" w:eastAsiaTheme="minorEastAsia" w:cstheme="minorBidi"/>
      <w:kern w:val="2"/>
      <w:sz w:val="21"/>
      <w:szCs w:val="22"/>
      <w:lang w:val="en-US" w:eastAsia="zh-CN" w:bidi="ar-SA"/>
    </w:rPr>
  </w:style>
  <w:style w:type="character" w:customStyle="1" w:styleId="30">
    <w:name w:val="无间隔 Char"/>
    <w:basedOn w:val="15"/>
    <w:link w:val="29"/>
    <w:autoRedefine/>
    <w:qFormat/>
    <w:uiPriority w:val="1"/>
  </w:style>
  <w:style w:type="paragraph" w:styleId="31">
    <w:name w:val="List Paragraph"/>
    <w:basedOn w:val="1"/>
    <w:autoRedefine/>
    <w:qFormat/>
    <w:uiPriority w:val="34"/>
    <w:pPr>
      <w:ind w:firstLine="420" w:firstLineChars="200"/>
    </w:pPr>
  </w:style>
  <w:style w:type="paragraph" w:styleId="32">
    <w:name w:val="Quote"/>
    <w:basedOn w:val="1"/>
    <w:next w:val="1"/>
    <w:link w:val="33"/>
    <w:autoRedefine/>
    <w:qFormat/>
    <w:uiPriority w:val="29"/>
    <w:rPr>
      <w:i/>
      <w:iCs/>
      <w:color w:val="000000" w:themeColor="text1"/>
    </w:rPr>
  </w:style>
  <w:style w:type="character" w:customStyle="1" w:styleId="33">
    <w:name w:val="引用 Char"/>
    <w:basedOn w:val="15"/>
    <w:link w:val="32"/>
    <w:autoRedefine/>
    <w:qFormat/>
    <w:uiPriority w:val="29"/>
    <w:rPr>
      <w:i/>
      <w:iCs/>
      <w:color w:val="000000" w:themeColor="text1"/>
    </w:rPr>
  </w:style>
  <w:style w:type="paragraph" w:styleId="34">
    <w:name w:val="Intense Quote"/>
    <w:basedOn w:val="1"/>
    <w:next w:val="1"/>
    <w:link w:val="35"/>
    <w:autoRedefine/>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5">
    <w:name w:val="明显引用 Char"/>
    <w:basedOn w:val="15"/>
    <w:link w:val="34"/>
    <w:autoRedefine/>
    <w:qFormat/>
    <w:uiPriority w:val="30"/>
    <w:rPr>
      <w:b/>
      <w:bCs/>
      <w:i/>
      <w:iCs/>
      <w:color w:val="4F81BD" w:themeColor="accent1"/>
    </w:rPr>
  </w:style>
  <w:style w:type="character" w:customStyle="1" w:styleId="36">
    <w:name w:val="Subtle Emphasis"/>
    <w:basedOn w:val="15"/>
    <w:autoRedefine/>
    <w:qFormat/>
    <w:uiPriority w:val="19"/>
    <w:rPr>
      <w:i/>
      <w:iCs/>
      <w:color w:val="7F7F7F" w:themeColor="text1" w:themeTint="7F"/>
    </w:rPr>
  </w:style>
  <w:style w:type="character" w:customStyle="1" w:styleId="37">
    <w:name w:val="Intense Emphasis"/>
    <w:basedOn w:val="15"/>
    <w:autoRedefine/>
    <w:qFormat/>
    <w:uiPriority w:val="21"/>
    <w:rPr>
      <w:b/>
      <w:bCs/>
      <w:i/>
      <w:iCs/>
      <w:color w:val="4F81BD" w:themeColor="accent1"/>
    </w:rPr>
  </w:style>
  <w:style w:type="character" w:customStyle="1" w:styleId="38">
    <w:name w:val="Subtle Reference"/>
    <w:basedOn w:val="15"/>
    <w:autoRedefine/>
    <w:qFormat/>
    <w:uiPriority w:val="31"/>
    <w:rPr>
      <w:smallCaps/>
      <w:color w:val="C0504D" w:themeColor="accent2"/>
      <w:u w:val="single"/>
    </w:rPr>
  </w:style>
  <w:style w:type="character" w:customStyle="1" w:styleId="39">
    <w:name w:val="Intense Reference"/>
    <w:basedOn w:val="15"/>
    <w:autoRedefine/>
    <w:qFormat/>
    <w:uiPriority w:val="32"/>
    <w:rPr>
      <w:b/>
      <w:bCs/>
      <w:smallCaps/>
      <w:color w:val="C0504D" w:themeColor="accent2"/>
      <w:spacing w:val="5"/>
      <w:u w:val="single"/>
    </w:rPr>
  </w:style>
  <w:style w:type="character" w:customStyle="1" w:styleId="40">
    <w:name w:val="Book Title"/>
    <w:basedOn w:val="15"/>
    <w:autoRedefine/>
    <w:qFormat/>
    <w:uiPriority w:val="33"/>
    <w:rPr>
      <w:b/>
      <w:bCs/>
      <w:smallCaps/>
      <w:spacing w:val="5"/>
    </w:rPr>
  </w:style>
  <w:style w:type="paragraph" w:customStyle="1" w:styleId="41">
    <w:name w:val="TOC Heading"/>
    <w:basedOn w:val="2"/>
    <w:next w:val="1"/>
    <w:autoRedefine/>
    <w:semiHidden/>
    <w:unhideWhenUsed/>
    <w:qFormat/>
    <w:uiPriority w:val="39"/>
    <w:pPr>
      <w:outlineLvl w:val="9"/>
    </w:pPr>
  </w:style>
  <w:style w:type="paragraph" w:customStyle="1" w:styleId="42">
    <w:name w:val="样式1"/>
    <w:basedOn w:val="1"/>
    <w:link w:val="43"/>
    <w:autoRedefine/>
    <w:qFormat/>
    <w:uiPriority w:val="0"/>
  </w:style>
  <w:style w:type="character" w:customStyle="1" w:styleId="43">
    <w:name w:val="样式1 Char"/>
    <w:basedOn w:val="15"/>
    <w:link w:val="42"/>
    <w:autoRedefine/>
    <w:qFormat/>
    <w:uiPriority w:val="0"/>
  </w:style>
  <w:style w:type="paragraph" w:customStyle="1" w:styleId="44">
    <w:name w:val="样式2"/>
    <w:basedOn w:val="2"/>
    <w:link w:val="45"/>
    <w:autoRedefine/>
    <w:qFormat/>
    <w:uiPriority w:val="0"/>
    <w:pPr>
      <w:numPr>
        <w:ilvl w:val="0"/>
        <w:numId w:val="1"/>
      </w:numPr>
    </w:pPr>
  </w:style>
  <w:style w:type="character" w:customStyle="1" w:styleId="45">
    <w:name w:val="样式2 Char"/>
    <w:basedOn w:val="18"/>
    <w:link w:val="44"/>
    <w:autoRedefine/>
    <w:qFormat/>
    <w:uiPriority w:val="0"/>
  </w:style>
  <w:style w:type="paragraph" w:customStyle="1" w:styleId="46">
    <w:name w:val="样式3"/>
    <w:basedOn w:val="2"/>
    <w:link w:val="47"/>
    <w:autoRedefine/>
    <w:qFormat/>
    <w:uiPriority w:val="0"/>
    <w:pPr>
      <w:numPr>
        <w:ilvl w:val="0"/>
        <w:numId w:val="2"/>
      </w:numPr>
    </w:pPr>
  </w:style>
  <w:style w:type="character" w:customStyle="1" w:styleId="47">
    <w:name w:val="样式3 Char"/>
    <w:basedOn w:val="18"/>
    <w:link w:val="46"/>
    <w:autoRedefine/>
    <w:qFormat/>
    <w:uiPriority w:val="0"/>
  </w:style>
  <w:style w:type="paragraph" w:customStyle="1" w:styleId="48">
    <w:name w:val="样式4"/>
    <w:basedOn w:val="2"/>
    <w:link w:val="49"/>
    <w:autoRedefine/>
    <w:qFormat/>
    <w:uiPriority w:val="0"/>
    <w:pPr>
      <w:numPr>
        <w:ilvl w:val="0"/>
        <w:numId w:val="3"/>
      </w:numPr>
    </w:pPr>
  </w:style>
  <w:style w:type="character" w:customStyle="1" w:styleId="49">
    <w:name w:val="样式4 Char"/>
    <w:basedOn w:val="18"/>
    <w:link w:val="48"/>
    <w:autoRedefine/>
    <w:qFormat/>
    <w:uiPriority w:val="0"/>
  </w:style>
  <w:style w:type="paragraph" w:customStyle="1" w:styleId="50">
    <w:name w:val="样式5"/>
    <w:basedOn w:val="2"/>
    <w:link w:val="51"/>
    <w:autoRedefine/>
    <w:qFormat/>
    <w:uiPriority w:val="0"/>
    <w:pPr>
      <w:numPr>
        <w:ilvl w:val="0"/>
        <w:numId w:val="4"/>
      </w:numPr>
    </w:pPr>
  </w:style>
  <w:style w:type="character" w:customStyle="1" w:styleId="51">
    <w:name w:val="样式5 Char"/>
    <w:basedOn w:val="18"/>
    <w:link w:val="50"/>
    <w:autoRedefine/>
    <w:qFormat/>
    <w:uiPriority w:val="0"/>
  </w:style>
  <w:style w:type="paragraph" w:customStyle="1" w:styleId="52">
    <w:name w:val="样式6"/>
    <w:basedOn w:val="2"/>
    <w:link w:val="53"/>
    <w:autoRedefine/>
    <w:qFormat/>
    <w:uiPriority w:val="0"/>
    <w:pPr>
      <w:numPr>
        <w:ilvl w:val="0"/>
        <w:numId w:val="5"/>
      </w:numPr>
    </w:pPr>
  </w:style>
  <w:style w:type="character" w:customStyle="1" w:styleId="53">
    <w:name w:val="样式6 Char"/>
    <w:basedOn w:val="18"/>
    <w:link w:val="52"/>
    <w:autoRedefine/>
    <w:qFormat/>
    <w:uiPriority w:val="0"/>
  </w:style>
  <w:style w:type="paragraph" w:customStyle="1" w:styleId="54">
    <w:name w:val="样式7"/>
    <w:basedOn w:val="2"/>
    <w:link w:val="55"/>
    <w:autoRedefine/>
    <w:qFormat/>
    <w:uiPriority w:val="0"/>
    <w:pPr>
      <w:numPr>
        <w:ilvl w:val="0"/>
        <w:numId w:val="6"/>
      </w:numPr>
    </w:pPr>
  </w:style>
  <w:style w:type="character" w:customStyle="1" w:styleId="55">
    <w:name w:val="样式7 Char"/>
    <w:basedOn w:val="18"/>
    <w:link w:val="54"/>
    <w:autoRedefine/>
    <w:qFormat/>
    <w:uiPriority w:val="0"/>
  </w:style>
  <w:style w:type="paragraph" w:customStyle="1" w:styleId="56">
    <w:name w:val="样式8"/>
    <w:basedOn w:val="3"/>
    <w:link w:val="57"/>
    <w:autoRedefine/>
    <w:qFormat/>
    <w:uiPriority w:val="0"/>
    <w:pPr>
      <w:numPr>
        <w:ilvl w:val="0"/>
        <w:numId w:val="7"/>
      </w:numPr>
    </w:pPr>
  </w:style>
  <w:style w:type="character" w:customStyle="1" w:styleId="57">
    <w:name w:val="样式8 Char"/>
    <w:basedOn w:val="19"/>
    <w:link w:val="56"/>
    <w:autoRedefine/>
    <w:qFormat/>
    <w:uiPriority w:val="0"/>
  </w:style>
  <w:style w:type="paragraph" w:customStyle="1" w:styleId="58">
    <w:name w:val="样式9"/>
    <w:basedOn w:val="3"/>
    <w:link w:val="59"/>
    <w:autoRedefine/>
    <w:qFormat/>
    <w:uiPriority w:val="0"/>
    <w:pPr>
      <w:numPr>
        <w:ilvl w:val="0"/>
        <w:numId w:val="8"/>
      </w:numPr>
    </w:pPr>
  </w:style>
  <w:style w:type="character" w:customStyle="1" w:styleId="59">
    <w:name w:val="样式9 Char"/>
    <w:basedOn w:val="19"/>
    <w:link w:val="58"/>
    <w:autoRedefine/>
    <w:qFormat/>
    <w:uiPriority w:val="0"/>
  </w:style>
  <w:style w:type="paragraph" w:customStyle="1" w:styleId="60">
    <w:name w:val="样式10"/>
    <w:basedOn w:val="3"/>
    <w:link w:val="61"/>
    <w:autoRedefine/>
    <w:qFormat/>
    <w:uiPriority w:val="0"/>
    <w:pPr>
      <w:numPr>
        <w:ilvl w:val="0"/>
        <w:numId w:val="9"/>
      </w:numPr>
    </w:pPr>
  </w:style>
  <w:style w:type="character" w:customStyle="1" w:styleId="61">
    <w:name w:val="样式10 Char"/>
    <w:basedOn w:val="19"/>
    <w:link w:val="60"/>
    <w:autoRedefine/>
    <w:qFormat/>
    <w:uiPriority w:val="0"/>
  </w:style>
  <w:style w:type="paragraph" w:customStyle="1" w:styleId="62">
    <w:name w:val="样式11"/>
    <w:basedOn w:val="3"/>
    <w:link w:val="63"/>
    <w:autoRedefine/>
    <w:qFormat/>
    <w:uiPriority w:val="0"/>
    <w:pPr>
      <w:numPr>
        <w:ilvl w:val="0"/>
        <w:numId w:val="10"/>
      </w:numPr>
    </w:pPr>
  </w:style>
  <w:style w:type="character" w:customStyle="1" w:styleId="63">
    <w:name w:val="样式11 Char"/>
    <w:basedOn w:val="19"/>
    <w:link w:val="62"/>
    <w:autoRedefine/>
    <w:qFormat/>
    <w:uiPriority w:val="0"/>
  </w:style>
  <w:style w:type="paragraph" w:customStyle="1" w:styleId="64">
    <w:name w:val="样式12"/>
    <w:basedOn w:val="3"/>
    <w:link w:val="65"/>
    <w:autoRedefine/>
    <w:qFormat/>
    <w:uiPriority w:val="0"/>
    <w:pPr>
      <w:numPr>
        <w:ilvl w:val="0"/>
        <w:numId w:val="11"/>
      </w:numPr>
    </w:pPr>
  </w:style>
  <w:style w:type="character" w:customStyle="1" w:styleId="65">
    <w:name w:val="样式12 Char"/>
    <w:basedOn w:val="19"/>
    <w:link w:val="64"/>
    <w:autoRedefine/>
    <w:qFormat/>
    <w:uiPriority w:val="0"/>
  </w:style>
  <w:style w:type="paragraph" w:customStyle="1" w:styleId="66">
    <w:name w:val="样式13"/>
    <w:basedOn w:val="3"/>
    <w:link w:val="67"/>
    <w:autoRedefine/>
    <w:qFormat/>
    <w:uiPriority w:val="0"/>
    <w:pPr>
      <w:numPr>
        <w:ilvl w:val="0"/>
        <w:numId w:val="12"/>
      </w:numPr>
    </w:pPr>
  </w:style>
  <w:style w:type="character" w:customStyle="1" w:styleId="67">
    <w:name w:val="样式13 Char"/>
    <w:basedOn w:val="19"/>
    <w:link w:val="66"/>
    <w:autoRedefine/>
    <w:qFormat/>
    <w:uiPriority w:val="0"/>
  </w:style>
  <w:style w:type="paragraph" w:customStyle="1" w:styleId="68">
    <w:name w:val="样式14"/>
    <w:basedOn w:val="4"/>
    <w:link w:val="69"/>
    <w:autoRedefine/>
    <w:qFormat/>
    <w:uiPriority w:val="0"/>
    <w:pPr>
      <w:numPr>
        <w:ilvl w:val="0"/>
        <w:numId w:val="13"/>
      </w:numPr>
    </w:pPr>
  </w:style>
  <w:style w:type="character" w:customStyle="1" w:styleId="69">
    <w:name w:val="样式14 Char"/>
    <w:basedOn w:val="20"/>
    <w:link w:val="68"/>
    <w:autoRedefine/>
    <w:qFormat/>
    <w:uiPriority w:val="0"/>
  </w:style>
  <w:style w:type="paragraph" w:customStyle="1" w:styleId="70">
    <w:name w:val="样式15"/>
    <w:basedOn w:val="4"/>
    <w:link w:val="71"/>
    <w:autoRedefine/>
    <w:qFormat/>
    <w:uiPriority w:val="0"/>
    <w:pPr>
      <w:numPr>
        <w:ilvl w:val="0"/>
        <w:numId w:val="14"/>
      </w:numPr>
    </w:pPr>
  </w:style>
  <w:style w:type="character" w:customStyle="1" w:styleId="71">
    <w:name w:val="样式15 Char"/>
    <w:basedOn w:val="20"/>
    <w:link w:val="70"/>
    <w:autoRedefine/>
    <w:qFormat/>
    <w:uiPriority w:val="0"/>
  </w:style>
  <w:style w:type="paragraph" w:customStyle="1" w:styleId="72">
    <w:name w:val="样式16"/>
    <w:basedOn w:val="4"/>
    <w:link w:val="73"/>
    <w:autoRedefine/>
    <w:qFormat/>
    <w:uiPriority w:val="0"/>
    <w:pPr>
      <w:numPr>
        <w:ilvl w:val="0"/>
        <w:numId w:val="15"/>
      </w:numPr>
    </w:pPr>
  </w:style>
  <w:style w:type="character" w:customStyle="1" w:styleId="73">
    <w:name w:val="样式16 Char"/>
    <w:basedOn w:val="20"/>
    <w:link w:val="72"/>
    <w:autoRedefine/>
    <w:qFormat/>
    <w:uiPriority w:val="0"/>
  </w:style>
  <w:style w:type="paragraph" w:customStyle="1" w:styleId="74">
    <w:name w:val="样式17"/>
    <w:basedOn w:val="4"/>
    <w:link w:val="75"/>
    <w:autoRedefine/>
    <w:qFormat/>
    <w:uiPriority w:val="0"/>
    <w:pPr>
      <w:numPr>
        <w:ilvl w:val="0"/>
        <w:numId w:val="16"/>
      </w:numPr>
    </w:pPr>
  </w:style>
  <w:style w:type="character" w:customStyle="1" w:styleId="75">
    <w:name w:val="样式17 Char"/>
    <w:basedOn w:val="20"/>
    <w:link w:val="74"/>
    <w:autoRedefine/>
    <w:qFormat/>
    <w:uiPriority w:val="0"/>
  </w:style>
  <w:style w:type="paragraph" w:customStyle="1" w:styleId="76">
    <w:name w:val="样式18"/>
    <w:basedOn w:val="4"/>
    <w:link w:val="77"/>
    <w:autoRedefine/>
    <w:qFormat/>
    <w:uiPriority w:val="0"/>
    <w:pPr>
      <w:numPr>
        <w:ilvl w:val="0"/>
        <w:numId w:val="17"/>
      </w:numPr>
    </w:pPr>
  </w:style>
  <w:style w:type="character" w:customStyle="1" w:styleId="77">
    <w:name w:val="样式18 Char"/>
    <w:basedOn w:val="20"/>
    <w:link w:val="76"/>
    <w:autoRedefine/>
    <w:qFormat/>
    <w:uiPriority w:val="0"/>
  </w:style>
  <w:style w:type="paragraph" w:customStyle="1" w:styleId="78">
    <w:name w:val="样式19"/>
    <w:basedOn w:val="4"/>
    <w:link w:val="79"/>
    <w:autoRedefine/>
    <w:qFormat/>
    <w:uiPriority w:val="0"/>
    <w:pPr>
      <w:numPr>
        <w:ilvl w:val="0"/>
        <w:numId w:val="18"/>
      </w:numPr>
    </w:pPr>
  </w:style>
  <w:style w:type="character" w:customStyle="1" w:styleId="79">
    <w:name w:val="样式19 Char"/>
    <w:basedOn w:val="20"/>
    <w:link w:val="78"/>
    <w:autoRedefine/>
    <w:qFormat/>
    <w:uiPriority w:val="0"/>
  </w:style>
  <w:style w:type="paragraph" w:customStyle="1" w:styleId="80">
    <w:name w:val="样式20"/>
    <w:basedOn w:val="5"/>
    <w:link w:val="81"/>
    <w:autoRedefine/>
    <w:qFormat/>
    <w:uiPriority w:val="0"/>
    <w:pPr>
      <w:numPr>
        <w:ilvl w:val="0"/>
        <w:numId w:val="19"/>
      </w:numPr>
    </w:pPr>
  </w:style>
  <w:style w:type="character" w:customStyle="1" w:styleId="81">
    <w:name w:val="样式20 Char"/>
    <w:basedOn w:val="21"/>
    <w:link w:val="80"/>
    <w:autoRedefine/>
    <w:qFormat/>
    <w:uiPriority w:val="0"/>
  </w:style>
  <w:style w:type="paragraph" w:customStyle="1" w:styleId="82">
    <w:name w:val="样式21"/>
    <w:basedOn w:val="5"/>
    <w:link w:val="83"/>
    <w:autoRedefine/>
    <w:qFormat/>
    <w:uiPriority w:val="0"/>
    <w:pPr>
      <w:numPr>
        <w:ilvl w:val="0"/>
        <w:numId w:val="20"/>
      </w:numPr>
    </w:pPr>
  </w:style>
  <w:style w:type="character" w:customStyle="1" w:styleId="83">
    <w:name w:val="样式21 Char"/>
    <w:basedOn w:val="21"/>
    <w:link w:val="82"/>
    <w:autoRedefine/>
    <w:qFormat/>
    <w:uiPriority w:val="0"/>
  </w:style>
  <w:style w:type="paragraph" w:customStyle="1" w:styleId="84">
    <w:name w:val="样式22"/>
    <w:basedOn w:val="5"/>
    <w:link w:val="85"/>
    <w:autoRedefine/>
    <w:qFormat/>
    <w:uiPriority w:val="0"/>
    <w:pPr>
      <w:numPr>
        <w:ilvl w:val="0"/>
        <w:numId w:val="21"/>
      </w:numPr>
    </w:pPr>
  </w:style>
  <w:style w:type="character" w:customStyle="1" w:styleId="85">
    <w:name w:val="样式22 Char"/>
    <w:basedOn w:val="21"/>
    <w:link w:val="84"/>
    <w:autoRedefine/>
    <w:qFormat/>
    <w:uiPriority w:val="0"/>
  </w:style>
  <w:style w:type="paragraph" w:customStyle="1" w:styleId="86">
    <w:name w:val="样式23"/>
    <w:basedOn w:val="5"/>
    <w:link w:val="87"/>
    <w:autoRedefine/>
    <w:qFormat/>
    <w:uiPriority w:val="0"/>
    <w:pPr>
      <w:numPr>
        <w:ilvl w:val="0"/>
        <w:numId w:val="22"/>
      </w:numPr>
    </w:pPr>
  </w:style>
  <w:style w:type="character" w:customStyle="1" w:styleId="87">
    <w:name w:val="样式23 Char"/>
    <w:basedOn w:val="21"/>
    <w:link w:val="86"/>
    <w:autoRedefine/>
    <w:qFormat/>
    <w:uiPriority w:val="0"/>
  </w:style>
  <w:style w:type="paragraph" w:customStyle="1" w:styleId="88">
    <w:name w:val="样式24"/>
    <w:basedOn w:val="5"/>
    <w:link w:val="89"/>
    <w:autoRedefine/>
    <w:qFormat/>
    <w:uiPriority w:val="0"/>
    <w:pPr>
      <w:numPr>
        <w:ilvl w:val="0"/>
        <w:numId w:val="23"/>
      </w:numPr>
    </w:pPr>
  </w:style>
  <w:style w:type="character" w:customStyle="1" w:styleId="89">
    <w:name w:val="样式24 Char"/>
    <w:basedOn w:val="21"/>
    <w:link w:val="88"/>
    <w:autoRedefine/>
    <w:qFormat/>
    <w:uiPriority w:val="0"/>
  </w:style>
  <w:style w:type="paragraph" w:customStyle="1" w:styleId="90">
    <w:name w:val="样式25"/>
    <w:basedOn w:val="5"/>
    <w:link w:val="91"/>
    <w:autoRedefine/>
    <w:qFormat/>
    <w:uiPriority w:val="0"/>
    <w:pPr>
      <w:numPr>
        <w:ilvl w:val="0"/>
        <w:numId w:val="24"/>
      </w:numPr>
    </w:pPr>
  </w:style>
  <w:style w:type="character" w:customStyle="1" w:styleId="91">
    <w:name w:val="样式25 Char"/>
    <w:basedOn w:val="21"/>
    <w:link w:val="90"/>
    <w:autoRedefine/>
    <w:qFormat/>
    <w:uiPriority w:val="0"/>
  </w:style>
  <w:style w:type="paragraph" w:customStyle="1" w:styleId="92">
    <w:name w:val="样式26"/>
    <w:basedOn w:val="6"/>
    <w:link w:val="93"/>
    <w:autoRedefine/>
    <w:qFormat/>
    <w:uiPriority w:val="0"/>
    <w:pPr>
      <w:numPr>
        <w:ilvl w:val="0"/>
        <w:numId w:val="25"/>
      </w:numPr>
    </w:pPr>
  </w:style>
  <w:style w:type="character" w:customStyle="1" w:styleId="93">
    <w:name w:val="样式26 Char"/>
    <w:basedOn w:val="22"/>
    <w:link w:val="92"/>
    <w:autoRedefine/>
    <w:qFormat/>
    <w:uiPriority w:val="0"/>
  </w:style>
  <w:style w:type="paragraph" w:customStyle="1" w:styleId="94">
    <w:name w:val="样式27"/>
    <w:basedOn w:val="6"/>
    <w:link w:val="95"/>
    <w:autoRedefine/>
    <w:qFormat/>
    <w:uiPriority w:val="0"/>
    <w:pPr>
      <w:numPr>
        <w:ilvl w:val="0"/>
        <w:numId w:val="26"/>
      </w:numPr>
    </w:pPr>
  </w:style>
  <w:style w:type="character" w:customStyle="1" w:styleId="95">
    <w:name w:val="样式27 Char"/>
    <w:basedOn w:val="22"/>
    <w:link w:val="94"/>
    <w:autoRedefine/>
    <w:qFormat/>
    <w:uiPriority w:val="0"/>
  </w:style>
  <w:style w:type="paragraph" w:customStyle="1" w:styleId="96">
    <w:name w:val="样式28"/>
    <w:basedOn w:val="6"/>
    <w:link w:val="97"/>
    <w:autoRedefine/>
    <w:qFormat/>
    <w:uiPriority w:val="0"/>
    <w:pPr>
      <w:numPr>
        <w:ilvl w:val="0"/>
        <w:numId w:val="27"/>
      </w:numPr>
    </w:pPr>
  </w:style>
  <w:style w:type="character" w:customStyle="1" w:styleId="97">
    <w:name w:val="样式28 Char"/>
    <w:basedOn w:val="22"/>
    <w:link w:val="96"/>
    <w:autoRedefine/>
    <w:qFormat/>
    <w:uiPriority w:val="0"/>
  </w:style>
  <w:style w:type="paragraph" w:customStyle="1" w:styleId="98">
    <w:name w:val="样式29"/>
    <w:basedOn w:val="6"/>
    <w:link w:val="99"/>
    <w:autoRedefine/>
    <w:qFormat/>
    <w:uiPriority w:val="0"/>
    <w:pPr>
      <w:numPr>
        <w:ilvl w:val="0"/>
        <w:numId w:val="28"/>
      </w:numPr>
    </w:pPr>
  </w:style>
  <w:style w:type="character" w:customStyle="1" w:styleId="99">
    <w:name w:val="样式29 Char"/>
    <w:basedOn w:val="22"/>
    <w:link w:val="98"/>
    <w:autoRedefine/>
    <w:qFormat/>
    <w:uiPriority w:val="0"/>
  </w:style>
  <w:style w:type="paragraph" w:customStyle="1" w:styleId="100">
    <w:name w:val="样式30"/>
    <w:basedOn w:val="6"/>
    <w:link w:val="101"/>
    <w:autoRedefine/>
    <w:qFormat/>
    <w:uiPriority w:val="0"/>
    <w:pPr>
      <w:numPr>
        <w:ilvl w:val="0"/>
        <w:numId w:val="29"/>
      </w:numPr>
    </w:pPr>
  </w:style>
  <w:style w:type="character" w:customStyle="1" w:styleId="101">
    <w:name w:val="样式30 Char"/>
    <w:basedOn w:val="22"/>
    <w:link w:val="100"/>
    <w:autoRedefine/>
    <w:qFormat/>
    <w:uiPriority w:val="0"/>
  </w:style>
  <w:style w:type="paragraph" w:customStyle="1" w:styleId="102">
    <w:name w:val="样式31"/>
    <w:basedOn w:val="6"/>
    <w:link w:val="103"/>
    <w:autoRedefine/>
    <w:qFormat/>
    <w:uiPriority w:val="0"/>
    <w:pPr>
      <w:numPr>
        <w:ilvl w:val="0"/>
        <w:numId w:val="30"/>
      </w:numPr>
    </w:pPr>
  </w:style>
  <w:style w:type="character" w:customStyle="1" w:styleId="103">
    <w:name w:val="样式31 Char"/>
    <w:basedOn w:val="22"/>
    <w:link w:val="10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863</Words>
  <Characters>4921</Characters>
  <Lines>41</Lines>
  <Paragraphs>11</Paragraphs>
  <TotalTime>1</TotalTime>
  <ScaleCrop>false</ScaleCrop>
  <LinksUpToDate>false</LinksUpToDate>
  <CharactersWithSpaces>5773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2024-04-23T07:34:00Z</dcterms:created>
  <dc:creator>User</dc:creator>
  <cp:lastModifiedBy>何燕</cp:lastModifiedBy>
  <dcterms:modified xsi:type="dcterms:W3CDTF">2024-04-23T08:02:41Z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4AA06E9E4D454AAC91DA78CB01FDC17A_12</vt:lpwstr>
  </property>
</Properties>
</file>