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5" w:line="222" w:lineRule="auto"/>
        <w:ind w:left="1066"/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spacing w:val="4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生猪储备资金</w:t>
      </w: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专项资金支出绩效自评报告</w:t>
      </w:r>
    </w:p>
    <w:p>
      <w:pPr>
        <w:pStyle w:val="5"/>
      </w:pPr>
    </w:p>
    <w:p>
      <w:pPr>
        <w:spacing w:before="241" w:line="523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7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、项目基本情况</w:t>
      </w:r>
    </w:p>
    <w:p>
      <w:pPr>
        <w:spacing w:before="100" w:line="228" w:lineRule="auto"/>
        <w:ind w:left="680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( 一) 项目概</w:t>
      </w:r>
      <w:r>
        <w:rPr>
          <w:rFonts w:ascii="仿宋" w:hAnsi="仿宋" w:eastAsia="仿宋" w:cs="仿宋"/>
          <w:spacing w:val="3"/>
          <w:sz w:val="31"/>
          <w:szCs w:val="31"/>
        </w:rPr>
        <w:t>况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拟订粮食和物资储备仓储管理有关技术标准和规范并组织实施，负责全县粮食流通、加工行业安全生产的监督管理，承担所属物资储备承储单位安全生产的监督责任。(二) 项目绩效目标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1、项目绩效总目标：新增市级生猪活体储备企业1家，生猪年出栏头数大于2500头，保障居民生活必需品价格稳定，提高企业积极性。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2、项目绩效阶段性目标：奋战一百天，实现双过半。</w:t>
      </w:r>
    </w:p>
    <w:p>
      <w:pPr>
        <w:spacing w:before="208" w:line="437" w:lineRule="exact"/>
        <w:ind w:left="686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、项目单位绩效报告情况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新增市级生猪活体储备企业1家（祁东县晓林种植养殖合作社年出栏2900头）。</w:t>
      </w:r>
    </w:p>
    <w:p>
      <w:pPr>
        <w:spacing w:before="187" w:line="415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三、绩效评价工作情况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(一) 绩效评价目的。旨在查看生猪储备资金专项资金使用的规范性、项目的效益性等，进一步规范资金和项目管理，提高资金使用效益。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(二) 绩效评价原则、评价指标体系、评价方法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1、绩效评价原则：绩效导向原则、目标管理原则、责任追究原则、信息公开原则。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2、绩效指标体系。在参考绩效评价指标体系，充分考虑商务工作涉及的目标要求，重点对“项目绩效”指标进行设计，其中“项目产出”“项目效果”尽量做到量化。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3.评价方法。本次绩效评价采用定量与定性相结合、运用比较法、因素分析法、公众评议法等进行评价。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(三) 绩效评价工作过程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1、前期准备。按县财政局相关文件要求，量化分级管理，对涉及本项目的相关文件进行了学习与分析，并制定项目评价实施方案，设计绩效评价体系，报财政局审核后组织实施。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2、组织实施。采取听情况、问问题、看账目，对社会公众调查等形式开展考评。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3、分析评价。根据收集资料和现场考评情况进行汇总分析，根据设定的绩效评价指标体系进行评分，最终形成综合性书面报告。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四、绩效评价指标分析情况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1.项目资金到位情况分析。按年初预算，县财政局已拨付生猪储备资金专项资金101.6万元到位。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2.项目资金使用情况分析。2023年度实际支付生猪储备资金专项经费101.6万元。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3.项目资金管理情况分析。我局严格加强专项经费收支管理，项目资金的拨付严格按照专项资金管理办法，按程序申报和拨付，坚持专款专用。</w:t>
      </w:r>
    </w:p>
    <w:p>
      <w:pPr>
        <w:sectPr>
          <w:pgSz w:w="11906" w:h="16839"/>
          <w:pgMar w:top="1431" w:right="1785" w:bottom="1156" w:left="1785" w:header="0" w:footer="99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五、综合评价情况及评价结论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2023年度我局生猪储备资金专项经费管理规范，项目管理到位，对全县的生猪储备资金工作起到了促进作用，发挥了财政资金的作用，综合评价得分98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分，考评等级为“优”。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六、绩效评价结果应用建议 (以后年度预算安排、评价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结果公开等)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是继续完善财政预算绩效管理工作和绩效评价体系。学习借鉴兄弟单位的先进做法，不断健全财政预算绩效管理工作和绩效评价工作机制。探索设定项目个性化指标，科学合理的设置评价标准，修订完善评价指标体系，逐步提高评价工作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二是建立绩效评价“三位一体”工作机制。将绩效预期目标申报、绩效评价、绩效结果应用这三方面内容贯穿于每个项目。逐步建立项目预期绩效目标申报、评价结果反馈与整改、评价信息报告等制度。切实提高绩效意识和财政资金使用效益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七、主要经验及做法、存在的问题和建议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ZGJkYjI5OGQxZTdmNTE0NWZhNzAwODZhZjY3ZTIifQ=="/>
  </w:docVars>
  <w:rsids>
    <w:rsidRoot w:val="00000000"/>
    <w:rsid w:val="07CA6BE9"/>
    <w:rsid w:val="0BF610A6"/>
    <w:rsid w:val="17221772"/>
    <w:rsid w:val="2AF0360D"/>
    <w:rsid w:val="2EAC15A8"/>
    <w:rsid w:val="366F17FC"/>
    <w:rsid w:val="37C3518B"/>
    <w:rsid w:val="467232DF"/>
    <w:rsid w:val="4741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9" w:lineRule="auto"/>
      <w:jc w:val="center"/>
      <w:outlineLvl w:val="0"/>
    </w:pPr>
    <w:rPr>
      <w:rFonts w:ascii="Times New Roman" w:hAnsi="Times New Roman" w:eastAsia="黑体"/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OC 标题1"/>
    <w:basedOn w:val="2"/>
    <w:next w:val="1"/>
    <w:autoRedefine/>
    <w:qFormat/>
    <w:uiPriority w:val="39"/>
    <w:pPr>
      <w:spacing w:before="480" w:after="0" w:line="276" w:lineRule="auto"/>
      <w:jc w:val="center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7">
    <w:name w:val="UserStyle_0"/>
    <w:basedOn w:val="8"/>
    <w:autoRedefine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_GB2312" w:hAnsi="仿宋_GB2312" w:eastAsia="方正仿宋_GBK"/>
      <w:kern w:val="2"/>
      <w:sz w:val="32"/>
      <w:szCs w:val="24"/>
      <w:lang w:val="en-US" w:eastAsia="zh-CN" w:bidi="ar-SA"/>
    </w:rPr>
  </w:style>
  <w:style w:type="paragraph" w:customStyle="1" w:styleId="8">
    <w:name w:val="UserStyle_1"/>
    <w:basedOn w:val="1"/>
    <w:autoRedefine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方正仿宋_GBK" w:hAnsi="Calibri"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2024-05-13T14:08:00Z</dcterms:created>
  <dc:creator>LENOVO</dc:creator>
  <cp:lastModifiedBy>轻描淡写</cp:lastModifiedBy>
  <dcterms:modified xsi:type="dcterms:W3CDTF">2024-05-13T14:30:46Z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FB130D59EAAB41859FAC918A84400560_12</vt:lpwstr>
  </property>
</Properties>
</file>