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5" w:line="222" w:lineRule="auto"/>
        <w:jc w:val="center"/>
        <w:rPr>
          <w:rFonts w:ascii="宋体" w:hAnsi="宋体" w:eastAsia="宋体" w:cs="宋体"/>
          <w:spacing w:val="4"/>
          <w:sz w:val="35"/>
          <w:szCs w:val="35"/>
          <w14:textOutline w14:w="6537" w14:cap="sq" w14:cmpd="sng">
            <w14:solidFill>
              <w14:srgbClr w14:val="000000"/>
            </w14:solidFill>
            <w14:prstDash w14:val="solid"/>
            <w14:bevel/>
          </w14:textOutline>
        </w:rPr>
      </w:pPr>
      <w:r>
        <w:rPr>
          <w:rFonts w:ascii="宋体" w:hAnsi="宋体" w:eastAsia="宋体" w:cs="宋体"/>
          <w:spacing w:val="8"/>
          <w:sz w:val="35"/>
          <w:szCs w:val="35"/>
          <w14:textOutline w14:w="6537" w14:cap="sq" w14:cmpd="sng">
            <w14:solidFill>
              <w14:srgbClr w14:val="000000"/>
            </w14:solidFill>
            <w14:prstDash w14:val="solid"/>
            <w14:bevel/>
          </w14:textOutline>
        </w:rPr>
        <w:t>20</w:t>
      </w:r>
      <w:r>
        <w:rPr>
          <w:rFonts w:ascii="宋体" w:hAnsi="宋体" w:eastAsia="宋体" w:cs="宋体"/>
          <w:spacing w:val="7"/>
          <w:sz w:val="35"/>
          <w:szCs w:val="35"/>
          <w14:textOutline w14:w="6537" w14:cap="sq" w14:cmpd="sng">
            <w14:solidFill>
              <w14:srgbClr w14:val="000000"/>
            </w14:solidFill>
            <w14:prstDash w14:val="solid"/>
            <w14:bevel/>
          </w14:textOutline>
        </w:rPr>
        <w:t>2</w:t>
      </w:r>
      <w:r>
        <w:rPr>
          <w:rFonts w:hint="eastAsia" w:ascii="宋体" w:hAnsi="宋体" w:eastAsia="宋体" w:cs="宋体"/>
          <w:spacing w:val="4"/>
          <w:sz w:val="35"/>
          <w:szCs w:val="35"/>
          <w:lang w:val="en-US" w:eastAsia="zh-CN"/>
          <w14:textOutline w14:w="6537" w14:cap="sq" w14:cmpd="sng">
            <w14:solidFill>
              <w14:srgbClr w14:val="000000"/>
            </w14:solidFill>
            <w14:prstDash w14:val="solid"/>
            <w14:bevel/>
          </w14:textOutline>
        </w:rPr>
        <w:t>3</w:t>
      </w:r>
      <w:r>
        <w:rPr>
          <w:rFonts w:ascii="宋体" w:hAnsi="宋体" w:eastAsia="宋体" w:cs="宋体"/>
          <w:spacing w:val="4"/>
          <w:sz w:val="35"/>
          <w:szCs w:val="35"/>
          <w14:textOutline w14:w="6537" w14:cap="sq" w14:cmpd="sng">
            <w14:solidFill>
              <w14:srgbClr w14:val="000000"/>
            </w14:solidFill>
            <w14:prstDash w14:val="solid"/>
            <w14:bevel/>
          </w14:textOutline>
        </w:rPr>
        <w:t>年</w:t>
      </w:r>
      <w:r>
        <w:rPr>
          <w:rFonts w:hint="eastAsia" w:ascii="宋体" w:hAnsi="宋体" w:eastAsia="宋体" w:cs="宋体"/>
          <w:spacing w:val="4"/>
          <w:sz w:val="35"/>
          <w:szCs w:val="35"/>
          <w:lang w:eastAsia="zh-CN"/>
          <w14:textOutline w14:w="6537" w14:cap="sq" w14:cmpd="sng">
            <w14:solidFill>
              <w14:srgbClr w14:val="000000"/>
            </w14:solidFill>
            <w14:prstDash w14:val="solid"/>
            <w14:bevel/>
          </w14:textOutline>
        </w:rPr>
        <w:t>市场监测资金</w:t>
      </w:r>
      <w:r>
        <w:rPr>
          <w:rFonts w:ascii="宋体" w:hAnsi="宋体" w:eastAsia="宋体" w:cs="宋体"/>
          <w:spacing w:val="4"/>
          <w:sz w:val="35"/>
          <w:szCs w:val="35"/>
          <w14:textOutline w14:w="6537" w14:cap="sq" w14:cmpd="sng">
            <w14:solidFill>
              <w14:srgbClr w14:val="000000"/>
            </w14:solidFill>
            <w14:prstDash w14:val="solid"/>
            <w14:bevel/>
          </w14:textOutline>
        </w:rPr>
        <w:t>专项资金支出绩效自评报告</w:t>
      </w:r>
    </w:p>
    <w:p>
      <w:pPr>
        <w:pStyle w:val="5"/>
      </w:pPr>
    </w:p>
    <w:p>
      <w:pPr>
        <w:spacing w:before="241" w:line="523" w:lineRule="exact"/>
        <w:ind w:left="681"/>
        <w:rPr>
          <w:rFonts w:ascii="仿宋" w:hAnsi="仿宋" w:eastAsia="仿宋" w:cs="仿宋"/>
          <w:sz w:val="31"/>
          <w:szCs w:val="31"/>
        </w:rPr>
      </w:pPr>
      <w:r>
        <w:rPr>
          <w:rFonts w:ascii="仿宋" w:hAnsi="仿宋" w:eastAsia="仿宋" w:cs="仿宋"/>
          <w:spacing w:val="12"/>
          <w:position w:val="3"/>
          <w:sz w:val="31"/>
          <w:szCs w:val="31"/>
          <w14:textOutline w14:w="5793" w14:cap="sq" w14:cmpd="sng">
            <w14:solidFill>
              <w14:srgbClr w14:val="000000"/>
            </w14:solidFill>
            <w14:prstDash w14:val="solid"/>
            <w14:bevel/>
          </w14:textOutline>
        </w:rPr>
        <w:t>一</w:t>
      </w:r>
      <w:r>
        <w:rPr>
          <w:rFonts w:ascii="仿宋" w:hAnsi="仿宋" w:eastAsia="仿宋" w:cs="仿宋"/>
          <w:spacing w:val="7"/>
          <w:position w:val="3"/>
          <w:sz w:val="31"/>
          <w:szCs w:val="31"/>
          <w14:textOutline w14:w="5793" w14:cap="sq" w14:cmpd="sng">
            <w14:solidFill>
              <w14:srgbClr w14:val="000000"/>
            </w14:solidFill>
            <w14:prstDash w14:val="solid"/>
            <w14:bevel/>
          </w14:textOutline>
        </w:rPr>
        <w:t>、项目基本情况</w:t>
      </w:r>
    </w:p>
    <w:p>
      <w:pPr>
        <w:spacing w:before="100" w:line="228" w:lineRule="auto"/>
        <w:ind w:left="680"/>
        <w:rPr>
          <w:rFonts w:hint="eastAsia" w:ascii="仿宋" w:hAnsi="仿宋" w:eastAsia="仿宋" w:cs="仿宋"/>
          <w:spacing w:val="3"/>
          <w:sz w:val="31"/>
          <w:szCs w:val="31"/>
          <w:lang w:eastAsia="zh-CN"/>
        </w:rPr>
      </w:pPr>
      <w:r>
        <w:rPr>
          <w:rFonts w:ascii="仿宋" w:hAnsi="仿宋" w:eastAsia="仿宋" w:cs="仿宋"/>
          <w:spacing w:val="5"/>
          <w:sz w:val="31"/>
          <w:szCs w:val="31"/>
        </w:rPr>
        <w:t>( 一) 项目概</w:t>
      </w:r>
      <w:r>
        <w:rPr>
          <w:rFonts w:ascii="仿宋" w:hAnsi="仿宋" w:eastAsia="仿宋" w:cs="仿宋"/>
          <w:spacing w:val="3"/>
          <w:sz w:val="31"/>
          <w:szCs w:val="31"/>
        </w:rPr>
        <w:t>况</w:t>
      </w:r>
      <w:r>
        <w:rPr>
          <w:rFonts w:hint="eastAsia" w:ascii="仿宋" w:hAnsi="仿宋" w:eastAsia="仿宋" w:cs="仿宋"/>
          <w:spacing w:val="3"/>
          <w:sz w:val="31"/>
          <w:szCs w:val="31"/>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负责全县粮食流通宏观调控的具体工作，承担粮食监测预警或应急责任，指导协调最低收购价等政策性粮食购销和粮食产、购、销合作，保障军队粮食供应。承担粮食安全责任制考核日常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 项目绩效目标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default"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1、项目绩效总目标：及时完成资金的发放及培训工作，有效推动我县经济发展。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2、项目绩效阶段性目标：奋战一百天，实现双过半。</w:t>
      </w:r>
    </w:p>
    <w:p>
      <w:pPr>
        <w:spacing w:before="208" w:line="437" w:lineRule="exact"/>
        <w:ind w:left="686"/>
        <w:rPr>
          <w:rFonts w:ascii="仿宋" w:hAnsi="仿宋" w:eastAsia="仿宋" w:cs="仿宋"/>
          <w:spacing w:val="8"/>
          <w:position w:val="2"/>
          <w:sz w:val="31"/>
          <w:szCs w:val="31"/>
          <w14:textOutline w14:w="5793" w14:cap="sq" w14:cmpd="sng">
            <w14:solidFill>
              <w14:srgbClr w14:val="000000"/>
            </w14:solidFill>
            <w14:prstDash w14:val="solid"/>
            <w14:bevel/>
          </w14:textOutline>
        </w:rPr>
      </w:pPr>
      <w:r>
        <w:rPr>
          <w:rFonts w:ascii="仿宋" w:hAnsi="仿宋" w:eastAsia="仿宋" w:cs="仿宋"/>
          <w:spacing w:val="12"/>
          <w:position w:val="2"/>
          <w:sz w:val="31"/>
          <w:szCs w:val="31"/>
          <w14:textOutline w14:w="5793" w14:cap="sq" w14:cmpd="sng">
            <w14:solidFill>
              <w14:srgbClr w14:val="000000"/>
            </w14:solidFill>
            <w14:prstDash w14:val="solid"/>
            <w14:bevel/>
          </w14:textOutline>
        </w:rPr>
        <w:t>二</w:t>
      </w:r>
      <w:r>
        <w:rPr>
          <w:rFonts w:ascii="仿宋" w:hAnsi="仿宋" w:eastAsia="仿宋" w:cs="仿宋"/>
          <w:spacing w:val="8"/>
          <w:position w:val="2"/>
          <w:sz w:val="31"/>
          <w:szCs w:val="31"/>
          <w14:textOutline w14:w="5793" w14:cap="sq" w14:cmpd="sng">
            <w14:solidFill>
              <w14:srgbClr w14:val="000000"/>
            </w14:solidFill>
            <w14:prstDash w14:val="solid"/>
            <w14:bevel/>
          </w14:textOutline>
        </w:rPr>
        <w:t>、项目单位绩效报告情况</w:t>
      </w:r>
    </w:p>
    <w:p>
      <w:pPr>
        <w:spacing w:line="600" w:lineRule="exact"/>
        <w:ind w:firstLine="640" w:firstLineChars="200"/>
        <w:rPr>
          <w:rFonts w:hint="eastAsia" w:ascii="仿宋" w:hAnsi="仿宋" w:eastAsia="仿宋"/>
          <w:b w:val="0"/>
          <w:bCs w:val="0"/>
          <w:sz w:val="32"/>
          <w:szCs w:val="32"/>
        </w:rPr>
      </w:pPr>
      <w:r>
        <w:rPr>
          <w:rFonts w:hint="eastAsia" w:ascii="仿宋" w:hAnsi="仿宋" w:eastAsia="仿宋"/>
          <w:b w:val="0"/>
          <w:bCs w:val="0"/>
          <w:sz w:val="32"/>
          <w:szCs w:val="32"/>
          <w:lang w:eastAsia="zh-CN"/>
        </w:rPr>
        <w:t>市场监测资金</w:t>
      </w:r>
      <w:r>
        <w:rPr>
          <w:rFonts w:hint="eastAsia" w:ascii="仿宋" w:hAnsi="仿宋" w:eastAsia="仿宋"/>
          <w:b w:val="0"/>
          <w:bCs w:val="0"/>
          <w:sz w:val="32"/>
          <w:szCs w:val="32"/>
        </w:rPr>
        <w:t>稳步推进</w:t>
      </w:r>
    </w:p>
    <w:p>
      <w:pPr>
        <w:keepNext w:val="0"/>
        <w:keepLines w:val="0"/>
        <w:pageBreakBefore w:val="0"/>
        <w:kinsoku/>
        <w:wordWrap/>
        <w:overflowPunct/>
        <w:topLinePunct w:val="0"/>
        <w:autoSpaceDE/>
        <w:autoSpaceDN/>
        <w:bidi w:val="0"/>
        <w:adjustRightInd/>
        <w:snapToGrid/>
        <w:spacing w:line="58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外贸工作</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月，预计我县实际进出口企业13家，完成进出口总额26968万元，同比上升1.4%。其中，湖南万祺科技有限公司、祁东县怡骏旅行用品有限公司、湖南孜原门业有限公司和衡阳市知味进出口贸易有限公司今年在我县首次产生进出口业绩，实现“破零”。祁东珍珠贸易有限公司进出口总额同比增长175%，实现“倍增”。</w:t>
      </w:r>
      <w:r>
        <w:rPr>
          <w:rFonts w:hint="eastAsia" w:ascii="仿宋" w:hAnsi="仿宋" w:eastAsia="仿宋" w:cs="仿宋"/>
          <w:kern w:val="2"/>
          <w:sz w:val="32"/>
          <w:szCs w:val="32"/>
          <w:lang w:val="en-US" w:eastAsia="zh-CN" w:bidi="ar-SA"/>
        </w:rPr>
        <w:t>积极</w:t>
      </w:r>
      <w:r>
        <w:rPr>
          <w:rFonts w:hint="eastAsia" w:ascii="仿宋" w:hAnsi="仿宋" w:eastAsia="仿宋" w:cs="仿宋"/>
          <w:b w:val="0"/>
          <w:bCs w:val="0"/>
          <w:kern w:val="2"/>
          <w:sz w:val="32"/>
          <w:szCs w:val="32"/>
          <w:u w:val="none"/>
          <w:lang w:val="en-US" w:eastAsia="zh-CN" w:bidi="ar-SA"/>
        </w:rPr>
        <w:t>开</w:t>
      </w:r>
      <w:r>
        <w:rPr>
          <w:rFonts w:hint="eastAsia" w:ascii="仿宋" w:hAnsi="仿宋" w:eastAsia="仿宋" w:cs="仿宋"/>
          <w:sz w:val="32"/>
          <w:szCs w:val="32"/>
          <w:u w:val="none"/>
          <w:lang w:val="en-US" w:eastAsia="zh-CN"/>
        </w:rPr>
        <w:t>拓新型市场，在稳定传统出口市场的基础上，鼓励企业参加“首届湖南(怀化)RCEP经贸博览会资料”“第三届中非经贸博览会”“第六届中国国际进口博览会”“第六届东盟·湖南（永州）名优产品交易会”等，加大对产品和品牌的宣传力度，鼓励企业拓展国际市场。</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（二）</w:t>
      </w:r>
      <w:r>
        <w:rPr>
          <w:rFonts w:hint="eastAsia" w:ascii="仿宋" w:hAnsi="仿宋" w:eastAsia="仿宋" w:cs="仿宋"/>
          <w:b w:val="0"/>
          <w:bCs/>
          <w:sz w:val="32"/>
          <w:szCs w:val="32"/>
          <w:lang w:val="en-US" w:eastAsia="zh-CN"/>
        </w:rPr>
        <w:t>农贸市场建设工作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聘请</w:t>
      </w:r>
      <w:r>
        <w:rPr>
          <w:rFonts w:hint="eastAsia" w:ascii="仿宋" w:hAnsi="仿宋" w:eastAsia="仿宋" w:cs="仿宋"/>
          <w:sz w:val="32"/>
          <w:szCs w:val="32"/>
          <w:lang w:val="en-US" w:eastAsia="zh-CN"/>
        </w:rPr>
        <w:t>了</w:t>
      </w:r>
      <w:r>
        <w:rPr>
          <w:rFonts w:hint="eastAsia" w:ascii="仿宋" w:hAnsi="仿宋" w:eastAsia="仿宋" w:cs="仿宋"/>
          <w:sz w:val="32"/>
          <w:szCs w:val="32"/>
        </w:rPr>
        <w:t>项目设计公司和造价公司对县城城区的</w:t>
      </w:r>
      <w:r>
        <w:rPr>
          <w:rFonts w:hint="eastAsia" w:ascii="仿宋" w:hAnsi="仿宋" w:eastAsia="仿宋" w:cs="仿宋"/>
          <w:sz w:val="32"/>
          <w:szCs w:val="32"/>
          <w:lang w:val="en-US" w:eastAsia="zh-CN"/>
        </w:rPr>
        <w:t>城中、城东、活禽综合批发、城西一、二</w:t>
      </w:r>
      <w:r>
        <w:rPr>
          <w:rFonts w:hint="eastAsia" w:ascii="仿宋" w:hAnsi="仿宋" w:eastAsia="仿宋" w:cs="仿宋"/>
          <w:sz w:val="32"/>
          <w:szCs w:val="32"/>
        </w:rPr>
        <w:t>等</w:t>
      </w:r>
      <w:r>
        <w:rPr>
          <w:rFonts w:hint="eastAsia" w:ascii="仿宋" w:hAnsi="仿宋" w:eastAsia="仿宋" w:cs="仿宋"/>
          <w:sz w:val="32"/>
          <w:szCs w:val="32"/>
          <w:lang w:val="en-US" w:eastAsia="zh-CN"/>
        </w:rPr>
        <w:t>4</w:t>
      </w:r>
      <w:r>
        <w:rPr>
          <w:rFonts w:hint="eastAsia" w:ascii="仿宋" w:hAnsi="仿宋" w:eastAsia="仿宋" w:cs="仿宋"/>
          <w:sz w:val="32"/>
          <w:szCs w:val="32"/>
        </w:rPr>
        <w:t>个农贸市场进行规范性升级改造设计</w:t>
      </w:r>
      <w:r>
        <w:rPr>
          <w:rFonts w:hint="eastAsia" w:ascii="仿宋" w:hAnsi="仿宋" w:eastAsia="仿宋" w:cs="仿宋"/>
          <w:sz w:val="32"/>
          <w:szCs w:val="32"/>
          <w:lang w:val="en-US" w:eastAsia="zh-CN"/>
        </w:rPr>
        <w:t>和项目预算，对祁东县城区内的城中、城东、活禽综合批发、城西一、二等4个农贸市场既有设施实施提质改造工程，目前项目正在施工，预计年底完工。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2、今年提质改造花屋市场、砖塘市场，花屋市场已完工交付使用，砖塘市场预计年底完工。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eastAsia" w:ascii="仿宋" w:hAnsi="仿宋" w:eastAsia="仿宋" w:cs="仿宋"/>
          <w:b/>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三</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二手车市场整治基本到位</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加强二手车资料收齐，加强对低速二手车的交易管理，</w:t>
      </w:r>
      <w:r>
        <w:rPr>
          <w:rFonts w:hint="eastAsia" w:ascii="仿宋" w:hAnsi="仿宋" w:eastAsia="仿宋" w:cs="仿宋"/>
          <w:b w:val="0"/>
          <w:bCs/>
          <w:sz w:val="32"/>
          <w:szCs w:val="32"/>
          <w:lang w:val="en-US" w:eastAsia="zh-CN"/>
        </w:rPr>
        <w:t>备案2家二手车交易市场。</w:t>
      </w:r>
      <w:r>
        <w:rPr>
          <w:rFonts w:hint="eastAsia" w:ascii="仿宋" w:hAnsi="仿宋" w:eastAsia="仿宋" w:cs="仿宋"/>
          <w:b w:val="0"/>
          <w:bCs/>
          <w:sz w:val="32"/>
          <w:szCs w:val="32"/>
          <w:lang w:eastAsia="zh-CN"/>
        </w:rPr>
        <w:t>2023年1-10月份二手车一起缴税6.01万元。去年同期是16.31万元，</w:t>
      </w:r>
      <w:r>
        <w:rPr>
          <w:rFonts w:hint="eastAsia" w:ascii="仿宋" w:hAnsi="仿宋" w:eastAsia="仿宋" w:cs="仿宋"/>
          <w:b w:val="0"/>
          <w:bCs/>
          <w:sz w:val="32"/>
          <w:szCs w:val="32"/>
          <w:lang w:val="en-US" w:eastAsia="zh-CN"/>
        </w:rPr>
        <w:t>下降比较</w:t>
      </w:r>
      <w:r>
        <w:rPr>
          <w:rFonts w:hint="eastAsia" w:ascii="仿宋" w:hAnsi="仿宋" w:eastAsia="仿宋" w:cs="仿宋"/>
          <w:b w:val="0"/>
          <w:bCs/>
          <w:sz w:val="32"/>
          <w:szCs w:val="32"/>
          <w:lang w:eastAsia="zh-CN"/>
        </w:rPr>
        <w:t>很明显，</w:t>
      </w:r>
      <w:r>
        <w:rPr>
          <w:rFonts w:hint="eastAsia" w:ascii="仿宋" w:hAnsi="仿宋" w:eastAsia="仿宋" w:cs="仿宋"/>
          <w:b w:val="0"/>
          <w:bCs/>
          <w:sz w:val="32"/>
          <w:szCs w:val="32"/>
          <w:lang w:val="en-US" w:eastAsia="zh-CN"/>
        </w:rPr>
        <w:t>是因为加强税务管理，二手车交易在没有备案的情况下不能开具发票。1-6月份在不能开具发票的情况下没有产生二手车交易。</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（四）商业体系建设工作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改造一个归阳镇乡镇商贸中心建设，改造过水坪网点下沉</w:t>
      </w:r>
      <w:r>
        <w:rPr>
          <w:rFonts w:hint="eastAsia" w:ascii="仿宋" w:hAnsi="仿宋" w:eastAsia="仿宋" w:cs="仿宋"/>
          <w:sz w:val="32"/>
          <w:szCs w:val="32"/>
        </w:rPr>
        <w:t>村建设品牌连锁网点</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（五）促消费工作</w:t>
      </w:r>
    </w:p>
    <w:p>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1、为促进消费，拉动经济，我局在省、市、县正确领导和大力支持下共与企业联合举办12余场次促消费活动。</w:t>
      </w:r>
      <w:r>
        <w:rPr>
          <w:rFonts w:hint="eastAsia" w:ascii="仿宋" w:hAnsi="仿宋" w:eastAsia="仿宋" w:cs="仿宋"/>
          <w:sz w:val="32"/>
          <w:szCs w:val="32"/>
        </w:rPr>
        <w:t>2023年1月5日，祁东县商务局举办了“2023年祁东县网上年货节”直播带货系列活动。开幕式当天销售额达三十万元，据不完全统计，参与人数已达数万人次，带动祁东县特色农产品网上销售1000万元以上。2023年5月1日，由商务局和祁东移动公司联合举办“2023年数字消费促进节”，中国移动祁东公司投入5000万元信息化补贴，主要涵盖数字消费、通信设备、餐饮领域，覆盖全县26个乡镇（街道）、中小微企业、商铺8000户，实现政府搭台，企业推广，商家引流，居民得利的“四方共赢”消费促进模式，拉动经济消费1.2亿。2023年5月12日至5月16日由我局与祁东金泰新时代广场联合举办了“2023首届民族文化美食节”，以璀璨灯海和各式美食让祁东县城居民在家门口看灯海、享受美食狂欢。</w:t>
      </w:r>
      <w:r>
        <w:rPr>
          <w:rFonts w:hint="eastAsia" w:ascii="仿宋" w:hAnsi="仿宋" w:eastAsia="仿宋" w:cs="仿宋"/>
          <w:sz w:val="32"/>
          <w:szCs w:val="32"/>
          <w:lang w:val="en-US" w:eastAsia="zh-CN"/>
        </w:rPr>
        <w:t>2023年10月1日至10月16日由县商务局、县农业农村局、县乡村振兴局在县政府广场联合举办“2023年祁东县首届乡村振兴消费帮扶农产品展销会暨灯光秀”。</w:t>
      </w:r>
    </w:p>
    <w:p>
      <w:pPr>
        <w:spacing w:before="187" w:line="415" w:lineRule="exact"/>
        <w:ind w:left="684"/>
        <w:rPr>
          <w:rFonts w:ascii="仿宋" w:hAnsi="仿宋" w:eastAsia="仿宋" w:cs="仿宋"/>
          <w:sz w:val="31"/>
          <w:szCs w:val="31"/>
        </w:rPr>
      </w:pPr>
      <w:r>
        <w:rPr>
          <w:rFonts w:ascii="仿宋" w:hAnsi="仿宋" w:eastAsia="仿宋" w:cs="仿宋"/>
          <w:spacing w:val="8"/>
          <w:position w:val="1"/>
          <w:sz w:val="31"/>
          <w:szCs w:val="31"/>
          <w14:textOutline w14:w="5793" w14:cap="sq" w14:cmpd="sng">
            <w14:solidFill>
              <w14:srgbClr w14:val="000000"/>
            </w14:solidFill>
            <w14:prstDash w14:val="solid"/>
            <w14:bevel/>
          </w14:textOutline>
        </w:rPr>
        <w:t>三、绩效评价工作情况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 绩效评价目的。旨在查看市场监测资金专项资金使用的规范性、项目的效益性等，进一步规范资金和项目管理，提高资金使用效益。</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(二) 绩效评价原则、评价指标体系、评价方法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1、绩效评价原则：绩效导向原则、目标管理原则、责任追究原则、信息公开原则。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2、绩效指标体系。在参考绩效评价指标体系，充分考虑商务工作涉及的目标要求，重点对“项目绩效”指标进行设计，其中“项目产出”“项目效果”尽量做到量化。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3.评价方法。本次绩效评价采用定量与定性相结合、运用比较法、因素分析法、公众评议法等进行评价。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(三) 绩效评价工作过程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1、前期准备。按县财政局相关文件要求，量化分级管理，对涉及本项目的相关文件进行了学习与分析，并制定项目评价实施方案，设计绩效评价体系，报财政局审核后组织实施。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2、组织实施。采取听情况、问问题、看账目，对社会公众调查等形式开展考评。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3、分析评价。根据收集资料和现场考评情况进行汇总分析，根据设定的绩效评价指标体系进行评分，最终形成综合性书面报告。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四、绩效评价指标分析情况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1.项目资金到位情况分析。按年初预算，县财政局已拨付市场监测资金专项资金1440万元到位。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2.项目资金使用情况分析。2023年度实际支付市场监测资金专项经费1440万元。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ascii="仿宋" w:hAnsi="仿宋" w:eastAsia="仿宋" w:cs="仿宋"/>
          <w:sz w:val="31"/>
          <w:szCs w:val="31"/>
        </w:rPr>
      </w:pPr>
      <w:r>
        <w:rPr>
          <w:rFonts w:hint="eastAsia" w:ascii="仿宋" w:hAnsi="仿宋" w:eastAsia="仿宋" w:cs="仿宋"/>
          <w:b w:val="0"/>
          <w:bCs w:val="0"/>
          <w:color w:val="auto"/>
          <w:kern w:val="0"/>
          <w:sz w:val="32"/>
          <w:szCs w:val="32"/>
          <w:lang w:val="en-US" w:eastAsia="zh-CN" w:bidi="ar"/>
        </w:rPr>
        <w:t>3.项目资金管理情况分析。我局严格加强专项经费收支管理，项目资金的拨付严格按照专项资金管理办法，按程序申报和拨付，坚持专款专用。</w:t>
      </w:r>
    </w:p>
    <w:p>
      <w:pPr>
        <w:sectPr>
          <w:pgSz w:w="11906" w:h="16839"/>
          <w:pgMar w:top="1431" w:right="1785" w:bottom="1156" w:left="1785" w:header="0" w:footer="996" w:gutter="0"/>
          <w:pgNumType w:fmt="decimal"/>
          <w:cols w:space="720" w:num="1"/>
        </w:sect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五、综合评价情况及评价结论 (附相关评分表)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2023年度我局市场监测资金专项经费管理规范，项目管理到位，对全县的市场监测资金工作起到了促进作用，发挥了财政资金的作用，综合评价得分96分，考评等级为“优”。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六、绩效评价结果应用建议 (以后年度预算安排、评价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结果公开等)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一是继续完善财政预算绩效管理工作和绩效评价体系。学习借鉴兄弟单位的先进做法，不断健全财政预算绩效管理工作和绩效评价工作机制。探索设定项目个性化指标，科学合理的设置评价标准，修订完善评价指标体系，逐步提高评价工作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二是建立绩效评价“三位一体”工作机制。将绩效预期目标申报、绩效评价、绩效结果应用这三方面内容贯穿于每个项目。逐步建立项目预期绩效目标申报、评价结果反馈与整改、评价信息报告等制度。切实提高绩效意识和财政资金使用效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七、主要经验及做法、存在的问题和建议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  无</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548d1fcf-ea2d-4a74-ac03-166fe33e056f"/>
  </w:docVars>
  <w:rsids>
    <w:rsidRoot w:val="00000000"/>
    <w:rsid w:val="24075E06"/>
    <w:rsid w:val="2C421773"/>
    <w:rsid w:val="4741775E"/>
    <w:rsid w:val="6D59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line="579" w:lineRule="auto"/>
      <w:jc w:val="center"/>
      <w:outlineLvl w:val="0"/>
    </w:pPr>
    <w:rPr>
      <w:rFonts w:ascii="Times New Roman" w:hAnsi="Times New Roman" w:eastAsia="黑体"/>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TOC 标题1"/>
    <w:basedOn w:val="2"/>
    <w:next w:val="1"/>
    <w:qFormat/>
    <w:uiPriority w:val="39"/>
    <w:pPr>
      <w:spacing w:before="480" w:after="0" w:line="276" w:lineRule="auto"/>
      <w:jc w:val="center"/>
      <w:outlineLvl w:val="9"/>
    </w:pPr>
    <w:rPr>
      <w:rFonts w:ascii="仿宋" w:hAnsi="仿宋" w:eastAsia="仿宋"/>
      <w:color w:val="000000"/>
      <w:kern w:val="0"/>
      <w:sz w:val="32"/>
      <w:szCs w:val="3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2339</Words>
  <Characters>2434</Characters>
  <Lines>0</Lines>
  <Paragraphs>0</Paragraphs>
  <TotalTime>0</TotalTime>
  <ScaleCrop>false</ScaleCrop>
  <LinksUpToDate>false</LinksUpToDate>
  <CharactersWithSpaces>2446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2024-05-13T14:08:00Z</dcterms:created>
  <dc:creator>LENOVO</dc:creator>
  <cp:lastModifiedBy>蒋阔</cp:lastModifiedBy>
  <dcterms:modified xsi:type="dcterms:W3CDTF">2024-10-12T01:14:36Z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FB130D59EAAB41859FAC918A84400560_12</vt:lpwstr>
  </property>
</Properties>
</file>