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r>
        <w:rPr>
          <w:rFonts w:hint="eastAsia" w:ascii="宋体" w:hAnsi="宋体" w:eastAsia="宋体"/>
          <w:b/>
          <w:sz w:val="48"/>
        </w:rPr>
        <w:t>2023年度部门整体支出绩效自评报告</w:t>
      </w: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48"/>
        </w:rPr>
      </w:pPr>
    </w:p>
    <w:p>
      <w:pPr>
        <w:jc w:val="center"/>
        <w:rPr>
          <w:rFonts w:ascii="宋体" w:hAnsi="宋体" w:eastAsia="宋体"/>
          <w:b/>
          <w:sz w:val="36"/>
        </w:rPr>
      </w:pPr>
      <w:r>
        <w:rPr>
          <w:rFonts w:hint="eastAsia" w:ascii="宋体" w:hAnsi="宋体" w:eastAsia="宋体"/>
          <w:b/>
          <w:sz w:val="36"/>
        </w:rPr>
        <w:t>单位名称(盖章)：祁东县乡村振兴局</w:t>
      </w:r>
    </w:p>
    <w:p>
      <w:pPr>
        <w:jc w:val="center"/>
        <w:rPr>
          <w:rFonts w:ascii="宋体" w:hAnsi="宋体" w:eastAsia="宋体"/>
          <w:b/>
          <w:sz w:val="36"/>
        </w:rPr>
      </w:pPr>
    </w:p>
    <w:p>
      <w:pPr>
        <w:jc w:val="center"/>
        <w:rPr>
          <w:rFonts w:ascii="宋体" w:hAnsi="宋体" w:eastAsia="宋体"/>
          <w:b/>
          <w:sz w:val="36"/>
        </w:rPr>
      </w:pPr>
      <w:r>
        <w:rPr>
          <w:rFonts w:hint="eastAsia" w:ascii="宋体" w:hAnsi="宋体" w:eastAsia="宋体"/>
          <w:b/>
          <w:sz w:val="36"/>
        </w:rPr>
        <w:t>2024年04月13日</w:t>
      </w:r>
    </w:p>
    <w:p>
      <w:pPr>
        <w:jc w:val="center"/>
        <w:rPr>
          <w:rFonts w:ascii="宋体" w:hAnsi="宋体" w:eastAsia="宋体"/>
          <w:b/>
          <w:sz w:val="48"/>
        </w:rPr>
      </w:pPr>
    </w:p>
    <w:p>
      <w:pPr>
        <w:jc w:val="center"/>
        <w:rPr>
          <w:rFonts w:ascii="宋体" w:hAnsi="宋体" w:eastAsia="宋体"/>
          <w:b/>
          <w:sz w:val="48"/>
        </w:rPr>
      </w:pPr>
    </w:p>
    <w:p>
      <w:pPr>
        <w:spacing w:line="480" w:lineRule="auto"/>
        <w:ind w:firstLine="562" w:firstLineChars="200"/>
        <w:jc w:val="center"/>
        <w:rPr>
          <w:rFonts w:ascii="宋体" w:hAnsi="宋体" w:eastAsia="宋体"/>
          <w:b/>
          <w:sz w:val="28"/>
        </w:rPr>
      </w:pPr>
    </w:p>
    <w:p>
      <w:pPr>
        <w:spacing w:line="480" w:lineRule="auto"/>
        <w:ind w:firstLine="560" w:firstLineChars="200"/>
        <w:rPr>
          <w:rFonts w:ascii="宋体" w:hAnsi="宋体" w:eastAsia="宋体"/>
          <w:sz w:val="28"/>
        </w:rPr>
      </w:pPr>
    </w:p>
    <w:p>
      <w:pPr>
        <w:spacing w:line="480" w:lineRule="auto"/>
        <w:ind w:firstLine="562" w:firstLineChars="200"/>
        <w:rPr>
          <w:rFonts w:ascii="宋体" w:hAnsi="宋体" w:eastAsia="宋体"/>
          <w:b/>
          <w:sz w:val="28"/>
        </w:rPr>
      </w:pPr>
      <w:r>
        <w:rPr>
          <w:rFonts w:hint="eastAsia" w:ascii="宋体" w:hAnsi="宋体" w:eastAsia="宋体"/>
          <w:b/>
          <w:sz w:val="28"/>
        </w:rPr>
        <w:t>一、部门基本情况</w:t>
      </w:r>
    </w:p>
    <w:p>
      <w:pPr>
        <w:spacing w:line="480" w:lineRule="auto"/>
        <w:ind w:firstLine="560" w:firstLineChars="200"/>
        <w:rPr>
          <w:rFonts w:ascii="宋体" w:hAnsi="宋体" w:eastAsia="宋体"/>
          <w:sz w:val="28"/>
        </w:rPr>
      </w:pPr>
      <w:r>
        <w:rPr>
          <w:rFonts w:hint="eastAsia" w:ascii="宋体" w:hAnsi="宋体" w:eastAsia="宋体"/>
          <w:sz w:val="28"/>
        </w:rPr>
        <w:t>（一）部门职责</w:t>
      </w:r>
    </w:p>
    <w:p>
      <w:pPr>
        <w:spacing w:line="480" w:lineRule="auto"/>
        <w:ind w:firstLine="560" w:firstLineChars="200"/>
        <w:rPr>
          <w:rFonts w:ascii="宋体" w:hAnsi="宋体" w:eastAsia="宋体"/>
          <w:sz w:val="28"/>
        </w:rPr>
      </w:pPr>
      <w:r>
        <w:rPr>
          <w:rFonts w:hint="eastAsia" w:ascii="宋体" w:hAnsi="宋体" w:eastAsia="宋体"/>
          <w:sz w:val="28"/>
        </w:rPr>
        <w:t>祁东县乡村振兴局由原祁东县扶贫开发办公室职能调整成立，属县人民政府直属正科级全额拨款公务员单位，主要工作职责为：</w:t>
      </w:r>
    </w:p>
    <w:p>
      <w:pPr>
        <w:spacing w:line="480" w:lineRule="auto"/>
        <w:ind w:firstLine="560" w:firstLineChars="200"/>
        <w:rPr>
          <w:rFonts w:ascii="宋体" w:hAnsi="宋体" w:eastAsia="宋体"/>
          <w:sz w:val="28"/>
        </w:rPr>
      </w:pPr>
      <w:r>
        <w:rPr>
          <w:rFonts w:hint="eastAsia" w:ascii="宋体" w:hAnsi="宋体" w:eastAsia="宋体"/>
          <w:sz w:val="28"/>
        </w:rPr>
        <w:t>1、负责组织、协调、指导全县巩固拓展脱贫攻坚成果，组织实施乡村振兴战略工作。</w:t>
      </w:r>
    </w:p>
    <w:p>
      <w:pPr>
        <w:spacing w:line="480" w:lineRule="auto"/>
        <w:ind w:firstLine="560" w:firstLineChars="200"/>
        <w:rPr>
          <w:rFonts w:ascii="宋体" w:hAnsi="宋体" w:eastAsia="宋体"/>
          <w:sz w:val="28"/>
        </w:rPr>
      </w:pPr>
      <w:r>
        <w:rPr>
          <w:rFonts w:hint="eastAsia" w:ascii="宋体" w:hAnsi="宋体" w:eastAsia="宋体"/>
          <w:sz w:val="28"/>
        </w:rPr>
        <w:t>2、负责组织开展防止返贫监测体系建设，健全防止返贫监测与帮扶工作机制，指导防止返贫监测信息系统统计和信息化建设工作。</w:t>
      </w:r>
    </w:p>
    <w:p>
      <w:pPr>
        <w:spacing w:line="480" w:lineRule="auto"/>
        <w:ind w:firstLine="560" w:firstLineChars="200"/>
        <w:rPr>
          <w:rFonts w:ascii="宋体" w:hAnsi="宋体" w:eastAsia="宋体"/>
          <w:sz w:val="28"/>
        </w:rPr>
      </w:pPr>
      <w:r>
        <w:rPr>
          <w:rFonts w:hint="eastAsia" w:ascii="宋体" w:hAnsi="宋体" w:eastAsia="宋体"/>
          <w:sz w:val="28"/>
        </w:rPr>
        <w:t>3、负责会同有关部门组织开展全县</w:t>
      </w:r>
      <w:r>
        <w:rPr>
          <w:rFonts w:hint="eastAsia" w:ascii="宋体" w:hAnsi="宋体" w:eastAsia="宋体"/>
          <w:sz w:val="28"/>
          <w:lang w:eastAsia="zh-CN"/>
        </w:rPr>
        <w:t>巩固拓展脱贫攻坚成果同乡村振兴有效衔接</w:t>
      </w:r>
      <w:r>
        <w:rPr>
          <w:rFonts w:hint="eastAsia" w:ascii="宋体" w:hAnsi="宋体" w:eastAsia="宋体"/>
          <w:sz w:val="28"/>
        </w:rPr>
        <w:t>督查、考核工作。</w:t>
      </w:r>
    </w:p>
    <w:p>
      <w:pPr>
        <w:spacing w:line="480" w:lineRule="auto"/>
        <w:ind w:firstLine="560" w:firstLineChars="200"/>
        <w:rPr>
          <w:rFonts w:ascii="宋体" w:hAnsi="宋体" w:eastAsia="宋体"/>
          <w:sz w:val="28"/>
        </w:rPr>
      </w:pPr>
      <w:r>
        <w:rPr>
          <w:rFonts w:hint="eastAsia" w:ascii="宋体" w:hAnsi="宋体" w:eastAsia="宋体"/>
          <w:sz w:val="28"/>
        </w:rPr>
        <w:t>4、负责拟订全县</w:t>
      </w:r>
      <w:r>
        <w:rPr>
          <w:rFonts w:hint="eastAsia" w:ascii="宋体" w:hAnsi="宋体" w:eastAsia="宋体"/>
          <w:sz w:val="28"/>
          <w:lang w:eastAsia="zh-CN"/>
        </w:rPr>
        <w:t>巩固拓展脱贫攻坚成果同乡村振兴有效衔接</w:t>
      </w:r>
      <w:r>
        <w:rPr>
          <w:rFonts w:hint="eastAsia" w:ascii="宋体" w:hAnsi="宋体" w:eastAsia="宋体"/>
          <w:sz w:val="28"/>
        </w:rPr>
        <w:t>中长期规划和年度工作方案。</w:t>
      </w:r>
    </w:p>
    <w:p>
      <w:pPr>
        <w:spacing w:line="480" w:lineRule="auto"/>
        <w:ind w:firstLine="560" w:firstLineChars="200"/>
        <w:rPr>
          <w:rFonts w:ascii="宋体" w:hAnsi="宋体" w:eastAsia="宋体"/>
          <w:sz w:val="28"/>
        </w:rPr>
      </w:pPr>
      <w:r>
        <w:rPr>
          <w:rFonts w:hint="eastAsia" w:ascii="宋体" w:hAnsi="宋体" w:eastAsia="宋体"/>
          <w:sz w:val="28"/>
        </w:rPr>
        <w:t>5、会同有关部门拟订全县年度乡村振兴衔接资金分配方案，指导和检查乡村振兴衔接资金的管理、使用。</w:t>
      </w:r>
    </w:p>
    <w:p>
      <w:pPr>
        <w:spacing w:line="480" w:lineRule="auto"/>
        <w:ind w:firstLine="560" w:firstLineChars="200"/>
        <w:rPr>
          <w:rFonts w:ascii="宋体" w:hAnsi="宋体" w:eastAsia="宋体"/>
          <w:sz w:val="28"/>
        </w:rPr>
      </w:pPr>
      <w:r>
        <w:rPr>
          <w:rFonts w:hint="eastAsia" w:ascii="宋体" w:hAnsi="宋体" w:eastAsia="宋体"/>
          <w:sz w:val="28"/>
        </w:rPr>
        <w:t>6、承担协调乡村振兴系统风险防控、信访和舆情处置工作责任。</w:t>
      </w:r>
      <w:bookmarkStart w:id="0" w:name="_GoBack"/>
      <w:bookmarkEnd w:id="0"/>
    </w:p>
    <w:p>
      <w:pPr>
        <w:spacing w:line="480" w:lineRule="auto"/>
        <w:ind w:firstLine="560" w:firstLineChars="200"/>
        <w:rPr>
          <w:rFonts w:ascii="宋体" w:hAnsi="宋体" w:eastAsia="宋体"/>
          <w:sz w:val="28"/>
        </w:rPr>
      </w:pPr>
      <w:r>
        <w:rPr>
          <w:rFonts w:hint="eastAsia" w:ascii="宋体" w:hAnsi="宋体" w:eastAsia="宋体"/>
          <w:sz w:val="28"/>
        </w:rPr>
        <w:t>7、承办县委实施乡村振兴战略领导小组的日常工作和交办的其他事项。</w:t>
      </w:r>
    </w:p>
    <w:p>
      <w:pPr>
        <w:spacing w:line="480" w:lineRule="auto"/>
        <w:ind w:firstLine="560" w:firstLineChars="200"/>
        <w:rPr>
          <w:rFonts w:ascii="宋体" w:hAnsi="宋体" w:eastAsia="宋体"/>
          <w:sz w:val="28"/>
        </w:rPr>
      </w:pPr>
      <w:r>
        <w:rPr>
          <w:rFonts w:hint="eastAsia" w:ascii="宋体" w:hAnsi="宋体" w:eastAsia="宋体"/>
          <w:sz w:val="28"/>
        </w:rPr>
        <w:t>8、完成县委、县政府交办的其他任务</w:t>
      </w:r>
    </w:p>
    <w:p>
      <w:pPr>
        <w:spacing w:line="480" w:lineRule="auto"/>
        <w:ind w:firstLine="560" w:firstLineChars="200"/>
        <w:rPr>
          <w:rFonts w:ascii="宋体" w:hAnsi="宋体" w:eastAsia="宋体"/>
          <w:sz w:val="28"/>
        </w:rPr>
      </w:pPr>
      <w:r>
        <w:rPr>
          <w:rFonts w:hint="eastAsia" w:ascii="宋体" w:hAnsi="宋体" w:eastAsia="宋体"/>
          <w:sz w:val="28"/>
        </w:rPr>
        <w:t>（二）机构设置和人员编制情况</w:t>
      </w:r>
    </w:p>
    <w:p>
      <w:pPr>
        <w:spacing w:line="480" w:lineRule="auto"/>
        <w:ind w:firstLine="560" w:firstLineChars="200"/>
        <w:rPr>
          <w:rFonts w:ascii="宋体" w:hAnsi="宋体" w:eastAsia="宋体"/>
          <w:sz w:val="28"/>
        </w:rPr>
      </w:pPr>
      <w:r>
        <w:rPr>
          <w:rFonts w:hint="eastAsia" w:ascii="宋体" w:hAnsi="宋体" w:eastAsia="宋体"/>
          <w:sz w:val="28"/>
        </w:rPr>
        <w:t>由于机构三定总方案尚未出台，目前县乡村振兴局职能职责、机构设置以原扶贫开发办公室暂时调整的为准。人员编制情况以县编办批复机构成立文件为准。</w:t>
      </w:r>
    </w:p>
    <w:p>
      <w:pPr>
        <w:spacing w:line="480" w:lineRule="auto"/>
        <w:ind w:firstLine="560" w:firstLineChars="200"/>
        <w:rPr>
          <w:rFonts w:ascii="宋体" w:hAnsi="宋体" w:eastAsia="宋体"/>
          <w:sz w:val="28"/>
        </w:rPr>
      </w:pPr>
      <w:r>
        <w:rPr>
          <w:rFonts w:hint="eastAsia" w:ascii="宋体" w:hAnsi="宋体" w:eastAsia="宋体"/>
          <w:sz w:val="28"/>
        </w:rPr>
        <w:t>根据上述职责及编委核定，祁东县乡村振兴局下设祁东县乡村振兴事务中心,内设综合股、考核指导股、行业扶贫股、社会扶贫股、产业规划股和贫困检测股。6个内设机构全部纳入2021年部门预算编制范围，事务中心为副科级财政全额拨款事业单位，但未独立核算。</w:t>
      </w:r>
    </w:p>
    <w:p>
      <w:pPr>
        <w:spacing w:line="480" w:lineRule="auto"/>
        <w:ind w:firstLine="560" w:firstLineChars="200"/>
        <w:rPr>
          <w:rFonts w:ascii="宋体" w:hAnsi="宋体" w:eastAsia="宋体"/>
          <w:sz w:val="28"/>
        </w:rPr>
      </w:pPr>
      <w:r>
        <w:rPr>
          <w:rFonts w:hint="eastAsia" w:ascii="宋体" w:hAnsi="宋体" w:eastAsia="宋体"/>
          <w:sz w:val="28"/>
        </w:rPr>
        <w:t>祁东县乡村振兴局是正科级全额拨款单位，定编28人。其中，下设二级机构祁东县乡村振兴事务中心，事业编制16名，包括主任1名，副主任2名；行政编制12名，含内设股室正股级数6名。至2021年12月31日止实有在编在岗人数27 人。</w:t>
      </w:r>
    </w:p>
    <w:p>
      <w:pPr>
        <w:spacing w:line="480" w:lineRule="auto"/>
        <w:ind w:firstLine="560" w:firstLineChars="200"/>
        <w:rPr>
          <w:rFonts w:ascii="宋体" w:hAnsi="宋体" w:eastAsia="宋体"/>
          <w:sz w:val="28"/>
        </w:rPr>
      </w:pPr>
    </w:p>
    <w:p>
      <w:pPr>
        <w:spacing w:line="480" w:lineRule="auto"/>
        <w:ind w:firstLine="560" w:firstLineChars="200"/>
        <w:rPr>
          <w:rFonts w:ascii="宋体" w:hAnsi="宋体" w:eastAsia="宋体"/>
          <w:sz w:val="28"/>
        </w:rPr>
      </w:pPr>
      <w:r>
        <w:rPr>
          <w:rFonts w:hint="eastAsia" w:ascii="宋体" w:hAnsi="宋体" w:eastAsia="宋体"/>
          <w:sz w:val="28"/>
        </w:rPr>
        <w:t>（三）2023年度重点工作计划</w:t>
      </w:r>
    </w:p>
    <w:p>
      <w:pPr>
        <w:spacing w:line="480" w:lineRule="auto"/>
        <w:ind w:firstLine="560" w:firstLineChars="200"/>
        <w:rPr>
          <w:rFonts w:ascii="宋体" w:hAnsi="宋体" w:eastAsia="宋体"/>
          <w:sz w:val="28"/>
        </w:rPr>
      </w:pPr>
      <w:r>
        <w:rPr>
          <w:rFonts w:ascii="宋体" w:hAnsi="宋体" w:eastAsia="宋体"/>
          <w:sz w:val="28"/>
        </w:rPr>
        <w:t>今年以来，我</w:t>
      </w:r>
      <w:r>
        <w:rPr>
          <w:rFonts w:hint="eastAsia" w:ascii="宋体" w:hAnsi="宋体" w:eastAsia="宋体"/>
          <w:sz w:val="28"/>
        </w:rPr>
        <w:t>局</w:t>
      </w:r>
      <w:r>
        <w:rPr>
          <w:rFonts w:ascii="宋体" w:hAnsi="宋体" w:eastAsia="宋体"/>
          <w:sz w:val="28"/>
        </w:rPr>
        <w:t>深入贯彻党的二十大精神和习近平总书记关于“三农”工作重要论述，认真落实中央和省市决策部署，把乡村振兴作为第一民生工程和“三农”工作重要抓手，聚焦“守底线、抓发展、促振兴”工作要求，突出抓好乡村振兴各项重点任务，全力推动巩固拓展脱贫攻坚成果同乡村振兴有效衔接取得新成效。</w:t>
      </w:r>
    </w:p>
    <w:p>
      <w:pPr>
        <w:spacing w:line="480" w:lineRule="auto"/>
        <w:ind w:firstLine="560" w:firstLineChars="200"/>
        <w:jc w:val="left"/>
        <w:rPr>
          <w:rFonts w:ascii="宋体" w:hAnsi="宋体" w:eastAsia="宋体"/>
          <w:sz w:val="28"/>
        </w:rPr>
      </w:pPr>
      <w:r>
        <w:rPr>
          <w:rFonts w:ascii="宋体" w:hAnsi="宋体" w:eastAsia="宋体"/>
          <w:sz w:val="28"/>
        </w:rPr>
        <w:t>一、紧扣“责任链”</w:t>
      </w:r>
      <w:r>
        <w:rPr>
          <w:rFonts w:hint="eastAsia" w:ascii="宋体" w:hAnsi="宋体" w:eastAsia="宋体"/>
          <w:sz w:val="28"/>
        </w:rPr>
        <w:t>提能</w:t>
      </w:r>
      <w:r>
        <w:rPr>
          <w:rFonts w:ascii="宋体" w:hAnsi="宋体" w:eastAsia="宋体"/>
          <w:sz w:val="28"/>
        </w:rPr>
        <w:t>，工作推进更加高效。严格落实巩固拓展脱贫攻坚成果同乡村振兴有效衔接主体责任，坚持高点定位、健全机制、尽锐出战，全力筑牢乡村振兴基石。一是完善机制抓统筹。二是压实责任抓推进。三是紧盯重点抓督导。</w:t>
      </w:r>
      <w:r>
        <w:rPr>
          <w:rFonts w:hint="eastAsia" w:ascii="宋体" w:hAnsi="宋体" w:eastAsia="宋体"/>
          <w:sz w:val="28"/>
        </w:rPr>
        <w:t xml:space="preserve">             </w:t>
      </w:r>
    </w:p>
    <w:p>
      <w:pPr>
        <w:spacing w:line="480" w:lineRule="auto"/>
        <w:ind w:firstLine="560" w:firstLineChars="200"/>
        <w:jc w:val="left"/>
        <w:rPr>
          <w:rFonts w:ascii="宋体" w:hAnsi="宋体" w:eastAsia="宋体"/>
          <w:sz w:val="28"/>
        </w:rPr>
      </w:pPr>
      <w:r>
        <w:rPr>
          <w:rFonts w:ascii="宋体" w:hAnsi="宋体" w:eastAsia="宋体"/>
          <w:sz w:val="28"/>
        </w:rPr>
        <w:t>二、聚焦“守底线”</w:t>
      </w:r>
      <w:r>
        <w:rPr>
          <w:rFonts w:hint="eastAsia" w:ascii="宋体" w:hAnsi="宋体" w:eastAsia="宋体"/>
          <w:sz w:val="28"/>
        </w:rPr>
        <w:t>提效</w:t>
      </w:r>
      <w:r>
        <w:rPr>
          <w:rFonts w:ascii="宋体" w:hAnsi="宋体" w:eastAsia="宋体"/>
          <w:sz w:val="28"/>
        </w:rPr>
        <w:t>，脱贫成</w:t>
      </w:r>
      <w:r>
        <w:rPr>
          <w:rFonts w:hint="eastAsia" w:ascii="宋体" w:hAnsi="宋体" w:eastAsia="宋体"/>
          <w:sz w:val="28"/>
        </w:rPr>
        <w:t>果</w:t>
      </w:r>
      <w:r>
        <w:rPr>
          <w:rFonts w:ascii="宋体" w:hAnsi="宋体" w:eastAsia="宋体"/>
          <w:sz w:val="28"/>
        </w:rPr>
        <w:t>更可持续。坚持以人民为中心，把巩固拓展脱贫攻坚成果摆在突出位置，坚决防止规模性返贫。一是动态监测及时高效。二是精准帮扶扎实有效。三是救助兜底提标增效。</w:t>
      </w:r>
    </w:p>
    <w:p>
      <w:pPr>
        <w:spacing w:line="480" w:lineRule="auto"/>
        <w:ind w:firstLine="560" w:firstLineChars="200"/>
        <w:rPr>
          <w:rFonts w:ascii="宋体" w:hAnsi="宋体" w:eastAsia="宋体"/>
          <w:sz w:val="28"/>
        </w:rPr>
      </w:pPr>
      <w:r>
        <w:rPr>
          <w:rFonts w:ascii="宋体" w:hAnsi="宋体" w:eastAsia="宋体"/>
          <w:sz w:val="28"/>
        </w:rPr>
        <w:t>三、</w:t>
      </w:r>
      <w:r>
        <w:rPr>
          <w:rFonts w:hint="eastAsia" w:ascii="宋体" w:hAnsi="宋体" w:eastAsia="宋体"/>
          <w:sz w:val="28"/>
        </w:rPr>
        <w:t>突出</w:t>
      </w:r>
      <w:r>
        <w:rPr>
          <w:rFonts w:ascii="宋体" w:hAnsi="宋体" w:eastAsia="宋体"/>
          <w:sz w:val="28"/>
        </w:rPr>
        <w:t>“强保障”</w:t>
      </w:r>
      <w:r>
        <w:rPr>
          <w:rFonts w:hint="eastAsia" w:ascii="宋体" w:hAnsi="宋体" w:eastAsia="宋体"/>
          <w:sz w:val="28"/>
        </w:rPr>
        <w:t>提档</w:t>
      </w:r>
      <w:r>
        <w:rPr>
          <w:rFonts w:ascii="宋体" w:hAnsi="宋体" w:eastAsia="宋体"/>
          <w:sz w:val="28"/>
        </w:rPr>
        <w:t>，有效衔接更加稳固。按照“四个不摘”要求，紧扣“两不愁三保障”和饮水安全等核心工作，继续保持工作力度和政策强度，确保政策不断档、工作不脱节。一是教育帮扶落实落细。二是医疗保障全面夯实。三是住房和饮水安全保障有力。四是易地搬迁后续帮扶成效明显。</w:t>
      </w:r>
    </w:p>
    <w:p>
      <w:pPr>
        <w:spacing w:line="480" w:lineRule="auto"/>
        <w:ind w:firstLine="560" w:firstLineChars="200"/>
        <w:rPr>
          <w:rFonts w:ascii="宋体" w:hAnsi="宋体" w:eastAsia="宋体"/>
          <w:sz w:val="28"/>
        </w:rPr>
      </w:pPr>
      <w:r>
        <w:rPr>
          <w:rFonts w:ascii="宋体" w:hAnsi="宋体" w:eastAsia="宋体"/>
          <w:sz w:val="28"/>
        </w:rPr>
        <w:t>四、立足“抓发展”</w:t>
      </w:r>
      <w:r>
        <w:rPr>
          <w:rFonts w:hint="eastAsia" w:ascii="宋体" w:hAnsi="宋体" w:eastAsia="宋体"/>
          <w:sz w:val="28"/>
        </w:rPr>
        <w:t>提速</w:t>
      </w:r>
      <w:r>
        <w:rPr>
          <w:rFonts w:ascii="宋体" w:hAnsi="宋体" w:eastAsia="宋体"/>
          <w:sz w:val="28"/>
        </w:rPr>
        <w:t>，振兴基础更为坚实。以发展乡村产业、推进乡村建设为切入点，持续加大投入力度，为乡村振兴赋能</w:t>
      </w:r>
      <w:r>
        <w:rPr>
          <w:rFonts w:hint="eastAsia" w:ascii="宋体" w:hAnsi="宋体" w:eastAsia="宋体"/>
          <w:sz w:val="28"/>
        </w:rPr>
        <w:t>提速</w:t>
      </w:r>
      <w:r>
        <w:rPr>
          <w:rFonts w:ascii="宋体" w:hAnsi="宋体" w:eastAsia="宋体"/>
          <w:sz w:val="28"/>
        </w:rPr>
        <w:t>。一是财政投入持续加大。二是乡村产业持续壮大。三是乡村建设持续推进。</w:t>
      </w:r>
    </w:p>
    <w:p>
      <w:pPr>
        <w:spacing w:line="480" w:lineRule="auto"/>
        <w:ind w:firstLine="560" w:firstLineChars="200"/>
        <w:rPr>
          <w:rFonts w:ascii="宋体" w:hAnsi="宋体" w:eastAsia="宋体"/>
          <w:sz w:val="28"/>
        </w:rPr>
      </w:pPr>
      <w:r>
        <w:rPr>
          <w:rFonts w:ascii="宋体" w:hAnsi="宋体" w:eastAsia="宋体"/>
          <w:sz w:val="28"/>
        </w:rPr>
        <w:t>五、围绕“促振兴”</w:t>
      </w:r>
      <w:r>
        <w:rPr>
          <w:rFonts w:hint="eastAsia" w:ascii="宋体" w:hAnsi="宋体" w:eastAsia="宋体"/>
          <w:sz w:val="28"/>
        </w:rPr>
        <w:t>提质</w:t>
      </w:r>
      <w:r>
        <w:rPr>
          <w:rFonts w:ascii="宋体" w:hAnsi="宋体" w:eastAsia="宋体"/>
          <w:sz w:val="28"/>
        </w:rPr>
        <w:t>，群众生活更有奔头。坚持把促进群众就业增收和提升乡村治理效能，作为改善乡村生产生活水平的有力抓手，助推乡村全面振兴。一是就业服务稳岗增收。二是项目资产稳步增效。三是乡村治理稳定提质。</w:t>
      </w:r>
    </w:p>
    <w:p>
      <w:pPr>
        <w:spacing w:line="480" w:lineRule="auto"/>
        <w:ind w:firstLine="560" w:firstLineChars="200"/>
        <w:rPr>
          <w:rFonts w:ascii="宋体" w:hAnsi="宋体" w:eastAsia="宋体"/>
          <w:sz w:val="28"/>
        </w:rPr>
      </w:pPr>
      <w:r>
        <w:rPr>
          <w:rFonts w:ascii="宋体" w:hAnsi="宋体" w:eastAsia="宋体"/>
          <w:sz w:val="28"/>
        </w:rPr>
        <w:t>六、着眼“出经验”</w:t>
      </w:r>
      <w:r>
        <w:rPr>
          <w:rFonts w:hint="eastAsia" w:ascii="宋体" w:hAnsi="宋体" w:eastAsia="宋体"/>
          <w:sz w:val="28"/>
        </w:rPr>
        <w:t>提新</w:t>
      </w:r>
      <w:r>
        <w:rPr>
          <w:rFonts w:ascii="宋体" w:hAnsi="宋体" w:eastAsia="宋体"/>
          <w:sz w:val="28"/>
        </w:rPr>
        <w:t>，祁东样板更具特色。</w:t>
      </w:r>
      <w:r>
        <w:rPr>
          <w:rFonts w:hint="eastAsia" w:ascii="宋体" w:hAnsi="宋体" w:eastAsia="宋体"/>
          <w:sz w:val="28"/>
        </w:rPr>
        <w:t>坚持因地制宜、示范引领，积极探索好经验好做法</w:t>
      </w:r>
      <w:r>
        <w:rPr>
          <w:rFonts w:ascii="宋体" w:hAnsi="宋体" w:eastAsia="宋体"/>
          <w:sz w:val="28"/>
        </w:rPr>
        <w:t>，打造</w:t>
      </w:r>
      <w:r>
        <w:rPr>
          <w:rFonts w:hint="eastAsia" w:ascii="宋体" w:hAnsi="宋体" w:eastAsia="宋体"/>
          <w:sz w:val="28"/>
        </w:rPr>
        <w:t>更具特色的乡村振兴</w:t>
      </w:r>
      <w:r>
        <w:rPr>
          <w:rFonts w:ascii="宋体" w:hAnsi="宋体" w:eastAsia="宋体"/>
          <w:sz w:val="28"/>
        </w:rPr>
        <w:t>“祁东样板”。</w:t>
      </w:r>
      <w:r>
        <w:rPr>
          <w:rFonts w:hint="eastAsia" w:ascii="宋体" w:hAnsi="宋体" w:eastAsia="宋体"/>
          <w:sz w:val="28"/>
        </w:rPr>
        <w:t>一是</w:t>
      </w:r>
      <w:r>
        <w:rPr>
          <w:rFonts w:ascii="宋体" w:hAnsi="宋体" w:eastAsia="宋体"/>
          <w:sz w:val="28"/>
        </w:rPr>
        <w:t>立足资源禀赋，</w:t>
      </w:r>
      <w:r>
        <w:rPr>
          <w:rFonts w:hint="eastAsia" w:ascii="宋体" w:hAnsi="宋体" w:eastAsia="宋体"/>
          <w:sz w:val="28"/>
        </w:rPr>
        <w:t>激活</w:t>
      </w:r>
      <w:r>
        <w:rPr>
          <w:rFonts w:ascii="宋体" w:hAnsi="宋体" w:eastAsia="宋体"/>
          <w:sz w:val="28"/>
        </w:rPr>
        <w:t>乡村产业新动能。</w:t>
      </w:r>
      <w:r>
        <w:rPr>
          <w:rFonts w:hint="eastAsia" w:ascii="宋体" w:hAnsi="宋体" w:eastAsia="宋体"/>
          <w:sz w:val="28"/>
        </w:rPr>
        <w:t>二是</w:t>
      </w:r>
      <w:r>
        <w:rPr>
          <w:rFonts w:ascii="宋体" w:hAnsi="宋体" w:eastAsia="宋体"/>
          <w:sz w:val="28"/>
        </w:rPr>
        <w:t>发展乡村车间，</w:t>
      </w:r>
      <w:r>
        <w:rPr>
          <w:rFonts w:hint="eastAsia" w:ascii="宋体" w:hAnsi="宋体" w:eastAsia="宋体"/>
          <w:sz w:val="28"/>
        </w:rPr>
        <w:t>培育</w:t>
      </w:r>
      <w:r>
        <w:rPr>
          <w:rFonts w:ascii="宋体" w:hAnsi="宋体" w:eastAsia="宋体"/>
          <w:sz w:val="28"/>
        </w:rPr>
        <w:t>农村经济新形态。</w:t>
      </w:r>
      <w:r>
        <w:rPr>
          <w:rFonts w:hint="eastAsia" w:ascii="宋体" w:hAnsi="宋体" w:eastAsia="宋体"/>
          <w:sz w:val="28"/>
        </w:rPr>
        <w:t>三是</w:t>
      </w:r>
      <w:r>
        <w:rPr>
          <w:rFonts w:ascii="宋体" w:hAnsi="宋体" w:eastAsia="宋体"/>
          <w:sz w:val="28"/>
        </w:rPr>
        <w:t>夯实农业基础，掀起水利建设新高潮。</w:t>
      </w:r>
      <w:r>
        <w:rPr>
          <w:rFonts w:hint="eastAsia" w:ascii="宋体" w:hAnsi="宋体" w:eastAsia="宋体"/>
          <w:sz w:val="28"/>
        </w:rPr>
        <w:t>四是创新工作机制，构建乡村治理新格局。五是</w:t>
      </w:r>
      <w:r>
        <w:rPr>
          <w:rFonts w:ascii="宋体" w:hAnsi="宋体" w:eastAsia="宋体"/>
          <w:sz w:val="28"/>
        </w:rPr>
        <w:t>聚焦特殊群体，续写搬迁后扶新篇章。</w:t>
      </w:r>
      <w:r>
        <w:rPr>
          <w:rFonts w:hint="eastAsia" w:ascii="宋体" w:hAnsi="宋体" w:eastAsia="宋体"/>
          <w:sz w:val="28"/>
        </w:rPr>
        <w:t>六是</w:t>
      </w:r>
      <w:r>
        <w:rPr>
          <w:rFonts w:ascii="宋体" w:hAnsi="宋体" w:eastAsia="宋体"/>
          <w:sz w:val="28"/>
        </w:rPr>
        <w:t>强化医疗服务，办好卫生健康新事业。</w:t>
      </w:r>
    </w:p>
    <w:p>
      <w:pPr>
        <w:spacing w:line="480" w:lineRule="auto"/>
        <w:ind w:firstLine="560" w:firstLineChars="200"/>
        <w:rPr>
          <w:rFonts w:ascii="宋体" w:hAnsi="宋体" w:eastAsia="宋体"/>
          <w:sz w:val="28"/>
        </w:rPr>
      </w:pPr>
    </w:p>
    <w:p>
      <w:pPr>
        <w:spacing w:line="480" w:lineRule="auto"/>
        <w:ind w:firstLine="560" w:firstLineChars="200"/>
        <w:rPr>
          <w:rFonts w:ascii="宋体" w:hAnsi="宋体" w:eastAsia="宋体"/>
          <w:sz w:val="28"/>
        </w:rPr>
      </w:pPr>
      <w:r>
        <w:rPr>
          <w:rFonts w:hint="eastAsia" w:ascii="宋体" w:hAnsi="宋体" w:eastAsia="宋体"/>
          <w:sz w:val="28"/>
        </w:rPr>
        <w:t>二、一般公共预算支出情况</w:t>
      </w:r>
    </w:p>
    <w:p>
      <w:pPr>
        <w:spacing w:line="480" w:lineRule="auto"/>
        <w:ind w:firstLine="560" w:firstLineChars="200"/>
        <w:rPr>
          <w:rFonts w:ascii="宋体" w:hAnsi="宋体" w:eastAsia="宋体"/>
          <w:sz w:val="28"/>
        </w:rPr>
      </w:pPr>
      <w:r>
        <w:rPr>
          <w:rFonts w:hint="eastAsia" w:ascii="宋体" w:hAnsi="宋体" w:eastAsia="宋体"/>
          <w:sz w:val="28"/>
        </w:rPr>
        <w:t>本年收入合计6974.71万元，其中：一般公共预算财政拨款收入6473.31万元，占比92.81%；政府性基金预算财政拨款收入399.15万元，占比5.72%；其他收入102.25万元，占比1.47%。本年支出合计6974.71万元，其中。</w:t>
      </w:r>
    </w:p>
    <w:p>
      <w:pPr>
        <w:spacing w:line="480" w:lineRule="auto"/>
        <w:ind w:firstLine="560" w:firstLineChars="200"/>
        <w:rPr>
          <w:rFonts w:ascii="宋体" w:hAnsi="宋体" w:eastAsia="宋体"/>
          <w:sz w:val="28"/>
        </w:rPr>
      </w:pPr>
      <w:r>
        <w:rPr>
          <w:rFonts w:hint="eastAsia" w:ascii="宋体" w:hAnsi="宋体" w:eastAsia="宋体"/>
          <w:sz w:val="28"/>
        </w:rPr>
        <w:t>主要内容和涉及范围：人员经费包括基本工资、津贴补贴、奖金、社会保障缴费、退休费生活补助、住房公积金等；日常公用经费包括办公费、差旅费、培训费、公务接待费、劳务费、工会经费、福利费、公务用车运行维护费、其他交通费用、其他商品和服务支出等；项目支出主要包括办公费、印刷费、邮电费、差旅费、维修（护）费、会议费、培训费、公务接待费、劳务费、委托业务费、公务用车运行维护费、其他交通费、其他商品和服务支出、办公设备购置。涉及人员经费、保障基本运转、开展各项专项业务工作、精准扶贫、乡村振兴、党建所发生的全部支出。</w:t>
      </w:r>
    </w:p>
    <w:p>
      <w:pPr>
        <w:spacing w:line="480" w:lineRule="auto"/>
        <w:ind w:firstLine="562" w:firstLineChars="200"/>
        <w:rPr>
          <w:rFonts w:ascii="宋体" w:hAnsi="宋体" w:eastAsia="宋体"/>
          <w:b/>
          <w:sz w:val="28"/>
        </w:rPr>
      </w:pPr>
      <w:r>
        <w:rPr>
          <w:rFonts w:hint="eastAsia" w:ascii="宋体" w:hAnsi="宋体" w:eastAsia="宋体"/>
          <w:b/>
          <w:sz w:val="28"/>
        </w:rPr>
        <w:t>（一）基本支出情况</w:t>
      </w:r>
    </w:p>
    <w:p>
      <w:pPr>
        <w:spacing w:line="480" w:lineRule="auto"/>
        <w:ind w:firstLine="560" w:firstLineChars="200"/>
        <w:rPr>
          <w:rFonts w:ascii="宋体" w:hAnsi="宋体" w:eastAsia="宋体"/>
          <w:sz w:val="28"/>
        </w:rPr>
      </w:pPr>
      <w:r>
        <w:rPr>
          <w:rFonts w:hint="eastAsia" w:ascii="宋体" w:hAnsi="宋体" w:eastAsia="宋体"/>
          <w:sz w:val="28"/>
        </w:rPr>
        <w:t>1、实际整体收支情况</w:t>
      </w:r>
    </w:p>
    <w:p>
      <w:pPr>
        <w:spacing w:line="480" w:lineRule="auto"/>
        <w:ind w:firstLine="560" w:firstLineChars="200"/>
        <w:rPr>
          <w:rFonts w:ascii="宋体" w:hAnsi="宋体" w:eastAsia="宋体"/>
          <w:sz w:val="28"/>
        </w:rPr>
      </w:pPr>
      <w:r>
        <w:rPr>
          <w:rFonts w:hint="eastAsia" w:ascii="宋体" w:hAnsi="宋体" w:eastAsia="宋体"/>
          <w:sz w:val="28"/>
        </w:rPr>
        <w:t>2023年度收、支总计6974.71万元。与上年相比减少321.00万元，下降4.40%，主要是因为：退休、异动等人员经费、专项资金减少。</w:t>
      </w:r>
    </w:p>
    <w:p>
      <w:pPr>
        <w:spacing w:line="480" w:lineRule="auto"/>
        <w:ind w:firstLine="560" w:firstLineChars="200"/>
        <w:rPr>
          <w:rFonts w:ascii="宋体" w:hAnsi="宋体" w:eastAsia="宋体"/>
          <w:sz w:val="28"/>
        </w:rPr>
      </w:pPr>
      <w:r>
        <w:rPr>
          <w:rFonts w:hint="eastAsia" w:ascii="宋体" w:hAnsi="宋体" w:eastAsia="宋体"/>
          <w:sz w:val="28"/>
        </w:rPr>
        <w:t>2023年度财政拨款基本支出309.45万元，其中：人员经费268.81万元，占基本支出的86.87%,主要包括本工资、津贴补贴、奖金、伙食补助费、绩效工资、机关事业单位基本养老保险缴费、职业年金缴费、职工基本医疗保险缴费、其他社会保障缴费、住房公积金、生活补助；公用经费40.65万元，占基本支出的13.14%,主要包括办公费、印刷费、水费、差旅费、培训费、公务接待费、劳务费、工会经费、其他交通费用、其他商品和服务支出、办公设备购置。</w:t>
      </w:r>
    </w:p>
    <w:p>
      <w:pPr>
        <w:spacing w:line="480" w:lineRule="auto"/>
        <w:ind w:firstLine="560" w:firstLineChars="200"/>
        <w:rPr>
          <w:rFonts w:ascii="宋体" w:hAnsi="宋体" w:eastAsia="宋体"/>
          <w:sz w:val="28"/>
        </w:rPr>
      </w:pPr>
      <w:r>
        <w:rPr>
          <w:rFonts w:hint="eastAsia" w:ascii="宋体" w:hAnsi="宋体" w:eastAsia="宋体"/>
          <w:sz w:val="28"/>
        </w:rPr>
        <w:t>2、“三公”经费总支出情况</w:t>
      </w:r>
    </w:p>
    <w:p>
      <w:pPr>
        <w:spacing w:line="480" w:lineRule="auto"/>
        <w:ind w:firstLine="560" w:firstLineChars="200"/>
        <w:rPr>
          <w:rFonts w:ascii="宋体" w:hAnsi="宋体" w:eastAsia="宋体"/>
          <w:sz w:val="28"/>
        </w:rPr>
      </w:pPr>
      <w:r>
        <w:rPr>
          <w:rFonts w:hint="eastAsia" w:ascii="宋体" w:hAnsi="宋体" w:eastAsia="宋体"/>
          <w:sz w:val="28"/>
        </w:rPr>
        <w:t>2023年“三公”经费预算为—万元，支出为—万元，比预算节约0万元。其中：“因公出国（境）费预算数0.00万元，支出0.00万元、公务用车购置及运行维护费预算数0.00万元，支出0.00万元、公务接待费预算数0.50万元，支出0.50万元。“三公”经费相关数据统计：国内公务接待批次15个，国内公务接待人次130人。</w:t>
      </w:r>
    </w:p>
    <w:p>
      <w:pPr>
        <w:spacing w:line="480" w:lineRule="auto"/>
        <w:ind w:firstLine="562" w:firstLineChars="200"/>
        <w:rPr>
          <w:rFonts w:ascii="宋体" w:hAnsi="宋体" w:eastAsia="宋体"/>
          <w:b/>
          <w:sz w:val="28"/>
        </w:rPr>
      </w:pPr>
      <w:r>
        <w:rPr>
          <w:rFonts w:hint="eastAsia" w:ascii="宋体" w:hAnsi="宋体" w:eastAsia="宋体"/>
          <w:b/>
          <w:sz w:val="28"/>
        </w:rPr>
        <w:t>（二）项目支出</w:t>
      </w:r>
    </w:p>
    <w:p>
      <w:pPr>
        <w:spacing w:line="480" w:lineRule="auto"/>
        <w:ind w:firstLine="560" w:firstLineChars="200"/>
        <w:rPr>
          <w:rFonts w:ascii="宋体" w:hAnsi="宋体" w:eastAsia="宋体"/>
          <w:sz w:val="28"/>
        </w:rPr>
      </w:pPr>
      <w:r>
        <w:rPr>
          <w:rFonts w:hint="eastAsia" w:ascii="宋体" w:hAnsi="宋体" w:eastAsia="宋体"/>
          <w:sz w:val="28"/>
        </w:rPr>
        <w:t>1、项目资金安排、使用</w:t>
      </w:r>
    </w:p>
    <w:p>
      <w:pPr>
        <w:spacing w:line="480" w:lineRule="auto"/>
        <w:ind w:firstLine="560" w:firstLineChars="200"/>
        <w:rPr>
          <w:rFonts w:ascii="宋体" w:hAnsi="宋体" w:eastAsia="宋体"/>
          <w:sz w:val="28"/>
        </w:rPr>
      </w:pPr>
      <w:r>
        <w:rPr>
          <w:rFonts w:hint="eastAsia" w:ascii="宋体" w:hAnsi="宋体" w:eastAsia="宋体"/>
          <w:sz w:val="28"/>
        </w:rPr>
        <w:t>2023年度项目资金收入支出合计6664.88万元，其中：县级专项资金217.42.00万元，上级专项资金6447.46万元，主要项目包括：项目（行业）管理费23.91万元、防返贫监测工作经费25.52万元、乡村振兴工作经费41.81万元、黄花菜节活动工作经费28.75万元、永顺县乡村振兴帮扶资金60万元、一次性交通补贴37.43万元、户厕（改）新建项目913.82万元、公厕升级改造项目9.18万元、财政衔接资金4418万元、雨露计划资金853.42万元、信贷贴息253.04万元。</w:t>
      </w:r>
    </w:p>
    <w:p>
      <w:pPr>
        <w:spacing w:line="480" w:lineRule="auto"/>
        <w:ind w:firstLine="560" w:firstLineChars="200"/>
        <w:rPr>
          <w:rFonts w:ascii="宋体" w:hAnsi="宋体" w:eastAsia="宋体"/>
          <w:sz w:val="28"/>
        </w:rPr>
      </w:pPr>
      <w:r>
        <w:rPr>
          <w:rFonts w:hint="eastAsia" w:ascii="宋体" w:hAnsi="宋体" w:eastAsia="宋体"/>
          <w:sz w:val="28"/>
        </w:rPr>
        <w:t>2、项目资金管理、组织实施</w:t>
      </w:r>
    </w:p>
    <w:p>
      <w:pPr>
        <w:spacing w:line="480" w:lineRule="auto"/>
        <w:ind w:firstLine="560" w:firstLineChars="200"/>
        <w:rPr>
          <w:rFonts w:ascii="宋体" w:hAnsi="宋体" w:eastAsia="宋体"/>
          <w:sz w:val="28"/>
        </w:rPr>
      </w:pPr>
      <w:r>
        <w:rPr>
          <w:rFonts w:hint="eastAsia" w:ascii="宋体" w:hAnsi="宋体" w:eastAsia="宋体"/>
          <w:sz w:val="28"/>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pPr>
        <w:spacing w:line="480" w:lineRule="auto"/>
        <w:ind w:firstLine="562" w:firstLineChars="200"/>
        <w:rPr>
          <w:rFonts w:ascii="宋体" w:hAnsi="宋体" w:eastAsia="宋体"/>
          <w:b/>
          <w:sz w:val="28"/>
        </w:rPr>
      </w:pPr>
      <w:r>
        <w:rPr>
          <w:rFonts w:hint="eastAsia" w:ascii="宋体" w:hAnsi="宋体" w:eastAsia="宋体"/>
          <w:b/>
          <w:sz w:val="28"/>
        </w:rPr>
        <w:t>三、政府性基金预算支出情况</w:t>
      </w:r>
    </w:p>
    <w:p>
      <w:pPr>
        <w:spacing w:line="480" w:lineRule="auto"/>
        <w:ind w:firstLine="560" w:firstLineChars="200"/>
        <w:rPr>
          <w:rFonts w:ascii="宋体" w:hAnsi="宋体" w:eastAsia="宋体"/>
          <w:sz w:val="28"/>
        </w:rPr>
      </w:pPr>
      <w:r>
        <w:rPr>
          <w:rFonts w:hint="eastAsia" w:ascii="宋体" w:hAnsi="宋体" w:eastAsia="宋体"/>
          <w:sz w:val="28"/>
        </w:rPr>
        <w:t>2023政府性基金预算财政拨款收入支出399.15万元，其中：基本支出0.12万元；项目支出399.03万元。</w:t>
      </w:r>
    </w:p>
    <w:p>
      <w:pPr>
        <w:spacing w:line="480" w:lineRule="auto"/>
        <w:ind w:firstLine="562" w:firstLineChars="200"/>
        <w:rPr>
          <w:rFonts w:ascii="宋体" w:hAnsi="宋体" w:eastAsia="宋体"/>
          <w:b/>
          <w:sz w:val="28"/>
        </w:rPr>
      </w:pPr>
      <w:r>
        <w:rPr>
          <w:rFonts w:hint="eastAsia" w:ascii="宋体" w:hAnsi="宋体" w:eastAsia="宋体"/>
          <w:b/>
          <w:sz w:val="28"/>
        </w:rPr>
        <w:t>四、国有资本经营预算支出情况</w:t>
      </w:r>
    </w:p>
    <w:p>
      <w:pPr>
        <w:spacing w:line="480" w:lineRule="auto"/>
        <w:ind w:firstLine="560" w:firstLineChars="200"/>
        <w:rPr>
          <w:rFonts w:ascii="宋体" w:hAnsi="宋体" w:eastAsia="宋体"/>
          <w:sz w:val="28"/>
        </w:rPr>
      </w:pPr>
      <w:r>
        <w:rPr>
          <w:rFonts w:hint="eastAsia" w:ascii="宋体" w:hAnsi="宋体" w:eastAsia="宋体"/>
          <w:sz w:val="28"/>
        </w:rPr>
        <w:t>2023年没有国有资本经营预算支出。</w:t>
      </w:r>
    </w:p>
    <w:p>
      <w:pPr>
        <w:spacing w:line="480" w:lineRule="auto"/>
        <w:ind w:firstLine="562" w:firstLineChars="200"/>
        <w:rPr>
          <w:rFonts w:ascii="宋体" w:hAnsi="宋体" w:eastAsia="宋体"/>
          <w:b/>
          <w:sz w:val="28"/>
        </w:rPr>
      </w:pPr>
      <w:r>
        <w:rPr>
          <w:rFonts w:hint="eastAsia" w:ascii="宋体" w:hAnsi="宋体" w:eastAsia="宋体"/>
          <w:b/>
          <w:sz w:val="28"/>
        </w:rPr>
        <w:t>五、社会保险基金预算支出情况</w:t>
      </w:r>
    </w:p>
    <w:p>
      <w:pPr>
        <w:spacing w:line="480" w:lineRule="auto"/>
        <w:ind w:firstLine="560" w:firstLineChars="200"/>
        <w:rPr>
          <w:rFonts w:ascii="宋体" w:hAnsi="宋体" w:eastAsia="宋体"/>
          <w:sz w:val="28"/>
        </w:rPr>
      </w:pPr>
      <w:r>
        <w:rPr>
          <w:rFonts w:hint="eastAsia" w:ascii="宋体" w:hAnsi="宋体" w:eastAsia="宋体"/>
          <w:sz w:val="28"/>
        </w:rPr>
        <w:t>本年度没有社会保险基金预算支出。</w:t>
      </w:r>
    </w:p>
    <w:p>
      <w:pPr>
        <w:spacing w:line="480" w:lineRule="auto"/>
        <w:ind w:firstLine="562" w:firstLineChars="200"/>
        <w:rPr>
          <w:rFonts w:ascii="宋体" w:hAnsi="宋体" w:eastAsia="宋体"/>
          <w:b/>
          <w:sz w:val="28"/>
        </w:rPr>
      </w:pPr>
      <w:r>
        <w:rPr>
          <w:rFonts w:hint="eastAsia" w:ascii="宋体" w:hAnsi="宋体" w:eastAsia="宋体"/>
          <w:b/>
          <w:sz w:val="28"/>
        </w:rPr>
        <w:t>六、部门整体支出绩效情况</w:t>
      </w:r>
    </w:p>
    <w:p>
      <w:pPr>
        <w:spacing w:line="480" w:lineRule="auto"/>
        <w:ind w:firstLine="560" w:firstLineChars="200"/>
        <w:rPr>
          <w:rFonts w:ascii="宋体" w:hAnsi="宋体" w:eastAsia="宋体"/>
          <w:sz w:val="28"/>
        </w:rPr>
      </w:pPr>
      <w:r>
        <w:rPr>
          <w:rFonts w:hint="eastAsia" w:ascii="宋体" w:hAnsi="宋体" w:eastAsia="宋体"/>
          <w:sz w:val="28"/>
        </w:rPr>
        <w:t>（一）单位总支出情况的绩效</w:t>
      </w:r>
    </w:p>
    <w:p>
      <w:pPr>
        <w:spacing w:line="480" w:lineRule="auto"/>
        <w:ind w:firstLine="560" w:firstLineChars="200"/>
        <w:rPr>
          <w:rFonts w:ascii="宋体" w:hAnsi="宋体" w:eastAsia="宋体"/>
          <w:sz w:val="28"/>
        </w:rPr>
      </w:pPr>
      <w:r>
        <w:rPr>
          <w:rFonts w:hint="eastAsia" w:ascii="宋体" w:hAnsi="宋体" w:eastAsia="宋体"/>
          <w:sz w:val="28"/>
        </w:rPr>
        <w:t>2023年度支出总额6974.71万元，其中基本支出309.83万元，基本支出保障了单位正常运转的日常支出，包括基本工资、津贴补贴等人员经费以及办公费、水电费、差旅费等日常公用经费；项目支出金额6664.88万元，项目支出主要用于为完成本级财政和及上级安排特定的工作任务或目标支出。</w:t>
      </w:r>
    </w:p>
    <w:p>
      <w:pPr>
        <w:spacing w:line="480" w:lineRule="auto"/>
        <w:ind w:firstLine="560" w:firstLineChars="200"/>
        <w:rPr>
          <w:rFonts w:ascii="宋体" w:hAnsi="宋体" w:eastAsia="宋体"/>
          <w:sz w:val="28"/>
        </w:rPr>
      </w:pPr>
      <w:r>
        <w:rPr>
          <w:rFonts w:hint="eastAsia" w:ascii="宋体" w:hAnsi="宋体" w:eastAsia="宋体"/>
          <w:sz w:val="28"/>
        </w:rPr>
        <w:t>（二）部门整体绩效情况</w:t>
      </w:r>
    </w:p>
    <w:p>
      <w:pPr>
        <w:spacing w:line="480" w:lineRule="auto"/>
        <w:ind w:firstLine="560" w:firstLineChars="200"/>
        <w:rPr>
          <w:rFonts w:ascii="宋体" w:hAnsi="宋体" w:eastAsia="宋体"/>
          <w:sz w:val="28"/>
        </w:rPr>
      </w:pPr>
      <w:r>
        <w:rPr>
          <w:rFonts w:hint="eastAsia" w:ascii="宋体" w:hAnsi="宋体" w:eastAsia="宋体"/>
          <w:sz w:val="28"/>
        </w:rPr>
        <w:t>一年来，本局把党的领导贯穿于依法履职的全过程，始终保持正确的政治方向,全力推动各项工作落实处、见实效。本局2023年度部门整体支出6974.71万元，其中单位基本支出基本支出309.83万元，项目支出6664.88万元,整体支出绩效目标完成率100%，其中单位基本支出完成率100%，项目支出完成率100%。全部实行绩效自评，自评覆盖率达到100%。在年度绩效考核中，全体干部职工满意度达100%，社会群众满意度达99%，其产出和效益情况概述如下：</w:t>
      </w:r>
    </w:p>
    <w:p>
      <w:pPr>
        <w:spacing w:line="480" w:lineRule="auto"/>
        <w:ind w:firstLine="560" w:firstLineChars="200"/>
        <w:rPr>
          <w:rFonts w:ascii="宋体" w:hAnsi="宋体" w:eastAsia="宋体"/>
          <w:sz w:val="28"/>
        </w:rPr>
      </w:pPr>
      <w:r>
        <w:rPr>
          <w:rFonts w:hint="eastAsia" w:ascii="宋体" w:hAnsi="宋体" w:eastAsia="宋体"/>
          <w:sz w:val="28"/>
        </w:rPr>
        <w:t>1.保证了工资及津补贴的正常发放，提高了职工的福利待遇，充分发挥了所有职工的工作积极性。</w:t>
      </w:r>
    </w:p>
    <w:p>
      <w:pPr>
        <w:spacing w:line="480" w:lineRule="auto"/>
        <w:ind w:firstLine="560" w:firstLineChars="200"/>
        <w:rPr>
          <w:rFonts w:ascii="宋体" w:hAnsi="宋体" w:eastAsia="宋体"/>
          <w:sz w:val="28"/>
        </w:rPr>
      </w:pPr>
      <w:r>
        <w:rPr>
          <w:rFonts w:hint="eastAsia" w:ascii="宋体" w:hAnsi="宋体" w:eastAsia="宋体"/>
          <w:sz w:val="28"/>
        </w:rPr>
        <w:t>2.保证了单位公用经费的正常支出，极大地提高了机构各项职能的运转效率。</w:t>
      </w:r>
    </w:p>
    <w:p>
      <w:pPr>
        <w:spacing w:line="480" w:lineRule="auto"/>
        <w:ind w:firstLine="560" w:firstLineChars="200"/>
        <w:rPr>
          <w:rFonts w:ascii="宋体" w:hAnsi="宋体" w:eastAsia="宋体"/>
          <w:sz w:val="28"/>
        </w:rPr>
      </w:pPr>
      <w:r>
        <w:rPr>
          <w:rFonts w:hint="eastAsia" w:ascii="宋体" w:hAnsi="宋体" w:eastAsia="宋体"/>
          <w:sz w:val="28"/>
        </w:rPr>
        <w:t>3.落实了工作责任，改进工作管理、提升工作水平；加大对脱贫监测户和边缘易致贫户的监测帮扶力度，配合做好各级督查巡查，确保不出现规模性返贫现象，夯实了脱贫攻坚工作取得的胜利成果。</w:t>
      </w:r>
    </w:p>
    <w:p>
      <w:pPr>
        <w:spacing w:line="480" w:lineRule="auto"/>
        <w:ind w:firstLine="560" w:firstLineChars="200"/>
        <w:rPr>
          <w:rFonts w:ascii="宋体" w:hAnsi="宋体" w:eastAsia="宋体"/>
          <w:sz w:val="28"/>
        </w:rPr>
      </w:pPr>
      <w:r>
        <w:rPr>
          <w:rFonts w:hint="eastAsia" w:ascii="宋体" w:hAnsi="宋体" w:eastAsia="宋体"/>
          <w:sz w:val="28"/>
        </w:rPr>
        <w:t xml:space="preserve">4.综合协调了全县产业、金融、就业、教育、健康、社会、生态补偿、农村危房改造、兜底保障、农村基础设施建设、文化惠民和科技服务等工作，确保脱贫攻坚工作与乡村振兴工作的有效衔接。 </w:t>
      </w:r>
    </w:p>
    <w:p>
      <w:pPr>
        <w:spacing w:line="480" w:lineRule="auto"/>
        <w:ind w:firstLine="560" w:firstLineChars="200"/>
        <w:rPr>
          <w:rFonts w:ascii="宋体" w:hAnsi="宋体" w:eastAsia="宋体"/>
          <w:sz w:val="28"/>
        </w:rPr>
      </w:pPr>
      <w:r>
        <w:rPr>
          <w:rFonts w:hint="eastAsia" w:ascii="宋体" w:hAnsi="宋体" w:eastAsia="宋体"/>
          <w:sz w:val="28"/>
        </w:rPr>
        <w:t>5.扎实有序地推进乡村振兴建设，改善了全县多数居民的生产生活条件，努力提升人民群众的幸福指数。</w:t>
      </w:r>
    </w:p>
    <w:p>
      <w:pPr>
        <w:spacing w:line="480" w:lineRule="auto"/>
        <w:ind w:firstLine="560" w:firstLineChars="200"/>
        <w:rPr>
          <w:rFonts w:ascii="宋体" w:hAnsi="宋体" w:eastAsia="宋体"/>
          <w:sz w:val="28"/>
        </w:rPr>
      </w:pPr>
      <w:r>
        <w:rPr>
          <w:rFonts w:hint="eastAsia" w:ascii="宋体" w:hAnsi="宋体" w:eastAsia="宋体"/>
          <w:sz w:val="28"/>
        </w:rPr>
        <w:t>6.推动了全县各的民政、卫生、体育、计划生育、文化教育等社会公益事业的综合性工作，提升精神文明建设质量，得到了社会公众的一致好评。</w:t>
      </w:r>
    </w:p>
    <w:p>
      <w:pPr>
        <w:spacing w:line="480" w:lineRule="auto"/>
        <w:ind w:firstLine="560" w:firstLineChars="200"/>
        <w:rPr>
          <w:rFonts w:ascii="宋体" w:hAnsi="宋体" w:eastAsia="宋体"/>
          <w:sz w:val="28"/>
        </w:rPr>
      </w:pPr>
      <w:r>
        <w:rPr>
          <w:rFonts w:hint="eastAsia" w:ascii="宋体" w:hAnsi="宋体" w:eastAsia="宋体"/>
          <w:sz w:val="28"/>
        </w:rPr>
        <w:t>7．综合评价情况及评价结论</w:t>
      </w:r>
    </w:p>
    <w:p>
      <w:pPr>
        <w:spacing w:line="480" w:lineRule="auto"/>
        <w:ind w:firstLine="560" w:firstLineChars="200"/>
        <w:rPr>
          <w:rFonts w:ascii="宋体" w:hAnsi="宋体" w:eastAsia="宋体"/>
          <w:sz w:val="28"/>
        </w:rPr>
      </w:pPr>
      <w:r>
        <w:rPr>
          <w:rFonts w:hint="eastAsia" w:ascii="宋体" w:hAnsi="宋体" w:eastAsia="宋体"/>
          <w:sz w:val="28"/>
        </w:rPr>
        <w:t>祁东县乡村振兴局2023年度项目资金绩效自评综合得分为99分，具体自评情况见附表。</w:t>
      </w:r>
    </w:p>
    <w:p>
      <w:pPr>
        <w:spacing w:line="480" w:lineRule="auto"/>
        <w:ind w:firstLine="562" w:firstLineChars="200"/>
        <w:rPr>
          <w:rFonts w:ascii="宋体" w:hAnsi="宋体" w:eastAsia="宋体"/>
          <w:b/>
          <w:sz w:val="28"/>
        </w:rPr>
      </w:pPr>
      <w:r>
        <w:rPr>
          <w:rFonts w:hint="eastAsia" w:ascii="宋体" w:hAnsi="宋体" w:eastAsia="宋体"/>
          <w:b/>
          <w:sz w:val="28"/>
        </w:rPr>
        <w:t>七、存在的问题及原因分析</w:t>
      </w:r>
    </w:p>
    <w:p>
      <w:pPr>
        <w:spacing w:line="480" w:lineRule="auto"/>
        <w:ind w:firstLine="560" w:firstLineChars="200"/>
        <w:rPr>
          <w:rFonts w:ascii="宋体" w:hAnsi="宋体" w:eastAsia="宋体"/>
          <w:sz w:val="28"/>
        </w:rPr>
      </w:pPr>
      <w:r>
        <w:rPr>
          <w:rFonts w:hint="eastAsia" w:ascii="宋体" w:hAnsi="宋体" w:eastAsia="宋体"/>
          <w:sz w:val="28"/>
        </w:rPr>
        <w:t>对于绩效评价工作“谁使用、谁评价”的原则执行还不够到位；再是对项目资金使用成本控制管理还存在不足，有待进一步加强；绩效目标和指标往往根据项目实际完成情况制定，对项目执行过程有效约束不够，存在一定的偏差。</w:t>
      </w:r>
    </w:p>
    <w:p>
      <w:pPr>
        <w:spacing w:line="480" w:lineRule="auto"/>
        <w:ind w:firstLine="560" w:firstLineChars="200"/>
        <w:rPr>
          <w:rFonts w:ascii="宋体" w:hAnsi="宋体" w:eastAsia="宋体"/>
          <w:sz w:val="28"/>
        </w:rPr>
      </w:pPr>
      <w:r>
        <w:rPr>
          <w:rFonts w:hint="eastAsia" w:ascii="宋体" w:hAnsi="宋体" w:eastAsia="宋体"/>
          <w:sz w:val="28"/>
        </w:rPr>
        <w:t>年初预算在上一年度编制上报，对次年经费的测算不能完整反映，且县财政在年初批复预算时是根据县级财力安排，出现预算编制不完整、经费预算不足部分通过调整来增加预算、预算执行结果与年初预算有较大偏差等现象。</w:t>
      </w:r>
    </w:p>
    <w:p>
      <w:pPr>
        <w:spacing w:line="480" w:lineRule="auto"/>
        <w:ind w:firstLine="560" w:firstLineChars="200"/>
        <w:rPr>
          <w:rFonts w:ascii="宋体" w:hAnsi="宋体" w:eastAsia="宋体"/>
          <w:sz w:val="28"/>
        </w:rPr>
      </w:pPr>
      <w:r>
        <w:rPr>
          <w:rFonts w:hint="eastAsia" w:ascii="宋体" w:hAnsi="宋体" w:eastAsia="宋体"/>
          <w:sz w:val="28"/>
        </w:rPr>
        <w:t>根据存在的问题，我单位将进一步加强预算编制的前瞻性，按照新《预算法》及其实施条例的相关规定，结合本单位的发展规划、上一年度预算执行情况和本年度预算收支变化因素，尽可能地科学、合理编制本年预算草案，避免年初预算与实际执行出现较大偏差的情况；加强预算执行管理，执行中确需调剂预算的，按规定程序报经批准。加强预算绩效管理机制，不断完善内部控制，在努力实现审计监督全覆盖的同时，提高财政资金使用效益。</w:t>
      </w:r>
    </w:p>
    <w:p>
      <w:pPr>
        <w:spacing w:line="480" w:lineRule="auto"/>
        <w:ind w:firstLine="562" w:firstLineChars="200"/>
        <w:rPr>
          <w:rFonts w:ascii="宋体" w:hAnsi="宋体" w:eastAsia="宋体"/>
          <w:b/>
          <w:sz w:val="28"/>
        </w:rPr>
      </w:pPr>
      <w:r>
        <w:rPr>
          <w:rFonts w:hint="eastAsia" w:ascii="宋体" w:hAnsi="宋体" w:eastAsia="宋体"/>
          <w:b/>
          <w:sz w:val="28"/>
        </w:rPr>
        <w:t>八、下一步改进措施</w:t>
      </w:r>
    </w:p>
    <w:p>
      <w:pPr>
        <w:spacing w:line="480" w:lineRule="auto"/>
        <w:ind w:firstLine="560" w:firstLineChars="200"/>
        <w:rPr>
          <w:rFonts w:ascii="宋体" w:hAnsi="宋体" w:eastAsia="宋体"/>
          <w:sz w:val="28"/>
        </w:rPr>
      </w:pPr>
      <w:r>
        <w:rPr>
          <w:rFonts w:hint="eastAsia" w:ascii="宋体" w:hAnsi="宋体" w:eastAsia="宋体"/>
          <w:sz w:val="28"/>
        </w:rPr>
        <w:t>本着“勤俭节约、保障运转”的原则进行预算的编制，进一步提高预算编制的科学性、合理性、严谨性和可控性，提高财政资金使用效益。</w:t>
      </w:r>
    </w:p>
    <w:p>
      <w:pPr>
        <w:spacing w:line="480" w:lineRule="auto"/>
        <w:ind w:firstLine="562" w:firstLineChars="200"/>
        <w:rPr>
          <w:rFonts w:ascii="宋体" w:hAnsi="宋体" w:eastAsia="宋体"/>
          <w:b/>
          <w:sz w:val="28"/>
        </w:rPr>
      </w:pPr>
      <w:r>
        <w:rPr>
          <w:rFonts w:hint="eastAsia" w:ascii="宋体" w:hAnsi="宋体" w:eastAsia="宋体"/>
          <w:b/>
          <w:sz w:val="28"/>
        </w:rPr>
        <w:t>九、部门整体支出绩效自评结果拟应用和公开情况</w:t>
      </w:r>
    </w:p>
    <w:p>
      <w:pPr>
        <w:spacing w:line="480" w:lineRule="auto"/>
        <w:ind w:firstLine="560" w:firstLineChars="200"/>
        <w:rPr>
          <w:rFonts w:ascii="宋体" w:hAnsi="宋体" w:eastAsia="宋体"/>
          <w:sz w:val="28"/>
        </w:rPr>
      </w:pPr>
      <w:r>
        <w:rPr>
          <w:rFonts w:hint="eastAsia" w:ascii="宋体" w:hAnsi="宋体" w:eastAsia="宋体"/>
          <w:sz w:val="28"/>
        </w:rPr>
        <w:t>通过绩效自评，进一步掌握了资金使用情况和取得的效果，发现了工作中存在的问题和不足，为今后加强资金使用管理、完善资金绩效管理、提高资金使用效益工作提供了重要的参考依据。</w:t>
      </w:r>
    </w:p>
    <w:p>
      <w:pPr>
        <w:spacing w:line="480" w:lineRule="auto"/>
        <w:ind w:firstLine="560" w:firstLineChars="200"/>
        <w:rPr>
          <w:rFonts w:ascii="宋体" w:hAnsi="宋体" w:eastAsia="宋体"/>
          <w:sz w:val="28"/>
        </w:rPr>
      </w:pPr>
      <w:r>
        <w:rPr>
          <w:rFonts w:hint="eastAsia" w:ascii="宋体" w:hAnsi="宋体" w:eastAsia="宋体"/>
          <w:sz w:val="28"/>
        </w:rPr>
        <w:t>将此次绩效自评报告在本县党政门户网站上予以公布，向社会公开，广泛接受群众监督。</w:t>
      </w:r>
    </w:p>
    <w:p>
      <w:pPr>
        <w:spacing w:line="480" w:lineRule="auto"/>
        <w:ind w:firstLine="562" w:firstLineChars="200"/>
        <w:rPr>
          <w:rFonts w:ascii="宋体" w:hAnsi="宋体" w:eastAsia="宋体"/>
          <w:b/>
          <w:sz w:val="28"/>
        </w:rPr>
      </w:pPr>
      <w:r>
        <w:rPr>
          <w:rFonts w:hint="eastAsia" w:ascii="宋体" w:hAnsi="宋体" w:eastAsia="宋体"/>
          <w:b/>
          <w:sz w:val="28"/>
        </w:rPr>
        <w:t>十、其他需要说明的情况</w:t>
      </w:r>
    </w:p>
    <w:p>
      <w:pPr>
        <w:spacing w:line="480" w:lineRule="auto"/>
        <w:ind w:firstLine="560" w:firstLineChars="200"/>
        <w:rPr>
          <w:rFonts w:ascii="宋体" w:hAnsi="宋体" w:eastAsia="宋体"/>
          <w:sz w:val="28"/>
        </w:rPr>
      </w:pPr>
      <w:r>
        <w:rPr>
          <w:rFonts w:hint="eastAsia" w:ascii="宋体" w:hAnsi="宋体" w:eastAsia="宋体"/>
          <w:sz w:val="28"/>
        </w:rPr>
        <w:t>无。</w:t>
      </w:r>
    </w:p>
    <w:p>
      <w:pPr>
        <w:spacing w:line="480" w:lineRule="auto"/>
        <w:ind w:firstLine="560" w:firstLineChars="200"/>
        <w:rPr>
          <w:rFonts w:ascii="宋体" w:hAnsi="宋体" w:eastAsia="宋体"/>
          <w:sz w:val="28"/>
        </w:rPr>
      </w:pPr>
      <w:r>
        <w:rPr>
          <w:rFonts w:hint="eastAsia" w:ascii="宋体" w:hAnsi="宋体" w:eastAsia="宋体"/>
          <w:sz w:val="28"/>
        </w:rPr>
        <w:t>附表：1、部门整体支出绩效评价基础数据表</w:t>
      </w:r>
    </w:p>
    <w:p>
      <w:pPr>
        <w:spacing w:line="480" w:lineRule="auto"/>
        <w:ind w:firstLine="560" w:firstLineChars="200"/>
        <w:rPr>
          <w:rFonts w:ascii="宋体" w:hAnsi="宋体" w:eastAsia="宋体"/>
          <w:sz w:val="28"/>
        </w:rPr>
      </w:pPr>
      <w:r>
        <w:rPr>
          <w:rFonts w:hint="eastAsia" w:ascii="宋体" w:hAnsi="宋体" w:eastAsia="宋体"/>
          <w:sz w:val="28"/>
        </w:rPr>
        <w:t xml:space="preserve">      2、部门整体支出绩效自评表</w:t>
      </w:r>
    </w:p>
    <w:p>
      <w:pPr>
        <w:spacing w:line="480" w:lineRule="auto"/>
        <w:ind w:firstLine="560" w:firstLineChars="200"/>
        <w:rPr>
          <w:rFonts w:ascii="宋体" w:hAnsi="宋体" w:eastAsia="宋体"/>
          <w:sz w:val="28"/>
        </w:rPr>
      </w:pPr>
      <w:r>
        <w:rPr>
          <w:rFonts w:hint="eastAsia" w:ascii="宋体" w:hAnsi="宋体" w:eastAsia="宋体"/>
          <w:sz w:val="28"/>
        </w:rPr>
        <w:t xml:space="preserve">      3、项目支出绩效自评表（每个一级项目一张表）</w:t>
      </w:r>
    </w:p>
    <w:p>
      <w:pPr>
        <w:spacing w:line="480" w:lineRule="auto"/>
        <w:ind w:firstLine="560" w:firstLineChars="200"/>
        <w:rPr>
          <w:rFonts w:ascii="宋体" w:hAnsi="宋体" w:eastAsia="宋体"/>
          <w:sz w:val="28"/>
        </w:rPr>
      </w:pPr>
      <w:r>
        <w:rPr>
          <w:rFonts w:hint="eastAsia" w:ascii="宋体" w:hAnsi="宋体" w:eastAsia="宋体"/>
          <w:sz w:val="28"/>
        </w:rPr>
        <w:t xml:space="preserve">      4、政府性基金预算支出情况表</w:t>
      </w:r>
    </w:p>
    <w:p>
      <w:pPr>
        <w:spacing w:line="480" w:lineRule="auto"/>
        <w:ind w:firstLine="560" w:firstLineChars="200"/>
        <w:rPr>
          <w:rFonts w:ascii="宋体" w:hAnsi="宋体" w:eastAsia="宋体"/>
          <w:sz w:val="28"/>
        </w:rPr>
      </w:pPr>
      <w:r>
        <w:rPr>
          <w:rFonts w:hint="eastAsia" w:ascii="宋体" w:hAnsi="宋体" w:eastAsia="宋体"/>
          <w:sz w:val="28"/>
        </w:rPr>
        <w:t xml:space="preserve">      5、国有资本经营预算支出情况表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80478"/>
    <w:multiLevelType w:val="multilevel"/>
    <w:tmpl w:val="06F80478"/>
    <w:lvl w:ilvl="0" w:tentative="0">
      <w:start w:val="1"/>
      <w:numFmt w:val="lowerLetter"/>
      <w:pStyle w:val="77"/>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0C89246C"/>
    <w:multiLevelType w:val="multilevel"/>
    <w:tmpl w:val="0C89246C"/>
    <w:lvl w:ilvl="0" w:tentative="0">
      <w:start w:val="1"/>
      <w:numFmt w:val="lowerLetter"/>
      <w:pStyle w:val="65"/>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0D162AB7"/>
    <w:multiLevelType w:val="multilevel"/>
    <w:tmpl w:val="0D162AB7"/>
    <w:lvl w:ilvl="0" w:tentative="0">
      <w:start w:val="1"/>
      <w:numFmt w:val="decimal"/>
      <w:pStyle w:val="83"/>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3">
    <w:nsid w:val="0EFC1DE8"/>
    <w:multiLevelType w:val="multilevel"/>
    <w:tmpl w:val="0EFC1DE8"/>
    <w:lvl w:ilvl="0" w:tentative="0">
      <w:start w:val="1"/>
      <w:numFmt w:val="lowerRoman"/>
      <w:pStyle w:val="69"/>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
    <w:nsid w:val="0F89325A"/>
    <w:multiLevelType w:val="multilevel"/>
    <w:tmpl w:val="0F89325A"/>
    <w:lvl w:ilvl="0" w:tentative="0">
      <w:start w:val="1"/>
      <w:numFmt w:val="chineseCountingThousand"/>
      <w:pStyle w:val="49"/>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5">
    <w:nsid w:val="1353089F"/>
    <w:multiLevelType w:val="multilevel"/>
    <w:tmpl w:val="1353089F"/>
    <w:lvl w:ilvl="0" w:tentative="0">
      <w:start w:val="1"/>
      <w:numFmt w:val="upperRoman"/>
      <w:pStyle w:val="103"/>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6">
    <w:nsid w:val="1A2947A4"/>
    <w:multiLevelType w:val="multilevel"/>
    <w:tmpl w:val="1A2947A4"/>
    <w:lvl w:ilvl="0" w:tentative="0">
      <w:start w:val="1"/>
      <w:numFmt w:val="lowerRoman"/>
      <w:pStyle w:val="81"/>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7">
    <w:nsid w:val="21D93A5C"/>
    <w:multiLevelType w:val="multilevel"/>
    <w:tmpl w:val="21D93A5C"/>
    <w:lvl w:ilvl="0" w:tentative="0">
      <w:start w:val="1"/>
      <w:numFmt w:val="chineseCountingThousand"/>
      <w:pStyle w:val="73"/>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227069AC"/>
    <w:multiLevelType w:val="multilevel"/>
    <w:tmpl w:val="227069AC"/>
    <w:lvl w:ilvl="0" w:tentative="0">
      <w:start w:val="1"/>
      <w:numFmt w:val="upperLetter"/>
      <w:pStyle w:val="87"/>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2F1034A3"/>
    <w:multiLevelType w:val="multilevel"/>
    <w:tmpl w:val="2F1034A3"/>
    <w:lvl w:ilvl="0" w:tentative="0">
      <w:start w:val="1"/>
      <w:numFmt w:val="lowerLetter"/>
      <w:pStyle w:val="89"/>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0">
    <w:nsid w:val="2F5B7434"/>
    <w:multiLevelType w:val="multilevel"/>
    <w:tmpl w:val="2F5B7434"/>
    <w:lvl w:ilvl="0" w:tentative="0">
      <w:start w:val="1"/>
      <w:numFmt w:val="upperLetter"/>
      <w:pStyle w:val="75"/>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1">
    <w:nsid w:val="30072A41"/>
    <w:multiLevelType w:val="multilevel"/>
    <w:tmpl w:val="30072A41"/>
    <w:lvl w:ilvl="0" w:tentative="0">
      <w:start w:val="1"/>
      <w:numFmt w:val="chineseCountingThousand"/>
      <w:pStyle w:val="97"/>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2">
    <w:nsid w:val="3C210087"/>
    <w:multiLevelType w:val="multilevel"/>
    <w:tmpl w:val="3C210087"/>
    <w:lvl w:ilvl="0" w:tentative="0">
      <w:start w:val="1"/>
      <w:numFmt w:val="upperRoman"/>
      <w:pStyle w:val="55"/>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3">
    <w:nsid w:val="3F277ACD"/>
    <w:multiLevelType w:val="multilevel"/>
    <w:tmpl w:val="3F277ACD"/>
    <w:lvl w:ilvl="0" w:tentative="0">
      <w:start w:val="1"/>
      <w:numFmt w:val="decimal"/>
      <w:pStyle w:val="95"/>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4">
    <w:nsid w:val="45BA3CB8"/>
    <w:multiLevelType w:val="multilevel"/>
    <w:tmpl w:val="45BA3CB8"/>
    <w:lvl w:ilvl="0" w:tentative="0">
      <w:start w:val="1"/>
      <w:numFmt w:val="lowerRoman"/>
      <w:pStyle w:val="93"/>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5">
    <w:nsid w:val="48441C83"/>
    <w:multiLevelType w:val="multilevel"/>
    <w:tmpl w:val="48441C83"/>
    <w:lvl w:ilvl="0" w:tentative="0">
      <w:start w:val="1"/>
      <w:numFmt w:val="upperRoman"/>
      <w:pStyle w:val="79"/>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6">
    <w:nsid w:val="48D258B5"/>
    <w:multiLevelType w:val="multilevel"/>
    <w:tmpl w:val="48D258B5"/>
    <w:lvl w:ilvl="0" w:tentative="0">
      <w:start w:val="1"/>
      <w:numFmt w:val="decimal"/>
      <w:pStyle w:val="59"/>
      <w:lvlText w:val="%1."/>
      <w:lvlJc w:val="left"/>
      <w:pPr>
        <w:ind w:left="704" w:hanging="420"/>
      </w:pPr>
      <w:rPr>
        <w:rFonts w:hint="eastAsia"/>
        <w:sz w:val="72"/>
        <w:szCs w:val="72"/>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7">
    <w:nsid w:val="4BCC1CF2"/>
    <w:multiLevelType w:val="multilevel"/>
    <w:tmpl w:val="4BCC1CF2"/>
    <w:lvl w:ilvl="0" w:tentative="0">
      <w:start w:val="1"/>
      <w:numFmt w:val="lowerRoman"/>
      <w:pStyle w:val="105"/>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8">
    <w:nsid w:val="4C022313"/>
    <w:multiLevelType w:val="multilevel"/>
    <w:tmpl w:val="4C022313"/>
    <w:lvl w:ilvl="0" w:tentative="0">
      <w:start w:val="1"/>
      <w:numFmt w:val="upperLetter"/>
      <w:pStyle w:val="99"/>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9">
    <w:nsid w:val="4E793448"/>
    <w:multiLevelType w:val="multilevel"/>
    <w:tmpl w:val="4E793448"/>
    <w:lvl w:ilvl="0" w:tentative="0">
      <w:start w:val="1"/>
      <w:numFmt w:val="lowerLetter"/>
      <w:pStyle w:val="101"/>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0">
    <w:nsid w:val="56361809"/>
    <w:multiLevelType w:val="multilevel"/>
    <w:tmpl w:val="56361809"/>
    <w:lvl w:ilvl="0" w:tentative="0">
      <w:start w:val="1"/>
      <w:numFmt w:val="upperLetter"/>
      <w:pStyle w:val="63"/>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1">
    <w:nsid w:val="57D67E27"/>
    <w:multiLevelType w:val="multilevel"/>
    <w:tmpl w:val="57D67E27"/>
    <w:lvl w:ilvl="0" w:tentative="0">
      <w:start w:val="1"/>
      <w:numFmt w:val="decimal"/>
      <w:pStyle w:val="47"/>
      <w:lvlText w:val="%1."/>
      <w:lvlJc w:val="left"/>
      <w:pPr>
        <w:ind w:left="704" w:hanging="420"/>
      </w:pPr>
      <w:rPr>
        <w:rFonts w:hint="eastAsia"/>
        <w:sz w:val="96"/>
        <w:szCs w:val="9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2">
    <w:nsid w:val="5A181799"/>
    <w:multiLevelType w:val="multilevel"/>
    <w:tmpl w:val="5A181799"/>
    <w:lvl w:ilvl="0" w:tentative="0">
      <w:start w:val="1"/>
      <w:numFmt w:val="lowerLetter"/>
      <w:pStyle w:val="53"/>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3">
    <w:nsid w:val="5FA0565C"/>
    <w:multiLevelType w:val="multilevel"/>
    <w:tmpl w:val="5FA0565C"/>
    <w:lvl w:ilvl="0" w:tentative="0">
      <w:start w:val="1"/>
      <w:numFmt w:val="lowerRoman"/>
      <w:pStyle w:val="57"/>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4">
    <w:nsid w:val="602D6C19"/>
    <w:multiLevelType w:val="multilevel"/>
    <w:tmpl w:val="602D6C19"/>
    <w:lvl w:ilvl="0" w:tentative="0">
      <w:start w:val="1"/>
      <w:numFmt w:val="upperLetter"/>
      <w:pStyle w:val="51"/>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5">
    <w:nsid w:val="638B253F"/>
    <w:multiLevelType w:val="multilevel"/>
    <w:tmpl w:val="638B253F"/>
    <w:lvl w:ilvl="0" w:tentative="0">
      <w:start w:val="1"/>
      <w:numFmt w:val="upperRoman"/>
      <w:pStyle w:val="67"/>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6">
    <w:nsid w:val="64F12C63"/>
    <w:multiLevelType w:val="multilevel"/>
    <w:tmpl w:val="64F12C63"/>
    <w:lvl w:ilvl="0" w:tentative="0">
      <w:start w:val="1"/>
      <w:numFmt w:val="chineseCountingThousand"/>
      <w:pStyle w:val="85"/>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7">
    <w:nsid w:val="67D9330E"/>
    <w:multiLevelType w:val="multilevel"/>
    <w:tmpl w:val="67D9330E"/>
    <w:lvl w:ilvl="0" w:tentative="0">
      <w:start w:val="1"/>
      <w:numFmt w:val="decimal"/>
      <w:pStyle w:val="71"/>
      <w:lvlText w:val="%1."/>
      <w:lvlJc w:val="left"/>
      <w:pPr>
        <w:ind w:left="704" w:hanging="420"/>
      </w:pPr>
      <w:rPr>
        <w:rFonts w:hint="eastAsia"/>
        <w:sz w:val="56"/>
        <w:szCs w:val="5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8">
    <w:nsid w:val="6AF34339"/>
    <w:multiLevelType w:val="multilevel"/>
    <w:tmpl w:val="6AF34339"/>
    <w:lvl w:ilvl="0" w:tentative="0">
      <w:start w:val="1"/>
      <w:numFmt w:val="upperRoman"/>
      <w:pStyle w:val="91"/>
      <w:lvlText w:val="%1."/>
      <w:lvlJc w:val="left"/>
      <w:pPr>
        <w:ind w:left="704" w:hanging="420"/>
      </w:pPr>
      <w:rPr>
        <w:rFonts w:hint="eastAsia"/>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9">
    <w:nsid w:val="7C73237E"/>
    <w:multiLevelType w:val="multilevel"/>
    <w:tmpl w:val="7C73237E"/>
    <w:lvl w:ilvl="0" w:tentative="0">
      <w:start w:val="1"/>
      <w:numFmt w:val="chineseCountingThousand"/>
      <w:pStyle w:val="61"/>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21"/>
  </w:num>
  <w:num w:numId="2">
    <w:abstractNumId w:val="4"/>
  </w:num>
  <w:num w:numId="3">
    <w:abstractNumId w:val="24"/>
  </w:num>
  <w:num w:numId="4">
    <w:abstractNumId w:val="22"/>
  </w:num>
  <w:num w:numId="5">
    <w:abstractNumId w:val="12"/>
  </w:num>
  <w:num w:numId="6">
    <w:abstractNumId w:val="23"/>
  </w:num>
  <w:num w:numId="7">
    <w:abstractNumId w:val="16"/>
  </w:num>
  <w:num w:numId="8">
    <w:abstractNumId w:val="29"/>
  </w:num>
  <w:num w:numId="9">
    <w:abstractNumId w:val="20"/>
  </w:num>
  <w:num w:numId="10">
    <w:abstractNumId w:val="1"/>
  </w:num>
  <w:num w:numId="11">
    <w:abstractNumId w:val="25"/>
  </w:num>
  <w:num w:numId="12">
    <w:abstractNumId w:val="3"/>
  </w:num>
  <w:num w:numId="13">
    <w:abstractNumId w:val="27"/>
  </w:num>
  <w:num w:numId="14">
    <w:abstractNumId w:val="7"/>
  </w:num>
  <w:num w:numId="15">
    <w:abstractNumId w:val="10"/>
  </w:num>
  <w:num w:numId="16">
    <w:abstractNumId w:val="0"/>
  </w:num>
  <w:num w:numId="17">
    <w:abstractNumId w:val="15"/>
  </w:num>
  <w:num w:numId="18">
    <w:abstractNumId w:val="6"/>
  </w:num>
  <w:num w:numId="19">
    <w:abstractNumId w:val="2"/>
  </w:num>
  <w:num w:numId="20">
    <w:abstractNumId w:val="26"/>
  </w:num>
  <w:num w:numId="21">
    <w:abstractNumId w:val="8"/>
  </w:num>
  <w:num w:numId="22">
    <w:abstractNumId w:val="9"/>
  </w:num>
  <w:num w:numId="23">
    <w:abstractNumId w:val="28"/>
  </w:num>
  <w:num w:numId="24">
    <w:abstractNumId w:val="14"/>
  </w:num>
  <w:num w:numId="25">
    <w:abstractNumId w:val="13"/>
  </w:num>
  <w:num w:numId="26">
    <w:abstractNumId w:val="11"/>
  </w:num>
  <w:num w:numId="27">
    <w:abstractNumId w:val="18"/>
  </w:num>
  <w:num w:numId="28">
    <w:abstractNumId w:val="19"/>
  </w:num>
  <w:num w:numId="29">
    <w:abstractNumId w:val="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wNTEyODM1NDQxNjYzN2JhYjFlZjYyNTZjMzA2ZjkifQ=="/>
    <w:docVar w:name="KSO_WPS_MARK_KEY" w:val="5dada19c-0559-42f0-a738-695642c35400"/>
  </w:docVars>
  <w:rsids>
    <w:rsidRoot w:val="003B5D15"/>
    <w:rsid w:val="000D5834"/>
    <w:rsid w:val="001B1BAC"/>
    <w:rsid w:val="001F6D36"/>
    <w:rsid w:val="003118DD"/>
    <w:rsid w:val="003A0158"/>
    <w:rsid w:val="003A21F9"/>
    <w:rsid w:val="003B5D15"/>
    <w:rsid w:val="00467203"/>
    <w:rsid w:val="004C03D8"/>
    <w:rsid w:val="00531F95"/>
    <w:rsid w:val="005E2692"/>
    <w:rsid w:val="00685BB0"/>
    <w:rsid w:val="0068626B"/>
    <w:rsid w:val="00686699"/>
    <w:rsid w:val="00693955"/>
    <w:rsid w:val="00A6400C"/>
    <w:rsid w:val="00B841D9"/>
    <w:rsid w:val="00BB4B6E"/>
    <w:rsid w:val="00BC37F1"/>
    <w:rsid w:val="00BD33CB"/>
    <w:rsid w:val="00C858F9"/>
    <w:rsid w:val="00CF40E9"/>
    <w:rsid w:val="00D06BB0"/>
    <w:rsid w:val="00D859A8"/>
    <w:rsid w:val="00DA4EF6"/>
    <w:rsid w:val="00EE4117"/>
    <w:rsid w:val="00F75291"/>
    <w:rsid w:val="00F80939"/>
    <w:rsid w:val="52F54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41" w:hanging="357"/>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5" w:lineRule="auto"/>
      <w:ind w:left="284" w:firstLine="0"/>
      <w:outlineLvl w:val="2"/>
    </w:pPr>
    <w:rPr>
      <w:b/>
      <w:bCs/>
      <w:sz w:val="32"/>
      <w:szCs w:val="32"/>
    </w:rPr>
  </w:style>
  <w:style w:type="paragraph" w:styleId="5">
    <w:name w:val="heading 4"/>
    <w:basedOn w:val="1"/>
    <w:next w:val="1"/>
    <w:link w:val="2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5"/>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6"/>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7"/>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8"/>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29"/>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left="0" w:firstLine="420" w:firstLineChars="200"/>
    </w:pPr>
    <w:rPr>
      <w:rFonts w:ascii="Times New Roman" w:hAnsi="Times New Roman" w:eastAsia="宋体" w:cs="Times New Roman"/>
    </w:rPr>
  </w:style>
  <w:style w:type="paragraph" w:styleId="12">
    <w:name w:val="caption"/>
    <w:basedOn w:val="1"/>
    <w:next w:val="1"/>
    <w:semiHidden/>
    <w:unhideWhenUsed/>
    <w:qFormat/>
    <w:uiPriority w:val="35"/>
    <w:rPr>
      <w:rFonts w:eastAsia="黑体" w:asciiTheme="majorHAnsi" w:hAnsiTheme="majorHAnsi" w:cstheme="majorBidi"/>
      <w:sz w:val="20"/>
      <w:szCs w:val="20"/>
    </w:rPr>
  </w:style>
  <w:style w:type="paragraph" w:styleId="13">
    <w:name w:val="footer"/>
    <w:basedOn w:val="1"/>
    <w:link w:val="108"/>
    <w:semiHidden/>
    <w:unhideWhenUsed/>
    <w:uiPriority w:val="99"/>
    <w:pPr>
      <w:tabs>
        <w:tab w:val="center" w:pos="4153"/>
        <w:tab w:val="right" w:pos="8306"/>
      </w:tabs>
      <w:snapToGrid w:val="0"/>
      <w:jc w:val="left"/>
    </w:pPr>
    <w:rPr>
      <w:sz w:val="18"/>
      <w:szCs w:val="18"/>
    </w:rPr>
  </w:style>
  <w:style w:type="paragraph" w:styleId="14">
    <w:name w:val="header"/>
    <w:basedOn w:val="1"/>
    <w:link w:val="107"/>
    <w:semiHidden/>
    <w:unhideWhenUsed/>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1"/>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6">
    <w:name w:val="Title"/>
    <w:basedOn w:val="1"/>
    <w:next w:val="1"/>
    <w:link w:val="30"/>
    <w:qFormat/>
    <w:uiPriority w:val="10"/>
    <w:pPr>
      <w:spacing w:before="240" w:after="60"/>
      <w:jc w:val="center"/>
      <w:outlineLvl w:val="0"/>
    </w:pPr>
    <w:rPr>
      <w:rFonts w:eastAsia="宋体" w:asciiTheme="majorHAnsi" w:hAnsiTheme="majorHAnsi" w:cstheme="majorBidi"/>
      <w:b/>
      <w:bCs/>
      <w:sz w:val="32"/>
      <w:szCs w:val="32"/>
    </w:rPr>
  </w:style>
  <w:style w:type="character" w:styleId="19">
    <w:name w:val="Strong"/>
    <w:basedOn w:val="18"/>
    <w:qFormat/>
    <w:uiPriority w:val="22"/>
    <w:rPr>
      <w:b/>
      <w:bCs/>
    </w:rPr>
  </w:style>
  <w:style w:type="character" w:styleId="20">
    <w:name w:val="Emphasis"/>
    <w:basedOn w:val="18"/>
    <w:qFormat/>
    <w:uiPriority w:val="20"/>
    <w:rPr>
      <w:i/>
      <w:iCs/>
    </w:rPr>
  </w:style>
  <w:style w:type="character" w:customStyle="1" w:styleId="21">
    <w:name w:val="标题 1 Char"/>
    <w:basedOn w:val="18"/>
    <w:link w:val="2"/>
    <w:qFormat/>
    <w:uiPriority w:val="9"/>
    <w:rPr>
      <w:b/>
      <w:bCs/>
      <w:kern w:val="44"/>
      <w:sz w:val="44"/>
      <w:szCs w:val="44"/>
    </w:rPr>
  </w:style>
  <w:style w:type="character" w:customStyle="1" w:styleId="22">
    <w:name w:val="标题 2 Char"/>
    <w:basedOn w:val="18"/>
    <w:link w:val="3"/>
    <w:qFormat/>
    <w:uiPriority w:val="9"/>
    <w:rPr>
      <w:rFonts w:asciiTheme="majorHAnsi" w:hAnsiTheme="majorHAnsi" w:eastAsiaTheme="majorEastAsia" w:cstheme="majorBidi"/>
      <w:b/>
      <w:bCs/>
      <w:sz w:val="32"/>
      <w:szCs w:val="32"/>
    </w:rPr>
  </w:style>
  <w:style w:type="character" w:customStyle="1" w:styleId="23">
    <w:name w:val="标题 3 Char"/>
    <w:basedOn w:val="18"/>
    <w:link w:val="4"/>
    <w:qFormat/>
    <w:uiPriority w:val="9"/>
    <w:rPr>
      <w:b/>
      <w:bCs/>
      <w:sz w:val="32"/>
      <w:szCs w:val="32"/>
    </w:rPr>
  </w:style>
  <w:style w:type="character" w:customStyle="1" w:styleId="24">
    <w:name w:val="标题 4 Char"/>
    <w:basedOn w:val="18"/>
    <w:link w:val="5"/>
    <w:semiHidden/>
    <w:qFormat/>
    <w:uiPriority w:val="9"/>
    <w:rPr>
      <w:rFonts w:asciiTheme="majorHAnsi" w:hAnsiTheme="majorHAnsi" w:eastAsiaTheme="majorEastAsia" w:cstheme="majorBidi"/>
      <w:b/>
      <w:bCs/>
      <w:sz w:val="28"/>
      <w:szCs w:val="28"/>
    </w:rPr>
  </w:style>
  <w:style w:type="character" w:customStyle="1" w:styleId="25">
    <w:name w:val="标题 5 Char"/>
    <w:basedOn w:val="18"/>
    <w:link w:val="6"/>
    <w:semiHidden/>
    <w:qFormat/>
    <w:uiPriority w:val="9"/>
    <w:rPr>
      <w:b/>
      <w:bCs/>
      <w:sz w:val="28"/>
      <w:szCs w:val="28"/>
    </w:rPr>
  </w:style>
  <w:style w:type="character" w:customStyle="1" w:styleId="26">
    <w:name w:val="标题 6 Char"/>
    <w:basedOn w:val="18"/>
    <w:link w:val="7"/>
    <w:semiHidden/>
    <w:qFormat/>
    <w:uiPriority w:val="9"/>
    <w:rPr>
      <w:rFonts w:asciiTheme="majorHAnsi" w:hAnsiTheme="majorHAnsi" w:eastAsiaTheme="majorEastAsia" w:cstheme="majorBidi"/>
      <w:b/>
      <w:bCs/>
      <w:sz w:val="24"/>
      <w:szCs w:val="24"/>
    </w:rPr>
  </w:style>
  <w:style w:type="character" w:customStyle="1" w:styleId="27">
    <w:name w:val="标题 7 Char"/>
    <w:basedOn w:val="18"/>
    <w:link w:val="8"/>
    <w:semiHidden/>
    <w:qFormat/>
    <w:uiPriority w:val="9"/>
    <w:rPr>
      <w:b/>
      <w:bCs/>
      <w:sz w:val="24"/>
      <w:szCs w:val="24"/>
    </w:rPr>
  </w:style>
  <w:style w:type="character" w:customStyle="1" w:styleId="28">
    <w:name w:val="标题 8 Char"/>
    <w:basedOn w:val="18"/>
    <w:link w:val="9"/>
    <w:semiHidden/>
    <w:uiPriority w:val="9"/>
    <w:rPr>
      <w:rFonts w:asciiTheme="majorHAnsi" w:hAnsiTheme="majorHAnsi" w:eastAsiaTheme="majorEastAsia" w:cstheme="majorBidi"/>
      <w:sz w:val="24"/>
      <w:szCs w:val="24"/>
    </w:rPr>
  </w:style>
  <w:style w:type="character" w:customStyle="1" w:styleId="29">
    <w:name w:val="标题 9 Char"/>
    <w:basedOn w:val="18"/>
    <w:link w:val="10"/>
    <w:semiHidden/>
    <w:qFormat/>
    <w:uiPriority w:val="9"/>
    <w:rPr>
      <w:rFonts w:asciiTheme="majorHAnsi" w:hAnsiTheme="majorHAnsi" w:eastAsiaTheme="majorEastAsia" w:cstheme="majorBidi"/>
      <w:szCs w:val="21"/>
    </w:rPr>
  </w:style>
  <w:style w:type="character" w:customStyle="1" w:styleId="30">
    <w:name w:val="标题 Char"/>
    <w:basedOn w:val="18"/>
    <w:link w:val="16"/>
    <w:qFormat/>
    <w:uiPriority w:val="10"/>
    <w:rPr>
      <w:rFonts w:eastAsia="宋体" w:asciiTheme="majorHAnsi" w:hAnsiTheme="majorHAnsi" w:cstheme="majorBidi"/>
      <w:b/>
      <w:bCs/>
      <w:sz w:val="32"/>
      <w:szCs w:val="32"/>
    </w:rPr>
  </w:style>
  <w:style w:type="character" w:customStyle="1" w:styleId="31">
    <w:name w:val="副标题 Char"/>
    <w:basedOn w:val="18"/>
    <w:link w:val="15"/>
    <w:qFormat/>
    <w:uiPriority w:val="11"/>
    <w:rPr>
      <w:rFonts w:eastAsia="宋体" w:asciiTheme="majorHAnsi" w:hAnsiTheme="majorHAnsi" w:cstheme="majorBidi"/>
      <w:b/>
      <w:bCs/>
      <w:kern w:val="28"/>
      <w:sz w:val="32"/>
      <w:szCs w:val="32"/>
    </w:rPr>
  </w:style>
  <w:style w:type="paragraph" w:styleId="32">
    <w:name w:val="No Spacing"/>
    <w:link w:val="33"/>
    <w:qFormat/>
    <w:uiPriority w:val="1"/>
    <w:pPr>
      <w:widowControl w:val="0"/>
      <w:ind w:left="641" w:hanging="357"/>
      <w:jc w:val="both"/>
    </w:pPr>
    <w:rPr>
      <w:rFonts w:asciiTheme="minorHAnsi" w:hAnsiTheme="minorHAnsi" w:eastAsiaTheme="minorEastAsia" w:cstheme="minorBidi"/>
      <w:kern w:val="2"/>
      <w:sz w:val="21"/>
      <w:szCs w:val="22"/>
      <w:lang w:val="en-US" w:eastAsia="zh-CN" w:bidi="ar-SA"/>
    </w:rPr>
  </w:style>
  <w:style w:type="character" w:customStyle="1" w:styleId="33">
    <w:name w:val="无间隔 Char"/>
    <w:basedOn w:val="18"/>
    <w:link w:val="32"/>
    <w:qFormat/>
    <w:uiPriority w:val="1"/>
  </w:style>
  <w:style w:type="paragraph" w:styleId="34">
    <w:name w:val="List Paragraph"/>
    <w:basedOn w:val="1"/>
    <w:qFormat/>
    <w:uiPriority w:val="34"/>
    <w:pPr>
      <w:ind w:firstLine="420" w:firstLineChars="200"/>
    </w:pPr>
  </w:style>
  <w:style w:type="paragraph" w:styleId="35">
    <w:name w:val="Quote"/>
    <w:basedOn w:val="1"/>
    <w:next w:val="1"/>
    <w:link w:val="36"/>
    <w:qFormat/>
    <w:uiPriority w:val="29"/>
    <w:rPr>
      <w:i/>
      <w:iCs/>
      <w:color w:val="000000" w:themeColor="text1"/>
    </w:rPr>
  </w:style>
  <w:style w:type="character" w:customStyle="1" w:styleId="36">
    <w:name w:val="引用 Char"/>
    <w:basedOn w:val="18"/>
    <w:link w:val="35"/>
    <w:uiPriority w:val="29"/>
    <w:rPr>
      <w:i/>
      <w:iCs/>
      <w:color w:val="000000" w:themeColor="text1"/>
    </w:rPr>
  </w:style>
  <w:style w:type="paragraph" w:styleId="37">
    <w:name w:val="Intense Quote"/>
    <w:basedOn w:val="1"/>
    <w:next w:val="1"/>
    <w:link w:val="38"/>
    <w:qFormat/>
    <w:uiPriority w:val="30"/>
    <w:pPr>
      <w:pBdr>
        <w:bottom w:val="single" w:color="4F81BD" w:themeColor="accent1" w:sz="4" w:space="4"/>
      </w:pBdr>
      <w:spacing w:before="200" w:after="280"/>
      <w:ind w:left="936" w:right="936"/>
    </w:pPr>
    <w:rPr>
      <w:b/>
      <w:bCs/>
      <w:i/>
      <w:iCs/>
      <w:color w:val="4F81BD" w:themeColor="accent1"/>
    </w:rPr>
  </w:style>
  <w:style w:type="character" w:customStyle="1" w:styleId="38">
    <w:name w:val="明显引用 Char"/>
    <w:basedOn w:val="18"/>
    <w:link w:val="37"/>
    <w:uiPriority w:val="30"/>
    <w:rPr>
      <w:b/>
      <w:bCs/>
      <w:i/>
      <w:iCs/>
      <w:color w:val="4F81BD" w:themeColor="accent1"/>
    </w:rPr>
  </w:style>
  <w:style w:type="character" w:customStyle="1" w:styleId="39">
    <w:name w:val="Subtle Emphasis"/>
    <w:basedOn w:val="18"/>
    <w:qFormat/>
    <w:uiPriority w:val="19"/>
    <w:rPr>
      <w:i/>
      <w:iCs/>
      <w:color w:val="7F7F7F" w:themeColor="text1" w:themeTint="7F"/>
    </w:rPr>
  </w:style>
  <w:style w:type="character" w:customStyle="1" w:styleId="40">
    <w:name w:val="Intense Emphasis"/>
    <w:basedOn w:val="18"/>
    <w:qFormat/>
    <w:uiPriority w:val="21"/>
    <w:rPr>
      <w:b/>
      <w:bCs/>
      <w:i/>
      <w:iCs/>
      <w:color w:val="4F81BD" w:themeColor="accent1"/>
    </w:rPr>
  </w:style>
  <w:style w:type="character" w:customStyle="1" w:styleId="41">
    <w:name w:val="Subtle Reference"/>
    <w:basedOn w:val="18"/>
    <w:qFormat/>
    <w:uiPriority w:val="31"/>
    <w:rPr>
      <w:smallCaps/>
      <w:color w:val="C0504D" w:themeColor="accent2"/>
      <w:u w:val="single"/>
    </w:rPr>
  </w:style>
  <w:style w:type="character" w:customStyle="1" w:styleId="42">
    <w:name w:val="Intense Reference"/>
    <w:basedOn w:val="18"/>
    <w:qFormat/>
    <w:uiPriority w:val="32"/>
    <w:rPr>
      <w:b/>
      <w:bCs/>
      <w:smallCaps/>
      <w:color w:val="C0504D" w:themeColor="accent2"/>
      <w:spacing w:val="5"/>
      <w:u w:val="single"/>
    </w:rPr>
  </w:style>
  <w:style w:type="character" w:customStyle="1" w:styleId="43">
    <w:name w:val="Book Title"/>
    <w:basedOn w:val="18"/>
    <w:qFormat/>
    <w:uiPriority w:val="33"/>
    <w:rPr>
      <w:b/>
      <w:bCs/>
      <w:smallCaps/>
      <w:spacing w:val="5"/>
    </w:rPr>
  </w:style>
  <w:style w:type="paragraph" w:customStyle="1" w:styleId="44">
    <w:name w:val="TOC Heading"/>
    <w:basedOn w:val="2"/>
    <w:next w:val="1"/>
    <w:semiHidden/>
    <w:unhideWhenUsed/>
    <w:qFormat/>
    <w:uiPriority w:val="39"/>
    <w:pPr>
      <w:outlineLvl w:val="9"/>
    </w:pPr>
  </w:style>
  <w:style w:type="paragraph" w:customStyle="1" w:styleId="45">
    <w:name w:val="样式1"/>
    <w:basedOn w:val="1"/>
    <w:link w:val="46"/>
    <w:qFormat/>
    <w:uiPriority w:val="0"/>
  </w:style>
  <w:style w:type="character" w:customStyle="1" w:styleId="46">
    <w:name w:val="样式1 Char"/>
    <w:basedOn w:val="18"/>
    <w:link w:val="45"/>
    <w:qFormat/>
    <w:uiPriority w:val="0"/>
  </w:style>
  <w:style w:type="paragraph" w:customStyle="1" w:styleId="47">
    <w:name w:val="样式2"/>
    <w:basedOn w:val="2"/>
    <w:link w:val="48"/>
    <w:qFormat/>
    <w:uiPriority w:val="0"/>
    <w:pPr>
      <w:numPr>
        <w:ilvl w:val="0"/>
        <w:numId w:val="1"/>
      </w:numPr>
    </w:pPr>
  </w:style>
  <w:style w:type="character" w:customStyle="1" w:styleId="48">
    <w:name w:val="样式2 Char"/>
    <w:basedOn w:val="21"/>
    <w:link w:val="47"/>
    <w:qFormat/>
    <w:uiPriority w:val="0"/>
  </w:style>
  <w:style w:type="paragraph" w:customStyle="1" w:styleId="49">
    <w:name w:val="样式3"/>
    <w:basedOn w:val="2"/>
    <w:link w:val="50"/>
    <w:qFormat/>
    <w:uiPriority w:val="0"/>
    <w:pPr>
      <w:numPr>
        <w:ilvl w:val="0"/>
        <w:numId w:val="2"/>
      </w:numPr>
    </w:pPr>
  </w:style>
  <w:style w:type="character" w:customStyle="1" w:styleId="50">
    <w:name w:val="样式3 Char"/>
    <w:basedOn w:val="21"/>
    <w:link w:val="49"/>
    <w:uiPriority w:val="0"/>
  </w:style>
  <w:style w:type="paragraph" w:customStyle="1" w:styleId="51">
    <w:name w:val="样式4"/>
    <w:basedOn w:val="2"/>
    <w:link w:val="52"/>
    <w:qFormat/>
    <w:uiPriority w:val="0"/>
    <w:pPr>
      <w:numPr>
        <w:ilvl w:val="0"/>
        <w:numId w:val="3"/>
      </w:numPr>
    </w:pPr>
  </w:style>
  <w:style w:type="character" w:customStyle="1" w:styleId="52">
    <w:name w:val="样式4 Char"/>
    <w:basedOn w:val="21"/>
    <w:link w:val="51"/>
    <w:uiPriority w:val="0"/>
  </w:style>
  <w:style w:type="paragraph" w:customStyle="1" w:styleId="53">
    <w:name w:val="样式5"/>
    <w:basedOn w:val="2"/>
    <w:link w:val="54"/>
    <w:qFormat/>
    <w:uiPriority w:val="0"/>
    <w:pPr>
      <w:numPr>
        <w:ilvl w:val="0"/>
        <w:numId w:val="4"/>
      </w:numPr>
    </w:pPr>
  </w:style>
  <w:style w:type="character" w:customStyle="1" w:styleId="54">
    <w:name w:val="样式5 Char"/>
    <w:basedOn w:val="21"/>
    <w:link w:val="53"/>
    <w:uiPriority w:val="0"/>
  </w:style>
  <w:style w:type="paragraph" w:customStyle="1" w:styleId="55">
    <w:name w:val="样式6"/>
    <w:basedOn w:val="2"/>
    <w:link w:val="56"/>
    <w:qFormat/>
    <w:uiPriority w:val="0"/>
    <w:pPr>
      <w:numPr>
        <w:ilvl w:val="0"/>
        <w:numId w:val="5"/>
      </w:numPr>
    </w:pPr>
  </w:style>
  <w:style w:type="character" w:customStyle="1" w:styleId="56">
    <w:name w:val="样式6 Char"/>
    <w:basedOn w:val="21"/>
    <w:link w:val="55"/>
    <w:uiPriority w:val="0"/>
  </w:style>
  <w:style w:type="paragraph" w:customStyle="1" w:styleId="57">
    <w:name w:val="样式7"/>
    <w:basedOn w:val="2"/>
    <w:link w:val="58"/>
    <w:qFormat/>
    <w:uiPriority w:val="0"/>
    <w:pPr>
      <w:numPr>
        <w:ilvl w:val="0"/>
        <w:numId w:val="6"/>
      </w:numPr>
    </w:pPr>
  </w:style>
  <w:style w:type="character" w:customStyle="1" w:styleId="58">
    <w:name w:val="样式7 Char"/>
    <w:basedOn w:val="21"/>
    <w:link w:val="57"/>
    <w:uiPriority w:val="0"/>
  </w:style>
  <w:style w:type="paragraph" w:customStyle="1" w:styleId="59">
    <w:name w:val="样式8"/>
    <w:basedOn w:val="3"/>
    <w:link w:val="60"/>
    <w:qFormat/>
    <w:uiPriority w:val="0"/>
    <w:pPr>
      <w:numPr>
        <w:ilvl w:val="0"/>
        <w:numId w:val="7"/>
      </w:numPr>
    </w:pPr>
  </w:style>
  <w:style w:type="character" w:customStyle="1" w:styleId="60">
    <w:name w:val="样式8 Char"/>
    <w:basedOn w:val="22"/>
    <w:link w:val="59"/>
    <w:uiPriority w:val="0"/>
  </w:style>
  <w:style w:type="paragraph" w:customStyle="1" w:styleId="61">
    <w:name w:val="样式9"/>
    <w:basedOn w:val="3"/>
    <w:link w:val="62"/>
    <w:qFormat/>
    <w:uiPriority w:val="0"/>
    <w:pPr>
      <w:numPr>
        <w:ilvl w:val="0"/>
        <w:numId w:val="8"/>
      </w:numPr>
    </w:pPr>
  </w:style>
  <w:style w:type="character" w:customStyle="1" w:styleId="62">
    <w:name w:val="样式9 Char"/>
    <w:basedOn w:val="22"/>
    <w:link w:val="61"/>
    <w:uiPriority w:val="0"/>
  </w:style>
  <w:style w:type="paragraph" w:customStyle="1" w:styleId="63">
    <w:name w:val="样式10"/>
    <w:basedOn w:val="3"/>
    <w:link w:val="64"/>
    <w:qFormat/>
    <w:uiPriority w:val="0"/>
    <w:pPr>
      <w:numPr>
        <w:ilvl w:val="0"/>
        <w:numId w:val="9"/>
      </w:numPr>
    </w:pPr>
  </w:style>
  <w:style w:type="character" w:customStyle="1" w:styleId="64">
    <w:name w:val="样式10 Char"/>
    <w:basedOn w:val="22"/>
    <w:link w:val="63"/>
    <w:uiPriority w:val="0"/>
  </w:style>
  <w:style w:type="paragraph" w:customStyle="1" w:styleId="65">
    <w:name w:val="样式11"/>
    <w:basedOn w:val="3"/>
    <w:link w:val="66"/>
    <w:qFormat/>
    <w:uiPriority w:val="0"/>
    <w:pPr>
      <w:numPr>
        <w:ilvl w:val="0"/>
        <w:numId w:val="10"/>
      </w:numPr>
    </w:pPr>
  </w:style>
  <w:style w:type="character" w:customStyle="1" w:styleId="66">
    <w:name w:val="样式11 Char"/>
    <w:basedOn w:val="22"/>
    <w:link w:val="65"/>
    <w:uiPriority w:val="0"/>
  </w:style>
  <w:style w:type="paragraph" w:customStyle="1" w:styleId="67">
    <w:name w:val="样式12"/>
    <w:basedOn w:val="3"/>
    <w:link w:val="68"/>
    <w:qFormat/>
    <w:uiPriority w:val="0"/>
    <w:pPr>
      <w:numPr>
        <w:ilvl w:val="0"/>
        <w:numId w:val="11"/>
      </w:numPr>
    </w:pPr>
  </w:style>
  <w:style w:type="character" w:customStyle="1" w:styleId="68">
    <w:name w:val="样式12 Char"/>
    <w:basedOn w:val="22"/>
    <w:link w:val="67"/>
    <w:uiPriority w:val="0"/>
  </w:style>
  <w:style w:type="paragraph" w:customStyle="1" w:styleId="69">
    <w:name w:val="样式13"/>
    <w:basedOn w:val="3"/>
    <w:link w:val="70"/>
    <w:qFormat/>
    <w:uiPriority w:val="0"/>
    <w:pPr>
      <w:numPr>
        <w:ilvl w:val="0"/>
        <w:numId w:val="12"/>
      </w:numPr>
    </w:pPr>
  </w:style>
  <w:style w:type="character" w:customStyle="1" w:styleId="70">
    <w:name w:val="样式13 Char"/>
    <w:basedOn w:val="22"/>
    <w:link w:val="69"/>
    <w:uiPriority w:val="0"/>
  </w:style>
  <w:style w:type="paragraph" w:customStyle="1" w:styleId="71">
    <w:name w:val="样式14"/>
    <w:basedOn w:val="4"/>
    <w:link w:val="72"/>
    <w:qFormat/>
    <w:uiPriority w:val="0"/>
    <w:pPr>
      <w:numPr>
        <w:ilvl w:val="0"/>
        <w:numId w:val="13"/>
      </w:numPr>
    </w:pPr>
  </w:style>
  <w:style w:type="character" w:customStyle="1" w:styleId="72">
    <w:name w:val="样式14 Char"/>
    <w:basedOn w:val="23"/>
    <w:link w:val="71"/>
    <w:uiPriority w:val="0"/>
  </w:style>
  <w:style w:type="paragraph" w:customStyle="1" w:styleId="73">
    <w:name w:val="样式15"/>
    <w:basedOn w:val="4"/>
    <w:link w:val="74"/>
    <w:qFormat/>
    <w:uiPriority w:val="0"/>
    <w:pPr>
      <w:numPr>
        <w:ilvl w:val="0"/>
        <w:numId w:val="14"/>
      </w:numPr>
    </w:pPr>
  </w:style>
  <w:style w:type="character" w:customStyle="1" w:styleId="74">
    <w:name w:val="样式15 Char"/>
    <w:basedOn w:val="23"/>
    <w:link w:val="73"/>
    <w:uiPriority w:val="0"/>
  </w:style>
  <w:style w:type="paragraph" w:customStyle="1" w:styleId="75">
    <w:name w:val="样式16"/>
    <w:basedOn w:val="4"/>
    <w:link w:val="76"/>
    <w:qFormat/>
    <w:uiPriority w:val="0"/>
    <w:pPr>
      <w:numPr>
        <w:ilvl w:val="0"/>
        <w:numId w:val="15"/>
      </w:numPr>
    </w:pPr>
  </w:style>
  <w:style w:type="character" w:customStyle="1" w:styleId="76">
    <w:name w:val="样式16 Char"/>
    <w:basedOn w:val="23"/>
    <w:link w:val="75"/>
    <w:uiPriority w:val="0"/>
  </w:style>
  <w:style w:type="paragraph" w:customStyle="1" w:styleId="77">
    <w:name w:val="样式17"/>
    <w:basedOn w:val="4"/>
    <w:link w:val="78"/>
    <w:qFormat/>
    <w:uiPriority w:val="0"/>
    <w:pPr>
      <w:numPr>
        <w:ilvl w:val="0"/>
        <w:numId w:val="16"/>
      </w:numPr>
    </w:pPr>
  </w:style>
  <w:style w:type="character" w:customStyle="1" w:styleId="78">
    <w:name w:val="样式17 Char"/>
    <w:basedOn w:val="23"/>
    <w:link w:val="77"/>
    <w:uiPriority w:val="0"/>
  </w:style>
  <w:style w:type="paragraph" w:customStyle="1" w:styleId="79">
    <w:name w:val="样式18"/>
    <w:basedOn w:val="4"/>
    <w:link w:val="80"/>
    <w:qFormat/>
    <w:uiPriority w:val="0"/>
    <w:pPr>
      <w:numPr>
        <w:ilvl w:val="0"/>
        <w:numId w:val="17"/>
      </w:numPr>
    </w:pPr>
  </w:style>
  <w:style w:type="character" w:customStyle="1" w:styleId="80">
    <w:name w:val="样式18 Char"/>
    <w:basedOn w:val="23"/>
    <w:link w:val="79"/>
    <w:uiPriority w:val="0"/>
  </w:style>
  <w:style w:type="paragraph" w:customStyle="1" w:styleId="81">
    <w:name w:val="样式19"/>
    <w:basedOn w:val="4"/>
    <w:link w:val="82"/>
    <w:qFormat/>
    <w:uiPriority w:val="0"/>
    <w:pPr>
      <w:numPr>
        <w:ilvl w:val="0"/>
        <w:numId w:val="18"/>
      </w:numPr>
    </w:pPr>
  </w:style>
  <w:style w:type="character" w:customStyle="1" w:styleId="82">
    <w:name w:val="样式19 Char"/>
    <w:basedOn w:val="23"/>
    <w:link w:val="81"/>
    <w:uiPriority w:val="0"/>
  </w:style>
  <w:style w:type="paragraph" w:customStyle="1" w:styleId="83">
    <w:name w:val="样式20"/>
    <w:basedOn w:val="5"/>
    <w:link w:val="84"/>
    <w:qFormat/>
    <w:uiPriority w:val="0"/>
    <w:pPr>
      <w:numPr>
        <w:ilvl w:val="0"/>
        <w:numId w:val="19"/>
      </w:numPr>
    </w:pPr>
  </w:style>
  <w:style w:type="character" w:customStyle="1" w:styleId="84">
    <w:name w:val="样式20 Char"/>
    <w:basedOn w:val="24"/>
    <w:link w:val="83"/>
    <w:uiPriority w:val="0"/>
  </w:style>
  <w:style w:type="paragraph" w:customStyle="1" w:styleId="85">
    <w:name w:val="样式21"/>
    <w:basedOn w:val="5"/>
    <w:link w:val="86"/>
    <w:qFormat/>
    <w:uiPriority w:val="0"/>
    <w:pPr>
      <w:numPr>
        <w:ilvl w:val="0"/>
        <w:numId w:val="20"/>
      </w:numPr>
    </w:pPr>
  </w:style>
  <w:style w:type="character" w:customStyle="1" w:styleId="86">
    <w:name w:val="样式21 Char"/>
    <w:basedOn w:val="24"/>
    <w:link w:val="85"/>
    <w:uiPriority w:val="0"/>
  </w:style>
  <w:style w:type="paragraph" w:customStyle="1" w:styleId="87">
    <w:name w:val="样式22"/>
    <w:basedOn w:val="5"/>
    <w:link w:val="88"/>
    <w:qFormat/>
    <w:uiPriority w:val="0"/>
    <w:pPr>
      <w:numPr>
        <w:ilvl w:val="0"/>
        <w:numId w:val="21"/>
      </w:numPr>
    </w:pPr>
  </w:style>
  <w:style w:type="character" w:customStyle="1" w:styleId="88">
    <w:name w:val="样式22 Char"/>
    <w:basedOn w:val="24"/>
    <w:link w:val="87"/>
    <w:uiPriority w:val="0"/>
  </w:style>
  <w:style w:type="paragraph" w:customStyle="1" w:styleId="89">
    <w:name w:val="样式23"/>
    <w:basedOn w:val="5"/>
    <w:link w:val="90"/>
    <w:qFormat/>
    <w:uiPriority w:val="0"/>
    <w:pPr>
      <w:numPr>
        <w:ilvl w:val="0"/>
        <w:numId w:val="22"/>
      </w:numPr>
    </w:pPr>
  </w:style>
  <w:style w:type="character" w:customStyle="1" w:styleId="90">
    <w:name w:val="样式23 Char"/>
    <w:basedOn w:val="24"/>
    <w:link w:val="89"/>
    <w:uiPriority w:val="0"/>
  </w:style>
  <w:style w:type="paragraph" w:customStyle="1" w:styleId="91">
    <w:name w:val="样式24"/>
    <w:basedOn w:val="5"/>
    <w:link w:val="92"/>
    <w:qFormat/>
    <w:uiPriority w:val="0"/>
    <w:pPr>
      <w:numPr>
        <w:ilvl w:val="0"/>
        <w:numId w:val="23"/>
      </w:numPr>
    </w:pPr>
  </w:style>
  <w:style w:type="character" w:customStyle="1" w:styleId="92">
    <w:name w:val="样式24 Char"/>
    <w:basedOn w:val="24"/>
    <w:link w:val="91"/>
    <w:uiPriority w:val="0"/>
  </w:style>
  <w:style w:type="paragraph" w:customStyle="1" w:styleId="93">
    <w:name w:val="样式25"/>
    <w:basedOn w:val="5"/>
    <w:link w:val="94"/>
    <w:qFormat/>
    <w:uiPriority w:val="0"/>
    <w:pPr>
      <w:numPr>
        <w:ilvl w:val="0"/>
        <w:numId w:val="24"/>
      </w:numPr>
    </w:pPr>
  </w:style>
  <w:style w:type="character" w:customStyle="1" w:styleId="94">
    <w:name w:val="样式25 Char"/>
    <w:basedOn w:val="24"/>
    <w:link w:val="93"/>
    <w:uiPriority w:val="0"/>
  </w:style>
  <w:style w:type="paragraph" w:customStyle="1" w:styleId="95">
    <w:name w:val="样式26"/>
    <w:basedOn w:val="6"/>
    <w:link w:val="96"/>
    <w:qFormat/>
    <w:uiPriority w:val="0"/>
    <w:pPr>
      <w:numPr>
        <w:ilvl w:val="0"/>
        <w:numId w:val="25"/>
      </w:numPr>
    </w:pPr>
  </w:style>
  <w:style w:type="character" w:customStyle="1" w:styleId="96">
    <w:name w:val="样式26 Char"/>
    <w:basedOn w:val="25"/>
    <w:link w:val="95"/>
    <w:uiPriority w:val="0"/>
  </w:style>
  <w:style w:type="paragraph" w:customStyle="1" w:styleId="97">
    <w:name w:val="样式27"/>
    <w:basedOn w:val="6"/>
    <w:link w:val="98"/>
    <w:qFormat/>
    <w:uiPriority w:val="0"/>
    <w:pPr>
      <w:numPr>
        <w:ilvl w:val="0"/>
        <w:numId w:val="26"/>
      </w:numPr>
    </w:pPr>
  </w:style>
  <w:style w:type="character" w:customStyle="1" w:styleId="98">
    <w:name w:val="样式27 Char"/>
    <w:basedOn w:val="25"/>
    <w:link w:val="97"/>
    <w:uiPriority w:val="0"/>
  </w:style>
  <w:style w:type="paragraph" w:customStyle="1" w:styleId="99">
    <w:name w:val="样式28"/>
    <w:basedOn w:val="6"/>
    <w:link w:val="100"/>
    <w:qFormat/>
    <w:uiPriority w:val="0"/>
    <w:pPr>
      <w:numPr>
        <w:ilvl w:val="0"/>
        <w:numId w:val="27"/>
      </w:numPr>
    </w:pPr>
  </w:style>
  <w:style w:type="character" w:customStyle="1" w:styleId="100">
    <w:name w:val="样式28 Char"/>
    <w:basedOn w:val="25"/>
    <w:link w:val="99"/>
    <w:uiPriority w:val="0"/>
  </w:style>
  <w:style w:type="paragraph" w:customStyle="1" w:styleId="101">
    <w:name w:val="样式29"/>
    <w:basedOn w:val="6"/>
    <w:link w:val="102"/>
    <w:qFormat/>
    <w:uiPriority w:val="0"/>
    <w:pPr>
      <w:numPr>
        <w:ilvl w:val="0"/>
        <w:numId w:val="28"/>
      </w:numPr>
    </w:pPr>
  </w:style>
  <w:style w:type="character" w:customStyle="1" w:styleId="102">
    <w:name w:val="样式29 Char"/>
    <w:basedOn w:val="25"/>
    <w:link w:val="101"/>
    <w:uiPriority w:val="0"/>
  </w:style>
  <w:style w:type="paragraph" w:customStyle="1" w:styleId="103">
    <w:name w:val="样式30"/>
    <w:basedOn w:val="6"/>
    <w:link w:val="104"/>
    <w:qFormat/>
    <w:uiPriority w:val="0"/>
    <w:pPr>
      <w:numPr>
        <w:ilvl w:val="0"/>
        <w:numId w:val="29"/>
      </w:numPr>
    </w:pPr>
  </w:style>
  <w:style w:type="character" w:customStyle="1" w:styleId="104">
    <w:name w:val="样式30 Char"/>
    <w:basedOn w:val="25"/>
    <w:link w:val="103"/>
    <w:uiPriority w:val="0"/>
  </w:style>
  <w:style w:type="paragraph" w:customStyle="1" w:styleId="105">
    <w:name w:val="样式31"/>
    <w:basedOn w:val="6"/>
    <w:link w:val="106"/>
    <w:qFormat/>
    <w:uiPriority w:val="0"/>
    <w:pPr>
      <w:numPr>
        <w:ilvl w:val="0"/>
        <w:numId w:val="30"/>
      </w:numPr>
    </w:pPr>
  </w:style>
  <w:style w:type="character" w:customStyle="1" w:styleId="106">
    <w:name w:val="样式31 Char"/>
    <w:basedOn w:val="25"/>
    <w:link w:val="105"/>
    <w:uiPriority w:val="0"/>
  </w:style>
  <w:style w:type="character" w:customStyle="1" w:styleId="107">
    <w:name w:val="页眉 Char"/>
    <w:basedOn w:val="18"/>
    <w:link w:val="14"/>
    <w:semiHidden/>
    <w:uiPriority w:val="99"/>
    <w:rPr>
      <w:sz w:val="18"/>
      <w:szCs w:val="18"/>
    </w:rPr>
  </w:style>
  <w:style w:type="character" w:customStyle="1" w:styleId="108">
    <w:name w:val="页脚 Char"/>
    <w:basedOn w:val="18"/>
    <w:link w:val="13"/>
    <w:semiHidden/>
    <w:uiPriority w:val="99"/>
    <w:rPr>
      <w:sz w:val="18"/>
      <w:szCs w:val="18"/>
    </w:rPr>
  </w:style>
  <w:style w:type="character" w:customStyle="1" w:styleId="109">
    <w:name w:val="NormalCharacter"/>
    <w:qFormat/>
    <w:uiPriority w:val="0"/>
    <w:rPr>
      <w:kern w:val="2"/>
      <w:sz w:val="21"/>
      <w:szCs w:val="22"/>
      <w:lang w:val="en-US" w:eastAsia="zh-CN" w:bidi="ar-SA"/>
    </w:rPr>
  </w:style>
  <w:style w:type="paragraph" w:customStyle="1" w:styleId="110">
    <w:name w:val="正文文本1"/>
    <w:basedOn w:val="1"/>
    <w:qFormat/>
    <w:uiPriority w:val="0"/>
    <w:pPr>
      <w:spacing w:line="560" w:lineRule="exact"/>
      <w:ind w:left="0" w:firstLine="0"/>
    </w:pPr>
    <w:rPr>
      <w:rFonts w:ascii="Times New Roman" w:hAnsi="Times New Roman" w:eastAsia="宋体" w:cs="Times New Roman"/>
    </w:rPr>
  </w:style>
  <w:style w:type="character" w:customStyle="1" w:styleId="111">
    <w:name w:val="15"/>
    <w:basedOn w:val="1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11</Pages>
  <Words>4277</Words>
  <Characters>4563</Characters>
  <Lines>33</Lines>
  <Paragraphs>9</Paragraphs>
  <TotalTime>53</TotalTime>
  <ScaleCrop>false</ScaleCrop>
  <LinksUpToDate>false</LinksUpToDate>
  <CharactersWithSpaces>4602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2024-04-13T07:50:00Z</dcterms:created>
  <dc:creator>User</dc:creator>
  <cp:lastModifiedBy>蒋阔</cp:lastModifiedBy>
  <dcterms:modified xsi:type="dcterms:W3CDTF">2024-10-12T01:20:43Z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E473FA9715A040D4AB058D33BEF9F3AF</vt:lpwstr>
  </property>
</Properties>
</file>