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
        <w:rPr>
          <w:rFonts w:hint="eastAsia" w:ascii="仿宋" w:hAnsi="仿宋" w:eastAsia="仿宋" w:cs="仿宋"/>
          <w:color w:val="auto"/>
        </w:rPr>
      </w:pPr>
      <w:r>
        <w:rPr>
          <w:rFonts w:hint="eastAsia" w:ascii="仿宋" w:hAnsi="仿宋" w:eastAsia="仿宋" w:cs="仿宋"/>
          <w:color w:val="auto"/>
        </w:rPr>
        <w:t>附件 5</w:t>
      </w: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rPr>
          <w:rFonts w:hint="eastAsia" w:ascii="仿宋" w:hAnsi="仿宋" w:eastAsia="仿宋" w:cs="仿宋"/>
          <w:color w:val="auto"/>
          <w:sz w:val="20"/>
        </w:rPr>
      </w:pPr>
    </w:p>
    <w:p>
      <w:pPr>
        <w:pStyle w:val="4"/>
        <w:spacing w:before="8"/>
        <w:rPr>
          <w:rFonts w:hint="eastAsia" w:ascii="仿宋" w:hAnsi="仿宋" w:eastAsia="仿宋" w:cs="仿宋"/>
          <w:color w:val="auto"/>
          <w:sz w:val="29"/>
        </w:rPr>
      </w:pPr>
    </w:p>
    <w:p>
      <w:pPr>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sz w:val="52"/>
          <w:lang w:eastAsia="zh-CN"/>
        </w:rPr>
      </w:pPr>
      <w:r>
        <w:rPr>
          <w:rFonts w:hint="eastAsia" w:ascii="方正小标宋简体" w:hAnsi="方正小标宋简体" w:eastAsia="方正小标宋简体" w:cs="方正小标宋简体"/>
          <w:color w:val="auto"/>
          <w:sz w:val="52"/>
        </w:rPr>
        <w:t>2023年度祁东县官家嘴镇人民政府部门整体支出</w:t>
      </w:r>
    </w:p>
    <w:p>
      <w:pPr>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绩效自评报告</w:t>
      </w: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rPr>
          <w:rFonts w:hint="eastAsia" w:ascii="仿宋" w:hAnsi="仿宋" w:eastAsia="仿宋" w:cs="仿宋"/>
          <w:color w:val="auto"/>
          <w:sz w:val="62"/>
        </w:rPr>
      </w:pPr>
    </w:p>
    <w:p>
      <w:pPr>
        <w:pStyle w:val="4"/>
        <w:spacing w:before="9"/>
        <w:rPr>
          <w:rFonts w:hint="eastAsia" w:ascii="仿宋" w:hAnsi="仿宋" w:eastAsia="仿宋" w:cs="仿宋"/>
          <w:color w:val="auto"/>
          <w:sz w:val="71"/>
        </w:rPr>
      </w:pPr>
    </w:p>
    <w:p>
      <w:pPr>
        <w:pStyle w:val="4"/>
        <w:tabs>
          <w:tab w:val="left" w:pos="5973"/>
        </w:tabs>
        <w:ind w:left="535"/>
        <w:jc w:val="center"/>
        <w:rPr>
          <w:rFonts w:hint="eastAsia" w:ascii="仿宋" w:hAnsi="仿宋" w:eastAsia="仿宋" w:cs="仿宋"/>
          <w:color w:val="auto"/>
        </w:rPr>
      </w:pPr>
      <w:r>
        <w:rPr>
          <w:rFonts w:hint="eastAsia" w:ascii="仿宋" w:hAnsi="仿宋" w:eastAsia="仿宋" w:cs="仿宋"/>
          <w:color w:val="auto"/>
        </w:rPr>
        <w:t>部门（单位）名称</w:t>
      </w:r>
      <w:r>
        <w:rPr>
          <w:rFonts w:hint="eastAsia" w:ascii="仿宋" w:hAnsi="仿宋" w:eastAsia="仿宋" w:cs="仿宋"/>
          <w:color w:val="auto"/>
          <w:spacing w:val="155"/>
        </w:rPr>
        <w:t xml:space="preserve"> </w:t>
      </w:r>
      <w:r>
        <w:rPr>
          <w:rFonts w:hint="eastAsia" w:ascii="仿宋" w:hAnsi="仿宋" w:eastAsia="仿宋" w:cs="仿宋"/>
          <w:color w:val="auto"/>
          <w:u w:val="single"/>
        </w:rPr>
        <w:t>（盖章）</w:t>
      </w:r>
      <w:r>
        <w:rPr>
          <w:rFonts w:hint="eastAsia" w:ascii="仿宋" w:hAnsi="仿宋" w:eastAsia="仿宋" w:cs="仿宋"/>
          <w:color w:val="auto"/>
          <w:u w:val="single"/>
        </w:rPr>
        <w:tab/>
      </w:r>
    </w:p>
    <w:p>
      <w:pPr>
        <w:pStyle w:val="4"/>
        <w:spacing w:before="190"/>
        <w:ind w:left="3987"/>
        <w:rPr>
          <w:rFonts w:hint="eastAsia" w:ascii="楷体" w:hAnsi="楷体" w:eastAsia="楷体" w:cs="楷体"/>
          <w:color w:val="auto"/>
        </w:rPr>
      </w:pPr>
      <w:r>
        <w:rPr>
          <w:rFonts w:hint="eastAsia" w:ascii="楷体" w:hAnsi="楷体" w:eastAsia="楷体" w:cs="楷体"/>
          <w:color w:val="auto"/>
        </w:rPr>
        <w:t xml:space="preserve">年 </w:t>
      </w:r>
      <w:r>
        <w:rPr>
          <w:rFonts w:hint="eastAsia" w:ascii="楷体" w:hAnsi="楷体" w:eastAsia="楷体" w:cs="楷体"/>
          <w:color w:val="auto"/>
          <w:lang w:val="en-US" w:eastAsia="zh-CN"/>
        </w:rPr>
        <w:t xml:space="preserve"> </w:t>
      </w:r>
      <w:r>
        <w:rPr>
          <w:rFonts w:hint="eastAsia" w:ascii="楷体" w:hAnsi="楷体" w:eastAsia="楷体" w:cs="楷体"/>
          <w:color w:val="auto"/>
        </w:rPr>
        <w:t xml:space="preserve">月 </w:t>
      </w:r>
      <w:r>
        <w:rPr>
          <w:rFonts w:hint="eastAsia" w:ascii="楷体" w:hAnsi="楷体" w:eastAsia="楷体" w:cs="楷体"/>
          <w:color w:val="auto"/>
          <w:lang w:val="en-US" w:eastAsia="zh-CN"/>
        </w:rPr>
        <w:t xml:space="preserve"> </w:t>
      </w:r>
      <w:r>
        <w:rPr>
          <w:rFonts w:hint="eastAsia" w:ascii="楷体" w:hAnsi="楷体" w:eastAsia="楷体" w:cs="楷体"/>
          <w:color w:val="auto"/>
        </w:rPr>
        <w:t>日</w:t>
      </w:r>
    </w:p>
    <w:p>
      <w:pPr>
        <w:pStyle w:val="4"/>
        <w:spacing w:before="4"/>
        <w:rPr>
          <w:rFonts w:hint="eastAsia" w:ascii="仿宋" w:hAnsi="仿宋" w:eastAsia="仿宋" w:cs="仿宋"/>
          <w:color w:val="auto"/>
          <w:sz w:val="31"/>
        </w:rPr>
      </w:pPr>
    </w:p>
    <w:p>
      <w:pPr>
        <w:pStyle w:val="4"/>
        <w:ind w:left="4031"/>
        <w:rPr>
          <w:rFonts w:hint="eastAsia" w:ascii="仿宋" w:hAnsi="仿宋" w:eastAsia="仿宋" w:cs="仿宋"/>
          <w:color w:val="auto"/>
        </w:rPr>
      </w:pPr>
      <w:r>
        <w:rPr>
          <w:rFonts w:hint="eastAsia" w:ascii="仿宋" w:hAnsi="仿宋" w:eastAsia="仿宋" w:cs="仿宋"/>
          <w:color w:val="auto"/>
        </w:rPr>
        <w:t>（此页为封面）</w:t>
      </w:r>
    </w:p>
    <w:p>
      <w:pPr>
        <w:spacing w:after="0"/>
        <w:rPr>
          <w:rFonts w:hint="eastAsia" w:ascii="仿宋" w:hAnsi="仿宋" w:eastAsia="仿宋" w:cs="仿宋"/>
          <w:color w:val="auto"/>
        </w:rPr>
        <w:sectPr>
          <w:pgSz w:w="11900" w:h="16840"/>
          <w:pgMar w:top="1440" w:right="1803" w:bottom="1440" w:left="1803" w:header="720" w:footer="992"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2023 年度祁东县官家嘴镇人民政府部门整体支出</w:t>
      </w:r>
    </w:p>
    <w:p>
      <w:pPr>
        <w:pStyle w:val="2"/>
        <w:keepNext w:val="0"/>
        <w:keepLines w:val="0"/>
        <w:pageBreakBefore w:val="0"/>
        <w:widowControl w:val="0"/>
        <w:kinsoku/>
        <w:wordWrap/>
        <w:overflowPunct/>
        <w:topLinePunct w:val="0"/>
        <w:autoSpaceDE w:val="0"/>
        <w:autoSpaceDN w:val="0"/>
        <w:bidi w:val="0"/>
        <w:adjustRightInd/>
        <w:snapToGrid/>
        <w:spacing w:before="0" w:line="214" w:lineRule="auto"/>
        <w:ind w:left="0" w:right="0" w:firstLine="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绩效自评报告</w:t>
      </w:r>
    </w:p>
    <w:p>
      <w:pPr>
        <w:pStyle w:val="4"/>
        <w:spacing w:before="5"/>
        <w:rPr>
          <w:rFonts w:hint="eastAsia" w:ascii="仿宋" w:hAnsi="仿宋" w:eastAsia="仿宋" w:cs="仿宋"/>
          <w:color w:val="auto"/>
          <w:sz w:val="51"/>
        </w:rPr>
      </w:pP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部门基本情况</w:t>
      </w:r>
    </w:p>
    <w:p>
      <w:pPr>
        <w:spacing w:line="360" w:lineRule="auto"/>
        <w:ind w:firstLine="640"/>
        <w:rPr>
          <w:rFonts w:eastAsia="Times New Roman"/>
          <w:sz w:val="30"/>
          <w:szCs w:val="30"/>
        </w:rPr>
      </w:pPr>
      <w:r>
        <w:rPr>
          <w:rFonts w:hAnsi="楷体_GB2312" w:eastAsia="楷体_GB2312"/>
          <w:b/>
          <w:bCs/>
          <w:color w:val="333333"/>
          <w:sz w:val="30"/>
          <w:szCs w:val="30"/>
        </w:rPr>
        <w:t>（一）</w:t>
      </w:r>
      <w:r>
        <w:rPr>
          <w:rFonts w:hint="eastAsia" w:ascii="仿宋" w:hAnsi="仿宋" w:eastAsia="仿宋"/>
          <w:sz w:val="30"/>
          <w:szCs w:val="30"/>
        </w:rPr>
        <w:t>主要职能。</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（一）加强党的建设。严格落实基层党建工作责任制和意识形态责任制，认真履行全面从严治党责任，加强基层服务型党组织建设，增强基层党组织的政治属性和服务功能。</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（二）统筹区域发展。统筹落实全镇经济社会发展的重大决策和建设规划，推动辖区健康、有序、可持续发展。优化发展环境，为辖区企业提供良好的服务、优化投资环境等工作。</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三）实施公共管理。负责辖区综合性管理工作，承担组织领导和综合协调辖区社会管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四）维护公共安全。负责辖区内应急管理工作，构建公共安全防控体系，建立应对突发紧急事件的处理预案，在县直有关部门的指导下做好区域内生产经营单位安全生产和广大群众食品药品、道路交通安全监督检查工作，承担区域内防汛抗旱、森林防火、疫病防控以及其他气象、地质等自然灾害防御等应急管理工作。负责辖区社会治安综合治理工作，接待群众来信来访，建立多元纠纷解决机制，综合发挥人民调解、行政调解和司法调解的作用，及时化解辖区社会矛盾，确保社会稳定。</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五）组织公共服务。组织实施与群众生活密切相关的各项公共服务，落实人力资源和社会保障、民政、教育、科技、文化、体育、卫生健康等领域和退役军人、妇女儿童、老年人、残疾人等方面的相关政策，不断提高公共服务质量。拓宽服务渠道，改进政务服务方式，推进审批服务便民化改革，建立健全群众办事一次办结机制，完善镇、村（社区）两级便民服务平台，提高政务服务和政务公开水平，提升群众在享受公共服务方面的获得感和幸福感。</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（六）贯彻执行相关法律法规，落实党和国家的方针、政策，承担上级交办的其他任务。</w:t>
      </w:r>
    </w:p>
    <w:p>
      <w:pPr>
        <w:pStyle w:val="6"/>
        <w:spacing w:before="0" w:beforeAutospacing="0" w:after="0" w:afterAutospacing="0" w:line="600" w:lineRule="exact"/>
        <w:ind w:firstLine="602" w:firstLineChars="200"/>
        <w:rPr>
          <w:rFonts w:ascii="Times New Roman" w:hAnsi="Times New Roman" w:eastAsia="楷体_GB2312" w:cs="Times New Roman"/>
          <w:b/>
          <w:bCs/>
          <w:color w:val="333333"/>
          <w:sz w:val="30"/>
          <w:szCs w:val="30"/>
        </w:rPr>
      </w:pPr>
      <w:r>
        <w:rPr>
          <w:rFonts w:ascii="Times New Roman" w:hAnsi="楷体_GB2312" w:eastAsia="楷体_GB2312" w:cs="Times New Roman"/>
          <w:b/>
          <w:bCs/>
          <w:color w:val="333333"/>
          <w:sz w:val="30"/>
          <w:szCs w:val="30"/>
        </w:rPr>
        <w:t>（二）机构设置</w:t>
      </w:r>
    </w:p>
    <w:p>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根据主要职责官家嘴镇人民政府机关设“六办”、“三中心一大队”10个内高机构。“六办”即：党政办公室（法制办公室）、党建办公室、经济发展办公室（项目办）、社会事务管理办公室、自然资源和生态环境办公室、社会治安和应急管理办公室（信访维稳办公室）。“三中心一大队”即：社会事务综合服务中心、农业综合服务中心、政务服务中心、综合行政执法大队。</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、2023年度财政拨款</w:t>
      </w:r>
      <w:r>
        <w:rPr>
          <w:rFonts w:hint="eastAsia" w:ascii="仿宋" w:hAnsi="仿宋" w:eastAsia="仿宋" w:cs="华文新魏"/>
          <w:kern w:val="2"/>
          <w:sz w:val="30"/>
          <w:szCs w:val="30"/>
        </w:rPr>
        <w:t>基本支出</w:t>
      </w:r>
      <w:r>
        <w:rPr>
          <w:rFonts w:hint="eastAsia" w:ascii="仿宋" w:hAnsi="仿宋" w:eastAsia="仿宋" w:cs="Times New Roman"/>
          <w:color w:val="333333"/>
          <w:sz w:val="30"/>
          <w:szCs w:val="30"/>
          <w:lang w:val="en-US" w:eastAsia="zh-CN"/>
        </w:rPr>
        <w:t>798.92</w:t>
      </w:r>
      <w:r>
        <w:rPr>
          <w:rFonts w:ascii="仿宋" w:hAnsi="仿宋" w:eastAsia="仿宋" w:cs="Times New Roman"/>
          <w:kern w:val="2"/>
          <w:sz w:val="30"/>
          <w:szCs w:val="30"/>
        </w:rPr>
        <w:t>万元，占财政拨款支出总</w:t>
      </w:r>
      <w:r>
        <w:rPr>
          <w:rFonts w:hint="eastAsia" w:ascii="仿宋" w:hAnsi="仿宋" w:eastAsia="仿宋" w:cs="Times New Roman"/>
          <w:kern w:val="2"/>
          <w:sz w:val="30"/>
          <w:szCs w:val="30"/>
        </w:rPr>
        <w:t>额</w:t>
      </w:r>
      <w:r>
        <w:rPr>
          <w:rFonts w:ascii="仿宋" w:hAnsi="仿宋" w:eastAsia="仿宋" w:cs="Times New Roman"/>
          <w:kern w:val="2"/>
          <w:sz w:val="30"/>
          <w:szCs w:val="30"/>
        </w:rPr>
        <w:t>的</w:t>
      </w:r>
      <w:r>
        <w:rPr>
          <w:rFonts w:hint="eastAsia" w:ascii="仿宋" w:hAnsi="仿宋" w:eastAsia="仿宋" w:cs="Times New Roman"/>
          <w:color w:val="333333"/>
          <w:sz w:val="30"/>
          <w:szCs w:val="30"/>
        </w:rPr>
        <w:t>56.30%</w:t>
      </w:r>
      <w:r>
        <w:rPr>
          <w:rFonts w:ascii="仿宋" w:hAnsi="仿宋" w:eastAsia="仿宋" w:cs="Times New Roman"/>
          <w:color w:val="333333"/>
          <w:sz w:val="30"/>
          <w:szCs w:val="30"/>
        </w:rPr>
        <w:t>，</w:t>
      </w:r>
      <w:r>
        <w:rPr>
          <w:rFonts w:ascii="仿宋" w:hAnsi="仿宋" w:eastAsia="仿宋" w:cs="Times New Roman"/>
          <w:kern w:val="2"/>
          <w:sz w:val="30"/>
          <w:szCs w:val="30"/>
        </w:rPr>
        <w:t>其中：</w:t>
      </w:r>
    </w:p>
    <w:p>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（1）工资福利支出</w:t>
      </w:r>
      <w:r>
        <w:rPr>
          <w:rFonts w:hint="eastAsia" w:ascii="仿宋" w:hAnsi="仿宋" w:eastAsia="仿宋" w:cs="Times New Roman"/>
          <w:color w:val="333333"/>
          <w:sz w:val="30"/>
          <w:szCs w:val="30"/>
        </w:rPr>
        <w:t>653</w:t>
      </w:r>
      <w:r>
        <w:rPr>
          <w:rFonts w:hint="eastAsia" w:ascii="仿宋" w:hAnsi="仿宋" w:eastAsia="仿宋" w:cs="Times New Roman"/>
          <w:color w:val="333333"/>
          <w:sz w:val="30"/>
          <w:szCs w:val="30"/>
          <w:lang w:val="en-US" w:eastAsia="zh-CN"/>
        </w:rPr>
        <w:t>.67</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占基本支出的8</w:t>
      </w:r>
      <w:r>
        <w:rPr>
          <w:rFonts w:hint="eastAsia" w:ascii="仿宋" w:hAnsi="仿宋" w:eastAsia="仿宋" w:cs="Times New Roman"/>
          <w:kern w:val="2"/>
          <w:sz w:val="30"/>
          <w:szCs w:val="30"/>
          <w:lang w:val="en-US" w:eastAsia="zh-CN"/>
        </w:rPr>
        <w:t>1.82</w:t>
      </w:r>
      <w:r>
        <w:rPr>
          <w:rFonts w:hint="eastAsia" w:ascii="仿宋" w:hAnsi="仿宋" w:eastAsia="仿宋" w:cs="Times New Roman"/>
          <w:kern w:val="2"/>
          <w:sz w:val="30"/>
          <w:szCs w:val="30"/>
        </w:rPr>
        <w:t>%，</w:t>
      </w:r>
      <w:r>
        <w:rPr>
          <w:rFonts w:ascii="仿宋" w:hAnsi="仿宋" w:eastAsia="仿宋" w:cs="Times New Roman"/>
          <w:kern w:val="2"/>
          <w:sz w:val="30"/>
          <w:szCs w:val="30"/>
        </w:rPr>
        <w:t>包括基本工资、津贴补贴、奖金、伙食补助费、绩效工资</w:t>
      </w:r>
      <w:r>
        <w:rPr>
          <w:rFonts w:hint="eastAsia" w:ascii="仿宋" w:hAnsi="仿宋" w:eastAsia="仿宋" w:cs="Times New Roman"/>
          <w:kern w:val="2"/>
          <w:sz w:val="30"/>
          <w:szCs w:val="30"/>
          <w:lang w:eastAsia="zh-CN"/>
        </w:rPr>
        <w:t>、机关事业单位基本养老保险缴费、职工基本医疗保险缴费、其他社会保障缴费、住房公积金</w:t>
      </w:r>
      <w:r>
        <w:rPr>
          <w:rFonts w:ascii="仿宋" w:hAnsi="仿宋" w:eastAsia="仿宋" w:cs="Times New Roman"/>
          <w:kern w:val="2"/>
          <w:sz w:val="30"/>
          <w:szCs w:val="30"/>
        </w:rPr>
        <w:t>；</w:t>
      </w:r>
    </w:p>
    <w:p>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（2）商品和服务支出</w:t>
      </w:r>
      <w:r>
        <w:rPr>
          <w:rFonts w:hint="eastAsia" w:ascii="仿宋" w:hAnsi="仿宋" w:eastAsia="仿宋" w:cs="Times New Roman"/>
          <w:color w:val="333333"/>
          <w:sz w:val="30"/>
          <w:szCs w:val="30"/>
        </w:rPr>
        <w:t>136</w:t>
      </w:r>
      <w:r>
        <w:rPr>
          <w:rFonts w:hint="eastAsia" w:ascii="仿宋" w:hAnsi="仿宋" w:eastAsia="仿宋" w:cs="Times New Roman"/>
          <w:color w:val="333333"/>
          <w:sz w:val="30"/>
          <w:szCs w:val="30"/>
          <w:lang w:val="en-US" w:eastAsia="zh-CN"/>
        </w:rPr>
        <w:t>.42</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占基本支出的17.07%，</w:t>
      </w:r>
      <w:r>
        <w:rPr>
          <w:rFonts w:ascii="仿宋" w:hAnsi="仿宋" w:eastAsia="仿宋" w:cs="Times New Roman"/>
          <w:kern w:val="2"/>
          <w:sz w:val="30"/>
          <w:szCs w:val="30"/>
        </w:rPr>
        <w:t>包括办公费、印刷费、水费、电费、</w:t>
      </w:r>
      <w:r>
        <w:rPr>
          <w:rFonts w:hint="eastAsia" w:ascii="仿宋" w:hAnsi="仿宋" w:eastAsia="仿宋" w:cs="Times New Roman"/>
          <w:kern w:val="2"/>
          <w:sz w:val="30"/>
          <w:szCs w:val="30"/>
        </w:rPr>
        <w:t>维修（护）费</w:t>
      </w:r>
      <w:r>
        <w:rPr>
          <w:rFonts w:ascii="仿宋" w:hAnsi="仿宋" w:eastAsia="仿宋" w:cs="Times New Roman"/>
          <w:kern w:val="2"/>
          <w:sz w:val="30"/>
          <w:szCs w:val="30"/>
        </w:rPr>
        <w:t>、会议费、公务接待费</w:t>
      </w:r>
      <w:r>
        <w:rPr>
          <w:rFonts w:hint="eastAsia" w:ascii="仿宋" w:hAnsi="仿宋" w:eastAsia="仿宋" w:cs="Times New Roman"/>
          <w:kern w:val="2"/>
          <w:sz w:val="30"/>
          <w:szCs w:val="30"/>
          <w:lang w:eastAsia="zh-CN"/>
        </w:rPr>
        <w:t>、委托业务费</w:t>
      </w:r>
      <w:r>
        <w:rPr>
          <w:rFonts w:ascii="仿宋" w:hAnsi="仿宋" w:eastAsia="仿宋" w:cs="Times New Roman"/>
          <w:kern w:val="2"/>
          <w:sz w:val="30"/>
          <w:szCs w:val="30"/>
        </w:rPr>
        <w:t>、工会经费、其他交通费、其他商品和服务支出；</w:t>
      </w:r>
    </w:p>
    <w:p>
      <w:pPr>
        <w:pStyle w:val="6"/>
        <w:spacing w:before="0" w:beforeAutospacing="0" w:after="0" w:afterAutospacing="0" w:line="600" w:lineRule="exact"/>
        <w:ind w:firstLine="600" w:firstLineChars="200"/>
        <w:rPr>
          <w:rFonts w:hint="eastAsia" w:ascii="楷体" w:hAnsi="楷体" w:eastAsia="楷体" w:cs="楷体"/>
          <w:b/>
          <w:bCs/>
          <w:color w:val="auto"/>
        </w:rPr>
      </w:pPr>
      <w:r>
        <w:rPr>
          <w:rFonts w:ascii="仿宋" w:hAnsi="仿宋" w:eastAsia="仿宋" w:cs="Times New Roman"/>
          <w:kern w:val="2"/>
          <w:sz w:val="30"/>
          <w:szCs w:val="30"/>
        </w:rPr>
        <w:t>（3）对个人和家庭补助支出</w:t>
      </w:r>
      <w:r>
        <w:rPr>
          <w:rFonts w:hint="eastAsia" w:ascii="仿宋" w:hAnsi="仿宋" w:eastAsia="仿宋" w:cs="Times New Roman"/>
          <w:color w:val="333333"/>
          <w:sz w:val="30"/>
          <w:szCs w:val="30"/>
          <w:lang w:val="en-US" w:eastAsia="zh-CN"/>
        </w:rPr>
        <w:t>8.83</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占基本支出的1.11%，</w:t>
      </w:r>
      <w:r>
        <w:rPr>
          <w:rFonts w:ascii="仿宋" w:hAnsi="仿宋" w:eastAsia="仿宋" w:cs="Times New Roman"/>
          <w:kern w:val="2"/>
          <w:sz w:val="30"/>
          <w:szCs w:val="30"/>
        </w:rPr>
        <w:t>包括</w:t>
      </w:r>
      <w:r>
        <w:rPr>
          <w:rFonts w:hint="eastAsia" w:ascii="仿宋" w:hAnsi="仿宋" w:eastAsia="仿宋" w:cs="Times New Roman"/>
          <w:kern w:val="2"/>
          <w:sz w:val="30"/>
          <w:szCs w:val="30"/>
        </w:rPr>
        <w:t>医疗费补助</w:t>
      </w:r>
      <w:r>
        <w:rPr>
          <w:rFonts w:ascii="仿宋" w:hAnsi="仿宋" w:eastAsia="仿宋" w:cs="Times New Roman"/>
          <w:kern w:val="2"/>
          <w:sz w:val="30"/>
          <w:szCs w:val="30"/>
        </w:rPr>
        <w:t>、生活补助</w:t>
      </w:r>
      <w:r>
        <w:rPr>
          <w:rFonts w:hint="eastAsia" w:ascii="仿宋" w:hAnsi="仿宋" w:eastAsia="仿宋" w:cs="Times New Roman"/>
          <w:kern w:val="2"/>
          <w:sz w:val="30"/>
          <w:szCs w:val="30"/>
        </w:rPr>
        <w:t>等。</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支出是在基本支出之外为完成其特定的工作任务而发生的支出，主要用于部分行政单位补助经费、农村转移支付、一事一议财政奖补工作经费等支出。2023年年初预算批复的项目支出为619.91万元，决算项目支出619.91万元，占财政拨款支出总额的43.70%。</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三、政府性基金预算支出情况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pPr>
        <w:pStyle w:val="6"/>
        <w:spacing w:before="0" w:beforeAutospacing="0" w:after="0" w:afterAutospacing="0" w:line="600" w:lineRule="exact"/>
        <w:ind w:firstLine="600" w:firstLineChars="200"/>
        <w:rPr>
          <w:rFonts w:hint="default" w:ascii="楷体" w:hAnsi="楷体" w:eastAsia="仿宋" w:cs="楷体"/>
          <w:b/>
          <w:bCs/>
          <w:color w:val="auto"/>
          <w:lang w:val="en-US" w:eastAsia="zh-CN"/>
        </w:rPr>
      </w:pPr>
      <w:r>
        <w:rPr>
          <w:rFonts w:hint="eastAsia" w:ascii="仿宋" w:hAnsi="仿宋" w:eastAsia="仿宋" w:cs="Times New Roman"/>
          <w:kern w:val="2"/>
          <w:sz w:val="30"/>
          <w:szCs w:val="30"/>
        </w:rPr>
        <w:t>2023年</w:t>
      </w:r>
      <w:r>
        <w:rPr>
          <w:rFonts w:hint="eastAsia" w:ascii="仿宋" w:hAnsi="仿宋" w:eastAsia="仿宋" w:cs="Times New Roman"/>
          <w:color w:val="333333"/>
          <w:sz w:val="30"/>
          <w:szCs w:val="30"/>
        </w:rPr>
        <w:t>度政府性基金基本</w:t>
      </w:r>
      <w:r>
        <w:rPr>
          <w:rFonts w:hint="eastAsia" w:ascii="仿宋" w:hAnsi="仿宋" w:eastAsia="仿宋" w:cs="华文新魏"/>
          <w:kern w:val="2"/>
          <w:sz w:val="30"/>
          <w:szCs w:val="30"/>
        </w:rPr>
        <w:t>支出</w:t>
      </w:r>
      <w:r>
        <w:rPr>
          <w:rFonts w:hint="eastAsia" w:ascii="仿宋" w:hAnsi="仿宋" w:eastAsia="仿宋" w:cs="Times New Roman"/>
          <w:color w:val="333333"/>
          <w:sz w:val="30"/>
          <w:szCs w:val="30"/>
          <w:lang w:val="en-US" w:eastAsia="zh-CN"/>
        </w:rPr>
        <w:t>0</w:t>
      </w:r>
      <w:r>
        <w:rPr>
          <w:rFonts w:ascii="仿宋" w:hAnsi="仿宋" w:eastAsia="仿宋" w:cs="Times New Roman"/>
          <w:kern w:val="2"/>
          <w:sz w:val="30"/>
          <w:szCs w:val="30"/>
        </w:rPr>
        <w:t>万元</w:t>
      </w:r>
      <w:r>
        <w:rPr>
          <w:rFonts w:hint="eastAsia" w:ascii="仿宋" w:hAnsi="仿宋" w:eastAsia="仿宋" w:cs="Times New Roman"/>
          <w:kern w:val="2"/>
          <w:sz w:val="30"/>
          <w:szCs w:val="30"/>
          <w:lang w:val="en-US" w:eastAsia="zh-CN"/>
        </w:rPr>
        <w:t>。</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2023年年初预算批复的项目支出为183.39万元，决算项目支出183.39万元，主要是农村基础设施建设支出、农业生产发展支出、城市公共设施支出等。</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300" w:firstLineChars="100"/>
        <w:jc w:val="both"/>
        <w:textAlignment w:val="auto"/>
        <w:rPr>
          <w:rFonts w:hint="eastAsia" w:ascii="黑体" w:hAnsi="黑体" w:eastAsia="黑体" w:cs="黑体"/>
          <w:color w:val="auto"/>
        </w:rPr>
      </w:pPr>
      <w:r>
        <w:rPr>
          <w:rFonts w:hint="eastAsia" w:ascii="仿宋" w:hAnsi="仿宋" w:eastAsia="仿宋" w:cs="Times New Roman"/>
          <w:kern w:val="2"/>
          <w:sz w:val="30"/>
          <w:szCs w:val="30"/>
          <w:lang w:val="en-US" w:eastAsia="zh-CN" w:bidi="ar-SA"/>
        </w:rPr>
        <w:t>本单位无国有资本经营预算支出</w:t>
      </w:r>
      <w:r>
        <w:rPr>
          <w:rFonts w:hint="eastAsia" w:ascii="仿宋" w:hAnsi="仿宋" w:eastAsia="仿宋" w:cs="Times New Roman"/>
          <w:kern w:val="2"/>
          <w:sz w:val="30"/>
          <w:szCs w:val="30"/>
          <w:lang w:val="en-US" w:eastAsia="zh-CN" w:bidi="ar-SA"/>
        </w:rPr>
        <w:t>。</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社会保险基金预算支出情况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300" w:firstLineChars="100"/>
        <w:jc w:val="both"/>
        <w:textAlignment w:val="auto"/>
        <w:rPr>
          <w:rFonts w:hint="eastAsia" w:ascii="黑体" w:hAnsi="黑体" w:eastAsia="黑体" w:cs="黑体"/>
          <w:color w:val="auto"/>
        </w:rPr>
      </w:pPr>
      <w:r>
        <w:rPr>
          <w:rFonts w:hint="eastAsia" w:ascii="仿宋" w:hAnsi="仿宋" w:eastAsia="仿宋" w:cs="Times New Roman"/>
          <w:kern w:val="2"/>
          <w:sz w:val="30"/>
          <w:szCs w:val="30"/>
          <w:lang w:val="en-US" w:eastAsia="zh-CN" w:bidi="ar-SA"/>
        </w:rPr>
        <w:t>本单位无社会保险基金预算支出。</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部门整体支出绩效情况</w:t>
      </w:r>
    </w:p>
    <w:p>
      <w:pPr>
        <w:adjustRightInd w:val="0"/>
        <w:snapToGrid w:val="0"/>
        <w:spacing w:line="360" w:lineRule="auto"/>
        <w:ind w:left="440" w:leftChars="200" w:firstLine="150" w:firstLineChars="5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祁东县</w:t>
      </w:r>
      <w:r>
        <w:rPr>
          <w:rFonts w:hint="eastAsia" w:ascii="仿宋" w:hAnsi="仿宋" w:eastAsia="仿宋"/>
          <w:sz w:val="30"/>
          <w:szCs w:val="30"/>
          <w:lang w:val="en-US" w:eastAsia="zh-CN"/>
        </w:rPr>
        <w:t>官家嘴</w:t>
      </w:r>
      <w:r>
        <w:rPr>
          <w:rFonts w:hint="eastAsia" w:ascii="仿宋" w:hAnsi="仿宋" w:eastAsia="仿宋" w:cs="宋体"/>
          <w:color w:val="333333"/>
          <w:kern w:val="0"/>
          <w:sz w:val="30"/>
          <w:szCs w:val="30"/>
        </w:rPr>
        <w:t>人民政府2023年度部门整体支出</w:t>
      </w:r>
    </w:p>
    <w:p>
      <w:pPr>
        <w:adjustRightInd w:val="0"/>
        <w:snapToGrid w:val="0"/>
        <w:spacing w:line="360" w:lineRule="auto"/>
        <w:rPr>
          <w:rFonts w:hint="eastAsia" w:ascii="仿宋" w:hAnsi="仿宋" w:eastAsia="仿宋"/>
          <w:color w:val="333333"/>
          <w:sz w:val="30"/>
          <w:szCs w:val="30"/>
        </w:rPr>
      </w:pPr>
      <w:r>
        <w:rPr>
          <w:rFonts w:hint="eastAsia" w:ascii="仿宋" w:hAnsi="仿宋" w:eastAsia="仿宋"/>
          <w:color w:val="333333"/>
          <w:sz w:val="30"/>
          <w:szCs w:val="30"/>
        </w:rPr>
        <w:t>1614.35</w:t>
      </w:r>
      <w:r>
        <w:rPr>
          <w:rFonts w:hint="eastAsia" w:ascii="仿宋" w:hAnsi="仿宋" w:eastAsia="仿宋" w:cs="宋体"/>
          <w:color w:val="333333"/>
          <w:kern w:val="0"/>
          <w:sz w:val="30"/>
          <w:szCs w:val="30"/>
        </w:rPr>
        <w:t>万元，其中单位基本支出811.05万元、项目支出</w:t>
      </w:r>
      <w:r>
        <w:rPr>
          <w:rFonts w:hint="eastAsia" w:ascii="仿宋" w:hAnsi="仿宋" w:eastAsia="仿宋"/>
          <w:sz w:val="30"/>
          <w:szCs w:val="30"/>
        </w:rPr>
        <w:t>803.30</w:t>
      </w:r>
      <w:r>
        <w:rPr>
          <w:rFonts w:hint="eastAsia" w:ascii="仿宋" w:hAnsi="仿宋" w:eastAsia="仿宋" w:cs="宋体"/>
          <w:color w:val="333333"/>
          <w:kern w:val="0"/>
          <w:sz w:val="30"/>
          <w:szCs w:val="30"/>
        </w:rPr>
        <w:t>万元；整体支出绩效目标完成率1</w:t>
      </w:r>
      <w:bookmarkStart w:id="0" w:name="_GoBack"/>
      <w:bookmarkEnd w:id="0"/>
      <w:r>
        <w:rPr>
          <w:rFonts w:hint="eastAsia" w:ascii="仿宋" w:hAnsi="仿宋" w:eastAsia="仿宋" w:cs="宋体"/>
          <w:color w:val="333333"/>
          <w:kern w:val="0"/>
          <w:sz w:val="30"/>
          <w:szCs w:val="30"/>
        </w:rPr>
        <w:t>00%，其中单位基本支出完成率100%，项目支出完成率100%。</w:t>
      </w:r>
    </w:p>
    <w:p>
      <w:pPr>
        <w:pStyle w:val="6"/>
        <w:spacing w:beforeAutospacing="0" w:afterAutospacing="0" w:line="600" w:lineRule="exact"/>
        <w:ind w:firstLine="300" w:firstLineChars="100"/>
        <w:jc w:val="both"/>
        <w:rPr>
          <w:rFonts w:hint="eastAsia" w:ascii="楷体" w:hAnsi="楷体" w:eastAsia="楷体" w:cs="楷体"/>
          <w:color w:val="000000"/>
          <w:kern w:val="2"/>
          <w:sz w:val="32"/>
          <w:szCs w:val="32"/>
        </w:rPr>
      </w:pPr>
      <w:r>
        <w:rPr>
          <w:rFonts w:hint="eastAsia" w:ascii="仿宋" w:hAnsi="仿宋" w:eastAsia="仿宋" w:cs="宋体"/>
          <w:color w:val="333333"/>
          <w:kern w:val="0"/>
          <w:sz w:val="30"/>
          <w:szCs w:val="30"/>
        </w:rPr>
        <w:t xml:space="preserve"> </w:t>
      </w:r>
      <w:r>
        <w:rPr>
          <w:rFonts w:hint="eastAsia" w:ascii="楷体" w:hAnsi="楷体" w:eastAsia="楷体" w:cs="楷体"/>
          <w:color w:val="000000"/>
          <w:kern w:val="2"/>
          <w:sz w:val="32"/>
          <w:szCs w:val="32"/>
        </w:rPr>
        <w:t>(一)绩效评价目的</w:t>
      </w:r>
    </w:p>
    <w:p>
      <w:pPr>
        <w:pStyle w:val="6"/>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ascii="仿宋_GB2312" w:hAnsi="仿宋" w:eastAsia="仿宋_GB2312" w:cs="仿宋"/>
          <w:color w:val="000000"/>
          <w:kern w:val="2"/>
          <w:sz w:val="32"/>
          <w:szCs w:val="32"/>
        </w:rPr>
        <w:t>进一步推进</w:t>
      </w:r>
      <w:r>
        <w:rPr>
          <w:rFonts w:hint="eastAsia" w:ascii="仿宋_GB2312" w:hAnsi="仿宋" w:eastAsia="仿宋_GB2312" w:cs="仿宋"/>
          <w:color w:val="000000"/>
          <w:kern w:val="2"/>
          <w:sz w:val="32"/>
          <w:szCs w:val="32"/>
        </w:rPr>
        <w:t>镇政府</w:t>
      </w:r>
      <w:r>
        <w:rPr>
          <w:rFonts w:ascii="仿宋_GB2312" w:hAnsi="仿宋" w:eastAsia="仿宋_GB2312" w:cs="仿宋"/>
          <w:color w:val="000000"/>
          <w:kern w:val="2"/>
          <w:sz w:val="32"/>
          <w:szCs w:val="32"/>
        </w:rPr>
        <w:t>工作的制度化、规范化和程序化建设，充分发挥办公室、各</w:t>
      </w:r>
      <w:r>
        <w:rPr>
          <w:rFonts w:hint="eastAsia" w:ascii="仿宋_GB2312" w:hAnsi="仿宋" w:eastAsia="仿宋_GB2312" w:cs="仿宋"/>
          <w:color w:val="000000"/>
          <w:kern w:val="2"/>
          <w:sz w:val="32"/>
          <w:szCs w:val="32"/>
        </w:rPr>
        <w:t>职能部门</w:t>
      </w:r>
      <w:r>
        <w:rPr>
          <w:rFonts w:ascii="仿宋_GB2312" w:hAnsi="仿宋" w:eastAsia="仿宋_GB2312" w:cs="仿宋"/>
          <w:color w:val="000000"/>
          <w:kern w:val="2"/>
          <w:sz w:val="32"/>
          <w:szCs w:val="32"/>
        </w:rPr>
        <w:t>在</w:t>
      </w:r>
      <w:r>
        <w:rPr>
          <w:rFonts w:hint="eastAsia" w:ascii="仿宋_GB2312" w:hAnsi="仿宋" w:eastAsia="仿宋_GB2312" w:cs="仿宋"/>
          <w:color w:val="000000"/>
          <w:kern w:val="2"/>
          <w:sz w:val="32"/>
          <w:szCs w:val="32"/>
        </w:rPr>
        <w:t>政府</w:t>
      </w:r>
      <w:r>
        <w:rPr>
          <w:rFonts w:ascii="仿宋_GB2312" w:hAnsi="仿宋" w:eastAsia="仿宋_GB2312" w:cs="仿宋"/>
          <w:color w:val="000000"/>
          <w:kern w:val="2"/>
          <w:sz w:val="32"/>
          <w:szCs w:val="32"/>
        </w:rPr>
        <w:t>工作全局中的重要作用，调动机关履行政协职能的积极性，转变工作作风，提高议事效率。</w:t>
      </w:r>
    </w:p>
    <w:p>
      <w:pPr>
        <w:pStyle w:val="6"/>
        <w:spacing w:beforeAutospacing="0" w:afterAutospacing="0" w:line="600" w:lineRule="exact"/>
        <w:ind w:firstLine="640" w:firstLineChars="200"/>
        <w:jc w:val="both"/>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rPr>
        <w:t>(二)绩效评价过程</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按照绩效自评要求，我镇组织成立了绩效评价工作小组，组织学习国家法律法规，制定了建立绩效管理制度。核查了202</w:t>
      </w:r>
      <w:r>
        <w:rPr>
          <w:rFonts w:hint="eastAsia" w:ascii="仿宋_GB2312" w:hAnsi="仿宋" w:eastAsia="仿宋_GB2312" w:cs="仿宋"/>
          <w:color w:val="000000"/>
          <w:kern w:val="2"/>
          <w:sz w:val="32"/>
          <w:szCs w:val="32"/>
          <w:lang w:val="en-US" w:eastAsia="zh-CN"/>
        </w:rPr>
        <w:t>3</w:t>
      </w:r>
      <w:r>
        <w:rPr>
          <w:rFonts w:hint="eastAsia" w:ascii="仿宋_GB2312" w:hAnsi="仿宋" w:eastAsia="仿宋_GB2312" w:cs="仿宋"/>
          <w:color w:val="000000"/>
          <w:kern w:val="2"/>
          <w:sz w:val="32"/>
          <w:szCs w:val="32"/>
        </w:rPr>
        <w:t>年市级财政预算批复执行及部门整体支出情况，着重核查了“三公”经费及资产管理、内控制度情况。</w:t>
      </w:r>
    </w:p>
    <w:p>
      <w:pPr>
        <w:pStyle w:val="6"/>
        <w:spacing w:beforeAutospacing="0" w:afterAutospacing="0" w:line="600" w:lineRule="exact"/>
        <w:ind w:firstLine="640" w:firstLineChars="200"/>
        <w:jc w:val="both"/>
        <w:rPr>
          <w:rFonts w:hint="eastAsia" w:ascii="楷体" w:hAnsi="楷体" w:eastAsia="楷体" w:cs="楷体"/>
          <w:color w:val="000000"/>
          <w:kern w:val="2"/>
          <w:sz w:val="32"/>
          <w:szCs w:val="32"/>
          <w:lang w:eastAsia="zh-CN"/>
        </w:rPr>
      </w:pPr>
      <w:r>
        <w:rPr>
          <w:rFonts w:hint="eastAsia" w:ascii="楷体" w:hAnsi="楷体" w:eastAsia="楷体" w:cs="楷体"/>
          <w:color w:val="000000"/>
          <w:kern w:val="2"/>
          <w:sz w:val="32"/>
          <w:szCs w:val="32"/>
        </w:rPr>
        <w:t>(三)综合评价结论     </w:t>
      </w:r>
    </w:p>
    <w:p>
      <w:pPr>
        <w:pStyle w:val="6"/>
        <w:spacing w:beforeAutospacing="0" w:afterAutospacing="0" w:line="600" w:lineRule="exact"/>
        <w:ind w:firstLine="640" w:firstLineChars="200"/>
        <w:jc w:val="both"/>
        <w:rPr>
          <w:rFonts w:hint="eastAsia" w:ascii="仿宋_GB2312" w:hAnsi="仿宋" w:eastAsia="仿宋_GB2312" w:cs="仿宋"/>
          <w:color w:val="000000"/>
          <w:sz w:val="32"/>
          <w:szCs w:val="32"/>
        </w:rPr>
      </w:pPr>
      <w:r>
        <w:rPr>
          <w:rFonts w:hint="eastAsia" w:ascii="仿宋_GB2312" w:hAnsi="仿宋" w:eastAsia="仿宋_GB2312" w:cs="仿宋"/>
          <w:color w:val="000000"/>
          <w:kern w:val="2"/>
          <w:sz w:val="32"/>
          <w:szCs w:val="32"/>
        </w:rPr>
        <w:t>在中央“八项”规定大背景下，我镇进一步加强财务管理，规范资金使用，强化资产管理。分析部门整体支出绩效，单位预算编制科学，民主理财、公开理财氛围浓厚，重大财务事项经由集体研究决策，财务制度健全。</w:t>
      </w:r>
    </w:p>
    <w:p>
      <w:pPr>
        <w:adjustRightInd w:val="0"/>
        <w:snapToGrid w:val="0"/>
        <w:spacing w:line="360" w:lineRule="auto"/>
        <w:rPr>
          <w:rFonts w:hint="eastAsia" w:ascii="黑体" w:hAnsi="黑体" w:eastAsia="黑体" w:cs="黑体"/>
          <w:color w:val="auto"/>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1、镇域经济特别是商贸发展滞后，市场人气不旺，村级集体经济收入短缺。</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2、乡村振兴战略未全面启动，农村基础设施建设有待加强，农村人居环境整治进展不平衡。</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3、少数镇村干部思想观念落后，履职不力，作风欠实，工作闯劲干劲不足。</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4、财务管理欠规范，制度执行不力，业务人员不足导致财政工作相对滞后。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八、下一步改进措施</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聚力“三农”服务，不断夯实农业基础。持续“压单扩双”扩大优质稻、双季稻种植面积，大力调整优化产业结构，积极倡导多种经营，引导农民走产业化、规模化、市场化的发展路子，促进农业增效，农民增收，农村经济稳步发展。大力发展优势特色，突出推进稻米、油茶、蔬果等产业品种改良、品质提升、品牌创建。大力发展生态畜牧水产健康养殖，着力培育一大批农业大户，充分发挥他们的辐射带动作用，引导广大农民加快农业发展步伐。</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聚力乡村振兴，拓展发展新空间。落实好水、电、路、厕等基础设施改造整村推进工程，切实改变农村基础设施落后问题，实施“碧水青山蓝天”工程，深入开展农村环境综合整治，大力建设“美丽乡村、幸福家园”，优化人居环境，抓好污水处理厂建设，抓好“三边”绿化，加强生态环境保护，巩固退耕还林和河库长制改革成果，加大封山育林、荒山造林力度，加强水源地保护，打造生态秀美、美丽宜居乡村。</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3、聚力项目建设，厚植发展新潜力。保障促进我镇发展的重点项目落实基地，加快推进公路提质改造、政府公租房、集镇污水处理设施、垃圾中转站、等项目建设，极力优化营商环境，加大招商引资力度，厚植发展浩力，努力实现鸟江“宜居、宜业、宜游”的新突破。</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4、加强基层组织建设，打牢执政基础。以党建工作为引领，狠抓制度建设，夯实工作作风，强化干部管理，确保农村基层组织工作制度更加完善，村务、财务管理科学民主、规范有序，形成齐抓共管、整体推进、群众满意的良好工作运行机制。</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5、严格财政纪律，规范财务管理。明确业务人员岗位职责，做到一人一岗，一岗多责。同时，提高财务人员的业务能力，注重相关业务知识的积累与学习，确保财务工作的及时性和规范性。</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九、部门整体支出绩效自评结果拟应用和公开情况</w:t>
      </w:r>
    </w:p>
    <w:p>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rPr>
        <w:t>本单位2023年自评结果拟用于2024年财政预算和工作任务中，并在祁东县党政门户网上进行公开</w:t>
      </w:r>
      <w:r>
        <w:rPr>
          <w:rFonts w:hint="eastAsia" w:ascii="仿宋_GB2312" w:hAnsi="仿宋" w:eastAsia="仿宋_GB2312" w:cs="仿宋"/>
          <w:color w:val="000000"/>
          <w:kern w:val="2"/>
          <w:sz w:val="32"/>
          <w:szCs w:val="32"/>
          <w:lang w:eastAsia="zh-CN"/>
        </w:rPr>
        <w:t>。</w:t>
      </w: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其他需要说明的情况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 </w:t>
      </w:r>
      <w:r>
        <w:rPr>
          <w:rFonts w:hint="eastAsia" w:ascii="仿宋" w:hAnsi="仿宋" w:eastAsia="仿宋"/>
          <w:sz w:val="30"/>
          <w:szCs w:val="30"/>
        </w:rPr>
        <w:t>无</w:t>
      </w:r>
    </w:p>
    <w:p>
      <w:pPr>
        <w:rPr>
          <w:rFonts w:hint="eastAsia" w:ascii="仿宋" w:hAnsi="仿宋" w:eastAsia="仿宋" w:cs="仿宋"/>
          <w:color w:val="auto"/>
          <w:w w:val="95"/>
        </w:rPr>
      </w:pPr>
      <w:r>
        <w:rPr>
          <w:rFonts w:hint="eastAsia" w:ascii="仿宋" w:hAnsi="仿宋" w:eastAsia="仿宋" w:cs="仿宋"/>
          <w:color w:val="auto"/>
          <w:w w:val="95"/>
        </w:rPr>
        <w:br w:type="page"/>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Arial"/>
    <w:panose1 w:val="00000000000000000000"/>
    <w:charset w:val="01"/>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EAAA4"/>
    <w:multiLevelType w:val="singleLevel"/>
    <w:tmpl w:val="955EAAA4"/>
    <w:lvl w:ilvl="0" w:tentative="0">
      <w:start w:val="10"/>
      <w:numFmt w:val="chineseCounting"/>
      <w:suff w:val="nothing"/>
      <w:lvlText w:val="%1、"/>
      <w:lvlJc w:val="left"/>
      <w:rPr>
        <w:rFonts w:hint="eastAsia"/>
      </w:rPr>
    </w:lvl>
  </w:abstractNum>
  <w:abstractNum w:abstractNumId="1">
    <w:nsid w:val="9E586646"/>
    <w:multiLevelType w:val="singleLevel"/>
    <w:tmpl w:val="9E586646"/>
    <w:lvl w:ilvl="0" w:tentative="0">
      <w:start w:val="1"/>
      <w:numFmt w:val="chineseCounting"/>
      <w:suff w:val="nothing"/>
      <w:lvlText w:val="%1、"/>
      <w:lvlJc w:val="left"/>
      <w:rPr>
        <w:rFonts w:hint="eastAsia"/>
      </w:rPr>
    </w:lvl>
  </w:abstractNum>
  <w:abstractNum w:abstractNumId="2">
    <w:nsid w:val="B79BBFA6"/>
    <w:multiLevelType w:val="singleLevel"/>
    <w:tmpl w:val="B79BBFA6"/>
    <w:lvl w:ilvl="0" w:tentative="0">
      <w:start w:val="4"/>
      <w:numFmt w:val="chineseCounting"/>
      <w:suff w:val="nothing"/>
      <w:lvlText w:val="%1、"/>
      <w:lvlJc w:val="left"/>
      <w:rPr>
        <w:rFonts w:hint="eastAsia"/>
      </w:rPr>
    </w:lvl>
  </w:abstractNum>
  <w:abstractNum w:abstractNumId="3">
    <w:nsid w:val="F384652A"/>
    <w:multiLevelType w:val="singleLevel"/>
    <w:tmpl w:val="F384652A"/>
    <w:lvl w:ilvl="0" w:tentative="0">
      <w:start w:val="2"/>
      <w:numFmt w:val="chineseCounting"/>
      <w:suff w:val="nothing"/>
      <w:lvlText w:val="（%1）"/>
      <w:lvlJc w:val="left"/>
      <w:rPr>
        <w:rFonts w:hint="eastAsia"/>
      </w:rPr>
    </w:lvl>
  </w:abstractNum>
  <w:abstractNum w:abstractNumId="4">
    <w:nsid w:val="023007AB"/>
    <w:multiLevelType w:val="singleLevel"/>
    <w:tmpl w:val="023007AB"/>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MjNlODliODBiYTRjZmI1OWE3YTg1OWExMjRkMjAifQ=="/>
  </w:docVars>
  <w:rsids>
    <w:rsidRoot w:val="5EC24E23"/>
    <w:rsid w:val="013A0D58"/>
    <w:rsid w:val="0466236F"/>
    <w:rsid w:val="056A24FD"/>
    <w:rsid w:val="060C0919"/>
    <w:rsid w:val="0661309E"/>
    <w:rsid w:val="16826672"/>
    <w:rsid w:val="22451588"/>
    <w:rsid w:val="2BF57C61"/>
    <w:rsid w:val="2CF241A1"/>
    <w:rsid w:val="2E093082"/>
    <w:rsid w:val="2FFD0ECD"/>
    <w:rsid w:val="314805C3"/>
    <w:rsid w:val="360E0429"/>
    <w:rsid w:val="374667CD"/>
    <w:rsid w:val="3A8309D9"/>
    <w:rsid w:val="3C9455E1"/>
    <w:rsid w:val="3DD77351"/>
    <w:rsid w:val="41356808"/>
    <w:rsid w:val="42445E75"/>
    <w:rsid w:val="4577128F"/>
    <w:rsid w:val="46F4261E"/>
    <w:rsid w:val="47653A95"/>
    <w:rsid w:val="484A67E7"/>
    <w:rsid w:val="4FE26E2C"/>
    <w:rsid w:val="523A5B1F"/>
    <w:rsid w:val="528D3EA0"/>
    <w:rsid w:val="5E454779"/>
    <w:rsid w:val="5EC24E23"/>
    <w:rsid w:val="68482AA4"/>
    <w:rsid w:val="6A44338D"/>
    <w:rsid w:val="6BE57369"/>
    <w:rsid w:val="6DE30330"/>
    <w:rsid w:val="6EB50BFF"/>
    <w:rsid w:val="79BE3F43"/>
    <w:rsid w:val="7B16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0"/>
    <w:pPr>
      <w:spacing w:line="620" w:lineRule="exact"/>
      <w:ind w:firstLine="0" w:firstLineChars="0"/>
      <w:jc w:val="center"/>
      <w:outlineLvl w:val="0"/>
    </w:pPr>
    <w:rPr>
      <w:rFonts w:ascii="仿宋" w:hAnsi="仿宋" w:eastAsia="方正小标宋简体" w:cs="仿宋"/>
      <w:sz w:val="44"/>
    </w:rPr>
  </w:style>
  <w:style w:type="paragraph" w:styleId="3">
    <w:name w:val="heading 2"/>
    <w:basedOn w:val="1"/>
    <w:qFormat/>
    <w:uiPriority w:val="1"/>
    <w:pPr>
      <w:ind w:left="-22"/>
      <w:outlineLvl w:val="2"/>
    </w:pPr>
    <w:rPr>
      <w:rFonts w:ascii="Arial Unicode MS" w:hAnsi="Arial Unicode MS" w:eastAsia="Arial Unicode MS" w:cs="Arial Unicode MS"/>
      <w:sz w:val="36"/>
      <w:szCs w:val="36"/>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2092</Words>
  <Characters>2222</Characters>
  <Lines>0</Lines>
  <Paragraphs>0</Paragraphs>
  <TotalTime>3</TotalTime>
  <ScaleCrop>false</ScaleCrop>
  <LinksUpToDate>false</LinksUpToDate>
  <CharactersWithSpaces>2254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2024-04-10T08:04:00Z</dcterms:created>
  <dc:creator>Administrator</dc:creator>
  <cp:lastModifiedBy>胡彬冰</cp:lastModifiedBy>
  <dcterms:modified xsi:type="dcterms:W3CDTF">2024-05-26T05:43:25Z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2E33F3CBD30747A3A761B5BEEFCFA1AE_13</vt:lpwstr>
  </property>
</Properties>
</file>