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2074D">
      <w:pPr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附件1</w:t>
      </w:r>
    </w:p>
    <w:p w14:paraId="6063D729">
      <w:pPr>
        <w:rPr>
          <w:rFonts w:ascii="黑体" w:eastAsia="黑体"/>
          <w:sz w:val="32"/>
          <w:szCs w:val="32"/>
        </w:rPr>
      </w:pPr>
    </w:p>
    <w:p w14:paraId="448E6F07">
      <w:pPr>
        <w:rPr>
          <w:rFonts w:ascii="黑体" w:eastAsia="黑体"/>
          <w:sz w:val="32"/>
          <w:szCs w:val="32"/>
        </w:rPr>
      </w:pPr>
    </w:p>
    <w:p w14:paraId="69A5EDF9">
      <w:pPr>
        <w:jc w:val="center"/>
        <w:rPr>
          <w:rFonts w:ascii="方正小标宋_GBK" w:eastAsia="方正小标宋_GBK"/>
          <w:sz w:val="48"/>
          <w:szCs w:val="48"/>
        </w:rPr>
      </w:pPr>
      <w:r>
        <w:rPr>
          <w:rFonts w:hint="eastAsia" w:ascii="方正小标宋_GBK" w:eastAsia="方正小标宋_GBK"/>
          <w:sz w:val="48"/>
          <w:szCs w:val="48"/>
          <w:lang w:eastAsia="zh-CN"/>
        </w:rPr>
        <w:t>2023</w:t>
      </w:r>
      <w:r>
        <w:rPr>
          <w:rFonts w:hint="eastAsia" w:ascii="方正小标宋_GBK" w:eastAsia="方正小标宋_GBK"/>
          <w:sz w:val="48"/>
          <w:szCs w:val="48"/>
        </w:rPr>
        <w:t>年度部门整体支出绩效自评报告</w:t>
      </w:r>
    </w:p>
    <w:p w14:paraId="62E58D01">
      <w:pPr>
        <w:jc w:val="center"/>
        <w:rPr>
          <w:rFonts w:ascii="黑体" w:eastAsia="黑体"/>
          <w:sz w:val="32"/>
          <w:szCs w:val="32"/>
        </w:rPr>
      </w:pPr>
    </w:p>
    <w:p w14:paraId="53CF1682">
      <w:pPr>
        <w:jc w:val="center"/>
        <w:rPr>
          <w:rFonts w:ascii="黑体" w:eastAsia="黑体"/>
          <w:sz w:val="32"/>
          <w:szCs w:val="32"/>
        </w:rPr>
      </w:pPr>
    </w:p>
    <w:p w14:paraId="22A52D6B">
      <w:pPr>
        <w:jc w:val="center"/>
        <w:rPr>
          <w:rFonts w:ascii="黑体" w:eastAsia="黑体"/>
          <w:sz w:val="32"/>
          <w:szCs w:val="32"/>
        </w:rPr>
      </w:pPr>
    </w:p>
    <w:p w14:paraId="7AD16AAA">
      <w:pPr>
        <w:jc w:val="center"/>
        <w:rPr>
          <w:rFonts w:ascii="黑体" w:eastAsia="黑体"/>
          <w:sz w:val="32"/>
          <w:szCs w:val="32"/>
        </w:rPr>
      </w:pPr>
    </w:p>
    <w:p w14:paraId="0B70786A">
      <w:pPr>
        <w:jc w:val="center"/>
        <w:rPr>
          <w:rFonts w:ascii="黑体" w:eastAsia="黑体"/>
          <w:sz w:val="32"/>
          <w:szCs w:val="32"/>
        </w:rPr>
      </w:pPr>
    </w:p>
    <w:p w14:paraId="1A721F94">
      <w:pPr>
        <w:jc w:val="center"/>
        <w:rPr>
          <w:rFonts w:ascii="黑体" w:eastAsia="黑体"/>
          <w:sz w:val="32"/>
          <w:szCs w:val="32"/>
        </w:rPr>
      </w:pPr>
    </w:p>
    <w:p w14:paraId="24D935DD">
      <w:pPr>
        <w:jc w:val="center"/>
        <w:rPr>
          <w:rFonts w:ascii="黑体" w:eastAsia="黑体"/>
          <w:sz w:val="32"/>
          <w:szCs w:val="32"/>
        </w:rPr>
      </w:pPr>
    </w:p>
    <w:p w14:paraId="4C74AA27">
      <w:pPr>
        <w:rPr>
          <w:rFonts w:ascii="黑体" w:eastAsia="黑体"/>
          <w:sz w:val="32"/>
          <w:szCs w:val="32"/>
        </w:rPr>
      </w:pPr>
    </w:p>
    <w:p w14:paraId="7C9B732A">
      <w:pPr>
        <w:jc w:val="center"/>
        <w:rPr>
          <w:rFonts w:ascii="黑体" w:eastAsia="黑体"/>
          <w:sz w:val="32"/>
          <w:szCs w:val="32"/>
        </w:rPr>
      </w:pPr>
    </w:p>
    <w:p w14:paraId="56A14586">
      <w:pPr>
        <w:pStyle w:val="2"/>
        <w:rPr>
          <w:rFonts w:ascii="黑体" w:eastAsia="黑体"/>
          <w:sz w:val="32"/>
          <w:szCs w:val="32"/>
        </w:rPr>
      </w:pPr>
    </w:p>
    <w:p w14:paraId="31F1E47F">
      <w:pPr>
        <w:pStyle w:val="2"/>
        <w:rPr>
          <w:rFonts w:ascii="黑体" w:eastAsia="黑体"/>
          <w:sz w:val="32"/>
          <w:szCs w:val="32"/>
        </w:rPr>
      </w:pPr>
    </w:p>
    <w:p w14:paraId="3728B96A">
      <w:pPr>
        <w:pStyle w:val="2"/>
        <w:rPr>
          <w:rFonts w:ascii="黑体" w:eastAsia="黑体"/>
          <w:sz w:val="32"/>
          <w:szCs w:val="32"/>
        </w:rPr>
      </w:pPr>
    </w:p>
    <w:p w14:paraId="7DA2CFE7">
      <w:pPr>
        <w:pStyle w:val="2"/>
        <w:rPr>
          <w:rFonts w:ascii="黑体" w:eastAsia="黑体"/>
          <w:sz w:val="32"/>
          <w:szCs w:val="32"/>
        </w:rPr>
      </w:pPr>
    </w:p>
    <w:p w14:paraId="61538F8C">
      <w:pPr>
        <w:jc w:val="center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44"/>
          <w:szCs w:val="44"/>
          <w:lang w:eastAsia="zh-CN"/>
        </w:rPr>
        <w:t>灵官镇人民政府</w:t>
      </w:r>
    </w:p>
    <w:p w14:paraId="43CB85B2">
      <w:pPr>
        <w:jc w:val="center"/>
        <w:rPr>
          <w:rFonts w:ascii="黑体" w:eastAsia="黑体"/>
          <w:sz w:val="32"/>
          <w:szCs w:val="32"/>
        </w:rPr>
      </w:pPr>
    </w:p>
    <w:p w14:paraId="0E3B1715">
      <w:pPr>
        <w:rPr>
          <w:rFonts w:ascii="黑体" w:eastAsia="黑体"/>
          <w:sz w:val="32"/>
          <w:szCs w:val="32"/>
        </w:rPr>
      </w:pPr>
    </w:p>
    <w:p w14:paraId="63FFD80A">
      <w:pPr>
        <w:jc w:val="center"/>
        <w:rPr>
          <w:rFonts w:ascii="黑体" w:eastAsia="黑体"/>
          <w:sz w:val="32"/>
          <w:szCs w:val="32"/>
        </w:rPr>
      </w:pPr>
    </w:p>
    <w:p w14:paraId="268913BE">
      <w:pPr>
        <w:pStyle w:val="7"/>
        <w:widowControl/>
        <w:spacing w:line="600" w:lineRule="exact"/>
        <w:ind w:firstLine="640"/>
        <w:rPr>
          <w:rFonts w:hint="eastAsia"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4374D63A">
      <w:pPr>
        <w:pStyle w:val="7"/>
        <w:widowControl/>
        <w:numPr>
          <w:ilvl w:val="0"/>
          <w:numId w:val="1"/>
        </w:numPr>
        <w:spacing w:line="600" w:lineRule="exact"/>
        <w:ind w:firstLine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部门、单位基本情况</w:t>
      </w:r>
    </w:p>
    <w:p w14:paraId="7CCEC366">
      <w:pPr>
        <w:pStyle w:val="4"/>
        <w:spacing w:before="0" w:beforeAutospacing="0" w:after="0" w:afterAutospacing="0" w:line="600" w:lineRule="atLeast"/>
        <w:jc w:val="both"/>
        <w:rPr>
          <w:rFonts w:hint="eastAsia"/>
        </w:rPr>
      </w:pPr>
      <w:r>
        <w:rPr>
          <w:rFonts w:hint="eastAsia"/>
          <w:color w:val="000000"/>
        </w:rPr>
        <w:t>（一）部门职能职责</w:t>
      </w:r>
    </w:p>
    <w:p w14:paraId="5C147302">
      <w:pPr>
        <w:pStyle w:val="4"/>
        <w:spacing w:before="0" w:beforeAutospacing="0" w:after="0" w:afterAutospacing="0" w:line="600" w:lineRule="atLeast"/>
        <w:jc w:val="both"/>
        <w:rPr>
          <w:rFonts w:hint="eastAsia"/>
        </w:rPr>
      </w:pPr>
      <w:r>
        <w:rPr>
          <w:rFonts w:hint="eastAsia"/>
          <w:color w:val="000000"/>
        </w:rPr>
        <w:t>1、制定和组织实施经济、科技和社会发展计划，制定资源开发技术改造和产业结构调整方案，组织指导好各业生产，搞好商品流通，协调好本乡与外地区的经济交流与合作，抓好招商引资，人才引进项目开发，不断培育市场体系，组织经济运行，促进经济发展。</w:t>
      </w:r>
    </w:p>
    <w:p w14:paraId="30A24E98">
      <w:pPr>
        <w:pStyle w:val="4"/>
        <w:spacing w:before="0" w:beforeAutospacing="0" w:after="0" w:afterAutospacing="0" w:line="600" w:lineRule="atLeast"/>
        <w:jc w:val="both"/>
        <w:rPr>
          <w:rFonts w:hint="eastAsia"/>
        </w:rPr>
      </w:pPr>
      <w:r>
        <w:rPr>
          <w:rFonts w:hint="eastAsia"/>
          <w:color w:val="000000"/>
        </w:rPr>
        <w:t>2、制定并组织实施村乡建设规划，部署重点工程建设，地方道路建设及公共设施，水利设施的管理，负责土地、林木、水等自然资源和生态环境的保护，做好护林防火工作。</w:t>
      </w:r>
    </w:p>
    <w:p w14:paraId="7E34E0F9">
      <w:pPr>
        <w:pStyle w:val="4"/>
        <w:spacing w:before="0" w:beforeAutospacing="0" w:after="0" w:afterAutospacing="0" w:line="600" w:lineRule="atLeast"/>
        <w:jc w:val="both"/>
        <w:rPr>
          <w:rFonts w:hint="eastAsia"/>
        </w:rPr>
      </w:pPr>
      <w:r>
        <w:rPr>
          <w:rFonts w:hint="eastAsia"/>
          <w:color w:val="000000"/>
        </w:rPr>
        <w:t>3、负责本行政区域内的民政、计划生育、文化教育、卫生、体育等社会公益事业的综合性工作，维护一切经济单位和个人的正当经济权益，取缔非法经济活动，调解和处理民事纠纷，打击刑事犯罪维护社会稳定。</w:t>
      </w:r>
    </w:p>
    <w:p w14:paraId="16D30640">
      <w:pPr>
        <w:pStyle w:val="4"/>
        <w:spacing w:before="0" w:beforeAutospacing="0" w:after="0" w:afterAutospacing="0" w:line="600" w:lineRule="atLeast"/>
        <w:jc w:val="both"/>
        <w:rPr>
          <w:rFonts w:hint="eastAsia"/>
        </w:rPr>
      </w:pPr>
      <w:r>
        <w:rPr>
          <w:rFonts w:hint="eastAsia"/>
          <w:color w:val="000000"/>
        </w:rPr>
        <w:t>4、按计划组织本级财政收入和地方税的征收，完成国家财政计划，不断培植税源，管好财政资金，增强财政实力。</w:t>
      </w:r>
    </w:p>
    <w:p w14:paraId="2FD00871">
      <w:pPr>
        <w:pStyle w:val="4"/>
        <w:spacing w:before="0" w:beforeAutospacing="0" w:after="0" w:afterAutospacing="0" w:line="600" w:lineRule="atLeast"/>
        <w:jc w:val="both"/>
        <w:rPr>
          <w:rFonts w:hint="eastAsia"/>
        </w:rPr>
      </w:pPr>
      <w:r>
        <w:rPr>
          <w:rFonts w:hint="eastAsia"/>
          <w:color w:val="000000"/>
        </w:rPr>
        <w:t>5、抓好精神文明建设，丰富群众文化生活，提倡移风易俗，反对封建迷信，破除陈规陋习，树立社会主义新风尚。</w:t>
      </w:r>
    </w:p>
    <w:p w14:paraId="7EA5820C">
      <w:pPr>
        <w:pStyle w:val="4"/>
        <w:spacing w:before="0" w:beforeAutospacing="0" w:after="0" w:afterAutospacing="0" w:line="600" w:lineRule="atLeast"/>
        <w:jc w:val="both"/>
        <w:rPr>
          <w:rFonts w:hint="eastAsia"/>
        </w:rPr>
      </w:pPr>
      <w:r>
        <w:rPr>
          <w:rFonts w:hint="eastAsia"/>
          <w:color w:val="000000"/>
        </w:rPr>
        <w:t>6、完成上级政府交办的其它事项。</w:t>
      </w:r>
    </w:p>
    <w:p w14:paraId="1E15CB99">
      <w:pPr>
        <w:pStyle w:val="4"/>
        <w:spacing w:before="0" w:beforeAutospacing="0" w:after="0" w:afterAutospacing="0" w:line="600" w:lineRule="atLeast"/>
        <w:jc w:val="both"/>
        <w:rPr>
          <w:rFonts w:hint="eastAsia"/>
        </w:rPr>
      </w:pPr>
      <w:r>
        <w:rPr>
          <w:rFonts w:hint="eastAsia"/>
          <w:color w:val="000000"/>
        </w:rPr>
        <w:t>（二）机构设置情况</w:t>
      </w:r>
    </w:p>
    <w:p w14:paraId="1B40181E">
      <w:pPr>
        <w:pStyle w:val="4"/>
        <w:spacing w:before="0" w:beforeAutospacing="0" w:after="0" w:afterAutospacing="0" w:line="600" w:lineRule="atLeast"/>
        <w:jc w:val="both"/>
        <w:rPr>
          <w:rFonts w:hint="eastAsia"/>
        </w:rPr>
      </w:pPr>
      <w:r>
        <w:rPr>
          <w:rFonts w:hint="eastAsia"/>
          <w:color w:val="000000"/>
        </w:rPr>
        <w:t>根据主要职责灵官镇机关设6个内设机构：党政办公室（法制办公室）、党建办公室、经济发展办公室（项目办）、社会事务管理办公室、自然资源和生态环境办公室、社会治安和应急管理办公室（信访维稳办公室）。根据工作职责，设下列事业单位：社会事务综合服务中心、农业综合服务中心、政务服务中心、综合行政执法大队。</w:t>
      </w:r>
    </w:p>
    <w:p w14:paraId="2AFB0DB3">
      <w:pPr>
        <w:pStyle w:val="4"/>
        <w:spacing w:before="0" w:beforeAutospacing="0" w:after="0" w:afterAutospacing="0" w:line="600" w:lineRule="atLeast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（三）人员编制情况</w:t>
      </w:r>
    </w:p>
    <w:p w14:paraId="046EDC5A">
      <w:pPr>
        <w:pStyle w:val="4"/>
        <w:spacing w:before="0" w:beforeAutospacing="0" w:after="0" w:afterAutospacing="0" w:line="600" w:lineRule="atLeast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灵官镇人民政府是正科级别，全额拨款单位。至</w:t>
      </w:r>
      <w:r>
        <w:rPr>
          <w:rFonts w:hint="eastAsia"/>
          <w:color w:val="000000"/>
          <w:lang w:eastAsia="zh-CN"/>
        </w:rPr>
        <w:t>2023</w:t>
      </w:r>
      <w:r>
        <w:rPr>
          <w:rFonts w:hint="eastAsia"/>
          <w:color w:val="000000"/>
        </w:rPr>
        <w:t>年12月，共有编制</w:t>
      </w:r>
      <w:r>
        <w:rPr>
          <w:rFonts w:hint="eastAsia"/>
          <w:color w:val="000000"/>
          <w:lang w:val="en-US" w:eastAsia="zh-CN"/>
        </w:rPr>
        <w:t>81</w:t>
      </w:r>
      <w:r>
        <w:rPr>
          <w:rFonts w:hint="eastAsia"/>
          <w:color w:val="000000"/>
        </w:rPr>
        <w:t>名，实有人数</w:t>
      </w:r>
      <w:r>
        <w:rPr>
          <w:rFonts w:hint="eastAsia"/>
          <w:color w:val="000000"/>
          <w:lang w:val="en-US" w:eastAsia="zh-CN"/>
        </w:rPr>
        <w:t>81</w:t>
      </w:r>
      <w:r>
        <w:rPr>
          <w:rFonts w:hint="eastAsia"/>
          <w:color w:val="000000"/>
        </w:rPr>
        <w:t>人，其中行政编</w:t>
      </w:r>
      <w:r>
        <w:rPr>
          <w:rFonts w:hint="eastAsia"/>
          <w:color w:val="000000"/>
          <w:lang w:val="en-US" w:eastAsia="zh-CN"/>
        </w:rPr>
        <w:t>31</w:t>
      </w:r>
      <w:r>
        <w:rPr>
          <w:rFonts w:hint="eastAsia"/>
          <w:color w:val="000000"/>
        </w:rPr>
        <w:t>人，事业编5</w:t>
      </w:r>
      <w:r>
        <w:rPr>
          <w:rFonts w:hint="eastAsia"/>
          <w:color w:val="000000"/>
          <w:lang w:val="en-US" w:eastAsia="zh-CN"/>
        </w:rPr>
        <w:t>0</w:t>
      </w:r>
      <w:r>
        <w:rPr>
          <w:rFonts w:hint="eastAsia"/>
          <w:color w:val="000000"/>
        </w:rPr>
        <w:t>人。</w:t>
      </w:r>
    </w:p>
    <w:p w14:paraId="131ECBD7">
      <w:pPr>
        <w:pStyle w:val="4"/>
        <w:spacing w:before="0" w:beforeAutospacing="0" w:after="0" w:afterAutospacing="0" w:line="600" w:lineRule="atLeast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（四）</w:t>
      </w:r>
      <w:r>
        <w:rPr>
          <w:rFonts w:hint="eastAsia"/>
          <w:color w:val="000000"/>
          <w:lang w:eastAsia="zh-CN"/>
        </w:rPr>
        <w:t>2023</w:t>
      </w:r>
      <w:r>
        <w:rPr>
          <w:rFonts w:hint="eastAsia"/>
          <w:color w:val="000000"/>
        </w:rPr>
        <w:t>年单位工作任务或年度计划</w:t>
      </w:r>
    </w:p>
    <w:p w14:paraId="7CDFA8E8">
      <w:pPr>
        <w:pStyle w:val="4"/>
        <w:spacing w:before="0" w:beforeAutospacing="0" w:after="0" w:afterAutospacing="0" w:line="600" w:lineRule="atLeast"/>
        <w:jc w:val="both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灵官镇</w:t>
      </w:r>
      <w:r>
        <w:rPr>
          <w:rFonts w:hint="eastAsia"/>
          <w:color w:val="000000"/>
          <w:highlight w:val="none"/>
          <w:lang w:eastAsia="zh-CN"/>
        </w:rPr>
        <w:t>2023</w:t>
      </w:r>
      <w:r>
        <w:rPr>
          <w:rFonts w:hint="eastAsia"/>
          <w:color w:val="000000"/>
          <w:highlight w:val="none"/>
        </w:rPr>
        <w:t>年重点抓好以下五个方面工作：</w:t>
      </w:r>
    </w:p>
    <w:p w14:paraId="2EE636AA">
      <w:pPr>
        <w:pStyle w:val="4"/>
        <w:spacing w:before="0" w:beforeAutospacing="0" w:after="0" w:afterAutospacing="0" w:line="600" w:lineRule="atLeast"/>
        <w:jc w:val="both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1、聚焦“三农”优先发展，全面推进乡村振兴</w:t>
      </w:r>
    </w:p>
    <w:p w14:paraId="7E614AF6">
      <w:pPr>
        <w:pStyle w:val="4"/>
        <w:spacing w:before="0" w:beforeAutospacing="0" w:after="0" w:afterAutospacing="0" w:line="600" w:lineRule="atLeast"/>
        <w:ind w:firstLine="480" w:firstLineChars="200"/>
        <w:jc w:val="both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坚持以实现农业农村现代化为目标，着力推进乡村振兴走深走实，加快补齐短板，努力打造乡村振兴灵官亮点。</w:t>
      </w:r>
    </w:p>
    <w:p w14:paraId="5B00FA90">
      <w:pPr>
        <w:pStyle w:val="4"/>
        <w:spacing w:before="0" w:beforeAutospacing="0" w:after="0" w:afterAutospacing="0" w:line="600" w:lineRule="atLeast"/>
        <w:jc w:val="both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2、聚焦保障改善民生，提高群众幸福指数</w:t>
      </w:r>
    </w:p>
    <w:p w14:paraId="454AD2AA">
      <w:pPr>
        <w:pStyle w:val="4"/>
        <w:spacing w:before="0" w:beforeAutospacing="0" w:after="0" w:afterAutospacing="0" w:line="600" w:lineRule="atLeast"/>
        <w:ind w:firstLine="480" w:firstLineChars="200"/>
        <w:jc w:val="both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坚持以人民为中心，量力而行、尽力而为，不断增强人民群众获得感、幸福感、安全感。</w:t>
      </w:r>
    </w:p>
    <w:p w14:paraId="03EF24F1">
      <w:pPr>
        <w:pStyle w:val="4"/>
        <w:spacing w:before="0" w:beforeAutospacing="0" w:after="0" w:afterAutospacing="0" w:line="600" w:lineRule="atLeast"/>
        <w:jc w:val="both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3、聚焦提升城镇品质，统筹城乡协调发展</w:t>
      </w:r>
    </w:p>
    <w:p w14:paraId="7E6924EE">
      <w:pPr>
        <w:pStyle w:val="4"/>
        <w:spacing w:before="0" w:beforeAutospacing="0" w:after="0" w:afterAutospacing="0" w:line="600" w:lineRule="atLeast"/>
        <w:ind w:firstLine="480" w:firstLineChars="200"/>
        <w:jc w:val="both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坚持谋篇布局，着眼规划引领，配合上级部门完成国土空间规划编制报批，力争在</w:t>
      </w:r>
      <w:r>
        <w:rPr>
          <w:rFonts w:hint="eastAsia"/>
          <w:color w:val="000000"/>
          <w:highlight w:val="none"/>
          <w:lang w:eastAsia="zh-CN"/>
        </w:rPr>
        <w:t>2023</w:t>
      </w:r>
      <w:r>
        <w:rPr>
          <w:rFonts w:hint="eastAsia"/>
          <w:color w:val="000000"/>
          <w:highlight w:val="none"/>
        </w:rPr>
        <w:t>年完成剩余村的“多规合一”村庄规划。</w:t>
      </w:r>
    </w:p>
    <w:p w14:paraId="5D4B6BA2">
      <w:pPr>
        <w:pStyle w:val="4"/>
        <w:spacing w:before="0" w:beforeAutospacing="0" w:after="0" w:afterAutospacing="0" w:line="600" w:lineRule="atLeast"/>
        <w:jc w:val="both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4、聚焦防风险补短板，守住可持续发展底线</w:t>
      </w:r>
    </w:p>
    <w:p w14:paraId="2BCDF877">
      <w:pPr>
        <w:pStyle w:val="4"/>
        <w:spacing w:before="0" w:beforeAutospacing="0" w:after="0" w:afterAutospacing="0" w:line="600" w:lineRule="atLeast"/>
        <w:ind w:firstLine="480" w:firstLineChars="200"/>
        <w:jc w:val="both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坚持底线思维，增强忧患意识，着力提高驾驭风险、迎接挑战的能力，妥善处理各种复杂矛盾，有效防范化解各类风险。</w:t>
      </w:r>
    </w:p>
    <w:p w14:paraId="2B1C45D0">
      <w:pPr>
        <w:pStyle w:val="4"/>
        <w:spacing w:before="0" w:beforeAutospacing="0" w:after="0" w:afterAutospacing="0" w:line="600" w:lineRule="atLeast"/>
        <w:jc w:val="both"/>
        <w:rPr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5、聚焦政府自身建设，提升政府工作效能</w:t>
      </w:r>
    </w:p>
    <w:p w14:paraId="0215121F">
      <w:pPr>
        <w:pStyle w:val="4"/>
        <w:spacing w:before="0" w:beforeAutospacing="0" w:after="0" w:afterAutospacing="0" w:line="600" w:lineRule="atLeast"/>
        <w:ind w:firstLine="480" w:firstLineChars="200"/>
        <w:jc w:val="both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深学笃用习近平新时代中国特色社会主义思想，坚持依法行政、廉洁从政，不断推进政府治理体系和治理能力现代化。</w:t>
      </w:r>
    </w:p>
    <w:p w14:paraId="18538771">
      <w:pPr>
        <w:pStyle w:val="7"/>
        <w:widowControl/>
        <w:numPr>
          <w:ilvl w:val="0"/>
          <w:numId w:val="0"/>
        </w:numPr>
        <w:spacing w:line="600" w:lineRule="exact"/>
        <w:rPr>
          <w:rFonts w:hint="eastAsia" w:ascii="黑体" w:hAnsi="黑体" w:eastAsia="黑体"/>
          <w:sz w:val="32"/>
          <w:szCs w:val="32"/>
        </w:rPr>
      </w:pPr>
    </w:p>
    <w:p w14:paraId="4362EBCB">
      <w:pPr>
        <w:pStyle w:val="7"/>
        <w:widowControl/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基本支出情况</w:t>
      </w:r>
    </w:p>
    <w:p w14:paraId="05EA8ABD">
      <w:pPr>
        <w:pStyle w:val="4"/>
        <w:spacing w:before="0" w:beforeAutospacing="0" w:after="0" w:afterAutospacing="0" w:line="600" w:lineRule="exact"/>
        <w:ind w:firstLine="48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基本支出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1148.59</w:t>
      </w:r>
      <w:r>
        <w:rPr>
          <w:color w:val="000000"/>
        </w:rPr>
        <w:t>万元，占财政拨款支出总</w:t>
      </w:r>
      <w:r>
        <w:rPr>
          <w:rFonts w:hint="eastAsia"/>
          <w:color w:val="000000"/>
        </w:rPr>
        <w:t>额</w:t>
      </w:r>
      <w:r>
        <w:rPr>
          <w:color w:val="000000"/>
        </w:rPr>
        <w:t>的</w:t>
      </w:r>
      <w:r>
        <w:rPr>
          <w:rFonts w:hint="eastAsia"/>
          <w:color w:val="000000"/>
          <w:lang w:val="en-US" w:eastAsia="zh-CN"/>
        </w:rPr>
        <w:t>43.19</w:t>
      </w:r>
      <w:r>
        <w:rPr>
          <w:rFonts w:hint="eastAsia"/>
          <w:color w:val="000000"/>
        </w:rPr>
        <w:t>%</w:t>
      </w:r>
      <w:r>
        <w:rPr>
          <w:color w:val="000000"/>
        </w:rPr>
        <w:t>，其中：（1）工资福利支出</w:t>
      </w:r>
      <w:r>
        <w:rPr>
          <w:rFonts w:hint="eastAsia"/>
          <w:color w:val="000000"/>
          <w:lang w:val="en-US" w:eastAsia="zh-CN"/>
        </w:rPr>
        <w:t>1002.31</w:t>
      </w:r>
      <w:r>
        <w:rPr>
          <w:color w:val="000000"/>
        </w:rPr>
        <w:t>万元，包括基本工资、津贴补贴、奖金、社会保障缴费、住房公积金、伙食补助费、绩效工资、其他工资福利支出；（2）商品和服务支出</w:t>
      </w:r>
      <w:r>
        <w:rPr>
          <w:rFonts w:hint="eastAsia"/>
          <w:color w:val="000000"/>
          <w:lang w:val="en-US" w:eastAsia="zh-CN"/>
        </w:rPr>
        <w:t>141.8</w:t>
      </w:r>
      <w:r>
        <w:rPr>
          <w:color w:val="000000"/>
        </w:rPr>
        <w:t>万元，包括办公费、印刷费、咨询费、手续费、水费、电费、邮电费、取暖费、物业管理费、差旅费、因公出国（境）费、维修（护）费、租赁费、会议费、培训费、公务接待费、专用材料费、劳务费、委托业务费、工会经费、福利费、公务用车运行维护费、其他交通费、其他商品和服务支出；（3）对个人和家庭补助支出</w:t>
      </w:r>
      <w:r>
        <w:rPr>
          <w:rFonts w:hint="eastAsia"/>
          <w:color w:val="000000"/>
          <w:lang w:val="en-US" w:eastAsia="zh-CN"/>
        </w:rPr>
        <w:t>4.48</w:t>
      </w:r>
      <w:r>
        <w:rPr>
          <w:color w:val="000000"/>
        </w:rPr>
        <w:t>万元，包括离休费、退休费、抚恤金、生活补助、医疗费、助学金、奖励金、提租补贴、其他对个人和家庭的补助支出</w:t>
      </w:r>
      <w:r>
        <w:rPr>
          <w:rFonts w:hint="eastAsia"/>
          <w:color w:val="000000"/>
        </w:rPr>
        <w:t>。</w:t>
      </w:r>
    </w:p>
    <w:p w14:paraId="77FEB65D">
      <w:pPr>
        <w:pStyle w:val="7"/>
        <w:widowControl/>
        <w:numPr>
          <w:ilvl w:val="0"/>
          <w:numId w:val="0"/>
        </w:numPr>
        <w:spacing w:line="600" w:lineRule="exact"/>
        <w:ind w:leftChars="200"/>
        <w:rPr>
          <w:rFonts w:hint="eastAsia" w:ascii="黑体" w:hAnsi="黑体" w:eastAsia="黑体"/>
          <w:sz w:val="32"/>
          <w:szCs w:val="32"/>
        </w:rPr>
      </w:pPr>
    </w:p>
    <w:p w14:paraId="2DF49925">
      <w:pPr>
        <w:pStyle w:val="7"/>
        <w:widowControl/>
        <w:spacing w:line="60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三、项目支出情况</w:t>
      </w:r>
    </w:p>
    <w:p w14:paraId="0EC9662A">
      <w:pPr>
        <w:pStyle w:val="4"/>
        <w:spacing w:before="0" w:beforeAutospacing="0" w:after="0" w:afterAutospacing="0" w:line="600" w:lineRule="exact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项目支出</w:t>
      </w:r>
      <w:r>
        <w:rPr>
          <w:rFonts w:hint="eastAsia"/>
          <w:color w:val="000000"/>
          <w:lang w:val="en-US" w:eastAsia="zh-CN"/>
        </w:rPr>
        <w:t>1510.35</w:t>
      </w:r>
      <w:r>
        <w:rPr>
          <w:rFonts w:hint="eastAsia"/>
          <w:color w:val="000000"/>
        </w:rPr>
        <w:t>万元，占财政拨款支出总额的</w:t>
      </w:r>
      <w:r>
        <w:rPr>
          <w:rFonts w:hint="eastAsia"/>
          <w:color w:val="000000"/>
          <w:lang w:val="en-US" w:eastAsia="zh-CN"/>
        </w:rPr>
        <w:t>56.81</w:t>
      </w:r>
      <w:r>
        <w:rPr>
          <w:rFonts w:hint="eastAsia"/>
          <w:color w:val="000000"/>
        </w:rPr>
        <w:t>%。分别为：一般公共服务支出</w:t>
      </w:r>
      <w:r>
        <w:rPr>
          <w:rFonts w:hint="eastAsia"/>
          <w:color w:val="000000"/>
          <w:lang w:val="en-US" w:eastAsia="zh-CN"/>
        </w:rPr>
        <w:t>119.42</w:t>
      </w:r>
      <w:r>
        <w:rPr>
          <w:rFonts w:hint="eastAsia"/>
          <w:color w:val="000000"/>
        </w:rPr>
        <w:t>万元</w:t>
      </w:r>
      <w:r>
        <w:rPr>
          <w:rFonts w:hint="eastAsia"/>
          <w:color w:val="000000"/>
          <w:lang w:eastAsia="zh-CN"/>
        </w:rPr>
        <w:t>、</w:t>
      </w:r>
      <w:r>
        <w:rPr>
          <w:rFonts w:hint="eastAsia"/>
          <w:color w:val="000000"/>
          <w:lang w:val="en-US" w:eastAsia="zh-CN"/>
        </w:rPr>
        <w:t>文化旅游体育与传媒支出3万元、</w:t>
      </w:r>
      <w:r>
        <w:rPr>
          <w:rFonts w:hint="eastAsia"/>
          <w:color w:val="000000"/>
        </w:rPr>
        <w:t>城乡社区支出</w:t>
      </w:r>
      <w:r>
        <w:rPr>
          <w:rFonts w:hint="eastAsia"/>
          <w:color w:val="000000"/>
          <w:lang w:val="en-US" w:eastAsia="zh-CN"/>
        </w:rPr>
        <w:t>421.6</w:t>
      </w:r>
      <w:r>
        <w:rPr>
          <w:rFonts w:hint="eastAsia"/>
          <w:color w:val="000000"/>
        </w:rPr>
        <w:t>万元、农林水支出</w:t>
      </w:r>
      <w:r>
        <w:rPr>
          <w:rFonts w:hint="eastAsia"/>
          <w:color w:val="000000"/>
          <w:lang w:val="en-US" w:eastAsia="zh-CN"/>
        </w:rPr>
        <w:t>539.36</w:t>
      </w:r>
      <w:r>
        <w:rPr>
          <w:rFonts w:hint="eastAsia"/>
          <w:color w:val="000000"/>
        </w:rPr>
        <w:t>万元、交通运输支出</w:t>
      </w:r>
      <w:r>
        <w:rPr>
          <w:rFonts w:hint="eastAsia"/>
          <w:color w:val="000000"/>
          <w:lang w:val="en-US" w:eastAsia="zh-CN"/>
        </w:rPr>
        <w:t>315</w:t>
      </w:r>
      <w:r>
        <w:rPr>
          <w:rFonts w:hint="eastAsia"/>
          <w:color w:val="000000"/>
        </w:rPr>
        <w:t>万元、</w:t>
      </w:r>
      <w:r>
        <w:rPr>
          <w:rFonts w:hint="eastAsia"/>
          <w:color w:val="000000"/>
          <w:lang w:eastAsia="zh-CN"/>
        </w:rPr>
        <w:t>住房保障</w:t>
      </w:r>
      <w:r>
        <w:rPr>
          <w:rFonts w:hint="eastAsia"/>
          <w:color w:val="000000"/>
        </w:rPr>
        <w:t>支出</w:t>
      </w:r>
      <w:r>
        <w:rPr>
          <w:rFonts w:hint="eastAsia"/>
          <w:color w:val="000000"/>
          <w:lang w:val="en-US" w:eastAsia="zh-CN"/>
        </w:rPr>
        <w:t>81.18</w:t>
      </w:r>
      <w:r>
        <w:rPr>
          <w:rFonts w:hint="eastAsia"/>
          <w:color w:val="000000"/>
        </w:rPr>
        <w:t>万元、其他支出</w:t>
      </w:r>
      <w:r>
        <w:rPr>
          <w:rFonts w:hint="eastAsia"/>
          <w:color w:val="000000"/>
          <w:lang w:val="en-US" w:eastAsia="zh-CN"/>
        </w:rPr>
        <w:t>30.79</w:t>
      </w:r>
      <w:r>
        <w:rPr>
          <w:rFonts w:hint="eastAsia"/>
          <w:color w:val="000000"/>
        </w:rPr>
        <w:t>万元。</w:t>
      </w:r>
    </w:p>
    <w:p w14:paraId="2A8DFDD7">
      <w:pPr>
        <w:widowControl/>
        <w:spacing w:line="600" w:lineRule="exact"/>
        <w:ind w:firstLine="645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四、部门</w:t>
      </w:r>
      <w:r>
        <w:rPr>
          <w:rFonts w:hint="eastAsia" w:ascii="黑体" w:hAnsi="黑体" w:eastAsia="黑体"/>
          <w:sz w:val="32"/>
          <w:szCs w:val="32"/>
        </w:rPr>
        <w:t>整体支出绩效情况</w:t>
      </w:r>
    </w:p>
    <w:p w14:paraId="12C6D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80" w:firstLineChars="200"/>
        <w:textAlignment w:val="auto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灵官镇政府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2023</w:t>
      </w:r>
      <w:r>
        <w:rPr>
          <w:rFonts w:hint="eastAsia" w:ascii="宋体" w:hAnsi="宋体" w:cs="宋体"/>
          <w:color w:val="000000"/>
          <w:kern w:val="0"/>
          <w:sz w:val="24"/>
        </w:rPr>
        <w:t>年度部门整体支出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2658.94</w:t>
      </w:r>
      <w:r>
        <w:rPr>
          <w:rFonts w:hint="eastAsia" w:ascii="宋体" w:hAnsi="宋体" w:cs="宋体"/>
          <w:color w:val="000000"/>
          <w:kern w:val="0"/>
          <w:sz w:val="24"/>
        </w:rPr>
        <w:t>万元，其中单位基本支出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1148.59</w:t>
      </w:r>
      <w:r>
        <w:rPr>
          <w:rFonts w:hint="eastAsia" w:ascii="宋体" w:hAnsi="宋体" w:cs="宋体"/>
          <w:color w:val="000000"/>
          <w:kern w:val="0"/>
          <w:sz w:val="24"/>
        </w:rPr>
        <w:t>万元、项目支出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1510.35</w:t>
      </w:r>
      <w:r>
        <w:rPr>
          <w:rFonts w:hint="eastAsia" w:ascii="宋体" w:hAnsi="宋体" w:cs="宋体"/>
          <w:color w:val="000000"/>
          <w:kern w:val="0"/>
          <w:sz w:val="24"/>
        </w:rPr>
        <w:t>万元；整体支出绩效目标完成率100%，其中单位基本支出完成率100%，项目支出完成率100%。</w:t>
      </w:r>
    </w:p>
    <w:p w14:paraId="6755D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textAlignment w:val="auto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其产出和效益情况概述如下：</w:t>
      </w:r>
    </w:p>
    <w:p w14:paraId="7EC75DF1">
      <w:pPr>
        <w:pStyle w:val="4"/>
        <w:spacing w:before="0" w:beforeAutospacing="0" w:after="0" w:afterAutospacing="0" w:line="600" w:lineRule="atLeast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（一）保证了工资及津补贴的正常发放，提高了职工的福利待遇，充分发挥了所有职工的工作积极性。</w:t>
      </w:r>
    </w:p>
    <w:p w14:paraId="2509767D">
      <w:pPr>
        <w:pStyle w:val="4"/>
        <w:spacing w:before="0" w:beforeAutospacing="0" w:after="0" w:afterAutospacing="0" w:line="600" w:lineRule="atLeast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（二）保证了单位公用经费的正常支出，极大地提高了机构各项职能的运转效率。</w:t>
      </w:r>
    </w:p>
    <w:p w14:paraId="795C467F">
      <w:pPr>
        <w:pStyle w:val="4"/>
        <w:spacing w:before="0" w:beforeAutospacing="0" w:after="0" w:afterAutospacing="0" w:line="600" w:lineRule="atLeast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（三）加快了道路交通、生态治理、水资源保护、美丽乡村等方面的城乡基本公共设施工程建设。</w:t>
      </w:r>
    </w:p>
    <w:p w14:paraId="517EC80E">
      <w:pPr>
        <w:pStyle w:val="4"/>
        <w:spacing w:before="0" w:beforeAutospacing="0" w:after="0" w:afterAutospacing="0" w:line="600" w:lineRule="atLeast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（四）做好疫情防控工作，着力提升公共卫生服务能力，全面加强和完善公共卫生领域软硬件建设，全面提升应急管理能力，完善应急医疗救助机制，确保应急物资保障有序有力，解除群众的后顾之忧。</w:t>
      </w:r>
    </w:p>
    <w:p w14:paraId="48C54492">
      <w:pPr>
        <w:pStyle w:val="4"/>
        <w:spacing w:before="0" w:beforeAutospacing="0" w:after="0" w:afterAutospacing="0" w:line="600" w:lineRule="atLeast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（五）改善了多数居民的生产生活条件，努力提升人民群众的幸福指数。</w:t>
      </w:r>
    </w:p>
    <w:p w14:paraId="7F61D6AB">
      <w:pPr>
        <w:pStyle w:val="4"/>
        <w:spacing w:before="0" w:beforeAutospacing="0" w:after="0" w:afterAutospacing="0" w:line="600" w:lineRule="atLeast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（六）推动了行政区域内的民政、卫生、体育、计划生育、文化教育等社会公益事业的综合性工作，提升精神文明建设质量。</w:t>
      </w:r>
    </w:p>
    <w:p w14:paraId="76D3290C">
      <w:pPr>
        <w:widowControl/>
        <w:spacing w:line="600" w:lineRule="exact"/>
        <w:ind w:firstLine="645"/>
        <w:jc w:val="left"/>
        <w:rPr>
          <w:rFonts w:eastAsia="仿宋_GB2312"/>
          <w:color w:val="000000"/>
          <w:sz w:val="32"/>
          <w:szCs w:val="32"/>
        </w:rPr>
      </w:pPr>
    </w:p>
    <w:p w14:paraId="7D8AFC31">
      <w:pPr>
        <w:widowControl/>
        <w:spacing w:line="600" w:lineRule="exact"/>
        <w:ind w:firstLine="645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</w:t>
      </w:r>
      <w:r>
        <w:rPr>
          <w:rFonts w:hint="eastAsia" w:ascii="黑体" w:hAnsi="黑体" w:eastAsia="黑体"/>
          <w:sz w:val="32"/>
          <w:szCs w:val="32"/>
        </w:rPr>
        <w:t>存在的主要问题及下一步改进措施</w:t>
      </w:r>
    </w:p>
    <w:p w14:paraId="136D4A71">
      <w:pPr>
        <w:pStyle w:val="4"/>
        <w:spacing w:before="0" w:beforeAutospacing="0" w:after="0" w:afterAutospacing="0" w:line="600" w:lineRule="atLeast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（一）细化预算编制，精益求精做好预算编制工作。同时进一步加强内设机构的预算管理意识，严格按照预算编制的相关制度和指标要求进行操作。</w:t>
      </w:r>
    </w:p>
    <w:p w14:paraId="33179E54">
      <w:pPr>
        <w:pStyle w:val="4"/>
        <w:spacing w:before="0" w:beforeAutospacing="0" w:after="0" w:afterAutospacing="0" w:line="600" w:lineRule="atLeast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（二）加强财务管理，严格财务审核。加强单位财务管理，健全单位财务管理制度体系，规范单位财务行为。在费用报账支付时，按照预算规定的费用项目和用途进行资金使用审核、财务严格核算，杜绝超支现象的发生。</w:t>
      </w:r>
    </w:p>
    <w:p w14:paraId="0A5F2FA0">
      <w:pPr>
        <w:pStyle w:val="4"/>
        <w:spacing w:before="0" w:beforeAutospacing="0" w:after="0" w:afterAutospacing="0" w:line="600" w:lineRule="atLeast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（三）完善资产管理，抓好“三公”经费控制。严格编制政府采购年初预算和计划，规范各类资产的购置审批制度、资产采购制度、使用管理制度、资产处置和报废审批制度、资产管理岗位职责制度等，加强单位内部的资产管理工作。严格控制“三公”经费的规模和比例，把关“三公”经费支出的审核、审批，杜绝挪用和挤占其他预算资金行为；进一步细化“三公”经费的管理，合理压缩“三公”经费支出。</w:t>
      </w:r>
    </w:p>
    <w:p w14:paraId="2E245776">
      <w:pPr>
        <w:pStyle w:val="4"/>
        <w:spacing w:before="0" w:beforeAutospacing="0" w:after="0" w:afterAutospacing="0" w:line="600" w:lineRule="atLeast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（四）对相关人员加强培训，特别是针对《预算法》、《行政事业单位会计制度》等学习培训，规范部门预算收支核算，切实提高部门预算收支管理水平。</w:t>
      </w:r>
    </w:p>
    <w:p w14:paraId="1855EAD2">
      <w:pPr>
        <w:widowControl/>
        <w:spacing w:line="600" w:lineRule="exact"/>
        <w:ind w:firstLine="645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六、绩效自评结果拟应用和公开情况</w:t>
      </w:r>
    </w:p>
    <w:p w14:paraId="6FC5C862">
      <w:pPr>
        <w:pStyle w:val="4"/>
        <w:spacing w:before="0" w:beforeAutospacing="0" w:after="0" w:afterAutospacing="0" w:line="600" w:lineRule="atLeast"/>
        <w:jc w:val="both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1、我单位根据整体支出绩效评定指标对各项量化评价，自评指标得分98.3分。</w:t>
      </w:r>
    </w:p>
    <w:p w14:paraId="7F5BBBAE">
      <w:pPr>
        <w:pStyle w:val="4"/>
        <w:spacing w:before="0" w:beforeAutospacing="0" w:after="0" w:afterAutospacing="0" w:line="600" w:lineRule="atLeast"/>
        <w:jc w:val="both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2、将部门整体支出绩效自评客观、准确、全面、完整纳入机构年底绩效考核的依据之一。</w:t>
      </w:r>
    </w:p>
    <w:p w14:paraId="7B4F8E76">
      <w:pPr>
        <w:pStyle w:val="4"/>
        <w:spacing w:before="0" w:beforeAutospacing="0" w:after="0" w:afterAutospacing="0" w:line="600" w:lineRule="atLeast"/>
        <w:jc w:val="both"/>
        <w:rPr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3、按规定进行公开。</w:t>
      </w:r>
    </w:p>
    <w:p w14:paraId="34419A77">
      <w:pPr>
        <w:pStyle w:val="2"/>
        <w:ind w:left="0" w:leftChars="0" w:firstLine="0" w:firstLineChars="0"/>
      </w:pPr>
    </w:p>
    <w:p w14:paraId="20547332">
      <w:pPr>
        <w:widowControl/>
        <w:spacing w:line="600" w:lineRule="exact"/>
        <w:ind w:firstLine="645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七、其他需要说明的情况</w:t>
      </w:r>
      <w:r>
        <w:rPr>
          <w:rFonts w:hint="eastAsia" w:hAnsi="黑体" w:eastAsia="黑体"/>
          <w:kern w:val="0"/>
          <w:sz w:val="30"/>
          <w:szCs w:val="30"/>
        </w:rPr>
        <w:t>（无）</w:t>
      </w:r>
    </w:p>
    <w:p w14:paraId="73FE1456">
      <w:pPr>
        <w:widowControl/>
        <w:spacing w:line="600" w:lineRule="exact"/>
        <w:ind w:firstLine="645"/>
        <w:jc w:val="left"/>
        <w:rPr>
          <w:rFonts w:ascii="黑体" w:hAnsi="黑体" w:eastAsia="黑体"/>
          <w:sz w:val="32"/>
          <w:szCs w:val="32"/>
        </w:rPr>
      </w:pPr>
    </w:p>
    <w:p w14:paraId="591B4782">
      <w:pPr>
        <w:pStyle w:val="2"/>
        <w:rPr>
          <w:rFonts w:ascii="黑体" w:hAnsi="黑体" w:eastAsia="黑体"/>
          <w:sz w:val="32"/>
          <w:szCs w:val="32"/>
        </w:rPr>
      </w:pPr>
    </w:p>
    <w:p w14:paraId="59A59AC9">
      <w:pPr>
        <w:pStyle w:val="2"/>
        <w:rPr>
          <w:rFonts w:ascii="黑体" w:hAnsi="黑体" w:eastAsia="黑体"/>
          <w:sz w:val="32"/>
          <w:szCs w:val="32"/>
        </w:rPr>
      </w:pPr>
    </w:p>
    <w:p w14:paraId="2F1D6A4E">
      <w:pPr>
        <w:pStyle w:val="2"/>
        <w:rPr>
          <w:rFonts w:ascii="黑体" w:hAnsi="黑体" w:eastAsia="黑体"/>
          <w:sz w:val="32"/>
          <w:szCs w:val="32"/>
        </w:rPr>
      </w:pPr>
    </w:p>
    <w:p w14:paraId="241FB026">
      <w:pPr>
        <w:pStyle w:val="2"/>
        <w:rPr>
          <w:rFonts w:ascii="黑体" w:hAnsi="黑体" w:eastAsia="黑体"/>
          <w:sz w:val="32"/>
          <w:szCs w:val="32"/>
        </w:rPr>
      </w:pPr>
    </w:p>
    <w:p w14:paraId="2D3E2B2C">
      <w:pPr>
        <w:pStyle w:val="2"/>
        <w:ind w:left="0" w:leftChars="0" w:firstLine="0" w:firstLineChars="0"/>
        <w:rPr>
          <w:rFonts w:ascii="黑体" w:hAnsi="黑体" w:eastAsia="黑体"/>
          <w:sz w:val="32"/>
          <w:szCs w:val="32"/>
        </w:rPr>
      </w:pPr>
    </w:p>
    <w:p w14:paraId="655AFE2A">
      <w:pPr>
        <w:widowControl/>
        <w:spacing w:line="560" w:lineRule="exact"/>
        <w:ind w:firstLine="645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附表：1、部门整体支出绩效评价指标评分表</w:t>
      </w:r>
    </w:p>
    <w:p w14:paraId="29CA6A3D">
      <w:pPr>
        <w:widowControl/>
        <w:spacing w:line="560" w:lineRule="exact"/>
        <w:ind w:firstLine="1600" w:firstLineChars="500"/>
        <w:jc w:val="left"/>
      </w:pPr>
      <w:r>
        <w:rPr>
          <w:rFonts w:hint="eastAsia" w:ascii="仿宋_GB2312" w:hAnsi="黑体" w:eastAsia="仿宋_GB2312"/>
          <w:sz w:val="32"/>
          <w:szCs w:val="32"/>
        </w:rPr>
        <w:t>2、部门整体支出绩效评价基础数据表</w:t>
      </w:r>
    </w:p>
    <w:p w14:paraId="16153DF0"/>
    <w:p w14:paraId="7A59C488"/>
    <w:p w14:paraId="725C4606"/>
    <w:p w14:paraId="76E03BDF"/>
    <w:p w14:paraId="41702822"/>
    <w:p w14:paraId="0393438E"/>
    <w:p w14:paraId="2E662856">
      <w:pPr>
        <w:pStyle w:val="2"/>
      </w:pPr>
    </w:p>
    <w:p w14:paraId="342235FE">
      <w:pPr>
        <w:pStyle w:val="2"/>
      </w:pPr>
    </w:p>
    <w:p w14:paraId="666FC25A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FA063E"/>
    <w:multiLevelType w:val="singleLevel"/>
    <w:tmpl w:val="17FA063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ZmVjM2I3N2NlMzkwMDVhYWE3Mjg2ODFkZDQ5MWQifQ=="/>
  </w:docVars>
  <w:rsids>
    <w:rsidRoot w:val="6E0635D9"/>
    <w:rsid w:val="066A466B"/>
    <w:rsid w:val="07A554D5"/>
    <w:rsid w:val="23601B7D"/>
    <w:rsid w:val="366B62C9"/>
    <w:rsid w:val="3A191C6E"/>
    <w:rsid w:val="6E06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basedOn w:val="1"/>
    <w:qFormat/>
    <w:uiPriority w:val="0"/>
    <w:pPr>
      <w:widowControl/>
      <w:spacing w:line="360" w:lineRule="auto"/>
      <w:ind w:firstLine="200" w:firstLineChars="200"/>
    </w:pPr>
    <w:rPr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2428</Words>
  <Characters>2540</Characters>
  <Lines>0</Lines>
  <Paragraphs>0</Paragraphs>
  <TotalTime>2</TotalTime>
  <ScaleCrop>false</ScaleCrop>
  <LinksUpToDate>false</LinksUpToDate>
  <CharactersWithSpaces>2540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2023-03-30T01:21:00Z</dcterms:created>
  <dc:creator>Promise°</dc:creator>
  <cp:lastModifiedBy>Administrator</cp:lastModifiedBy>
  <dcterms:modified xsi:type="dcterms:W3CDTF">2024-10-16T07:42:12Z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12BB6F04A8D34437B2D118827B9441AB_13</vt:lpwstr>
  </property>
</Properties>
</file>