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sz w:val="36"/>
          <w:szCs w:val="44"/>
        </w:rPr>
      </w:pPr>
      <w:bookmarkStart w:id="140" w:name="_GoBack"/>
      <w:bookmarkEnd w:id="140"/>
    </w:p>
    <w:p>
      <w:pPr>
        <w:jc w:val="center"/>
        <w:rPr>
          <w:b/>
          <w:bCs/>
          <w:sz w:val="56"/>
          <w:szCs w:val="56"/>
        </w:rPr>
      </w:pPr>
      <w:r>
        <w:rPr>
          <w:rFonts w:hint="eastAsia"/>
          <w:b/>
          <w:bCs/>
          <w:sz w:val="56"/>
          <w:szCs w:val="56"/>
        </w:rPr>
        <w:t>凤歧坪乡污水处理工程</w:t>
      </w:r>
      <w:bookmarkStart w:id="0" w:name="_Toc146"/>
      <w:r>
        <w:rPr>
          <w:rFonts w:hint="eastAsia"/>
          <w:b/>
          <w:bCs/>
          <w:sz w:val="56"/>
          <w:szCs w:val="56"/>
        </w:rPr>
        <w:t>入河排污口设置论证报告</w:t>
      </w:r>
      <w:bookmarkEnd w:id="0"/>
    </w:p>
    <w:p>
      <w:pPr>
        <w:jc w:val="center"/>
        <w:rPr>
          <w:szCs w:val="96"/>
        </w:rPr>
      </w:pPr>
      <w:r>
        <w:rPr>
          <w:rFonts w:hint="eastAsia"/>
          <w:b/>
          <w:bCs/>
          <w:sz w:val="56"/>
          <w:szCs w:val="56"/>
        </w:rPr>
        <w:t>（报批稿）</w:t>
      </w: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0"/>
        <w:jc w:val="center"/>
        <w:rPr>
          <w:sz w:val="56"/>
          <w:szCs w:val="96"/>
        </w:rPr>
      </w:pPr>
    </w:p>
    <w:p>
      <w:pPr>
        <w:ind w:firstLine="1124"/>
        <w:jc w:val="center"/>
        <w:rPr>
          <w:b/>
          <w:bCs/>
          <w:sz w:val="56"/>
          <w:szCs w:val="96"/>
        </w:rPr>
      </w:pPr>
    </w:p>
    <w:p>
      <w:pPr>
        <w:ind w:firstLine="1124"/>
        <w:jc w:val="center"/>
        <w:rPr>
          <w:b/>
          <w:bCs/>
          <w:sz w:val="56"/>
          <w:szCs w:val="96"/>
        </w:rPr>
      </w:pPr>
    </w:p>
    <w:p>
      <w:pPr>
        <w:ind w:firstLine="1124"/>
        <w:jc w:val="center"/>
        <w:rPr>
          <w:b/>
          <w:bCs/>
          <w:sz w:val="56"/>
          <w:szCs w:val="96"/>
        </w:rPr>
      </w:pPr>
    </w:p>
    <w:p>
      <w:pPr>
        <w:ind w:left="800" w:leftChars="400"/>
        <w:jc w:val="left"/>
        <w:rPr>
          <w:b/>
          <w:bCs/>
          <w:sz w:val="40"/>
          <w:szCs w:val="40"/>
        </w:rPr>
      </w:pPr>
      <w:r>
        <w:rPr>
          <w:rFonts w:hint="eastAsia"/>
          <w:b/>
          <w:bCs/>
          <w:sz w:val="40"/>
          <w:szCs w:val="40"/>
        </w:rPr>
        <w:t>建设单位：祁东县住房和城乡建设局</w:t>
      </w:r>
    </w:p>
    <w:p>
      <w:pPr>
        <w:ind w:left="800" w:leftChars="400"/>
        <w:jc w:val="left"/>
        <w:rPr>
          <w:b/>
          <w:bCs/>
          <w:sz w:val="40"/>
          <w:szCs w:val="40"/>
        </w:rPr>
      </w:pPr>
      <w:bookmarkStart w:id="1" w:name="_Toc18619"/>
      <w:r>
        <w:rPr>
          <w:rFonts w:hint="eastAsia"/>
          <w:b/>
          <w:bCs/>
          <w:sz w:val="40"/>
          <w:szCs w:val="40"/>
        </w:rPr>
        <w:t>编制单位：</w:t>
      </w:r>
      <w:bookmarkEnd w:id="1"/>
      <w:r>
        <w:rPr>
          <w:rFonts w:hint="eastAsia"/>
          <w:b/>
          <w:bCs/>
          <w:sz w:val="40"/>
          <w:szCs w:val="40"/>
        </w:rPr>
        <w:t>湖南易恒环保科技有限公司</w:t>
      </w:r>
    </w:p>
    <w:p>
      <w:pPr>
        <w:jc w:val="center"/>
        <w:rPr>
          <w:b/>
          <w:bCs/>
          <w:sz w:val="40"/>
          <w:szCs w:val="40"/>
        </w:rPr>
      </w:pPr>
      <w:r>
        <w:rPr>
          <w:rFonts w:hint="eastAsia"/>
          <w:b/>
          <w:bCs/>
          <w:sz w:val="40"/>
          <w:szCs w:val="40"/>
        </w:rPr>
        <w:t>202</w:t>
      </w:r>
      <w:r>
        <w:rPr>
          <w:b/>
          <w:bCs/>
          <w:sz w:val="40"/>
          <w:szCs w:val="40"/>
        </w:rPr>
        <w:t>4</w:t>
      </w:r>
      <w:r>
        <w:rPr>
          <w:rFonts w:hint="eastAsia"/>
          <w:b/>
          <w:bCs/>
          <w:sz w:val="40"/>
          <w:szCs w:val="40"/>
        </w:rPr>
        <w:t>年</w:t>
      </w:r>
      <w:r>
        <w:rPr>
          <w:b/>
          <w:bCs/>
          <w:sz w:val="40"/>
          <w:szCs w:val="40"/>
        </w:rPr>
        <w:t>3</w:t>
      </w:r>
      <w:r>
        <w:rPr>
          <w:rFonts w:hint="eastAsia"/>
          <w:b/>
          <w:bCs/>
          <w:sz w:val="40"/>
          <w:szCs w:val="40"/>
        </w:rPr>
        <w:t>月</w:t>
      </w:r>
    </w:p>
    <w:p>
      <w:pPr>
        <w:pStyle w:val="40"/>
        <w:sectPr>
          <w:pgSz w:w="11906" w:h="16838"/>
          <w:pgMar w:top="1440" w:right="1800" w:bottom="1440" w:left="1800" w:header="851" w:footer="992" w:gutter="0"/>
          <w:cols w:space="425" w:num="1"/>
          <w:docGrid w:type="lines" w:linePitch="312" w:charSpace="0"/>
        </w:sectPr>
      </w:pPr>
    </w:p>
    <w:tbl>
      <w:tblPr>
        <w:tblStyle w:val="20"/>
        <w:tblW w:w="916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6"/>
        <w:gridCol w:w="831"/>
        <w:gridCol w:w="849"/>
        <w:gridCol w:w="393"/>
        <w:gridCol w:w="383"/>
        <w:gridCol w:w="857"/>
        <w:gridCol w:w="911"/>
        <w:gridCol w:w="647"/>
        <w:gridCol w:w="17"/>
        <w:gridCol w:w="1068"/>
        <w:gridCol w:w="185"/>
        <w:gridCol w:w="23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163" w:type="dxa"/>
            <w:gridSpan w:val="12"/>
            <w:vAlign w:val="center"/>
          </w:tcPr>
          <w:p>
            <w:pPr>
              <w:pStyle w:val="40"/>
            </w:pPr>
            <w:r>
              <w:rPr>
                <w:rFonts w:hint="eastAsia"/>
                <w:sz w:val="36"/>
                <w:szCs w:val="44"/>
              </w:rPr>
              <w:br w:type="page"/>
            </w:r>
            <w:r>
              <w:rPr>
                <w:rFonts w:hint="eastAsia"/>
              </w:rPr>
              <w:t>入河口基本情况表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t>基本</w:t>
            </w:r>
          </w:p>
          <w:p>
            <w:pPr>
              <w:pStyle w:val="40"/>
            </w:pPr>
            <w:r>
              <w:t>情况</w:t>
            </w:r>
          </w:p>
        </w:tc>
        <w:tc>
          <w:tcPr>
            <w:tcW w:w="2073" w:type="dxa"/>
            <w:gridSpan w:val="3"/>
            <w:vAlign w:val="center"/>
          </w:tcPr>
          <w:p>
            <w:pPr>
              <w:pStyle w:val="40"/>
            </w:pPr>
            <w:r>
              <w:t>项目名称</w:t>
            </w:r>
          </w:p>
        </w:tc>
        <w:tc>
          <w:tcPr>
            <w:tcW w:w="2151" w:type="dxa"/>
            <w:gridSpan w:val="3"/>
            <w:vAlign w:val="center"/>
          </w:tcPr>
          <w:p>
            <w:pPr>
              <w:pStyle w:val="40"/>
            </w:pPr>
            <w:r>
              <w:rPr>
                <w:rFonts w:hint="eastAsia"/>
              </w:rPr>
              <w:t>凤歧坪乡污水处理工程</w:t>
            </w:r>
          </w:p>
        </w:tc>
        <w:tc>
          <w:tcPr>
            <w:tcW w:w="1917" w:type="dxa"/>
            <w:gridSpan w:val="4"/>
            <w:vAlign w:val="center"/>
          </w:tcPr>
          <w:p>
            <w:pPr>
              <w:pStyle w:val="40"/>
            </w:pPr>
            <w:r>
              <w:rPr>
                <w:rFonts w:hint="eastAsia"/>
              </w:rPr>
              <w:t>项目位置</w:t>
            </w:r>
          </w:p>
        </w:tc>
        <w:tc>
          <w:tcPr>
            <w:tcW w:w="2386" w:type="dxa"/>
            <w:vAlign w:val="center"/>
          </w:tcPr>
          <w:p>
            <w:pPr>
              <w:pStyle w:val="40"/>
            </w:pPr>
            <w:r>
              <w:rPr>
                <w:rFonts w:hint="eastAsia"/>
              </w:rPr>
              <w:t>祁东县凤歧坪乡</w:t>
            </w:r>
            <w:r>
              <w:rPr>
                <w:rFonts w:hint="eastAsia"/>
                <w:szCs w:val="21"/>
              </w:rPr>
              <w:t>凤歧坪村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t>项目性质</w:t>
            </w:r>
          </w:p>
        </w:tc>
        <w:tc>
          <w:tcPr>
            <w:tcW w:w="2151" w:type="dxa"/>
            <w:gridSpan w:val="3"/>
            <w:vAlign w:val="center"/>
          </w:tcPr>
          <w:p>
            <w:pPr>
              <w:pStyle w:val="40"/>
            </w:pPr>
            <w:r>
              <w:rPr>
                <w:rFonts w:hint="eastAsia"/>
              </w:rPr>
              <w:t>新建</w:t>
            </w:r>
          </w:p>
        </w:tc>
        <w:tc>
          <w:tcPr>
            <w:tcW w:w="1917" w:type="dxa"/>
            <w:gridSpan w:val="4"/>
            <w:vAlign w:val="center"/>
          </w:tcPr>
          <w:p>
            <w:pPr>
              <w:pStyle w:val="40"/>
            </w:pPr>
            <w:r>
              <w:rPr>
                <w:rFonts w:hint="eastAsia"/>
              </w:rPr>
              <w:t>所属行业</w:t>
            </w:r>
          </w:p>
        </w:tc>
        <w:tc>
          <w:tcPr>
            <w:tcW w:w="2386" w:type="dxa"/>
            <w:vAlign w:val="center"/>
          </w:tcPr>
          <w:p>
            <w:pPr>
              <w:pStyle w:val="40"/>
            </w:pPr>
            <w:r>
              <w:rPr>
                <w:rFonts w:hint="eastAsia"/>
              </w:rPr>
              <w:t>D4620污水处理及其再生利用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建设规模</w:t>
            </w:r>
          </w:p>
        </w:tc>
        <w:tc>
          <w:tcPr>
            <w:tcW w:w="2151" w:type="dxa"/>
            <w:gridSpan w:val="3"/>
            <w:vAlign w:val="center"/>
          </w:tcPr>
          <w:p>
            <w:pPr>
              <w:pStyle w:val="40"/>
            </w:pPr>
            <w:r>
              <w:rPr>
                <w:rFonts w:hint="eastAsia"/>
              </w:rPr>
              <w:t>近期外排废水量100m</w:t>
            </w:r>
            <w:r>
              <w:rPr>
                <w:rFonts w:hint="eastAsia"/>
                <w:vertAlign w:val="superscript"/>
              </w:rPr>
              <w:t>3</w:t>
            </w:r>
            <w:r>
              <w:rPr>
                <w:rFonts w:hint="eastAsia"/>
              </w:rPr>
              <w:t>/d；远期外排废水量600m</w:t>
            </w:r>
            <w:r>
              <w:rPr>
                <w:rFonts w:hint="eastAsia"/>
                <w:vertAlign w:val="superscript"/>
              </w:rPr>
              <w:t>3</w:t>
            </w:r>
            <w:r>
              <w:rPr>
                <w:rFonts w:hint="eastAsia"/>
              </w:rPr>
              <w:t>/d</w:t>
            </w:r>
          </w:p>
        </w:tc>
        <w:tc>
          <w:tcPr>
            <w:tcW w:w="1917" w:type="dxa"/>
            <w:gridSpan w:val="4"/>
            <w:vAlign w:val="center"/>
          </w:tcPr>
          <w:p>
            <w:pPr>
              <w:pStyle w:val="40"/>
            </w:pPr>
            <w:r>
              <w:rPr>
                <w:rFonts w:hint="eastAsia"/>
              </w:rPr>
              <w:t>项目单位</w:t>
            </w:r>
          </w:p>
        </w:tc>
        <w:tc>
          <w:tcPr>
            <w:tcW w:w="2386" w:type="dxa"/>
            <w:vAlign w:val="center"/>
          </w:tcPr>
          <w:p>
            <w:pPr>
              <w:pStyle w:val="40"/>
            </w:pPr>
            <w:r>
              <w:rPr>
                <w:rFonts w:hint="eastAsia"/>
              </w:rPr>
              <w:t>祁东县住房和城乡建设局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建设项目的审批机关</w:t>
            </w:r>
          </w:p>
        </w:tc>
        <w:tc>
          <w:tcPr>
            <w:tcW w:w="2151" w:type="dxa"/>
            <w:gridSpan w:val="3"/>
            <w:vAlign w:val="center"/>
          </w:tcPr>
          <w:p>
            <w:pPr>
              <w:pStyle w:val="40"/>
            </w:pPr>
            <w:r>
              <w:rPr>
                <w:rFonts w:hint="eastAsia"/>
              </w:rPr>
              <w:t>衡阳市生态环境局祁东分局</w:t>
            </w:r>
          </w:p>
        </w:tc>
        <w:tc>
          <w:tcPr>
            <w:tcW w:w="1917" w:type="dxa"/>
            <w:gridSpan w:val="4"/>
            <w:vAlign w:val="center"/>
          </w:tcPr>
          <w:p>
            <w:pPr>
              <w:pStyle w:val="40"/>
            </w:pPr>
            <w:r>
              <w:rPr>
                <w:rFonts w:hint="eastAsia"/>
              </w:rPr>
              <w:t>入河排污口审核机关</w:t>
            </w:r>
          </w:p>
        </w:tc>
        <w:tc>
          <w:tcPr>
            <w:tcW w:w="2386" w:type="dxa"/>
            <w:vAlign w:val="center"/>
          </w:tcPr>
          <w:p>
            <w:pPr>
              <w:pStyle w:val="40"/>
            </w:pPr>
            <w:r>
              <w:rPr>
                <w:rFonts w:hint="eastAsia"/>
              </w:rPr>
              <w:t>衡阳市生态环境局祁东分局</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报告书编制合同委托单位</w:t>
            </w:r>
          </w:p>
        </w:tc>
        <w:tc>
          <w:tcPr>
            <w:tcW w:w="2151" w:type="dxa"/>
            <w:gridSpan w:val="3"/>
            <w:vAlign w:val="center"/>
          </w:tcPr>
          <w:p>
            <w:pPr>
              <w:pStyle w:val="40"/>
            </w:pPr>
            <w:r>
              <w:rPr>
                <w:rFonts w:hint="eastAsia"/>
              </w:rPr>
              <w:t>祁东县住房和城乡建设局</w:t>
            </w:r>
          </w:p>
        </w:tc>
        <w:tc>
          <w:tcPr>
            <w:tcW w:w="1917" w:type="dxa"/>
            <w:gridSpan w:val="4"/>
            <w:vAlign w:val="center"/>
          </w:tcPr>
          <w:p>
            <w:pPr>
              <w:pStyle w:val="40"/>
            </w:pPr>
            <w:r>
              <w:rPr>
                <w:rFonts w:hint="eastAsia"/>
              </w:rPr>
              <w:t>报告书编制单位及证书号</w:t>
            </w:r>
          </w:p>
        </w:tc>
        <w:tc>
          <w:tcPr>
            <w:tcW w:w="2386" w:type="dxa"/>
            <w:vAlign w:val="center"/>
          </w:tcPr>
          <w:p>
            <w:pPr>
              <w:pStyle w:val="40"/>
            </w:pPr>
            <w:r>
              <w:rPr>
                <w:rFonts w:hint="eastAsia"/>
              </w:rPr>
              <w:t>湖南易恒环保科技有限公司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论证工作等级</w:t>
            </w:r>
          </w:p>
        </w:tc>
        <w:tc>
          <w:tcPr>
            <w:tcW w:w="2151" w:type="dxa"/>
            <w:gridSpan w:val="3"/>
            <w:vAlign w:val="center"/>
          </w:tcPr>
          <w:p>
            <w:pPr>
              <w:pStyle w:val="40"/>
            </w:pPr>
            <w:r>
              <w:rPr>
                <w:rFonts w:hint="eastAsia"/>
              </w:rPr>
              <w:t>二级</w:t>
            </w:r>
          </w:p>
        </w:tc>
        <w:tc>
          <w:tcPr>
            <w:tcW w:w="1917" w:type="dxa"/>
            <w:gridSpan w:val="4"/>
            <w:vAlign w:val="center"/>
          </w:tcPr>
          <w:p>
            <w:pPr>
              <w:pStyle w:val="40"/>
            </w:pPr>
            <w:r>
              <w:rPr>
                <w:rFonts w:hint="eastAsia"/>
              </w:rPr>
              <w:t>工作范围</w:t>
            </w:r>
          </w:p>
        </w:tc>
        <w:tc>
          <w:tcPr>
            <w:tcW w:w="2386" w:type="dxa"/>
            <w:vAlign w:val="center"/>
          </w:tcPr>
          <w:p>
            <w:pPr>
              <w:pStyle w:val="40"/>
            </w:pPr>
            <w:r>
              <w:rPr>
                <w:rFonts w:hint="eastAsia"/>
              </w:rPr>
              <w:t>东侧沟渠和祁水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论证范围</w:t>
            </w:r>
          </w:p>
        </w:tc>
        <w:tc>
          <w:tcPr>
            <w:tcW w:w="2151" w:type="dxa"/>
            <w:gridSpan w:val="3"/>
            <w:vAlign w:val="center"/>
          </w:tcPr>
          <w:p>
            <w:pPr>
              <w:pStyle w:val="40"/>
            </w:pPr>
            <w:r>
              <w:rPr>
                <w:rFonts w:hint="eastAsia"/>
              </w:rPr>
              <w:t>排污口至汇入祁水口下游1000m处</w:t>
            </w:r>
          </w:p>
        </w:tc>
        <w:tc>
          <w:tcPr>
            <w:tcW w:w="1917" w:type="dxa"/>
            <w:gridSpan w:val="4"/>
            <w:vAlign w:val="center"/>
          </w:tcPr>
          <w:p>
            <w:pPr>
              <w:pStyle w:val="40"/>
            </w:pPr>
            <w:r>
              <w:rPr>
                <w:rFonts w:hint="eastAsia"/>
              </w:rPr>
              <w:t>水平年（现状—规划）</w:t>
            </w:r>
          </w:p>
        </w:tc>
        <w:tc>
          <w:tcPr>
            <w:tcW w:w="2386" w:type="dxa"/>
            <w:vAlign w:val="center"/>
          </w:tcPr>
          <w:p>
            <w:pPr>
              <w:pStyle w:val="40"/>
            </w:pPr>
            <w:r>
              <w:t>20</w:t>
            </w:r>
            <w:r>
              <w:rPr>
                <w:rFonts w:hint="eastAsia"/>
              </w:rPr>
              <w:t>23—</w:t>
            </w:r>
            <w:r>
              <w:t>20</w:t>
            </w:r>
            <w:r>
              <w:rPr>
                <w:rFonts w:hint="eastAsia"/>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rPr>
                <w:rFonts w:hint="eastAsia"/>
              </w:rPr>
              <w:t>分析范围内控制指标情况</w:t>
            </w:r>
          </w:p>
        </w:tc>
        <w:tc>
          <w:tcPr>
            <w:tcW w:w="2073" w:type="dxa"/>
            <w:gridSpan w:val="3"/>
            <w:vAlign w:val="center"/>
          </w:tcPr>
          <w:p>
            <w:pPr>
              <w:pStyle w:val="40"/>
            </w:pPr>
            <w:r>
              <w:rPr>
                <w:rFonts w:hint="eastAsia"/>
              </w:rPr>
              <w:t>取用水总量控制指标</w:t>
            </w:r>
          </w:p>
        </w:tc>
        <w:tc>
          <w:tcPr>
            <w:tcW w:w="2151" w:type="dxa"/>
            <w:gridSpan w:val="3"/>
            <w:vAlign w:val="center"/>
          </w:tcPr>
          <w:p>
            <w:pPr>
              <w:pStyle w:val="40"/>
            </w:pPr>
            <w:r>
              <w:t>—</w:t>
            </w:r>
          </w:p>
        </w:tc>
        <w:tc>
          <w:tcPr>
            <w:tcW w:w="1917" w:type="dxa"/>
            <w:gridSpan w:val="4"/>
            <w:vAlign w:val="center"/>
          </w:tcPr>
          <w:p>
            <w:pPr>
              <w:pStyle w:val="40"/>
            </w:pPr>
            <w:r>
              <w:rPr>
                <w:rFonts w:hint="eastAsia"/>
              </w:rPr>
              <w:t>实际取用水量</w:t>
            </w:r>
          </w:p>
        </w:tc>
        <w:tc>
          <w:tcPr>
            <w:tcW w:w="2386" w:type="dxa"/>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用水效率控制指标</w:t>
            </w:r>
          </w:p>
        </w:tc>
        <w:tc>
          <w:tcPr>
            <w:tcW w:w="2151" w:type="dxa"/>
            <w:gridSpan w:val="3"/>
            <w:vAlign w:val="center"/>
          </w:tcPr>
          <w:p>
            <w:pPr>
              <w:pStyle w:val="40"/>
            </w:pPr>
            <w:r>
              <w:t>—</w:t>
            </w:r>
          </w:p>
        </w:tc>
        <w:tc>
          <w:tcPr>
            <w:tcW w:w="1917" w:type="dxa"/>
            <w:gridSpan w:val="4"/>
            <w:vAlign w:val="center"/>
          </w:tcPr>
          <w:p>
            <w:pPr>
              <w:pStyle w:val="40"/>
            </w:pPr>
            <w:r>
              <w:rPr>
                <w:rFonts w:hint="eastAsia"/>
              </w:rPr>
              <w:t>实际用水效率指标</w:t>
            </w:r>
          </w:p>
        </w:tc>
        <w:tc>
          <w:tcPr>
            <w:tcW w:w="2386" w:type="dxa"/>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纳污水域水功能区限制纳污总量指标</w:t>
            </w:r>
          </w:p>
        </w:tc>
        <w:tc>
          <w:tcPr>
            <w:tcW w:w="2151" w:type="dxa"/>
            <w:gridSpan w:val="3"/>
            <w:vAlign w:val="center"/>
          </w:tcPr>
          <w:p>
            <w:pPr>
              <w:pStyle w:val="40"/>
            </w:pPr>
            <w:r>
              <w:t>—</w:t>
            </w:r>
          </w:p>
        </w:tc>
        <w:tc>
          <w:tcPr>
            <w:tcW w:w="1917" w:type="dxa"/>
            <w:gridSpan w:val="4"/>
            <w:vAlign w:val="center"/>
          </w:tcPr>
          <w:p>
            <w:pPr>
              <w:pStyle w:val="40"/>
            </w:pPr>
            <w:r>
              <w:rPr>
                <w:rFonts w:hint="eastAsia"/>
              </w:rPr>
              <w:t>纳污水域水功能区实际排污总量</w:t>
            </w:r>
          </w:p>
        </w:tc>
        <w:tc>
          <w:tcPr>
            <w:tcW w:w="2386" w:type="dxa"/>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纳污水域水功能区水质达标率指标</w:t>
            </w:r>
          </w:p>
        </w:tc>
        <w:tc>
          <w:tcPr>
            <w:tcW w:w="2151" w:type="dxa"/>
            <w:gridSpan w:val="3"/>
            <w:vAlign w:val="center"/>
          </w:tcPr>
          <w:p>
            <w:pPr>
              <w:pStyle w:val="40"/>
            </w:pPr>
            <w:r>
              <w:rPr>
                <w:rFonts w:hint="eastAsia"/>
              </w:rPr>
              <w:t>COD、氨氮、总磷</w:t>
            </w:r>
          </w:p>
        </w:tc>
        <w:tc>
          <w:tcPr>
            <w:tcW w:w="1917" w:type="dxa"/>
            <w:gridSpan w:val="4"/>
            <w:vAlign w:val="center"/>
          </w:tcPr>
          <w:p>
            <w:pPr>
              <w:pStyle w:val="40"/>
            </w:pPr>
            <w:r>
              <w:rPr>
                <w:rFonts w:hint="eastAsia"/>
              </w:rPr>
              <w:t>纳污水域水功能区水质达标率</w:t>
            </w:r>
          </w:p>
        </w:tc>
        <w:tc>
          <w:tcPr>
            <w:tcW w:w="2386" w:type="dxa"/>
            <w:vAlign w:val="center"/>
          </w:tcPr>
          <w:p>
            <w:pPr>
              <w:pStyle w:val="40"/>
            </w:pPr>
            <w: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rPr>
                <w:rFonts w:hint="eastAsia"/>
              </w:rPr>
              <w:t>入河排污口设置申请</w:t>
            </w:r>
            <w:r>
              <w:t>单</w:t>
            </w:r>
            <w:r>
              <w:rPr>
                <w:rFonts w:hint="eastAsia"/>
              </w:rPr>
              <w:t>位</w:t>
            </w:r>
          </w:p>
          <w:p>
            <w:pPr>
              <w:pStyle w:val="40"/>
            </w:pPr>
            <w:r>
              <w:rPr>
                <w:rFonts w:hint="eastAsia"/>
              </w:rPr>
              <w:t>概况</w:t>
            </w:r>
          </w:p>
          <w:p>
            <w:pPr>
              <w:pStyle w:val="40"/>
            </w:pPr>
          </w:p>
        </w:tc>
        <w:tc>
          <w:tcPr>
            <w:tcW w:w="831" w:type="dxa"/>
            <w:vAlign w:val="center"/>
          </w:tcPr>
          <w:p>
            <w:pPr>
              <w:pStyle w:val="40"/>
            </w:pPr>
            <w:r>
              <w:t>名称</w:t>
            </w:r>
          </w:p>
        </w:tc>
        <w:tc>
          <w:tcPr>
            <w:tcW w:w="4040" w:type="dxa"/>
            <w:gridSpan w:val="6"/>
            <w:vAlign w:val="center"/>
          </w:tcPr>
          <w:p>
            <w:pPr>
              <w:pStyle w:val="40"/>
            </w:pPr>
            <w:r>
              <w:rPr>
                <w:rFonts w:hint="eastAsia"/>
              </w:rPr>
              <w:t>祁东县住房和城乡建设局</w:t>
            </w:r>
          </w:p>
        </w:tc>
        <w:tc>
          <w:tcPr>
            <w:tcW w:w="1085" w:type="dxa"/>
            <w:gridSpan w:val="2"/>
            <w:vAlign w:val="center"/>
          </w:tcPr>
          <w:p>
            <w:pPr>
              <w:pStyle w:val="40"/>
            </w:pPr>
            <w:r>
              <w:t>法人代表</w:t>
            </w:r>
          </w:p>
        </w:tc>
        <w:tc>
          <w:tcPr>
            <w:tcW w:w="2571" w:type="dxa"/>
            <w:gridSpan w:val="2"/>
            <w:vAlign w:val="center"/>
          </w:tcPr>
          <w:p>
            <w:pPr>
              <w:pStyle w:val="40"/>
            </w:pPr>
            <w:r>
              <w:rPr>
                <w:rFonts w:hint="eastAsia"/>
              </w:rPr>
              <w:t>彭中华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831" w:type="dxa"/>
            <w:vAlign w:val="center"/>
          </w:tcPr>
          <w:p>
            <w:pPr>
              <w:pStyle w:val="40"/>
            </w:pPr>
            <w:r>
              <w:t>隶属关系</w:t>
            </w:r>
          </w:p>
        </w:tc>
        <w:tc>
          <w:tcPr>
            <w:tcW w:w="4040" w:type="dxa"/>
            <w:gridSpan w:val="6"/>
            <w:vAlign w:val="center"/>
          </w:tcPr>
          <w:p>
            <w:pPr>
              <w:pStyle w:val="40"/>
            </w:pPr>
            <w:r>
              <w:t>—</w:t>
            </w:r>
          </w:p>
        </w:tc>
        <w:tc>
          <w:tcPr>
            <w:tcW w:w="1085" w:type="dxa"/>
            <w:gridSpan w:val="2"/>
            <w:vAlign w:val="center"/>
          </w:tcPr>
          <w:p>
            <w:pPr>
              <w:pStyle w:val="40"/>
            </w:pPr>
            <w:r>
              <w:t>行业类别</w:t>
            </w:r>
          </w:p>
        </w:tc>
        <w:tc>
          <w:tcPr>
            <w:tcW w:w="2571" w:type="dxa"/>
            <w:gridSpan w:val="2"/>
            <w:vAlign w:val="center"/>
          </w:tcPr>
          <w:p>
            <w:pPr>
              <w:pStyle w:val="40"/>
            </w:pPr>
            <w:r>
              <w:t>污水处理及其再生利用（D4620）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831" w:type="dxa"/>
            <w:vAlign w:val="center"/>
          </w:tcPr>
          <w:p>
            <w:pPr>
              <w:pStyle w:val="40"/>
            </w:pPr>
            <w:r>
              <w:t>企业规模</w:t>
            </w:r>
          </w:p>
        </w:tc>
        <w:tc>
          <w:tcPr>
            <w:tcW w:w="4040" w:type="dxa"/>
            <w:gridSpan w:val="6"/>
            <w:vAlign w:val="center"/>
          </w:tcPr>
          <w:p>
            <w:pPr>
              <w:pStyle w:val="40"/>
            </w:pPr>
            <w:r>
              <w:t>—</w:t>
            </w:r>
          </w:p>
        </w:tc>
        <w:tc>
          <w:tcPr>
            <w:tcW w:w="1085" w:type="dxa"/>
            <w:gridSpan w:val="2"/>
            <w:vAlign w:val="center"/>
          </w:tcPr>
          <w:p>
            <w:pPr>
              <w:pStyle w:val="40"/>
            </w:pPr>
            <w:r>
              <w:t>职工总数</w:t>
            </w:r>
          </w:p>
        </w:tc>
        <w:tc>
          <w:tcPr>
            <w:tcW w:w="2571" w:type="dxa"/>
            <w:gridSpan w:val="2"/>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831" w:type="dxa"/>
            <w:vAlign w:val="center"/>
          </w:tcPr>
          <w:p>
            <w:pPr>
              <w:pStyle w:val="40"/>
            </w:pPr>
            <w:r>
              <w:t>地</w:t>
            </w:r>
            <w:r>
              <w:rPr>
                <w:rFonts w:hint="eastAsia"/>
              </w:rPr>
              <w:t xml:space="preserve">  </w:t>
            </w:r>
            <w:r>
              <w:t>址</w:t>
            </w:r>
          </w:p>
        </w:tc>
        <w:tc>
          <w:tcPr>
            <w:tcW w:w="4040" w:type="dxa"/>
            <w:gridSpan w:val="6"/>
            <w:vAlign w:val="center"/>
          </w:tcPr>
          <w:p>
            <w:pPr>
              <w:pStyle w:val="40"/>
            </w:pPr>
            <w:r>
              <w:rPr>
                <w:rFonts w:hint="eastAsia"/>
              </w:rPr>
              <w:t>祁东县县正西路216号</w:t>
            </w:r>
          </w:p>
        </w:tc>
        <w:tc>
          <w:tcPr>
            <w:tcW w:w="1085" w:type="dxa"/>
            <w:gridSpan w:val="2"/>
            <w:vAlign w:val="center"/>
          </w:tcPr>
          <w:p>
            <w:pPr>
              <w:pStyle w:val="40"/>
            </w:pPr>
            <w:r>
              <w:t>邮</w:t>
            </w:r>
            <w:r>
              <w:rPr>
                <w:rFonts w:hint="eastAsia"/>
              </w:rPr>
              <w:t xml:space="preserve">  </w:t>
            </w:r>
            <w:r>
              <w:t>编</w:t>
            </w:r>
          </w:p>
        </w:tc>
        <w:tc>
          <w:tcPr>
            <w:tcW w:w="2571" w:type="dxa"/>
            <w:gridSpan w:val="2"/>
            <w:vAlign w:val="center"/>
          </w:tcPr>
          <w:p>
            <w:pPr>
              <w:pStyle w:val="40"/>
            </w:pPr>
            <w:r>
              <w:t>421600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831" w:type="dxa"/>
            <w:vAlign w:val="center"/>
          </w:tcPr>
          <w:p>
            <w:pPr>
              <w:pStyle w:val="40"/>
            </w:pPr>
            <w:r>
              <w:t>联系人</w:t>
            </w:r>
          </w:p>
        </w:tc>
        <w:tc>
          <w:tcPr>
            <w:tcW w:w="849" w:type="dxa"/>
            <w:vAlign w:val="center"/>
          </w:tcPr>
          <w:p>
            <w:pPr>
              <w:pStyle w:val="40"/>
            </w:pPr>
            <w:r>
              <w:rPr>
                <w:rFonts w:hint="eastAsia"/>
              </w:rPr>
              <w:t>蒋帆</w:t>
            </w:r>
          </w:p>
        </w:tc>
        <w:tc>
          <w:tcPr>
            <w:tcW w:w="776" w:type="dxa"/>
            <w:gridSpan w:val="2"/>
            <w:vAlign w:val="center"/>
          </w:tcPr>
          <w:p>
            <w:pPr>
              <w:pStyle w:val="40"/>
            </w:pPr>
            <w:r>
              <w:t>电话</w:t>
            </w:r>
          </w:p>
        </w:tc>
        <w:tc>
          <w:tcPr>
            <w:tcW w:w="2415" w:type="dxa"/>
            <w:gridSpan w:val="3"/>
            <w:vAlign w:val="center"/>
          </w:tcPr>
          <w:p>
            <w:pPr>
              <w:pStyle w:val="40"/>
            </w:pPr>
            <w:r>
              <w:rPr>
                <w:rFonts w:hint="eastAsia"/>
              </w:rPr>
              <w:t>1</w:t>
            </w:r>
            <w:r>
              <w:t>9807340123</w:t>
            </w:r>
          </w:p>
        </w:tc>
        <w:tc>
          <w:tcPr>
            <w:tcW w:w="1085" w:type="dxa"/>
            <w:gridSpan w:val="2"/>
            <w:vAlign w:val="center"/>
          </w:tcPr>
          <w:p>
            <w:pPr>
              <w:pStyle w:val="40"/>
            </w:pPr>
            <w:r>
              <w:t>邮</w:t>
            </w:r>
            <w:r>
              <w:rPr>
                <w:rFonts w:hint="eastAsia"/>
              </w:rPr>
              <w:t xml:space="preserve">  </w:t>
            </w:r>
            <w:r>
              <w:t>箱</w:t>
            </w:r>
          </w:p>
        </w:tc>
        <w:tc>
          <w:tcPr>
            <w:tcW w:w="2571" w:type="dxa"/>
            <w:gridSpan w:val="2"/>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restart"/>
            <w:vAlign w:val="center"/>
          </w:tcPr>
          <w:p>
            <w:pPr>
              <w:pStyle w:val="40"/>
            </w:pPr>
            <w:r>
              <w:rPr>
                <w:rFonts w:hint="eastAsia"/>
              </w:rPr>
              <w:t>建设项目主要原辅材料消耗</w:t>
            </w:r>
          </w:p>
        </w:tc>
        <w:tc>
          <w:tcPr>
            <w:tcW w:w="1680" w:type="dxa"/>
            <w:gridSpan w:val="2"/>
            <w:vAlign w:val="center"/>
          </w:tcPr>
          <w:p>
            <w:pPr>
              <w:pStyle w:val="40"/>
            </w:pPr>
            <w:r>
              <w:rPr>
                <w:rFonts w:hint="eastAsia"/>
              </w:rPr>
              <w:t>名称</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636" w:type="dxa"/>
            <w:vMerge w:val="continue"/>
            <w:vAlign w:val="center"/>
          </w:tcPr>
          <w:p>
            <w:pPr>
              <w:pStyle w:val="40"/>
            </w:pPr>
          </w:p>
        </w:tc>
        <w:tc>
          <w:tcPr>
            <w:tcW w:w="1680" w:type="dxa"/>
            <w:gridSpan w:val="2"/>
            <w:vAlign w:val="center"/>
          </w:tcPr>
          <w:p>
            <w:pPr>
              <w:pStyle w:val="40"/>
            </w:pPr>
            <w:r>
              <w:rPr>
                <w:rFonts w:hint="eastAsia"/>
              </w:rPr>
              <w:t>单位</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24" w:hRule="atLeast"/>
          <w:jc w:val="center"/>
        </w:trPr>
        <w:tc>
          <w:tcPr>
            <w:tcW w:w="636" w:type="dxa"/>
            <w:vMerge w:val="continue"/>
            <w:vAlign w:val="center"/>
          </w:tcPr>
          <w:p>
            <w:pPr>
              <w:pStyle w:val="40"/>
            </w:pPr>
          </w:p>
        </w:tc>
        <w:tc>
          <w:tcPr>
            <w:tcW w:w="1680" w:type="dxa"/>
            <w:gridSpan w:val="2"/>
            <w:vAlign w:val="center"/>
          </w:tcPr>
          <w:p>
            <w:pPr>
              <w:pStyle w:val="40"/>
            </w:pPr>
            <w:r>
              <w:rPr>
                <w:rFonts w:hint="eastAsia"/>
              </w:rPr>
              <w:t>数量</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rPr>
                <w:rFonts w:hint="eastAsia"/>
              </w:rPr>
              <w:t>主要产品</w:t>
            </w:r>
          </w:p>
        </w:tc>
        <w:tc>
          <w:tcPr>
            <w:tcW w:w="1680" w:type="dxa"/>
            <w:gridSpan w:val="2"/>
            <w:vAlign w:val="center"/>
          </w:tcPr>
          <w:p>
            <w:pPr>
              <w:pStyle w:val="40"/>
            </w:pPr>
            <w:r>
              <w:rPr>
                <w:rFonts w:hint="eastAsia"/>
              </w:rPr>
              <w:t>名称</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1680" w:type="dxa"/>
            <w:gridSpan w:val="2"/>
            <w:vAlign w:val="center"/>
          </w:tcPr>
          <w:p>
            <w:pPr>
              <w:pStyle w:val="40"/>
            </w:pPr>
            <w:r>
              <w:rPr>
                <w:rFonts w:hint="eastAsia"/>
              </w:rPr>
              <w:t>单位</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1680" w:type="dxa"/>
            <w:gridSpan w:val="2"/>
            <w:vAlign w:val="center"/>
          </w:tcPr>
          <w:p>
            <w:pPr>
              <w:pStyle w:val="40"/>
            </w:pPr>
            <w:r>
              <w:rPr>
                <w:rFonts w:hint="eastAsia"/>
              </w:rPr>
              <w:t>数量</w:t>
            </w:r>
          </w:p>
        </w:tc>
        <w:tc>
          <w:tcPr>
            <w:tcW w:w="776" w:type="dxa"/>
            <w:gridSpan w:val="2"/>
            <w:vAlign w:val="center"/>
          </w:tcPr>
          <w:p>
            <w:pPr>
              <w:pStyle w:val="40"/>
            </w:pPr>
            <w:r>
              <w:rPr>
                <w:rFonts w:hint="eastAsia"/>
              </w:rPr>
              <w:t>/</w:t>
            </w:r>
          </w:p>
        </w:tc>
        <w:tc>
          <w:tcPr>
            <w:tcW w:w="2415" w:type="dxa"/>
            <w:gridSpan w:val="3"/>
            <w:vAlign w:val="center"/>
          </w:tcPr>
          <w:p>
            <w:pPr>
              <w:pStyle w:val="40"/>
            </w:pPr>
            <w:r>
              <w:rPr>
                <w:rFonts w:hint="eastAsia"/>
              </w:rPr>
              <w:t>/</w:t>
            </w:r>
          </w:p>
        </w:tc>
        <w:tc>
          <w:tcPr>
            <w:tcW w:w="1085" w:type="dxa"/>
            <w:gridSpan w:val="2"/>
            <w:vAlign w:val="center"/>
          </w:tcPr>
          <w:p>
            <w:pPr>
              <w:pStyle w:val="40"/>
            </w:pPr>
            <w:r>
              <w:rPr>
                <w:rFonts w:hint="eastAsia"/>
              </w:rPr>
              <w:t>/</w:t>
            </w:r>
          </w:p>
        </w:tc>
        <w:tc>
          <w:tcPr>
            <w:tcW w:w="2571" w:type="dxa"/>
            <w:gridSpan w:val="2"/>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Align w:val="center"/>
          </w:tcPr>
          <w:p>
            <w:pPr>
              <w:pStyle w:val="40"/>
            </w:pPr>
            <w:r>
              <w:rPr>
                <w:rFonts w:hint="eastAsia"/>
              </w:rPr>
              <w:t>主要产污环节</w:t>
            </w:r>
          </w:p>
        </w:tc>
        <w:tc>
          <w:tcPr>
            <w:tcW w:w="8527" w:type="dxa"/>
            <w:gridSpan w:val="11"/>
            <w:vAlign w:val="center"/>
          </w:tcPr>
          <w:p>
            <w:pPr>
              <w:pStyle w:val="40"/>
            </w:pPr>
            <w:r>
              <w:rPr>
                <w:rFonts w:hint="eastAsia"/>
              </w:rPr>
              <w:t>污水处理站尾水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 w:hRule="atLeast"/>
          <w:jc w:val="center"/>
        </w:trPr>
        <w:tc>
          <w:tcPr>
            <w:tcW w:w="636" w:type="dxa"/>
            <w:vMerge w:val="restart"/>
            <w:vAlign w:val="center"/>
          </w:tcPr>
          <w:p>
            <w:pPr>
              <w:pStyle w:val="40"/>
            </w:pPr>
            <w:r>
              <w:rPr>
                <w:rFonts w:hint="eastAsia"/>
              </w:rPr>
              <w:t>取水情况</w:t>
            </w:r>
          </w:p>
        </w:tc>
        <w:tc>
          <w:tcPr>
            <w:tcW w:w="2456" w:type="dxa"/>
            <w:gridSpan w:val="4"/>
            <w:vAlign w:val="center"/>
          </w:tcPr>
          <w:p>
            <w:pPr>
              <w:pStyle w:val="40"/>
            </w:pPr>
            <w:r>
              <w:t>水源</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取水许可证编号</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审批机关</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取水方式</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用途</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年审批取水量（万m</w:t>
            </w:r>
            <w:r>
              <w:rPr>
                <w:vertAlign w:val="superscript"/>
              </w:rPr>
              <w:t>3</w:t>
            </w:r>
            <w:r>
              <w:t>）</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 w:hRule="atLeast"/>
          <w:jc w:val="center"/>
        </w:trPr>
        <w:tc>
          <w:tcPr>
            <w:tcW w:w="636" w:type="dxa"/>
            <w:vMerge w:val="continue"/>
            <w:vAlign w:val="center"/>
          </w:tcPr>
          <w:p>
            <w:pPr>
              <w:pStyle w:val="40"/>
            </w:pPr>
          </w:p>
        </w:tc>
        <w:tc>
          <w:tcPr>
            <w:tcW w:w="2456" w:type="dxa"/>
            <w:gridSpan w:val="4"/>
            <w:vAlign w:val="center"/>
          </w:tcPr>
          <w:p>
            <w:pPr>
              <w:pStyle w:val="40"/>
            </w:pPr>
            <w:r>
              <w:t>年实际取水量（万m</w:t>
            </w:r>
            <w:r>
              <w:rPr>
                <w:vertAlign w:val="superscript"/>
              </w:rPr>
              <w:t>3</w:t>
            </w:r>
            <w:r>
              <w:t>）</w:t>
            </w:r>
          </w:p>
        </w:tc>
        <w:tc>
          <w:tcPr>
            <w:tcW w:w="6071" w:type="dxa"/>
            <w:gridSpan w:val="7"/>
            <w:vAlign w:val="center"/>
          </w:tcPr>
          <w:p>
            <w:pPr>
              <w:pStyle w:val="40"/>
            </w:pP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restart"/>
            <w:vAlign w:val="center"/>
          </w:tcPr>
          <w:p>
            <w:pPr>
              <w:pStyle w:val="40"/>
            </w:pPr>
            <w:r>
              <w:t>排</w:t>
            </w:r>
            <w:r>
              <w:rPr>
                <w:rFonts w:hint="eastAsia"/>
              </w:rPr>
              <w:t>污</w:t>
            </w:r>
          </w:p>
          <w:p>
            <w:pPr>
              <w:pStyle w:val="40"/>
            </w:pPr>
            <w:r>
              <w:rPr>
                <w:rFonts w:hint="eastAsia"/>
              </w:rPr>
              <w:t>口基</w:t>
            </w:r>
          </w:p>
          <w:p>
            <w:pPr>
              <w:pStyle w:val="40"/>
            </w:pPr>
            <w:r>
              <w:rPr>
                <w:rFonts w:hint="eastAsia"/>
              </w:rPr>
              <w:t>本情</w:t>
            </w:r>
          </w:p>
          <w:p>
            <w:pPr>
              <w:pStyle w:val="40"/>
            </w:pPr>
            <w:r>
              <w:rPr>
                <w:rFonts w:hint="eastAsia"/>
              </w:rPr>
              <w:t>况</w:t>
            </w:r>
          </w:p>
        </w:tc>
        <w:tc>
          <w:tcPr>
            <w:tcW w:w="2073" w:type="dxa"/>
            <w:gridSpan w:val="3"/>
            <w:vAlign w:val="center"/>
          </w:tcPr>
          <w:p>
            <w:pPr>
              <w:pStyle w:val="40"/>
            </w:pPr>
            <w:r>
              <w:rPr>
                <w:rFonts w:hint="eastAsia"/>
              </w:rPr>
              <w:t>排污口名称</w:t>
            </w:r>
          </w:p>
        </w:tc>
        <w:tc>
          <w:tcPr>
            <w:tcW w:w="6454" w:type="dxa"/>
            <w:gridSpan w:val="8"/>
            <w:vAlign w:val="center"/>
          </w:tcPr>
          <w:p>
            <w:pPr>
              <w:pStyle w:val="40"/>
            </w:pPr>
            <w:r>
              <w:rPr>
                <w:rFonts w:hint="eastAsia"/>
              </w:rPr>
              <w:t>凤歧坪乡污水处理工程入河排污口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排污口行政地址</w:t>
            </w:r>
          </w:p>
        </w:tc>
        <w:tc>
          <w:tcPr>
            <w:tcW w:w="6454" w:type="dxa"/>
            <w:gridSpan w:val="8"/>
            <w:vAlign w:val="center"/>
          </w:tcPr>
          <w:p>
            <w:pPr>
              <w:pStyle w:val="40"/>
            </w:pPr>
            <w:r>
              <w:rPr>
                <w:rFonts w:hint="eastAsia"/>
              </w:rPr>
              <w:t>衡阳市祁东县凤歧坪乡凤歧坪村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所在水功能区概况</w:t>
            </w:r>
          </w:p>
        </w:tc>
        <w:tc>
          <w:tcPr>
            <w:tcW w:w="6454" w:type="dxa"/>
            <w:gridSpan w:val="8"/>
            <w:vAlign w:val="center"/>
          </w:tcPr>
          <w:p>
            <w:pPr>
              <w:pStyle w:val="40"/>
            </w:pPr>
            <w:r>
              <w:rPr>
                <w:rFonts w:hint="eastAsia"/>
              </w:rPr>
              <w:t>渔业用水区，III类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排污口经纬度</w:t>
            </w:r>
          </w:p>
        </w:tc>
        <w:tc>
          <w:tcPr>
            <w:tcW w:w="6454" w:type="dxa"/>
            <w:gridSpan w:val="8"/>
            <w:vAlign w:val="center"/>
          </w:tcPr>
          <w:p>
            <w:pPr>
              <w:pStyle w:val="40"/>
            </w:pPr>
            <w:r>
              <w:rPr>
                <w:rFonts w:hint="eastAsia"/>
                <w:szCs w:val="21"/>
              </w:rPr>
              <w:t>E</w:t>
            </w:r>
            <w:r>
              <w:rPr>
                <w:szCs w:val="28"/>
              </w:rPr>
              <w:t>111°40′12.87″,</w:t>
            </w:r>
            <w:r>
              <w:rPr>
                <w:rFonts w:hint="eastAsia"/>
                <w:szCs w:val="28"/>
              </w:rPr>
              <w:t>N</w:t>
            </w:r>
            <w:r>
              <w:rPr>
                <w:szCs w:val="28"/>
              </w:rPr>
              <w:t>27°01′16.49″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排污口类型</w:t>
            </w:r>
          </w:p>
        </w:tc>
        <w:tc>
          <w:tcPr>
            <w:tcW w:w="6454" w:type="dxa"/>
            <w:gridSpan w:val="8"/>
            <w:vAlign w:val="center"/>
          </w:tcPr>
          <w:p>
            <w:pPr>
              <w:pStyle w:val="40"/>
            </w:pPr>
            <w:r>
              <w:rPr>
                <w:rFonts w:hint="eastAsia"/>
              </w:rPr>
              <w:t>新建</w:t>
            </w:r>
            <w:r>
              <w:rPr>
                <w:rFonts w:ascii="Segoe UI Symbol" w:hAnsi="Segoe UI Symbol" w:cs="Segoe UI Symbol"/>
              </w:rPr>
              <w:t>☑</w:t>
            </w:r>
            <w:r>
              <w:rPr>
                <w:rFonts w:hint="eastAsia"/>
              </w:rPr>
              <w:t xml:space="preserve">     改建</w:t>
            </w:r>
            <w:r>
              <w:rPr>
                <w:rFonts w:ascii="Segoe UI Symbol" w:hAnsi="Segoe UI Symbol" w:cs="Segoe UI Symbol"/>
              </w:rPr>
              <w:t>☐</w:t>
            </w:r>
            <w:r>
              <w:rPr>
                <w:rFonts w:hint="eastAsia"/>
              </w:rPr>
              <w:t xml:space="preserve">      扩大</w:t>
            </w:r>
            <w:r>
              <w:rPr>
                <w:rFonts w:ascii="Segoe UI Symbol" w:hAnsi="Segoe UI Symbol" w:cs="Segoe UI Symbo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废污水年排放量(m</w:t>
            </w:r>
            <w:r>
              <w:rPr>
                <w:rFonts w:hint="eastAsia"/>
                <w:vertAlign w:val="superscript"/>
              </w:rPr>
              <w:t>3</w:t>
            </w:r>
            <w:r>
              <w:rPr>
                <w:rFonts w:hint="eastAsia"/>
              </w:rPr>
              <w:t>)</w:t>
            </w:r>
          </w:p>
        </w:tc>
        <w:tc>
          <w:tcPr>
            <w:tcW w:w="6454" w:type="dxa"/>
            <w:gridSpan w:val="8"/>
            <w:vAlign w:val="center"/>
          </w:tcPr>
          <w:p>
            <w:pPr>
              <w:pStyle w:val="40"/>
            </w:pPr>
            <w:r>
              <w:rPr>
                <w:rFonts w:hint="eastAsia"/>
              </w:rPr>
              <w:t>近期36500，远期219000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restart"/>
            <w:vAlign w:val="center"/>
          </w:tcPr>
          <w:p>
            <w:pPr>
              <w:pStyle w:val="40"/>
            </w:pPr>
            <w:r>
              <w:rPr>
                <w:rFonts w:hint="eastAsia"/>
              </w:rPr>
              <w:t>主</w:t>
            </w:r>
          </w:p>
          <w:p>
            <w:pPr>
              <w:pStyle w:val="40"/>
            </w:pPr>
            <w:r>
              <w:rPr>
                <w:rFonts w:hint="eastAsia"/>
              </w:rPr>
              <w:t>要</w:t>
            </w:r>
          </w:p>
          <w:p>
            <w:pPr>
              <w:pStyle w:val="40"/>
            </w:pPr>
            <w:r>
              <w:rPr>
                <w:rFonts w:hint="eastAsia"/>
              </w:rPr>
              <w:t>污</w:t>
            </w:r>
          </w:p>
          <w:p>
            <w:pPr>
              <w:pStyle w:val="40"/>
            </w:pPr>
            <w:r>
              <w:rPr>
                <w:rFonts w:hint="eastAsia"/>
              </w:rPr>
              <w:t>染</w:t>
            </w:r>
          </w:p>
          <w:p>
            <w:pPr>
              <w:pStyle w:val="40"/>
            </w:pPr>
            <w:r>
              <w:t>物</w:t>
            </w:r>
          </w:p>
        </w:tc>
        <w:tc>
          <w:tcPr>
            <w:tcW w:w="1240" w:type="dxa"/>
            <w:gridSpan w:val="2"/>
            <w:vAlign w:val="center"/>
          </w:tcPr>
          <w:p>
            <w:pPr>
              <w:pStyle w:val="40"/>
            </w:pPr>
            <w:r>
              <w:t>项</w:t>
            </w:r>
            <w:r>
              <w:rPr>
                <w:rFonts w:hint="eastAsia"/>
              </w:rPr>
              <w:t xml:space="preserve">  </w:t>
            </w:r>
            <w:r>
              <w:t>目</w:t>
            </w:r>
          </w:p>
        </w:tc>
        <w:tc>
          <w:tcPr>
            <w:tcW w:w="1575" w:type="dxa"/>
            <w:gridSpan w:val="3"/>
            <w:vAlign w:val="center"/>
          </w:tcPr>
          <w:p>
            <w:pPr>
              <w:pStyle w:val="40"/>
            </w:pPr>
            <w:r>
              <w:rPr>
                <w:rFonts w:hint="eastAsia"/>
              </w:rPr>
              <w:t>日最高</w:t>
            </w:r>
            <w:r>
              <w:t>排放浓度</w:t>
            </w:r>
            <w:r>
              <w:rPr>
                <w:rFonts w:hint="eastAsia"/>
              </w:rPr>
              <w:t>（mg/l）</w:t>
            </w:r>
          </w:p>
        </w:tc>
        <w:tc>
          <w:tcPr>
            <w:tcW w:w="1068" w:type="dxa"/>
            <w:vAlign w:val="center"/>
          </w:tcPr>
          <w:p>
            <w:pPr>
              <w:pStyle w:val="40"/>
            </w:pPr>
            <w:r>
              <w:rPr>
                <w:rFonts w:hint="eastAsia"/>
              </w:rPr>
              <w:t>月平均排放浓度</w:t>
            </w:r>
          </w:p>
        </w:tc>
        <w:tc>
          <w:tcPr>
            <w:tcW w:w="2571" w:type="dxa"/>
            <w:gridSpan w:val="2"/>
            <w:vAlign w:val="center"/>
          </w:tcPr>
          <w:p>
            <w:pPr>
              <w:pStyle w:val="40"/>
            </w:pPr>
            <w:r>
              <w:rPr>
                <w:rFonts w:hint="eastAsia"/>
              </w:rPr>
              <w:t>最大</w:t>
            </w:r>
            <w:r>
              <w:t>年排放量</w:t>
            </w:r>
            <w:r>
              <w:rPr>
                <w:rFonts w:hint="eastAsia"/>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CODcr</w:t>
            </w:r>
          </w:p>
        </w:tc>
        <w:tc>
          <w:tcPr>
            <w:tcW w:w="1575" w:type="dxa"/>
            <w:gridSpan w:val="3"/>
            <w:vAlign w:val="center"/>
          </w:tcPr>
          <w:p>
            <w:pPr>
              <w:pStyle w:val="40"/>
            </w:pPr>
            <w:r>
              <w:rPr>
                <w:rFonts w:hint="eastAsia"/>
              </w:rPr>
              <w:t>6</w:t>
            </w:r>
            <w:r>
              <w:t>0</w:t>
            </w:r>
          </w:p>
        </w:tc>
        <w:tc>
          <w:tcPr>
            <w:tcW w:w="1068" w:type="dxa"/>
            <w:vAlign w:val="center"/>
          </w:tcPr>
          <w:p>
            <w:pPr>
              <w:pStyle w:val="40"/>
            </w:pPr>
            <w:r>
              <w:rPr>
                <w:rFonts w:hint="eastAsia"/>
              </w:rPr>
              <w:t>6</w:t>
            </w:r>
            <w:r>
              <w:t>0</w:t>
            </w:r>
          </w:p>
        </w:tc>
        <w:tc>
          <w:tcPr>
            <w:tcW w:w="2571" w:type="dxa"/>
            <w:gridSpan w:val="2"/>
            <w:vAlign w:val="center"/>
          </w:tcPr>
          <w:p>
            <w:pPr>
              <w:pStyle w:val="40"/>
            </w:pPr>
            <w:r>
              <w:rPr>
                <w:rFonts w:hint="eastAsia"/>
              </w:rPr>
              <w:t>近期2.19，远期13.14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BOD</w:t>
            </w:r>
            <w:r>
              <w:rPr>
                <w:vertAlign w:val="subscript"/>
              </w:rPr>
              <w:t>5</w:t>
            </w:r>
          </w:p>
        </w:tc>
        <w:tc>
          <w:tcPr>
            <w:tcW w:w="1575" w:type="dxa"/>
            <w:gridSpan w:val="3"/>
            <w:vAlign w:val="center"/>
          </w:tcPr>
          <w:p>
            <w:pPr>
              <w:pStyle w:val="40"/>
            </w:pPr>
            <w:r>
              <w:rPr>
                <w:rFonts w:hint="eastAsia"/>
              </w:rPr>
              <w:t>2</w:t>
            </w:r>
            <w:r>
              <w:t>0</w:t>
            </w:r>
          </w:p>
        </w:tc>
        <w:tc>
          <w:tcPr>
            <w:tcW w:w="1068" w:type="dxa"/>
            <w:vAlign w:val="center"/>
          </w:tcPr>
          <w:p>
            <w:pPr>
              <w:pStyle w:val="40"/>
            </w:pPr>
            <w:r>
              <w:rPr>
                <w:rFonts w:hint="eastAsia"/>
              </w:rPr>
              <w:t>2</w:t>
            </w:r>
            <w:r>
              <w:t>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SS</w:t>
            </w:r>
          </w:p>
        </w:tc>
        <w:tc>
          <w:tcPr>
            <w:tcW w:w="1575" w:type="dxa"/>
            <w:gridSpan w:val="3"/>
            <w:vAlign w:val="center"/>
          </w:tcPr>
          <w:p>
            <w:pPr>
              <w:pStyle w:val="40"/>
            </w:pPr>
            <w:r>
              <w:rPr>
                <w:rFonts w:hint="eastAsia"/>
              </w:rPr>
              <w:t>2</w:t>
            </w:r>
            <w:r>
              <w:t>0</w:t>
            </w:r>
          </w:p>
        </w:tc>
        <w:tc>
          <w:tcPr>
            <w:tcW w:w="1068" w:type="dxa"/>
            <w:vAlign w:val="center"/>
          </w:tcPr>
          <w:p>
            <w:pPr>
              <w:pStyle w:val="40"/>
            </w:pPr>
            <w:r>
              <w:rPr>
                <w:rFonts w:hint="eastAsia"/>
              </w:rPr>
              <w:t>2</w:t>
            </w:r>
            <w:r>
              <w:t>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NH3-N</w:t>
            </w:r>
          </w:p>
        </w:tc>
        <w:tc>
          <w:tcPr>
            <w:tcW w:w="1575" w:type="dxa"/>
            <w:gridSpan w:val="3"/>
            <w:vAlign w:val="center"/>
          </w:tcPr>
          <w:p>
            <w:pPr>
              <w:pStyle w:val="40"/>
            </w:pPr>
            <w:r>
              <w:rPr>
                <w:rFonts w:hint="eastAsia"/>
              </w:rPr>
              <w:t>8</w:t>
            </w:r>
          </w:p>
        </w:tc>
        <w:tc>
          <w:tcPr>
            <w:tcW w:w="1068" w:type="dxa"/>
            <w:vAlign w:val="center"/>
          </w:tcPr>
          <w:p>
            <w:pPr>
              <w:pStyle w:val="40"/>
            </w:pPr>
            <w:r>
              <w:rPr>
                <w:rFonts w:hint="eastAsia"/>
              </w:rPr>
              <w:t>8</w:t>
            </w:r>
          </w:p>
        </w:tc>
        <w:tc>
          <w:tcPr>
            <w:tcW w:w="2571" w:type="dxa"/>
            <w:gridSpan w:val="2"/>
            <w:vAlign w:val="center"/>
          </w:tcPr>
          <w:p>
            <w:pPr>
              <w:pStyle w:val="40"/>
            </w:pPr>
            <w:r>
              <w:rPr>
                <w:rFonts w:hint="eastAsia"/>
              </w:rPr>
              <w:t>近期0.29，远期1.75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TN</w:t>
            </w:r>
          </w:p>
        </w:tc>
        <w:tc>
          <w:tcPr>
            <w:tcW w:w="1575" w:type="dxa"/>
            <w:gridSpan w:val="3"/>
            <w:vAlign w:val="center"/>
          </w:tcPr>
          <w:p>
            <w:pPr>
              <w:pStyle w:val="40"/>
            </w:pPr>
            <w:r>
              <w:rPr>
                <w:rFonts w:hint="eastAsia"/>
              </w:rPr>
              <w:t>20</w:t>
            </w:r>
          </w:p>
        </w:tc>
        <w:tc>
          <w:tcPr>
            <w:tcW w:w="1068" w:type="dxa"/>
            <w:vAlign w:val="center"/>
          </w:tcPr>
          <w:p>
            <w:pPr>
              <w:pStyle w:val="40"/>
            </w:pPr>
            <w:r>
              <w:rPr>
                <w:rFonts w:hint="eastAsia"/>
              </w:rPr>
              <w:t>20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TP</w:t>
            </w:r>
          </w:p>
        </w:tc>
        <w:tc>
          <w:tcPr>
            <w:tcW w:w="1575" w:type="dxa"/>
            <w:gridSpan w:val="3"/>
            <w:vAlign w:val="center"/>
          </w:tcPr>
          <w:p>
            <w:pPr>
              <w:pStyle w:val="40"/>
            </w:pPr>
            <w:r>
              <w:rPr>
                <w:rFonts w:hint="eastAsia"/>
              </w:rPr>
              <w:t>1</w:t>
            </w:r>
          </w:p>
        </w:tc>
        <w:tc>
          <w:tcPr>
            <w:tcW w:w="1068" w:type="dxa"/>
            <w:vAlign w:val="center"/>
          </w:tcPr>
          <w:p>
            <w:pPr>
              <w:pStyle w:val="40"/>
            </w:pPr>
            <w:r>
              <w:rPr>
                <w:rFonts w:hint="eastAsia"/>
              </w:rPr>
              <w:t>1</w:t>
            </w:r>
          </w:p>
        </w:tc>
        <w:tc>
          <w:tcPr>
            <w:tcW w:w="2571" w:type="dxa"/>
            <w:gridSpan w:val="2"/>
            <w:vAlign w:val="center"/>
          </w:tcPr>
          <w:p>
            <w:pPr>
              <w:pStyle w:val="40"/>
            </w:pPr>
            <w:r>
              <w:rPr>
                <w:rFonts w:hint="eastAsia"/>
              </w:rPr>
              <w:t>近期0.04，远期0.22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计量设施安装状况</w:t>
            </w:r>
          </w:p>
        </w:tc>
        <w:tc>
          <w:tcPr>
            <w:tcW w:w="6454" w:type="dxa"/>
            <w:gridSpan w:val="8"/>
            <w:vAlign w:val="center"/>
          </w:tcPr>
          <w:p>
            <w:pPr>
              <w:pStyle w:val="40"/>
            </w:pPr>
            <w:r>
              <w:rPr>
                <w:rFonts w:hint="eastAsia"/>
              </w:rPr>
              <w:t xml:space="preserve">废污水计量设施（ </w:t>
            </w:r>
            <w:r>
              <w:t>√</w:t>
            </w:r>
            <w:r>
              <w:rPr>
                <w:rFonts w:hint="eastAsia"/>
              </w:rPr>
              <w:t xml:space="preserve">  ）   水质在线监测设施（ </w:t>
            </w:r>
            <w:r>
              <w:t>√</w:t>
            </w:r>
            <w:r>
              <w:rPr>
                <w:rFonts w:hint="eastAsia"/>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污水性质</w:t>
            </w:r>
          </w:p>
        </w:tc>
        <w:tc>
          <w:tcPr>
            <w:tcW w:w="6454" w:type="dxa"/>
            <w:gridSpan w:val="8"/>
            <w:vAlign w:val="center"/>
          </w:tcPr>
          <w:p>
            <w:pPr>
              <w:pStyle w:val="40"/>
            </w:pPr>
            <w:r>
              <w:rPr>
                <w:rFonts w:hint="eastAsia"/>
              </w:rPr>
              <w:t>工业（  ）  生活（  ）  混合（ √ ）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废污水入河方式</w:t>
            </w:r>
          </w:p>
        </w:tc>
        <w:tc>
          <w:tcPr>
            <w:tcW w:w="6454" w:type="dxa"/>
            <w:gridSpan w:val="8"/>
            <w:vAlign w:val="center"/>
          </w:tcPr>
          <w:p>
            <w:pPr>
              <w:pStyle w:val="40"/>
            </w:pPr>
            <w:r>
              <w:rPr>
                <w:rFonts w:hint="eastAsia"/>
              </w:rPr>
              <w:t xml:space="preserve">管道（ </w:t>
            </w:r>
            <w:r>
              <w:t>√</w:t>
            </w:r>
            <w:r>
              <w:rPr>
                <w:rFonts w:hint="eastAsia"/>
              </w:rPr>
              <w:t xml:space="preserve"> ）      明渠（  ）      涵闸（   ）</w:t>
            </w:r>
          </w:p>
          <w:p>
            <w:pPr>
              <w:pStyle w:val="40"/>
            </w:pPr>
            <w:r>
              <w:rPr>
                <w:rFonts w:hint="eastAsia"/>
              </w:rPr>
              <w:t>阴沟（   ）      干沟（   ）      其他（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废污水排放方式</w:t>
            </w:r>
          </w:p>
        </w:tc>
        <w:tc>
          <w:tcPr>
            <w:tcW w:w="6454" w:type="dxa"/>
            <w:gridSpan w:val="8"/>
            <w:vAlign w:val="center"/>
          </w:tcPr>
          <w:p>
            <w:pPr>
              <w:pStyle w:val="40"/>
            </w:pPr>
            <w:r>
              <w:rPr>
                <w:rFonts w:hint="eastAsia"/>
              </w:rPr>
              <w:t>连续（</w:t>
            </w:r>
            <w:r>
              <w:t>√</w:t>
            </w:r>
            <w:r>
              <w:rPr>
                <w:rFonts w:hint="eastAsia"/>
              </w:rPr>
              <w:t xml:space="preserve"> </w:t>
            </w:r>
            <w:r>
              <w:t xml:space="preserve"> </w:t>
            </w:r>
            <w:r>
              <w:rPr>
                <w:rFonts w:hint="eastAsia"/>
              </w:rPr>
              <w:t>）</w:t>
            </w:r>
            <w:r>
              <w:t xml:space="preserve">      </w:t>
            </w:r>
            <w:r>
              <w:rPr>
                <w:rFonts w:hint="eastAsia"/>
              </w:rPr>
              <w:t>间歇（</w:t>
            </w:r>
            <w:r>
              <w:t xml:space="preserve">  </w:t>
            </w:r>
            <w:r>
              <w:rPr>
                <w:rFonts w:hint="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Align w:val="center"/>
          </w:tcPr>
          <w:p>
            <w:pPr>
              <w:pStyle w:val="40"/>
            </w:pPr>
            <w:r>
              <w:rPr>
                <w:rFonts w:hint="eastAsia"/>
              </w:rPr>
              <w:t>排污河道、排污口平面位置示意图</w:t>
            </w:r>
          </w:p>
        </w:tc>
        <w:tc>
          <w:tcPr>
            <w:tcW w:w="8527" w:type="dxa"/>
            <w:gridSpan w:val="11"/>
            <w:vAlign w:val="center"/>
          </w:tcPr>
          <w:p>
            <w:pPr>
              <w:pStyle w:val="40"/>
            </w:pPr>
            <w:r>
              <w:drawing>
                <wp:inline distT="0" distB="0" distL="0" distR="0">
                  <wp:extent cx="5274310" cy="7156450"/>
                  <wp:effectExtent l="0" t="0" r="2540" b="6350"/>
                  <wp:docPr id="83994990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949901" name="图片 1"/>
                          <pic:cNvPicPr>
                            <a:picLocks noChangeAspect="1"/>
                          </pic:cNvPicPr>
                        </pic:nvPicPr>
                        <pic:blipFill>
                          <a:blip r:embed="rId5"/>
                          <a:stretch>
                            <a:fillRect/>
                          </a:stretch>
                        </pic:blipFill>
                        <pic:spPr>
                          <a:xfrm>
                            <a:off x="0" y="0"/>
                            <a:ext cx="5274310" cy="715645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t>退</w:t>
            </w:r>
          </w:p>
          <w:p>
            <w:pPr>
              <w:pStyle w:val="40"/>
            </w:pPr>
            <w:r>
              <w:t>水</w:t>
            </w:r>
          </w:p>
          <w:p>
            <w:pPr>
              <w:pStyle w:val="40"/>
            </w:pPr>
            <w:r>
              <w:rPr>
                <w:rFonts w:hint="eastAsia"/>
              </w:rPr>
              <w:t>及</w:t>
            </w:r>
          </w:p>
          <w:p>
            <w:pPr>
              <w:pStyle w:val="40"/>
            </w:pPr>
            <w:r>
              <w:rPr>
                <w:rFonts w:hint="eastAsia"/>
              </w:rPr>
              <w:t>影</w:t>
            </w:r>
          </w:p>
          <w:p>
            <w:pPr>
              <w:pStyle w:val="40"/>
            </w:pPr>
            <w:r>
              <w:rPr>
                <w:rFonts w:hint="eastAsia"/>
              </w:rPr>
              <w:t>响</w:t>
            </w:r>
          </w:p>
        </w:tc>
        <w:tc>
          <w:tcPr>
            <w:tcW w:w="2073" w:type="dxa"/>
            <w:gridSpan w:val="3"/>
            <w:vAlign w:val="center"/>
          </w:tcPr>
          <w:p>
            <w:pPr>
              <w:pStyle w:val="40"/>
            </w:pPr>
            <w:r>
              <w:rPr>
                <w:rFonts w:hint="eastAsia"/>
              </w:rPr>
              <w:t>废污水</w:t>
            </w:r>
            <w:r>
              <w:t>是否经过处理</w:t>
            </w:r>
          </w:p>
        </w:tc>
        <w:tc>
          <w:tcPr>
            <w:tcW w:w="6454" w:type="dxa"/>
            <w:gridSpan w:val="8"/>
            <w:vAlign w:val="center"/>
          </w:tcPr>
          <w:p>
            <w:pPr>
              <w:pStyle w:val="4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废污水处理</w:t>
            </w:r>
            <w:r>
              <w:t>方式及处理工艺</w:t>
            </w:r>
          </w:p>
        </w:tc>
        <w:tc>
          <w:tcPr>
            <w:tcW w:w="6454" w:type="dxa"/>
            <w:gridSpan w:val="8"/>
            <w:vAlign w:val="center"/>
          </w:tcPr>
          <w:p>
            <w:pPr>
              <w:pStyle w:val="40"/>
            </w:pPr>
            <w:r>
              <w:rPr>
                <w:rFonts w:hint="eastAsia"/>
                <w:szCs w:val="24"/>
              </w:rPr>
              <w:t>污水处理工艺为“组合池+一体化污水处理站”，其中一体化污水处理站工艺采用A</w:t>
            </w:r>
            <w:r>
              <w:rPr>
                <w:rFonts w:hint="eastAsia"/>
                <w:szCs w:val="24"/>
                <w:vertAlign w:val="superscript"/>
              </w:rPr>
              <w:t>2</w:t>
            </w:r>
            <w:r>
              <w:rPr>
                <w:rFonts w:hint="eastAsia"/>
                <w:szCs w:val="24"/>
              </w:rPr>
              <w:t>/O工艺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restart"/>
            <w:vAlign w:val="center"/>
          </w:tcPr>
          <w:p>
            <w:pPr>
              <w:pStyle w:val="40"/>
            </w:pPr>
            <w:r>
              <w:rPr>
                <w:rFonts w:hint="eastAsia"/>
              </w:rPr>
              <w:t>排放</w:t>
            </w:r>
          </w:p>
          <w:p>
            <w:pPr>
              <w:pStyle w:val="40"/>
            </w:pPr>
            <w:r>
              <w:t>浓度</w:t>
            </w:r>
            <w:r>
              <w:rPr>
                <w:rFonts w:hint="eastAsia"/>
              </w:rPr>
              <w:t>及排放量</w:t>
            </w:r>
          </w:p>
        </w:tc>
        <w:tc>
          <w:tcPr>
            <w:tcW w:w="1240" w:type="dxa"/>
            <w:gridSpan w:val="2"/>
            <w:vAlign w:val="center"/>
          </w:tcPr>
          <w:p>
            <w:pPr>
              <w:pStyle w:val="40"/>
            </w:pPr>
            <w:r>
              <w:t>项</w:t>
            </w:r>
            <w:r>
              <w:rPr>
                <w:rFonts w:hint="eastAsia"/>
              </w:rPr>
              <w:t xml:space="preserve">  </w:t>
            </w:r>
            <w:r>
              <w:t>目</w:t>
            </w:r>
          </w:p>
        </w:tc>
        <w:tc>
          <w:tcPr>
            <w:tcW w:w="2643" w:type="dxa"/>
            <w:gridSpan w:val="4"/>
            <w:vAlign w:val="center"/>
          </w:tcPr>
          <w:p>
            <w:pPr>
              <w:pStyle w:val="40"/>
            </w:pPr>
            <w:r>
              <w:rPr>
                <w:rFonts w:hint="eastAsia"/>
              </w:rPr>
              <w:t>排放</w:t>
            </w:r>
            <w:r>
              <w:t>浓度</w:t>
            </w:r>
            <w:r>
              <w:rPr>
                <w:rFonts w:hint="eastAsia"/>
              </w:rPr>
              <w:t>（mg/l）</w:t>
            </w:r>
          </w:p>
        </w:tc>
        <w:tc>
          <w:tcPr>
            <w:tcW w:w="2571" w:type="dxa"/>
            <w:gridSpan w:val="2"/>
            <w:vAlign w:val="center"/>
          </w:tcPr>
          <w:p>
            <w:pPr>
              <w:pStyle w:val="40"/>
            </w:pPr>
            <w:r>
              <w:rPr>
                <w:rFonts w:hint="eastAsia"/>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CODcr</w:t>
            </w:r>
          </w:p>
        </w:tc>
        <w:tc>
          <w:tcPr>
            <w:tcW w:w="2643" w:type="dxa"/>
            <w:gridSpan w:val="4"/>
            <w:vAlign w:val="center"/>
          </w:tcPr>
          <w:p>
            <w:pPr>
              <w:pStyle w:val="40"/>
            </w:pPr>
            <w:r>
              <w:rPr>
                <w:rFonts w:hint="eastAsia"/>
              </w:rPr>
              <w:t>6</w:t>
            </w:r>
            <w:r>
              <w:t>0</w:t>
            </w:r>
          </w:p>
        </w:tc>
        <w:tc>
          <w:tcPr>
            <w:tcW w:w="2571" w:type="dxa"/>
            <w:gridSpan w:val="2"/>
            <w:vAlign w:val="center"/>
          </w:tcPr>
          <w:p>
            <w:pPr>
              <w:pStyle w:val="40"/>
            </w:pPr>
            <w:r>
              <w:rPr>
                <w:rFonts w:hint="eastAsia"/>
              </w:rPr>
              <w:t>近期2.19，远期13.14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BOD</w:t>
            </w:r>
            <w:r>
              <w:rPr>
                <w:vertAlign w:val="subscript"/>
              </w:rPr>
              <w:t>5</w:t>
            </w:r>
          </w:p>
        </w:tc>
        <w:tc>
          <w:tcPr>
            <w:tcW w:w="2643" w:type="dxa"/>
            <w:gridSpan w:val="4"/>
            <w:vAlign w:val="center"/>
          </w:tcPr>
          <w:p>
            <w:pPr>
              <w:pStyle w:val="40"/>
            </w:pPr>
            <w:r>
              <w:rPr>
                <w:rFonts w:hint="eastAsia"/>
              </w:rPr>
              <w:t>2</w:t>
            </w:r>
            <w:r>
              <w:t>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SS</w:t>
            </w:r>
          </w:p>
        </w:tc>
        <w:tc>
          <w:tcPr>
            <w:tcW w:w="2643" w:type="dxa"/>
            <w:gridSpan w:val="4"/>
            <w:vAlign w:val="center"/>
          </w:tcPr>
          <w:p>
            <w:pPr>
              <w:pStyle w:val="40"/>
            </w:pPr>
            <w:r>
              <w:rPr>
                <w:rFonts w:hint="eastAsia"/>
              </w:rPr>
              <w:t>2</w:t>
            </w:r>
            <w:r>
              <w:t>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NH</w:t>
            </w:r>
            <w:r>
              <w:rPr>
                <w:vertAlign w:val="subscript"/>
              </w:rPr>
              <w:t>3</w:t>
            </w:r>
            <w:r>
              <w:t>-N</w:t>
            </w:r>
          </w:p>
        </w:tc>
        <w:tc>
          <w:tcPr>
            <w:tcW w:w="2643" w:type="dxa"/>
            <w:gridSpan w:val="4"/>
            <w:vAlign w:val="center"/>
          </w:tcPr>
          <w:p>
            <w:pPr>
              <w:pStyle w:val="40"/>
            </w:pPr>
            <w:r>
              <w:rPr>
                <w:rFonts w:hint="eastAsia"/>
              </w:rPr>
              <w:t>8</w:t>
            </w:r>
          </w:p>
        </w:tc>
        <w:tc>
          <w:tcPr>
            <w:tcW w:w="2571" w:type="dxa"/>
            <w:gridSpan w:val="2"/>
            <w:vAlign w:val="center"/>
          </w:tcPr>
          <w:p>
            <w:pPr>
              <w:pStyle w:val="40"/>
            </w:pPr>
            <w:r>
              <w:rPr>
                <w:rFonts w:hint="eastAsia"/>
              </w:rPr>
              <w:t>近期0.29，远期1.75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67"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TN</w:t>
            </w:r>
          </w:p>
        </w:tc>
        <w:tc>
          <w:tcPr>
            <w:tcW w:w="2643" w:type="dxa"/>
            <w:gridSpan w:val="4"/>
            <w:vAlign w:val="center"/>
          </w:tcPr>
          <w:p>
            <w:pPr>
              <w:pStyle w:val="40"/>
            </w:pPr>
            <w:r>
              <w:rPr>
                <w:rFonts w:hint="eastAsia"/>
              </w:rPr>
              <w:t>20</w:t>
            </w:r>
          </w:p>
        </w:tc>
        <w:tc>
          <w:tcPr>
            <w:tcW w:w="2571" w:type="dxa"/>
            <w:gridSpan w:val="2"/>
            <w:vAlign w:val="center"/>
          </w:tcPr>
          <w:p>
            <w:pPr>
              <w:pStyle w:val="40"/>
            </w:pPr>
            <w:r>
              <w:rPr>
                <w:rFonts w:hint="eastAsia"/>
              </w:rPr>
              <w:t>近期0.73，远期4.38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1240" w:type="dxa"/>
            <w:gridSpan w:val="2"/>
            <w:vAlign w:val="center"/>
          </w:tcPr>
          <w:p>
            <w:pPr>
              <w:pStyle w:val="40"/>
            </w:pPr>
            <w:r>
              <w:t>TP</w:t>
            </w:r>
          </w:p>
        </w:tc>
        <w:tc>
          <w:tcPr>
            <w:tcW w:w="2643" w:type="dxa"/>
            <w:gridSpan w:val="4"/>
            <w:vAlign w:val="center"/>
          </w:tcPr>
          <w:p>
            <w:pPr>
              <w:pStyle w:val="40"/>
            </w:pPr>
            <w:r>
              <w:rPr>
                <w:rFonts w:hint="eastAsia"/>
              </w:rPr>
              <w:t>1</w:t>
            </w:r>
          </w:p>
        </w:tc>
        <w:tc>
          <w:tcPr>
            <w:tcW w:w="2571" w:type="dxa"/>
            <w:gridSpan w:val="2"/>
            <w:vAlign w:val="center"/>
          </w:tcPr>
          <w:p>
            <w:pPr>
              <w:pStyle w:val="40"/>
            </w:pPr>
            <w:r>
              <w:rPr>
                <w:rFonts w:hint="eastAsia"/>
              </w:rPr>
              <w:t>近期0.04，远期0.22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水文、水质数据三性检查</w:t>
            </w:r>
          </w:p>
        </w:tc>
        <w:tc>
          <w:tcPr>
            <w:tcW w:w="6454" w:type="dxa"/>
            <w:gridSpan w:val="8"/>
            <w:vAlign w:val="center"/>
          </w:tcPr>
          <w:p>
            <w:pPr>
              <w:pStyle w:val="40"/>
            </w:pPr>
            <w:r>
              <w:rPr>
                <w:rFonts w:hint="eastAsia"/>
              </w:rPr>
              <w:t>数据引用于通过专家评审的环评报告，且根据现场实际情况进行复核，可靠、一致、具有代表性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水污染物输移时间及混合区实验情况</w:t>
            </w:r>
          </w:p>
        </w:tc>
        <w:tc>
          <w:tcPr>
            <w:tcW w:w="6454" w:type="dxa"/>
            <w:gridSpan w:val="8"/>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水生态调查及污水急性毒性试验情况</w:t>
            </w:r>
          </w:p>
        </w:tc>
        <w:tc>
          <w:tcPr>
            <w:tcW w:w="6454" w:type="dxa"/>
            <w:gridSpan w:val="8"/>
            <w:vAlign w:val="center"/>
          </w:tcPr>
          <w:p>
            <w:pPr>
              <w:pStyle w:val="40"/>
            </w:pPr>
            <w: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设计水文条件选取及计算方法，拟入河废污水、纳污水体水污染物浓度可能最大值计算方法，水质模型选取</w:t>
            </w:r>
          </w:p>
        </w:tc>
        <w:tc>
          <w:tcPr>
            <w:tcW w:w="6454" w:type="dxa"/>
            <w:gridSpan w:val="8"/>
            <w:vAlign w:val="center"/>
          </w:tcPr>
          <w:p>
            <w:pPr>
              <w:pStyle w:val="40"/>
            </w:pPr>
            <w:r>
              <w:rPr>
                <w:rFonts w:hint="eastAsia"/>
              </w:rPr>
              <w:t>纳污水体浓度，</w:t>
            </w:r>
            <w:r>
              <w:t>水域纳污能力计算按规范采用</w:t>
            </w:r>
            <w:r>
              <w:rPr>
                <w:rFonts w:hint="eastAsia"/>
              </w:rPr>
              <w:t>河流一维模型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排入</w:t>
            </w:r>
            <w:r>
              <w:t>水功能区及水质目标</w:t>
            </w:r>
          </w:p>
        </w:tc>
        <w:tc>
          <w:tcPr>
            <w:tcW w:w="6454" w:type="dxa"/>
            <w:gridSpan w:val="8"/>
            <w:vAlign w:val="center"/>
          </w:tcPr>
          <w:p>
            <w:pPr>
              <w:pStyle w:val="40"/>
            </w:pPr>
            <w:r>
              <w:rPr>
                <w:rFonts w:hint="eastAsia"/>
              </w:rPr>
              <w:t>祁水纳污段为渔业用水区，水质目标为《地表水环境质量标准》</w:t>
            </w:r>
            <w:r>
              <w:t>（GB3838-2002) Ⅲ</w:t>
            </w:r>
            <w:r>
              <w:rPr>
                <w:rFonts w:hint="eastAsia"/>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t>对水功能区水质影响</w:t>
            </w:r>
          </w:p>
        </w:tc>
        <w:tc>
          <w:tcPr>
            <w:tcW w:w="6454" w:type="dxa"/>
            <w:gridSpan w:val="8"/>
            <w:vAlign w:val="center"/>
          </w:tcPr>
          <w:p>
            <w:pPr>
              <w:pStyle w:val="40"/>
            </w:pPr>
            <w:r>
              <w:rPr>
                <w:rFonts w:hint="eastAsia"/>
              </w:rPr>
              <w:t>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rPr>
                <w:lang w:val="fr-FR"/>
              </w:rPr>
            </w:pPr>
          </w:p>
        </w:tc>
        <w:tc>
          <w:tcPr>
            <w:tcW w:w="2073" w:type="dxa"/>
            <w:gridSpan w:val="3"/>
            <w:vAlign w:val="center"/>
          </w:tcPr>
          <w:p>
            <w:pPr>
              <w:pStyle w:val="40"/>
            </w:pPr>
            <w:r>
              <w:t>是否满足水功能区要求</w:t>
            </w:r>
          </w:p>
        </w:tc>
        <w:tc>
          <w:tcPr>
            <w:tcW w:w="6454" w:type="dxa"/>
            <w:gridSpan w:val="8"/>
            <w:vAlign w:val="center"/>
          </w:tcPr>
          <w:p>
            <w:pPr>
              <w:pStyle w:val="40"/>
            </w:pPr>
            <w:r>
              <w:rPr>
                <w:rFonts w:hint="eastAsia"/>
              </w:rPr>
              <w:t>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t>对下游</w:t>
            </w:r>
            <w:r>
              <w:rPr>
                <w:rFonts w:hint="eastAsia"/>
              </w:rPr>
              <w:t>取水及生态敏感点</w:t>
            </w:r>
            <w:r>
              <w:t>的影响</w:t>
            </w:r>
          </w:p>
        </w:tc>
        <w:tc>
          <w:tcPr>
            <w:tcW w:w="6454" w:type="dxa"/>
            <w:gridSpan w:val="8"/>
            <w:vAlign w:val="center"/>
          </w:tcPr>
          <w:p>
            <w:pPr>
              <w:pStyle w:val="40"/>
            </w:pPr>
            <w:r>
              <w:rPr>
                <w:rFonts w:hint="eastAsia"/>
              </w:rPr>
              <w:t>基本无影响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对</w:t>
            </w:r>
            <w:r>
              <w:t>重要第三方</w:t>
            </w:r>
            <w:r>
              <w:rPr>
                <w:rFonts w:hint="eastAsia"/>
              </w:rPr>
              <w:t>的影响</w:t>
            </w:r>
          </w:p>
        </w:tc>
        <w:tc>
          <w:tcPr>
            <w:tcW w:w="6454" w:type="dxa"/>
            <w:gridSpan w:val="8"/>
            <w:vAlign w:val="center"/>
          </w:tcPr>
          <w:p>
            <w:pPr>
              <w:pStyle w:val="40"/>
            </w:pPr>
            <w:r>
              <w:rPr>
                <w:rFonts w:hint="eastAsi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restart"/>
            <w:vAlign w:val="center"/>
          </w:tcPr>
          <w:p>
            <w:pPr>
              <w:pStyle w:val="40"/>
            </w:pPr>
            <w:r>
              <w:t>水资</w:t>
            </w:r>
          </w:p>
          <w:p>
            <w:pPr>
              <w:pStyle w:val="40"/>
            </w:pPr>
            <w:r>
              <w:t>源保</w:t>
            </w:r>
          </w:p>
          <w:p>
            <w:pPr>
              <w:pStyle w:val="40"/>
            </w:pPr>
            <w:r>
              <w:t>护措</w:t>
            </w:r>
          </w:p>
          <w:p>
            <w:pPr>
              <w:pStyle w:val="40"/>
            </w:pPr>
            <w:r>
              <w:t>施</w:t>
            </w:r>
          </w:p>
        </w:tc>
        <w:tc>
          <w:tcPr>
            <w:tcW w:w="2073" w:type="dxa"/>
            <w:gridSpan w:val="3"/>
            <w:vAlign w:val="center"/>
          </w:tcPr>
          <w:p>
            <w:pPr>
              <w:pStyle w:val="40"/>
            </w:pPr>
            <w:r>
              <w:t>管理措施</w:t>
            </w:r>
          </w:p>
        </w:tc>
        <w:tc>
          <w:tcPr>
            <w:tcW w:w="6454" w:type="dxa"/>
            <w:gridSpan w:val="8"/>
            <w:vAlign w:val="center"/>
          </w:tcPr>
          <w:p>
            <w:pPr>
              <w:pStyle w:val="40"/>
            </w:pPr>
            <w:r>
              <w:t>（1）严格执行《</w:t>
            </w:r>
            <w:r>
              <w:rPr>
                <w:rFonts w:hint="eastAsia"/>
                <w:lang w:eastAsia="zh-CN"/>
              </w:rPr>
              <w:t>排污许可管理条例</w:t>
            </w:r>
            <w:r>
              <w:t>》，坚持依法排污，并按规定缴纳排污费，环境保护行政主管部门应定期将持证排污者主要污染物排放情况向社会公布，接受公众监督；</w:t>
            </w:r>
          </w:p>
          <w:p>
            <w:pPr>
              <w:pStyle w:val="40"/>
            </w:pPr>
            <w:r>
              <w:t>（2）严格按项目环评及批复的相关要求，执行和落实保护措施及补偿措施。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t>技术措施</w:t>
            </w:r>
          </w:p>
        </w:tc>
        <w:tc>
          <w:tcPr>
            <w:tcW w:w="6454" w:type="dxa"/>
            <w:gridSpan w:val="8"/>
            <w:vAlign w:val="center"/>
          </w:tcPr>
          <w:p>
            <w:pPr>
              <w:pStyle w:val="40"/>
            </w:pPr>
            <w:r>
              <w:t>污水排放浓度执行《城镇污水处理厂污染物排放标准》（GB18918-2002）中一级</w:t>
            </w:r>
            <w:r>
              <w:rPr>
                <w:rFonts w:hint="eastAsia"/>
              </w:rPr>
              <w:t>B</w:t>
            </w:r>
            <w:r>
              <w:t>标准</w:t>
            </w:r>
            <w:r>
              <w:rPr>
                <w:rFonts w:hint="eastAsia"/>
              </w:rPr>
              <w:t>（河流总氮不考核）</w:t>
            </w:r>
            <w:r>
              <w:t>，排污口设置在线监测装置。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污染物总量控制意见</w:t>
            </w:r>
          </w:p>
        </w:tc>
        <w:tc>
          <w:tcPr>
            <w:tcW w:w="6454" w:type="dxa"/>
            <w:gridSpan w:val="8"/>
            <w:vAlign w:val="center"/>
          </w:tcPr>
          <w:p>
            <w:pPr>
              <w:pStyle w:val="40"/>
            </w:pPr>
            <w:r>
              <w:t>CODcr</w:t>
            </w:r>
            <w:r>
              <w:rPr>
                <w:rFonts w:hint="eastAsia"/>
              </w:rPr>
              <w:t>近期2.19t/a，远期13.14t/a、</w:t>
            </w:r>
            <w:r>
              <w:t>NH</w:t>
            </w:r>
            <w:r>
              <w:rPr>
                <w:vertAlign w:val="subscript"/>
              </w:rPr>
              <w:t>3</w:t>
            </w:r>
            <w:r>
              <w:t>-N</w:t>
            </w:r>
            <w:r>
              <w:rPr>
                <w:rFonts w:hint="eastAsia"/>
              </w:rPr>
              <w:t>近期0.29t/a，远期1.75t/a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36" w:type="dxa"/>
            <w:vMerge w:val="continue"/>
            <w:vAlign w:val="center"/>
          </w:tcPr>
          <w:p>
            <w:pPr>
              <w:pStyle w:val="40"/>
            </w:pPr>
          </w:p>
        </w:tc>
        <w:tc>
          <w:tcPr>
            <w:tcW w:w="2073" w:type="dxa"/>
            <w:gridSpan w:val="3"/>
            <w:vMerge w:val="restart"/>
            <w:vAlign w:val="center"/>
          </w:tcPr>
          <w:p>
            <w:pPr>
              <w:pStyle w:val="40"/>
            </w:pPr>
            <w:r>
              <w:rPr>
                <w:rFonts w:hint="eastAsia"/>
              </w:rPr>
              <w:t>基于水质目标的水污染物排放限值</w:t>
            </w:r>
          </w:p>
        </w:tc>
        <w:tc>
          <w:tcPr>
            <w:tcW w:w="6454" w:type="dxa"/>
            <w:gridSpan w:val="8"/>
            <w:vAlign w:val="center"/>
          </w:tcPr>
          <w:p>
            <w:pPr>
              <w:pStyle w:val="40"/>
            </w:pPr>
            <w:r>
              <w:t>COD≤</w:t>
            </w:r>
            <w:r>
              <w:rPr>
                <w:rFonts w:hint="eastAsia"/>
              </w:rPr>
              <w:t>6</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5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6454" w:type="dxa"/>
            <w:gridSpan w:val="8"/>
            <w:vAlign w:val="center"/>
          </w:tcPr>
          <w:p>
            <w:pPr>
              <w:pStyle w:val="40"/>
            </w:pPr>
            <w:r>
              <w:t>BOD≤</w:t>
            </w: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6454" w:type="dxa"/>
            <w:gridSpan w:val="8"/>
            <w:vAlign w:val="center"/>
          </w:tcPr>
          <w:p>
            <w:pPr>
              <w:pStyle w:val="40"/>
            </w:pPr>
            <w:r>
              <w:t>SS≤</w:t>
            </w:r>
            <w:r>
              <w:rPr>
                <w:rFonts w:hint="eastAsia"/>
              </w:rPr>
              <w:t>2</w:t>
            </w:r>
            <w: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6454" w:type="dxa"/>
            <w:gridSpan w:val="8"/>
            <w:vAlign w:val="center"/>
          </w:tcPr>
          <w:p>
            <w:pPr>
              <w:pStyle w:val="40"/>
            </w:pPr>
            <w:r>
              <w:t>NH</w:t>
            </w:r>
            <w:r>
              <w:rPr>
                <w:vertAlign w:val="subscript"/>
              </w:rPr>
              <w:t>3</w:t>
            </w:r>
            <w:r>
              <w:t>-N≤</w:t>
            </w:r>
            <w:r>
              <w:rPr>
                <w:rFonts w:hint="eastAsi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6454" w:type="dxa"/>
            <w:gridSpan w:val="8"/>
            <w:vAlign w:val="center"/>
          </w:tcPr>
          <w:p>
            <w:pPr>
              <w:pStyle w:val="40"/>
            </w:pPr>
            <w:r>
              <w:t>TP≤</w:t>
            </w:r>
            <w:r>
              <w:rPr>
                <w:rFonts w:hint="eastAsia"/>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636" w:type="dxa"/>
            <w:vMerge w:val="continue"/>
            <w:vAlign w:val="center"/>
          </w:tcPr>
          <w:p>
            <w:pPr>
              <w:pStyle w:val="40"/>
            </w:pPr>
          </w:p>
        </w:tc>
        <w:tc>
          <w:tcPr>
            <w:tcW w:w="2073" w:type="dxa"/>
            <w:gridSpan w:val="3"/>
            <w:vMerge w:val="continue"/>
            <w:vAlign w:val="center"/>
          </w:tcPr>
          <w:p>
            <w:pPr>
              <w:pStyle w:val="40"/>
            </w:pPr>
          </w:p>
        </w:tc>
        <w:tc>
          <w:tcPr>
            <w:tcW w:w="6454" w:type="dxa"/>
            <w:gridSpan w:val="8"/>
            <w:vAlign w:val="center"/>
          </w:tcPr>
          <w:p>
            <w:pPr>
              <w:pStyle w:val="40"/>
            </w:pPr>
            <w:r>
              <w:t>TN≤</w:t>
            </w:r>
            <w:r>
              <w:rPr>
                <w:rFonts w:hint="eastAsia"/>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t>污水排放监控</w:t>
            </w:r>
            <w:r>
              <w:rPr>
                <w:rFonts w:hint="eastAsia"/>
              </w:rPr>
              <w:t>要求</w:t>
            </w:r>
          </w:p>
        </w:tc>
        <w:tc>
          <w:tcPr>
            <w:tcW w:w="6454" w:type="dxa"/>
            <w:gridSpan w:val="8"/>
            <w:vAlign w:val="center"/>
          </w:tcPr>
          <w:p>
            <w:pPr>
              <w:pStyle w:val="40"/>
            </w:pPr>
            <w:r>
              <w:rPr>
                <w:rFonts w:hint="eastAsia"/>
              </w:rPr>
              <w:t>在线监测</w:t>
            </w:r>
            <w:r>
              <w:t>PH、CODcr、NH</w:t>
            </w:r>
            <w:r>
              <w:rPr>
                <w:vertAlign w:val="subscript"/>
              </w:rPr>
              <w:t>3</w:t>
            </w:r>
            <w:r>
              <w:t>-N、</w:t>
            </w:r>
            <w:r>
              <w:rPr>
                <w:rFonts w:hint="eastAsia"/>
              </w:rPr>
              <w:t>SS、</w:t>
            </w:r>
            <w:r>
              <w:t>TN、TP</w:t>
            </w:r>
            <w:r>
              <w:rPr>
                <w:rFonts w:hint="eastAsia"/>
              </w:rPr>
              <w:t>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636" w:type="dxa"/>
            <w:vMerge w:val="continue"/>
            <w:vAlign w:val="center"/>
          </w:tcPr>
          <w:p>
            <w:pPr>
              <w:pStyle w:val="40"/>
            </w:pPr>
          </w:p>
        </w:tc>
        <w:tc>
          <w:tcPr>
            <w:tcW w:w="2073" w:type="dxa"/>
            <w:gridSpan w:val="3"/>
            <w:vAlign w:val="center"/>
          </w:tcPr>
          <w:p>
            <w:pPr>
              <w:pStyle w:val="40"/>
            </w:pPr>
            <w:r>
              <w:rPr>
                <w:rFonts w:hint="eastAsia"/>
              </w:rPr>
              <w:t>突发水污染事件应急预案</w:t>
            </w:r>
          </w:p>
        </w:tc>
        <w:tc>
          <w:tcPr>
            <w:tcW w:w="6454" w:type="dxa"/>
            <w:gridSpan w:val="8"/>
            <w:vAlign w:val="center"/>
          </w:tcPr>
          <w:p>
            <w:pPr>
              <w:pStyle w:val="40"/>
            </w:pPr>
            <w:r>
              <w:t>制定突发环境事件应急预案</w:t>
            </w:r>
          </w:p>
        </w:tc>
      </w:tr>
    </w:tbl>
    <w:p>
      <w:pPr>
        <w:pStyle w:val="40"/>
        <w:sectPr>
          <w:pgSz w:w="11906" w:h="16838"/>
          <w:pgMar w:top="1440" w:right="1800" w:bottom="1440" w:left="1800" w:header="851" w:footer="992" w:gutter="0"/>
          <w:cols w:space="425" w:num="1"/>
          <w:docGrid w:type="lines" w:linePitch="312" w:charSpace="0"/>
        </w:sectPr>
      </w:pPr>
    </w:p>
    <w:sdt>
      <w:sdtPr>
        <w:rPr>
          <w:rFonts w:ascii="Times New Roman" w:hAnsi="Times New Roman" w:eastAsia="宋体" w:cs="Times New Roman"/>
          <w:color w:val="auto"/>
          <w:kern w:val="2"/>
          <w:sz w:val="20"/>
          <w:szCs w:val="20"/>
          <w:lang w:val="zh-CN"/>
        </w:rPr>
        <w:id w:val="61457794"/>
        <w:docPartObj>
          <w:docPartGallery w:val="Table of Contents"/>
          <w:docPartUnique/>
        </w:docPartObj>
      </w:sdtPr>
      <w:sdtEndPr>
        <w:rPr>
          <w:rFonts w:ascii="Times New Roman" w:hAnsi="Times New Roman" w:eastAsia="宋体" w:cs="Times New Roman"/>
          <w:b/>
          <w:bCs/>
          <w:color w:val="auto"/>
          <w:kern w:val="2"/>
          <w:sz w:val="20"/>
          <w:szCs w:val="20"/>
          <w:lang w:val="zh-CN"/>
        </w:rPr>
      </w:sdtEndPr>
      <w:sdtContent>
        <w:p>
          <w:pPr>
            <w:pStyle w:val="52"/>
            <w:jc w:val="center"/>
          </w:pPr>
          <w:r>
            <w:rPr>
              <w:lang w:val="zh-CN"/>
            </w:rPr>
            <w:t>目录</w:t>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TOC \o "1-3" \h \z \u </w:instrText>
          </w:r>
          <w:r>
            <w:fldChar w:fldCharType="separate"/>
          </w:r>
          <w:r>
            <w:fldChar w:fldCharType="begin"/>
          </w:r>
          <w:r>
            <w:instrText xml:space="preserve"> HYPERLINK \l "_Toc161250431" </w:instrText>
          </w:r>
          <w:r>
            <w:fldChar w:fldCharType="separate"/>
          </w:r>
          <w:r>
            <w:rPr>
              <w:rStyle w:val="23"/>
            </w:rPr>
            <w:t>1总则</w:t>
          </w:r>
          <w:r>
            <w:tab/>
          </w:r>
          <w:r>
            <w:fldChar w:fldCharType="begin"/>
          </w:r>
          <w:r>
            <w:instrText xml:space="preserve"> PAGEREF _Toc161250431 \h </w:instrText>
          </w:r>
          <w:r>
            <w:fldChar w:fldCharType="separate"/>
          </w:r>
          <w:r>
            <w:t>1</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"_Toc161250432" </w:instrText>
          </w:r>
          <w:r>
            <w:fldChar w:fldCharType="separate"/>
          </w:r>
          <w:r>
            <w:rPr>
              <w:rStyle w:val="23"/>
            </w:rPr>
            <w:t>1.1论证背景</w:t>
          </w:r>
          <w:r>
            <w:tab/>
          </w:r>
          <w:r>
            <w:fldChar w:fldCharType="begin"/>
          </w:r>
          <w:r>
            <w:instrText xml:space="preserve"> PAGEREF _Toc161250432 \h </w:instrText>
          </w:r>
          <w:r>
            <w:fldChar w:fldCharType="separate"/>
          </w:r>
          <w:r>
            <w:t>1</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"_Toc161250433" </w:instrText>
          </w:r>
          <w:r>
            <w:fldChar w:fldCharType="separate"/>
          </w:r>
          <w:r>
            <w:rPr>
              <w:rStyle w:val="23"/>
            </w:rPr>
            <w:t>1.2论证目的</w:t>
          </w:r>
          <w:r>
            <w:tab/>
          </w:r>
          <w:r>
            <w:fldChar w:fldCharType="begin"/>
          </w:r>
          <w:r>
            <w:instrText xml:space="preserve"> PAGEREF _Toc161250433 \h </w:instrText>
          </w:r>
          <w:r>
            <w:fldChar w:fldCharType="separate"/>
          </w:r>
          <w:r>
            <w:t>2</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"_Toc161250434" </w:instrText>
          </w:r>
          <w:r>
            <w:fldChar w:fldCharType="separate"/>
          </w:r>
          <w:r>
            <w:rPr>
              <w:rStyle w:val="23"/>
            </w:rPr>
            <w:t>1.3论证依据</w:t>
          </w:r>
          <w:r>
            <w:tab/>
          </w:r>
          <w:r>
            <w:fldChar w:fldCharType="begin"/>
          </w:r>
          <w:r>
            <w:instrText xml:space="preserve"> PAGEREF _Toc161250434 \h </w:instrText>
          </w:r>
          <w:r>
            <w:fldChar w:fldCharType="separate"/>
          </w:r>
          <w:r>
            <w:t>2</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"_Toc161250435" </w:instrText>
          </w:r>
          <w:r>
            <w:fldChar w:fldCharType="separate"/>
          </w:r>
          <w:r>
            <w:rPr>
              <w:rStyle w:val="23"/>
            </w:rPr>
            <w:t>1.3.1法律法规</w:t>
          </w:r>
          <w:r>
            <w:tab/>
          </w:r>
          <w:r>
            <w:fldChar w:fldCharType="begin"/>
          </w:r>
          <w:r>
            <w:instrText xml:space="preserve"> PAGEREF _Toc161250435 \h </w:instrText>
          </w:r>
          <w:r>
            <w:fldChar w:fldCharType="separate"/>
          </w:r>
          <w:r>
            <w:t>2</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"_Toc161250436" </w:instrText>
          </w:r>
          <w:r>
            <w:fldChar w:fldCharType="separate"/>
          </w:r>
          <w:r>
            <w:rPr>
              <w:rStyle w:val="23"/>
            </w:rPr>
            <w:t>1.3.2技术标准、规范、规程</w:t>
          </w:r>
          <w:r>
            <w:tab/>
          </w:r>
          <w:r>
            <w:fldChar w:fldCharType="begin"/>
          </w:r>
          <w:r>
            <w:instrText xml:space="preserve"> PAGEREF _Toc161250436 \h </w:instrText>
          </w:r>
          <w:r>
            <w:fldChar w:fldCharType="separate"/>
          </w:r>
          <w:r>
            <w:t>3</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"_Toc161250437" </w:instrText>
          </w:r>
          <w:r>
            <w:fldChar w:fldCharType="separate"/>
          </w:r>
          <w:r>
            <w:rPr>
              <w:rStyle w:val="23"/>
            </w:rPr>
            <w:t>1.3.3其他资料</w:t>
          </w:r>
          <w:r>
            <w:tab/>
          </w:r>
          <w:r>
            <w:fldChar w:fldCharType="begin"/>
          </w:r>
          <w:r>
            <w:instrText xml:space="preserve"> PAGEREF _Toc161250437 \h </w:instrText>
          </w:r>
          <w:r>
            <w:fldChar w:fldCharType="separate"/>
          </w:r>
          <w:r>
            <w:t>3</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"_Toc161250438" </w:instrText>
          </w:r>
          <w:r>
            <w:fldChar w:fldCharType="separate"/>
          </w:r>
          <w:r>
            <w:rPr>
              <w:rStyle w:val="23"/>
            </w:rPr>
            <w:t>1.4论证原则</w:t>
          </w:r>
          <w:r>
            <w:tab/>
          </w:r>
          <w:r>
            <w:fldChar w:fldCharType="begin"/>
          </w:r>
          <w:r>
            <w:instrText xml:space="preserve"> PAGEREF _Toc161250438 \h </w:instrText>
          </w:r>
          <w:r>
            <w:fldChar w:fldCharType="separate"/>
          </w:r>
          <w:r>
            <w:t>3</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"_Toc161250439" </w:instrText>
          </w:r>
          <w:r>
            <w:fldChar w:fldCharType="separate"/>
          </w:r>
          <w:r>
            <w:rPr>
              <w:rStyle w:val="23"/>
            </w:rPr>
            <w:t>1.5论证范围</w:t>
          </w:r>
          <w:r>
            <w:tab/>
          </w:r>
          <w:r>
            <w:fldChar w:fldCharType="begin"/>
          </w:r>
          <w:r>
            <w:instrText xml:space="preserve"> PAGEREF _Toc161250439 \h </w:instrText>
          </w:r>
          <w:r>
            <w:fldChar w:fldCharType="separate"/>
          </w:r>
          <w:r>
            <w:t>4</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"_Toc161250440" </w:instrText>
          </w:r>
          <w:r>
            <w:fldChar w:fldCharType="separate"/>
          </w:r>
          <w:r>
            <w:rPr>
              <w:rStyle w:val="23"/>
            </w:rPr>
            <w:t>1.6论证工作程序</w:t>
          </w:r>
          <w:r>
            <w:tab/>
          </w:r>
          <w:r>
            <w:fldChar w:fldCharType="begin"/>
          </w:r>
          <w:r>
            <w:instrText xml:space="preserve"> PAGEREF _Toc161250440 \h </w:instrText>
          </w:r>
          <w:r>
            <w:fldChar w:fldCharType="separate"/>
          </w:r>
          <w:r>
            <w:t>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"_Toc161250441" </w:instrText>
          </w:r>
          <w:r>
            <w:fldChar w:fldCharType="separate"/>
          </w:r>
          <w:r>
            <w:rPr>
              <w:rStyle w:val="23"/>
            </w:rPr>
            <w:t>1.7论证主要内容</w:t>
          </w:r>
          <w:r>
            <w:tab/>
          </w:r>
          <w:r>
            <w:fldChar w:fldCharType="begin"/>
          </w:r>
          <w:r>
            <w:instrText xml:space="preserve"> PAGEREF _Toc161250441 \h </w:instrText>
          </w:r>
          <w:r>
            <w:fldChar w:fldCharType="separate"/>
          </w:r>
          <w:r>
            <w:t>7</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"_Toc161250442" </w:instrText>
          </w:r>
          <w:r>
            <w:fldChar w:fldCharType="separate"/>
          </w:r>
          <w:r>
            <w:rPr>
              <w:rStyle w:val="23"/>
            </w:rPr>
            <w:t>2项目概况</w:t>
          </w:r>
          <w:r>
            <w:tab/>
          </w:r>
          <w:r>
            <w:fldChar w:fldCharType="begin"/>
          </w:r>
          <w:r>
            <w:instrText xml:space="preserve"> PAGEREF _Toc161250442 \h </w:instrText>
          </w:r>
          <w:r>
            <w:fldChar w:fldCharType="separate"/>
          </w:r>
          <w:r>
            <w:t>10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"_Toc161250443" </w:instrText>
          </w:r>
          <w:r>
            <w:fldChar w:fldCharType="separate"/>
          </w:r>
          <w:r>
            <w:rPr>
              <w:rStyle w:val="23"/>
            </w:rPr>
            <w:t>2.1项目的基本情况</w:t>
          </w:r>
          <w:r>
            <w:tab/>
          </w:r>
          <w:r>
            <w:fldChar w:fldCharType="begin"/>
          </w:r>
          <w:r>
            <w:instrText xml:space="preserve"> PAGEREF _Toc161250443 \h </w:instrText>
          </w:r>
          <w:r>
            <w:fldChar w:fldCharType="separate"/>
          </w:r>
          <w:r>
            <w:t>10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"_Toc161250444" </w:instrText>
          </w:r>
          <w:r>
            <w:fldChar w:fldCharType="separate"/>
          </w:r>
          <w:r>
            <w:rPr>
              <w:rStyle w:val="23"/>
            </w:rPr>
            <w:t>2.1.1项目基本情况</w:t>
          </w:r>
          <w:r>
            <w:tab/>
          </w:r>
          <w:r>
            <w:fldChar w:fldCharType="begin"/>
          </w:r>
          <w:r>
            <w:instrText xml:space="preserve"> PAGEREF _Toc161250444 \h </w:instrText>
          </w:r>
          <w:r>
            <w:fldChar w:fldCharType="separate"/>
          </w:r>
          <w:r>
            <w:t>10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"_Toc161250445" </w:instrText>
          </w:r>
          <w:r>
            <w:fldChar w:fldCharType="separate"/>
          </w:r>
          <w:r>
            <w:rPr>
              <w:rStyle w:val="23"/>
            </w:rPr>
            <w:t>2.1.2主要建设内容及规模</w:t>
          </w:r>
          <w:r>
            <w:tab/>
          </w:r>
          <w:r>
            <w:fldChar w:fldCharType="begin"/>
          </w:r>
          <w:r>
            <w:instrText xml:space="preserve"> PAGEREF _Toc161250445 \h </w:instrText>
          </w:r>
          <w:r>
            <w:fldChar w:fldCharType="separate"/>
          </w:r>
          <w:r>
            <w:t>14</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"_Toc161250446" </w:instrText>
          </w:r>
          <w:r>
            <w:fldChar w:fldCharType="separate"/>
          </w:r>
          <w:r>
            <w:rPr>
              <w:rStyle w:val="23"/>
            </w:rPr>
            <w:t>2.1.3服务范围</w:t>
          </w:r>
          <w:r>
            <w:tab/>
          </w:r>
          <w:r>
            <w:fldChar w:fldCharType="begin"/>
          </w:r>
          <w:r>
            <w:instrText xml:space="preserve"> PAGEREF _Toc161250446 \h </w:instrText>
          </w:r>
          <w:r>
            <w:fldChar w:fldCharType="separate"/>
          </w:r>
          <w:r>
            <w:t>15</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"_Toc161250447" </w:instrText>
          </w:r>
          <w:r>
            <w:fldChar w:fldCharType="separate"/>
          </w:r>
          <w:r>
            <w:rPr>
              <w:rStyle w:val="23"/>
            </w:rPr>
            <w:t>2.1.4污水量预测</w:t>
          </w:r>
          <w:r>
            <w:tab/>
          </w:r>
          <w:r>
            <w:fldChar w:fldCharType="begin"/>
          </w:r>
          <w:r>
            <w:instrText xml:space="preserve"> PAGEREF _Toc161250447 \h </w:instrText>
          </w:r>
          <w:r>
            <w:fldChar w:fldCharType="separate"/>
          </w:r>
          <w:r>
            <w:t>16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"_Toc161250448" </w:instrText>
          </w:r>
          <w:r>
            <w:fldChar w:fldCharType="separate"/>
          </w:r>
          <w:r>
            <w:rPr>
              <w:rStyle w:val="23"/>
            </w:rPr>
            <w:t>2.1.5设计进出水质</w:t>
          </w:r>
          <w:r>
            <w:tab/>
          </w:r>
          <w:r>
            <w:fldChar w:fldCharType="begin"/>
          </w:r>
          <w:r>
            <w:instrText xml:space="preserve"> PAGEREF _Toc161250448 \h </w:instrText>
          </w:r>
          <w:r>
            <w:fldChar w:fldCharType="separate"/>
          </w:r>
          <w:r>
            <w:t>16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"_Toc161250449" </w:instrText>
          </w:r>
          <w:r>
            <w:fldChar w:fldCharType="separate"/>
          </w:r>
          <w:r>
            <w:rPr>
              <w:rStyle w:val="23"/>
            </w:rPr>
            <w:t>2.1.6污水处理工艺</w:t>
          </w:r>
          <w:r>
            <w:tab/>
          </w:r>
          <w:r>
            <w:fldChar w:fldCharType="begin"/>
          </w:r>
          <w:r>
            <w:instrText xml:space="preserve"> PAGEREF _Toc161250449 \h </w:instrText>
          </w:r>
          <w:r>
            <w:fldChar w:fldCharType="separate"/>
          </w:r>
          <w:r>
            <w:t>17</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"_Toc161250450" </w:instrText>
          </w:r>
          <w:r>
            <w:fldChar w:fldCharType="separate"/>
          </w:r>
          <w:r>
            <w:rPr>
              <w:rStyle w:val="23"/>
            </w:rPr>
            <w:t>2.2项目所在区域概况</w:t>
          </w:r>
          <w:r>
            <w:tab/>
          </w:r>
          <w:r>
            <w:fldChar w:fldCharType="begin"/>
          </w:r>
          <w:r>
            <w:instrText xml:space="preserve"> PAGEREF _Toc161250450 \h </w:instrText>
          </w:r>
          <w:r>
            <w:fldChar w:fldCharType="separate"/>
          </w:r>
          <w:r>
            <w:t>19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"_Toc161250451" </w:instrText>
          </w:r>
          <w:r>
            <w:fldChar w:fldCharType="separate"/>
          </w:r>
          <w:r>
            <w:rPr>
              <w:rStyle w:val="23"/>
            </w:rPr>
            <w:t>2.2.1地理位置</w:t>
          </w:r>
          <w:r>
            <w:tab/>
          </w:r>
          <w:r>
            <w:fldChar w:fldCharType="begin"/>
          </w:r>
          <w:r>
            <w:instrText xml:space="preserve"> PAGEREF _Toc161250451 \h </w:instrText>
          </w:r>
          <w:r>
            <w:fldChar w:fldCharType="separate"/>
          </w:r>
          <w:r>
            <w:t>19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"_Toc161250452" </w:instrText>
          </w:r>
          <w:r>
            <w:fldChar w:fldCharType="separate"/>
          </w:r>
          <w:r>
            <w:rPr>
              <w:rStyle w:val="23"/>
            </w:rPr>
            <w:t>2.2.2地形地貌地质</w:t>
          </w:r>
          <w:r>
            <w:tab/>
          </w:r>
          <w:r>
            <w:fldChar w:fldCharType="begin"/>
          </w:r>
          <w:r>
            <w:instrText xml:space="preserve"> PAGEREF _Toc161250452 \h </w:instrText>
          </w:r>
          <w:r>
            <w:fldChar w:fldCharType="separate"/>
          </w:r>
          <w:r>
            <w:t>20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"_Toc161250453" </w:instrText>
          </w:r>
          <w:r>
            <w:fldChar w:fldCharType="separate"/>
          </w:r>
          <w:r>
            <w:rPr>
              <w:rStyle w:val="23"/>
            </w:rPr>
            <w:t>2.2.3气候气象</w:t>
          </w:r>
          <w:r>
            <w:tab/>
          </w:r>
          <w:r>
            <w:fldChar w:fldCharType="begin"/>
          </w:r>
          <w:r>
            <w:instrText xml:space="preserve"> PAGEREF _Toc161250453 \h </w:instrText>
          </w:r>
          <w:r>
            <w:fldChar w:fldCharType="separate"/>
          </w:r>
          <w:r>
            <w:t>21</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"_Toc161250454" </w:instrText>
          </w:r>
          <w:r>
            <w:fldChar w:fldCharType="separate"/>
          </w:r>
          <w:r>
            <w:rPr>
              <w:rStyle w:val="23"/>
            </w:rPr>
            <w:t>2.2.4水文条件</w:t>
          </w:r>
          <w:r>
            <w:tab/>
          </w:r>
          <w:r>
            <w:fldChar w:fldCharType="begin"/>
          </w:r>
          <w:r>
            <w:instrText xml:space="preserve"> PAGEREF _Toc161250454 \h </w:instrText>
          </w:r>
          <w:r>
            <w:fldChar w:fldCharType="separate"/>
          </w:r>
          <w:r>
            <w:t>21</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"_Toc161250455" </w:instrText>
          </w:r>
          <w:r>
            <w:fldChar w:fldCharType="separate"/>
          </w:r>
          <w:r>
            <w:rPr>
              <w:rStyle w:val="23"/>
            </w:rPr>
            <w:t>2.2.5区域水资源开发利用情况</w:t>
          </w:r>
          <w:r>
            <w:tab/>
          </w:r>
          <w:r>
            <w:fldChar w:fldCharType="begin"/>
          </w:r>
          <w:r>
            <w:instrText xml:space="preserve"> PAGEREF _Toc161250455 \h </w:instrText>
          </w:r>
          <w:r>
            <w:fldChar w:fldCharType="separate"/>
          </w:r>
          <w:r>
            <w:t>24</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"_Toc161250456" </w:instrText>
          </w:r>
          <w:r>
            <w:fldChar w:fldCharType="separate"/>
          </w:r>
          <w:r>
            <w:rPr>
              <w:rStyle w:val="23"/>
            </w:rPr>
            <w:t>2.2.6生物多样性</w:t>
          </w:r>
          <w:r>
            <w:tab/>
          </w:r>
          <w:r>
            <w:fldChar w:fldCharType="begin"/>
          </w:r>
          <w:r>
            <w:instrText xml:space="preserve"> PAGEREF _Toc161250456 \h </w:instrText>
          </w:r>
          <w:r>
            <w:fldChar w:fldCharType="separate"/>
          </w:r>
          <w:r>
            <w:t>24</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"_Toc161250457" </w:instrText>
          </w:r>
          <w:r>
            <w:fldChar w:fldCharType="separate"/>
          </w:r>
          <w:r>
            <w:rPr>
              <w:rStyle w:val="23"/>
            </w:rPr>
            <w:t>3水功能区（水域）管理要求和现有取排水状况</w:t>
          </w:r>
          <w:r>
            <w:tab/>
          </w:r>
          <w:r>
            <w:fldChar w:fldCharType="begin"/>
          </w:r>
          <w:r>
            <w:instrText xml:space="preserve"> PAGEREF _Toc161250457 \h </w:instrText>
          </w:r>
          <w:r>
            <w:fldChar w:fldCharType="separate"/>
          </w:r>
          <w:r>
            <w:t>26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"_Toc161250458" </w:instrText>
          </w:r>
          <w:r>
            <w:fldChar w:fldCharType="separate"/>
          </w:r>
          <w:r>
            <w:rPr>
              <w:rStyle w:val="23"/>
            </w:rPr>
            <w:t>3.1水功能区（水域）保护水质管理目标与要求</w:t>
          </w:r>
          <w:r>
            <w:tab/>
          </w:r>
          <w:r>
            <w:fldChar w:fldCharType="begin"/>
          </w:r>
          <w:r>
            <w:instrText xml:space="preserve"> PAGEREF _Toc161250458 \h </w:instrText>
          </w:r>
          <w:r>
            <w:fldChar w:fldCharType="separate"/>
          </w:r>
          <w:r>
            <w:t>26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"_Toc161250459" </w:instrText>
          </w:r>
          <w:r>
            <w:fldChar w:fldCharType="separate"/>
          </w:r>
          <w:r>
            <w:rPr>
              <w:rStyle w:val="23"/>
            </w:rPr>
            <w:t>3.2水功能区（水域）纳污能力及限制排放总量</w:t>
          </w:r>
          <w:r>
            <w:tab/>
          </w:r>
          <w:r>
            <w:fldChar w:fldCharType="begin"/>
          </w:r>
          <w:r>
            <w:instrText xml:space="preserve"> PAGEREF _Toc161250459 \h </w:instrText>
          </w:r>
          <w:r>
            <w:fldChar w:fldCharType="separate"/>
          </w:r>
          <w:r>
            <w:t>27</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"_Toc161250460" </w:instrText>
          </w:r>
          <w:r>
            <w:fldChar w:fldCharType="separate"/>
          </w:r>
          <w:r>
            <w:rPr>
              <w:rStyle w:val="23"/>
            </w:rPr>
            <w:t>3.2.1计算方法及模型选定</w:t>
          </w:r>
          <w:r>
            <w:tab/>
          </w:r>
          <w:r>
            <w:fldChar w:fldCharType="begin"/>
          </w:r>
          <w:r>
            <w:instrText xml:space="preserve"> PAGEREF _Toc161250460 \h </w:instrText>
          </w:r>
          <w:r>
            <w:fldChar w:fldCharType="separate"/>
          </w:r>
          <w:r>
            <w:t>27</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"_Toc161250461" </w:instrText>
          </w:r>
          <w:r>
            <w:fldChar w:fldCharType="separate"/>
          </w:r>
          <w:r>
            <w:rPr>
              <w:rStyle w:val="23"/>
            </w:rPr>
            <w:t>3.2.2各计算参数的确定</w:t>
          </w:r>
          <w:r>
            <w:tab/>
          </w:r>
          <w:r>
            <w:fldChar w:fldCharType="begin"/>
          </w:r>
          <w:r>
            <w:instrText xml:space="preserve"> PAGEREF _Toc161250461 \h </w:instrText>
          </w:r>
          <w:r>
            <w:fldChar w:fldCharType="separate"/>
          </w:r>
          <w:r>
            <w:t>28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"_Toc161250462" </w:instrText>
          </w:r>
          <w:r>
            <w:fldChar w:fldCharType="separate"/>
          </w:r>
          <w:r>
            <w:rPr>
              <w:rStyle w:val="23"/>
            </w:rPr>
            <w:t>3.2.3河段纳污能力结果分析</w:t>
          </w:r>
          <w:r>
            <w:tab/>
          </w:r>
          <w:r>
            <w:fldChar w:fldCharType="begin"/>
          </w:r>
          <w:r>
            <w:instrText xml:space="preserve"> PAGEREF _Toc161250462 \h </w:instrText>
          </w:r>
          <w:r>
            <w:fldChar w:fldCharType="separate"/>
          </w:r>
          <w:r>
            <w:t>28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"_Toc161250463" </w:instrText>
          </w:r>
          <w:r>
            <w:fldChar w:fldCharType="separate"/>
          </w:r>
          <w:r>
            <w:rPr>
              <w:rStyle w:val="23"/>
            </w:rPr>
            <w:t>3.3论证水功能区（水域）现有取排水状况</w:t>
          </w:r>
          <w:r>
            <w:tab/>
          </w:r>
          <w:r>
            <w:fldChar w:fldCharType="begin"/>
          </w:r>
          <w:r>
            <w:instrText xml:space="preserve"> PAGEREF _Toc161250463 \h </w:instrText>
          </w:r>
          <w:r>
            <w:fldChar w:fldCharType="separate"/>
          </w:r>
          <w:r>
            <w:t>29</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"_Toc161250464" </w:instrText>
          </w:r>
          <w:r>
            <w:fldChar w:fldCharType="separate"/>
          </w:r>
          <w:r>
            <w:rPr>
              <w:rStyle w:val="23"/>
            </w:rPr>
            <w:t>4入河排污口所在水功能区（水域）水质现状及纳污状况</w:t>
          </w:r>
          <w:r>
            <w:tab/>
          </w:r>
          <w:r>
            <w:fldChar w:fldCharType="begin"/>
          </w:r>
          <w:r>
            <w:instrText xml:space="preserve"> PAGEREF _Toc161250464 \h </w:instrText>
          </w:r>
          <w:r>
            <w:fldChar w:fldCharType="separate"/>
          </w:r>
          <w:r>
            <w:t>30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"_Toc161250465" </w:instrText>
          </w:r>
          <w:r>
            <w:fldChar w:fldCharType="separate"/>
          </w:r>
          <w:r>
            <w:rPr>
              <w:rStyle w:val="23"/>
            </w:rPr>
            <w:t>4.1水功能区（水域）管理要求</w:t>
          </w:r>
          <w:r>
            <w:tab/>
          </w:r>
          <w:r>
            <w:fldChar w:fldCharType="begin"/>
          </w:r>
          <w:r>
            <w:instrText xml:space="preserve"> PAGEREF _Toc161250465 \h </w:instrText>
          </w:r>
          <w:r>
            <w:fldChar w:fldCharType="separate"/>
          </w:r>
          <w:r>
            <w:t>30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"_Toc161250466" </w:instrText>
          </w:r>
          <w:r>
            <w:fldChar w:fldCharType="separate"/>
          </w:r>
          <w:r>
            <w:rPr>
              <w:rStyle w:val="23"/>
            </w:rPr>
            <w:t>4.2水功能区（水域）水质现状</w:t>
          </w:r>
          <w:r>
            <w:tab/>
          </w:r>
          <w:r>
            <w:fldChar w:fldCharType="begin"/>
          </w:r>
          <w:r>
            <w:instrText xml:space="preserve"> PAGEREF _Toc161250466 \h </w:instrText>
          </w:r>
          <w:r>
            <w:fldChar w:fldCharType="separate"/>
          </w:r>
          <w:r>
            <w:t>30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"_Toc161250467" </w:instrText>
          </w:r>
          <w:r>
            <w:fldChar w:fldCharType="separate"/>
          </w:r>
          <w:r>
            <w:rPr>
              <w:rStyle w:val="23"/>
            </w:rPr>
            <w:t>4.3所在水功能区（水域）纳污状况</w:t>
          </w:r>
          <w:r>
            <w:tab/>
          </w:r>
          <w:r>
            <w:fldChar w:fldCharType="begin"/>
          </w:r>
          <w:r>
            <w:instrText xml:space="preserve"> PAGEREF _Toc161250467 \h </w:instrText>
          </w:r>
          <w:r>
            <w:fldChar w:fldCharType="separate"/>
          </w:r>
          <w:r>
            <w:t>34</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"_Toc161250468" </w:instrText>
          </w:r>
          <w:r>
            <w:fldChar w:fldCharType="separate"/>
          </w:r>
          <w:r>
            <w:rPr>
              <w:rStyle w:val="23"/>
            </w:rPr>
            <w:t>5入河排污口所设置可行性分析论证及入河排污口设置情况</w:t>
          </w:r>
          <w:r>
            <w:tab/>
          </w:r>
          <w:r>
            <w:fldChar w:fldCharType="begin"/>
          </w:r>
          <w:r>
            <w:instrText xml:space="preserve"> PAGEREF _Toc161250468 \h </w:instrText>
          </w:r>
          <w:r>
            <w:fldChar w:fldCharType="separate"/>
          </w:r>
          <w:r>
            <w:t>35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"_Toc161250469" </w:instrText>
          </w:r>
          <w:r>
            <w:fldChar w:fldCharType="separate"/>
          </w:r>
          <w:r>
            <w:rPr>
              <w:rStyle w:val="23"/>
            </w:rPr>
            <w:t>5.1废污水来源及构成</w:t>
          </w:r>
          <w:r>
            <w:tab/>
          </w:r>
          <w:r>
            <w:fldChar w:fldCharType="begin"/>
          </w:r>
          <w:r>
            <w:instrText xml:space="preserve"> PAGEREF _Toc161250469 \h </w:instrText>
          </w:r>
          <w:r>
            <w:fldChar w:fldCharType="separate"/>
          </w:r>
          <w:r>
            <w:t>35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"_Toc161250470" </w:instrText>
          </w:r>
          <w:r>
            <w:fldChar w:fldCharType="separate"/>
          </w:r>
          <w:r>
            <w:rPr>
              <w:rStyle w:val="23"/>
            </w:rPr>
            <w:t>5.2废污水所含主要污染物种类及排放浓度、总量</w:t>
          </w:r>
          <w:r>
            <w:tab/>
          </w:r>
          <w:r>
            <w:fldChar w:fldCharType="begin"/>
          </w:r>
          <w:r>
            <w:instrText xml:space="preserve"> PAGEREF _Toc161250470 \h </w:instrText>
          </w:r>
          <w:r>
            <w:fldChar w:fldCharType="separate"/>
          </w:r>
          <w:r>
            <w:t>35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"_Toc161250471" </w:instrText>
          </w:r>
          <w:r>
            <w:fldChar w:fldCharType="separate"/>
          </w:r>
          <w:r>
            <w:rPr>
              <w:rStyle w:val="23"/>
            </w:rPr>
            <w:t>5.3和排污口设置可行性分析论证</w:t>
          </w:r>
          <w:r>
            <w:tab/>
          </w:r>
          <w:r>
            <w:fldChar w:fldCharType="begin"/>
          </w:r>
          <w:r>
            <w:instrText xml:space="preserve"> PAGEREF _Toc161250471 \h </w:instrText>
          </w:r>
          <w:r>
            <w:fldChar w:fldCharType="separate"/>
          </w:r>
          <w:r>
            <w:t>35</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"_Toc161250472" </w:instrText>
          </w:r>
          <w:r>
            <w:fldChar w:fldCharType="separate"/>
          </w:r>
          <w:r>
            <w:rPr>
              <w:rStyle w:val="23"/>
            </w:rPr>
            <w:t>5.3.1与《水污染防治行动计划》的符合性分析</w:t>
          </w:r>
          <w:r>
            <w:tab/>
          </w:r>
          <w:r>
            <w:fldChar w:fldCharType="begin"/>
          </w:r>
          <w:r>
            <w:instrText xml:space="preserve"> PAGEREF _Toc161250472 \h </w:instrText>
          </w:r>
          <w:r>
            <w:fldChar w:fldCharType="separate"/>
          </w:r>
          <w:r>
            <w:t>35</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"_Toc161250473" </w:instrText>
          </w:r>
          <w:r>
            <w:fldChar w:fldCharType="separate"/>
          </w:r>
          <w:r>
            <w:rPr>
              <w:rStyle w:val="23"/>
            </w:rPr>
            <w:t>5.3.2与《入河排污口监督管理办法》的符合性分析</w:t>
          </w:r>
          <w:r>
            <w:tab/>
          </w:r>
          <w:r>
            <w:fldChar w:fldCharType="begin"/>
          </w:r>
          <w:r>
            <w:instrText xml:space="preserve"> PAGEREF _Toc161250473 \h </w:instrText>
          </w:r>
          <w:r>
            <w:fldChar w:fldCharType="separate"/>
          </w:r>
          <w:r>
            <w:t>36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"_Toc161250474" </w:instrText>
          </w:r>
          <w:r>
            <w:fldChar w:fldCharType="separate"/>
          </w:r>
          <w:r>
            <w:rPr>
              <w:rStyle w:val="23"/>
            </w:rPr>
            <w:t>5.3.3与《湖南省入河排污口监督管理办法》符合性分析</w:t>
          </w:r>
          <w:r>
            <w:tab/>
          </w:r>
          <w:r>
            <w:fldChar w:fldCharType="begin"/>
          </w:r>
          <w:r>
            <w:instrText xml:space="preserve"> PAGEREF _Toc161250474 \h </w:instrText>
          </w:r>
          <w:r>
            <w:fldChar w:fldCharType="separate"/>
          </w:r>
          <w:r>
            <w:t>37</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"_Toc161250475" </w:instrText>
          </w:r>
          <w:r>
            <w:fldChar w:fldCharType="separate"/>
          </w:r>
          <w:r>
            <w:rPr>
              <w:rStyle w:val="23"/>
            </w:rPr>
            <w:t>5.3.4与防洪要求符合性分析</w:t>
          </w:r>
          <w:r>
            <w:tab/>
          </w:r>
          <w:r>
            <w:fldChar w:fldCharType="begin"/>
          </w:r>
          <w:r>
            <w:instrText xml:space="preserve"> PAGEREF _Toc161250475 \h </w:instrText>
          </w:r>
          <w:r>
            <w:fldChar w:fldCharType="separate"/>
          </w:r>
          <w:r>
            <w:t>38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"_Toc161250476" </w:instrText>
          </w:r>
          <w:r>
            <w:fldChar w:fldCharType="separate"/>
          </w:r>
          <w:r>
            <w:rPr>
              <w:rStyle w:val="23"/>
            </w:rPr>
            <w:t>5.3.5与《水产种质资源保护区管理暂行办法》符合性分析</w:t>
          </w:r>
          <w:r>
            <w:tab/>
          </w:r>
          <w:r>
            <w:fldChar w:fldCharType="begin"/>
          </w:r>
          <w:r>
            <w:instrText xml:space="preserve"> PAGEREF _Toc161250476 \h </w:instrText>
          </w:r>
          <w:r>
            <w:fldChar w:fldCharType="separate"/>
          </w:r>
          <w:r>
            <w:t>38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"_Toc161250477" </w:instrText>
          </w:r>
          <w:r>
            <w:fldChar w:fldCharType="separate"/>
          </w:r>
          <w:r>
            <w:rPr>
              <w:rStyle w:val="23"/>
            </w:rPr>
            <w:t>5.3.6与《饮用水源保护区污染防治管理规定》符合性分析</w:t>
          </w:r>
          <w:r>
            <w:tab/>
          </w:r>
          <w:r>
            <w:fldChar w:fldCharType="begin"/>
          </w:r>
          <w:r>
            <w:instrText xml:space="preserve"> PAGEREF _Toc161250477 \h </w:instrText>
          </w:r>
          <w:r>
            <w:fldChar w:fldCharType="separate"/>
          </w:r>
          <w:r>
            <w:t>38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"_Toc161250478" </w:instrText>
          </w:r>
          <w:r>
            <w:fldChar w:fldCharType="separate"/>
          </w:r>
          <w:r>
            <w:rPr>
              <w:rStyle w:val="23"/>
            </w:rPr>
            <w:t>5.4入河排污口设置方案</w:t>
          </w:r>
          <w:r>
            <w:tab/>
          </w:r>
          <w:r>
            <w:fldChar w:fldCharType="begin"/>
          </w:r>
          <w:r>
            <w:instrText xml:space="preserve"> PAGEREF _Toc161250478 \h </w:instrText>
          </w:r>
          <w:r>
            <w:fldChar w:fldCharType="separate"/>
          </w:r>
          <w:r>
            <w:t>39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"_Toc161250479" </w:instrText>
          </w:r>
          <w:r>
            <w:fldChar w:fldCharType="separate"/>
          </w:r>
          <w:r>
            <w:rPr>
              <w:rStyle w:val="23"/>
            </w:rPr>
            <w:t>5.4.1入河排污口设置基本情况</w:t>
          </w:r>
          <w:r>
            <w:tab/>
          </w:r>
          <w:r>
            <w:fldChar w:fldCharType="begin"/>
          </w:r>
          <w:r>
            <w:instrText xml:space="preserve"> PAGEREF _Toc161250479 \h </w:instrText>
          </w:r>
          <w:r>
            <w:fldChar w:fldCharType="separate"/>
          </w:r>
          <w:r>
            <w:t>39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"_Toc161250480" </w:instrText>
          </w:r>
          <w:r>
            <w:fldChar w:fldCharType="separate"/>
          </w:r>
          <w:r>
            <w:rPr>
              <w:rStyle w:val="23"/>
            </w:rPr>
            <w:t>5.4.2入河排污口规范化建设及管理要求</w:t>
          </w:r>
          <w:r>
            <w:tab/>
          </w:r>
          <w:r>
            <w:fldChar w:fldCharType="begin"/>
          </w:r>
          <w:r>
            <w:instrText xml:space="preserve"> PAGEREF _Toc161250480 \h </w:instrText>
          </w:r>
          <w:r>
            <w:fldChar w:fldCharType="separate"/>
          </w:r>
          <w:r>
            <w:t>39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"_Toc161250481" </w:instrText>
          </w:r>
          <w:r>
            <w:fldChar w:fldCharType="separate"/>
          </w:r>
          <w:r>
            <w:rPr>
              <w:rStyle w:val="23"/>
            </w:rPr>
            <w:t>5.4.3入河排污口标识设置</w:t>
          </w:r>
          <w:r>
            <w:tab/>
          </w:r>
          <w:r>
            <w:fldChar w:fldCharType="begin"/>
          </w:r>
          <w:r>
            <w:instrText xml:space="preserve"> PAGEREF _Toc161250481 \h </w:instrText>
          </w:r>
          <w:r>
            <w:fldChar w:fldCharType="separate"/>
          </w:r>
          <w:r>
            <w:t>40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"_Toc161250482" </w:instrText>
          </w:r>
          <w:r>
            <w:fldChar w:fldCharType="separate"/>
          </w:r>
          <w:r>
            <w:rPr>
              <w:rStyle w:val="23"/>
            </w:rPr>
            <w:t>5.4.4入河排污口监测</w:t>
          </w:r>
          <w:r>
            <w:tab/>
          </w:r>
          <w:r>
            <w:fldChar w:fldCharType="begin"/>
          </w:r>
          <w:r>
            <w:instrText xml:space="preserve"> PAGEREF _Toc161250482 \h </w:instrText>
          </w:r>
          <w:r>
            <w:fldChar w:fldCharType="separate"/>
          </w:r>
          <w:r>
            <w:t>40</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"_Toc161250483" </w:instrText>
          </w:r>
          <w:r>
            <w:fldChar w:fldCharType="separate"/>
          </w:r>
          <w:r>
            <w:rPr>
              <w:rStyle w:val="23"/>
            </w:rPr>
            <w:t>6入河排污口设置对水功能区水质和水生态影响分析</w:t>
          </w:r>
          <w:r>
            <w:tab/>
          </w:r>
          <w:r>
            <w:fldChar w:fldCharType="begin"/>
          </w:r>
          <w:r>
            <w:instrText xml:space="preserve"> PAGEREF _Toc161250483 \h </w:instrText>
          </w:r>
          <w:r>
            <w:fldChar w:fldCharType="separate"/>
          </w:r>
          <w:r>
            <w:t>43</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"_Toc161250484" </w:instrText>
          </w:r>
          <w:r>
            <w:fldChar w:fldCharType="separate"/>
          </w:r>
          <w:r>
            <w:rPr>
              <w:rStyle w:val="23"/>
            </w:rPr>
            <w:t>6.1影响范围</w:t>
          </w:r>
          <w:r>
            <w:tab/>
          </w:r>
          <w:r>
            <w:fldChar w:fldCharType="begin"/>
          </w:r>
          <w:r>
            <w:instrText xml:space="preserve"> PAGEREF _Toc161250484 \h </w:instrText>
          </w:r>
          <w:r>
            <w:fldChar w:fldCharType="separate"/>
          </w:r>
          <w:r>
            <w:t>43</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"_Toc161250485" </w:instrText>
          </w:r>
          <w:r>
            <w:fldChar w:fldCharType="separate"/>
          </w:r>
          <w:r>
            <w:rPr>
              <w:rStyle w:val="23"/>
            </w:rPr>
            <w:t>6.1.1预测因子的选择</w:t>
          </w:r>
          <w:r>
            <w:tab/>
          </w:r>
          <w:r>
            <w:fldChar w:fldCharType="begin"/>
          </w:r>
          <w:r>
            <w:instrText xml:space="preserve"> PAGEREF _Toc161250485 \h </w:instrText>
          </w:r>
          <w:r>
            <w:fldChar w:fldCharType="separate"/>
          </w:r>
          <w:r>
            <w:t>43</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"_Toc161250486" </w:instrText>
          </w:r>
          <w:r>
            <w:fldChar w:fldCharType="separate"/>
          </w:r>
          <w:r>
            <w:rPr>
              <w:rStyle w:val="23"/>
            </w:rPr>
            <w:t>6.1.2水质预测方法</w:t>
          </w:r>
          <w:r>
            <w:tab/>
          </w:r>
          <w:r>
            <w:fldChar w:fldCharType="begin"/>
          </w:r>
          <w:r>
            <w:instrText xml:space="preserve"> PAGEREF _Toc161250486 \h </w:instrText>
          </w:r>
          <w:r>
            <w:fldChar w:fldCharType="separate"/>
          </w:r>
          <w:r>
            <w:t>43</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"_Toc161250487" </w:instrText>
          </w:r>
          <w:r>
            <w:fldChar w:fldCharType="separate"/>
          </w:r>
          <w:r>
            <w:rPr>
              <w:rStyle w:val="23"/>
            </w:rPr>
            <w:t>6.1.3预测参数的确定</w:t>
          </w:r>
          <w:r>
            <w:tab/>
          </w:r>
          <w:r>
            <w:fldChar w:fldCharType="begin"/>
          </w:r>
          <w:r>
            <w:instrText xml:space="preserve"> PAGEREF _Toc161250487 \h </w:instrText>
          </w:r>
          <w:r>
            <w:fldChar w:fldCharType="separate"/>
          </w:r>
          <w:r>
            <w:t>44</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"_Toc161250488" </w:instrText>
          </w:r>
          <w:r>
            <w:fldChar w:fldCharType="separate"/>
          </w:r>
          <w:r>
            <w:rPr>
              <w:rStyle w:val="23"/>
            </w:rPr>
            <w:t>6.1.4预测情形及排放源强</w:t>
          </w:r>
          <w:r>
            <w:tab/>
          </w:r>
          <w:r>
            <w:fldChar w:fldCharType="begin"/>
          </w:r>
          <w:r>
            <w:instrText xml:space="preserve"> PAGEREF _Toc161250488 \h </w:instrText>
          </w:r>
          <w:r>
            <w:fldChar w:fldCharType="separate"/>
          </w:r>
          <w:r>
            <w:t>45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"_Toc161250489" </w:instrText>
          </w:r>
          <w:r>
            <w:fldChar w:fldCharType="separate"/>
          </w:r>
          <w:r>
            <w:rPr>
              <w:rStyle w:val="23"/>
            </w:rPr>
            <w:t>6.2对水功能区水质影响分析</w:t>
          </w:r>
          <w:r>
            <w:tab/>
          </w:r>
          <w:r>
            <w:fldChar w:fldCharType="begin"/>
          </w:r>
          <w:r>
            <w:instrText xml:space="preserve"> PAGEREF _Toc161250489 \h </w:instrText>
          </w:r>
          <w:r>
            <w:fldChar w:fldCharType="separate"/>
          </w:r>
          <w:r>
            <w:t>45</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"_Toc161250490" </w:instrText>
          </w:r>
          <w:r>
            <w:fldChar w:fldCharType="separate"/>
          </w:r>
          <w:r>
            <w:rPr>
              <w:rStyle w:val="23"/>
            </w:rPr>
            <w:t>6.2.1正常排放情况预测</w:t>
          </w:r>
          <w:r>
            <w:tab/>
          </w:r>
          <w:r>
            <w:fldChar w:fldCharType="begin"/>
          </w:r>
          <w:r>
            <w:instrText xml:space="preserve"> PAGEREF _Toc161250490 \h </w:instrText>
          </w:r>
          <w:r>
            <w:fldChar w:fldCharType="separate"/>
          </w:r>
          <w:r>
            <w:t>45</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"_Toc161250491" </w:instrText>
          </w:r>
          <w:r>
            <w:fldChar w:fldCharType="separate"/>
          </w:r>
          <w:r>
            <w:rPr>
              <w:rStyle w:val="23"/>
            </w:rPr>
            <w:t>6.2.2非正常排放情况预测</w:t>
          </w:r>
          <w:r>
            <w:tab/>
          </w:r>
          <w:r>
            <w:fldChar w:fldCharType="begin"/>
          </w:r>
          <w:r>
            <w:instrText xml:space="preserve"> PAGEREF _Toc161250491 \h </w:instrText>
          </w:r>
          <w:r>
            <w:fldChar w:fldCharType="separate"/>
          </w:r>
          <w:r>
            <w:t>46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"_Toc161250492" </w:instrText>
          </w:r>
          <w:r>
            <w:fldChar w:fldCharType="separate"/>
          </w:r>
          <w:r>
            <w:rPr>
              <w:rStyle w:val="23"/>
            </w:rPr>
            <w:t>6.3对水生生态影响分析</w:t>
          </w:r>
          <w:r>
            <w:tab/>
          </w:r>
          <w:r>
            <w:fldChar w:fldCharType="begin"/>
          </w:r>
          <w:r>
            <w:instrText xml:space="preserve"> PAGEREF _Toc161250492 \h </w:instrText>
          </w:r>
          <w:r>
            <w:fldChar w:fldCharType="separate"/>
          </w:r>
          <w:r>
            <w:t>48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"_Toc161250493" </w:instrText>
          </w:r>
          <w:r>
            <w:fldChar w:fldCharType="separate"/>
          </w:r>
          <w:r>
            <w:rPr>
              <w:rStyle w:val="23"/>
            </w:rPr>
            <w:t>6.4对地下水影响分析</w:t>
          </w:r>
          <w:r>
            <w:tab/>
          </w:r>
          <w:r>
            <w:fldChar w:fldCharType="begin"/>
          </w:r>
          <w:r>
            <w:instrText xml:space="preserve"> PAGEREF _Toc161250493 \h </w:instrText>
          </w:r>
          <w:r>
            <w:fldChar w:fldCharType="separate"/>
          </w:r>
          <w:r>
            <w:t>48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"_Toc161250494" </w:instrText>
          </w:r>
          <w:r>
            <w:fldChar w:fldCharType="separate"/>
          </w:r>
          <w:r>
            <w:rPr>
              <w:rStyle w:val="23"/>
            </w:rPr>
            <w:t>6.5对第三者影响分析</w:t>
          </w:r>
          <w:r>
            <w:tab/>
          </w:r>
          <w:r>
            <w:fldChar w:fldCharType="begin"/>
          </w:r>
          <w:r>
            <w:instrText xml:space="preserve"> PAGEREF _Toc161250494 \h </w:instrText>
          </w:r>
          <w:r>
            <w:fldChar w:fldCharType="separate"/>
          </w:r>
          <w:r>
            <w:t>49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"_Toc161250495" </w:instrText>
          </w:r>
          <w:r>
            <w:fldChar w:fldCharType="separate"/>
          </w:r>
          <w:r>
            <w:rPr>
              <w:rStyle w:val="23"/>
            </w:rPr>
            <w:t>6.5.1对控制断面水质影响分析</w:t>
          </w:r>
          <w:r>
            <w:tab/>
          </w:r>
          <w:r>
            <w:fldChar w:fldCharType="begin"/>
          </w:r>
          <w:r>
            <w:instrText xml:space="preserve"> PAGEREF _Toc161250495 \h </w:instrText>
          </w:r>
          <w:r>
            <w:fldChar w:fldCharType="separate"/>
          </w:r>
          <w:r>
            <w:t>49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"_Toc161250496" </w:instrText>
          </w:r>
          <w:r>
            <w:fldChar w:fldCharType="separate"/>
          </w:r>
          <w:r>
            <w:rPr>
              <w:rStyle w:val="23"/>
            </w:rPr>
            <w:t>6.5.2对下游饮用水源保护区及取水单位的影响分析</w:t>
          </w:r>
          <w:r>
            <w:tab/>
          </w:r>
          <w:r>
            <w:fldChar w:fldCharType="begin"/>
          </w:r>
          <w:r>
            <w:instrText xml:space="preserve"> PAGEREF _Toc161250496 \h </w:instrText>
          </w:r>
          <w:r>
            <w:fldChar w:fldCharType="separate"/>
          </w:r>
          <w:r>
            <w:t>49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"_Toc161250497" </w:instrText>
          </w:r>
          <w:r>
            <w:fldChar w:fldCharType="separate"/>
          </w:r>
          <w:r>
            <w:rPr>
              <w:rStyle w:val="23"/>
            </w:rPr>
            <w:t>6.5.3对河道行洪能力的影响分析</w:t>
          </w:r>
          <w:r>
            <w:tab/>
          </w:r>
          <w:r>
            <w:fldChar w:fldCharType="begin"/>
          </w:r>
          <w:r>
            <w:instrText xml:space="preserve"> PAGEREF _Toc161250497 \h </w:instrText>
          </w:r>
          <w:r>
            <w:fldChar w:fldCharType="separate"/>
          </w:r>
          <w:r>
            <w:t>49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"_Toc161250498" </w:instrText>
          </w:r>
          <w:r>
            <w:fldChar w:fldCharType="separate"/>
          </w:r>
          <w:r>
            <w:rPr>
              <w:rStyle w:val="23"/>
            </w:rPr>
            <w:t>6.5.4对周边农业用水的影响分析</w:t>
          </w:r>
          <w:r>
            <w:tab/>
          </w:r>
          <w:r>
            <w:fldChar w:fldCharType="begin"/>
          </w:r>
          <w:r>
            <w:instrText xml:space="preserve"> PAGEREF _Toc161250498 \h </w:instrText>
          </w:r>
          <w:r>
            <w:fldChar w:fldCharType="separate"/>
          </w:r>
          <w:r>
            <w:t>49</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"_Toc161250499" </w:instrText>
          </w:r>
          <w:r>
            <w:fldChar w:fldCharType="separate"/>
          </w:r>
          <w:r>
            <w:rPr>
              <w:rStyle w:val="23"/>
            </w:rPr>
            <w:t>7水环境保护措施</w:t>
          </w:r>
          <w:r>
            <w:tab/>
          </w:r>
          <w:r>
            <w:fldChar w:fldCharType="begin"/>
          </w:r>
          <w:r>
            <w:instrText xml:space="preserve"> PAGEREF _Toc161250499 \h </w:instrText>
          </w:r>
          <w:r>
            <w:fldChar w:fldCharType="separate"/>
          </w:r>
          <w:r>
            <w:t>50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"_Toc161250500" </w:instrText>
          </w:r>
          <w:r>
            <w:fldChar w:fldCharType="separate"/>
          </w:r>
          <w:r>
            <w:rPr>
              <w:rStyle w:val="23"/>
            </w:rPr>
            <w:t>7.1水生态保护措施</w:t>
          </w:r>
          <w:r>
            <w:tab/>
          </w:r>
          <w:r>
            <w:fldChar w:fldCharType="begin"/>
          </w:r>
          <w:r>
            <w:instrText xml:space="preserve"> PAGEREF _Toc161250500 \h </w:instrText>
          </w:r>
          <w:r>
            <w:fldChar w:fldCharType="separate"/>
          </w:r>
          <w:r>
            <w:t>50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"_Toc161250501" </w:instrText>
          </w:r>
          <w:r>
            <w:fldChar w:fldCharType="separate"/>
          </w:r>
          <w:r>
            <w:rPr>
              <w:rStyle w:val="23"/>
            </w:rPr>
            <w:t>7.1.1水污染防治措施</w:t>
          </w:r>
          <w:r>
            <w:tab/>
          </w:r>
          <w:r>
            <w:fldChar w:fldCharType="begin"/>
          </w:r>
          <w:r>
            <w:instrText xml:space="preserve"> PAGEREF _Toc161250501 \h </w:instrText>
          </w:r>
          <w:r>
            <w:fldChar w:fldCharType="separate"/>
          </w:r>
          <w:r>
            <w:t>50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"_Toc161250502" </w:instrText>
          </w:r>
          <w:r>
            <w:fldChar w:fldCharType="separate"/>
          </w:r>
          <w:r>
            <w:rPr>
              <w:rStyle w:val="23"/>
            </w:rPr>
            <w:t>7.1.2水质监测</w:t>
          </w:r>
          <w:r>
            <w:tab/>
          </w:r>
          <w:r>
            <w:fldChar w:fldCharType="begin"/>
          </w:r>
          <w:r>
            <w:instrText xml:space="preserve"> PAGEREF _Toc161250502 \h </w:instrText>
          </w:r>
          <w:r>
            <w:fldChar w:fldCharType="separate"/>
          </w:r>
          <w:r>
            <w:t>50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"_Toc161250503" </w:instrText>
          </w:r>
          <w:r>
            <w:fldChar w:fldCharType="separate"/>
          </w:r>
          <w:r>
            <w:rPr>
              <w:rStyle w:val="23"/>
            </w:rPr>
            <w:t>7.2事故排污时应急措施</w:t>
          </w:r>
          <w:r>
            <w:tab/>
          </w:r>
          <w:r>
            <w:fldChar w:fldCharType="begin"/>
          </w:r>
          <w:r>
            <w:instrText xml:space="preserve"> PAGEREF _Toc161250503 \h </w:instrText>
          </w:r>
          <w:r>
            <w:fldChar w:fldCharType="separate"/>
          </w:r>
          <w:r>
            <w:t>51</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"_Toc161250504" </w:instrText>
          </w:r>
          <w:r>
            <w:fldChar w:fldCharType="separate"/>
          </w:r>
          <w:r>
            <w:rPr>
              <w:rStyle w:val="23"/>
            </w:rPr>
            <w:t>7.2.1事故预防措施</w:t>
          </w:r>
          <w:r>
            <w:tab/>
          </w:r>
          <w:r>
            <w:fldChar w:fldCharType="begin"/>
          </w:r>
          <w:r>
            <w:instrText xml:space="preserve"> PAGEREF _Toc161250504 \h </w:instrText>
          </w:r>
          <w:r>
            <w:fldChar w:fldCharType="separate"/>
          </w:r>
          <w:r>
            <w:t>51</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"_Toc161250505" </w:instrText>
          </w:r>
          <w:r>
            <w:fldChar w:fldCharType="separate"/>
          </w:r>
          <w:r>
            <w:rPr>
              <w:rStyle w:val="23"/>
            </w:rPr>
            <w:t>7.2.2事故应急预案</w:t>
          </w:r>
          <w:r>
            <w:tab/>
          </w:r>
          <w:r>
            <w:fldChar w:fldCharType="begin"/>
          </w:r>
          <w:r>
            <w:instrText xml:space="preserve"> PAGEREF _Toc161250505 \h </w:instrText>
          </w:r>
          <w:r>
            <w:fldChar w:fldCharType="separate"/>
          </w:r>
          <w:r>
            <w:t>52</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"_Toc161250506" </w:instrText>
          </w:r>
          <w:r>
            <w:fldChar w:fldCharType="separate"/>
          </w:r>
          <w:r>
            <w:rPr>
              <w:rStyle w:val="23"/>
            </w:rPr>
            <w:t>8入河排污口设置合理性分析</w:t>
          </w:r>
          <w:r>
            <w:tab/>
          </w:r>
          <w:r>
            <w:fldChar w:fldCharType="begin"/>
          </w:r>
          <w:r>
            <w:instrText xml:space="preserve"> PAGEREF _Toc161250506 \h </w:instrText>
          </w:r>
          <w:r>
            <w:fldChar w:fldCharType="separate"/>
          </w:r>
          <w:r>
            <w:t>56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"_Toc161250507" </w:instrText>
          </w:r>
          <w:r>
            <w:fldChar w:fldCharType="separate"/>
          </w:r>
          <w:r>
            <w:rPr>
              <w:rStyle w:val="23"/>
            </w:rPr>
            <w:t>8.1产业政策、水域管理、第三者权益相符性分析</w:t>
          </w:r>
          <w:r>
            <w:tab/>
          </w:r>
          <w:r>
            <w:fldChar w:fldCharType="begin"/>
          </w:r>
          <w:r>
            <w:instrText xml:space="preserve"> PAGEREF _Toc161250507 \h </w:instrText>
          </w:r>
          <w:r>
            <w:fldChar w:fldCharType="separate"/>
          </w:r>
          <w:r>
            <w:t>56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"_Toc161250508" </w:instrText>
          </w:r>
          <w:r>
            <w:fldChar w:fldCharType="separate"/>
          </w:r>
          <w:r>
            <w:rPr>
              <w:rStyle w:val="23"/>
            </w:rPr>
            <w:t>8.1.1产业政策符合性分析</w:t>
          </w:r>
          <w:r>
            <w:tab/>
          </w:r>
          <w:r>
            <w:fldChar w:fldCharType="begin"/>
          </w:r>
          <w:r>
            <w:instrText xml:space="preserve"> PAGEREF _Toc161250508 \h </w:instrText>
          </w:r>
          <w:r>
            <w:fldChar w:fldCharType="separate"/>
          </w:r>
          <w:r>
            <w:t>56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"_Toc161250509" </w:instrText>
          </w:r>
          <w:r>
            <w:fldChar w:fldCharType="separate"/>
          </w:r>
          <w:r>
            <w:rPr>
              <w:rStyle w:val="23"/>
            </w:rPr>
            <w:t>8.1.2与水域管理相符性分析</w:t>
          </w:r>
          <w:r>
            <w:tab/>
          </w:r>
          <w:r>
            <w:fldChar w:fldCharType="begin"/>
          </w:r>
          <w:r>
            <w:instrText xml:space="preserve"> PAGEREF _Toc161250509 \h </w:instrText>
          </w:r>
          <w:r>
            <w:fldChar w:fldCharType="separate"/>
          </w:r>
          <w:r>
            <w:t>56</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"_Toc161250510" </w:instrText>
          </w:r>
          <w:r>
            <w:fldChar w:fldCharType="separate"/>
          </w:r>
          <w:r>
            <w:rPr>
              <w:rStyle w:val="23"/>
            </w:rPr>
            <w:t>8.1.3第三者权益的相符性分析</w:t>
          </w:r>
          <w:r>
            <w:tab/>
          </w:r>
          <w:r>
            <w:fldChar w:fldCharType="begin"/>
          </w:r>
          <w:r>
            <w:instrText xml:space="preserve"> PAGEREF _Toc161250510 \h </w:instrText>
          </w:r>
          <w:r>
            <w:fldChar w:fldCharType="separate"/>
          </w:r>
          <w:r>
            <w:t>56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"_Toc161250511" </w:instrText>
          </w:r>
          <w:r>
            <w:fldChar w:fldCharType="separate"/>
          </w:r>
          <w:r>
            <w:rPr>
              <w:rStyle w:val="23"/>
            </w:rPr>
            <w:t>8.2入河排污口河段河床稳定性和防洪影响</w:t>
          </w:r>
          <w:r>
            <w:tab/>
          </w:r>
          <w:r>
            <w:fldChar w:fldCharType="begin"/>
          </w:r>
          <w:r>
            <w:instrText xml:space="preserve"> PAGEREF _Toc161250511 \h </w:instrText>
          </w:r>
          <w:r>
            <w:fldChar w:fldCharType="separate"/>
          </w:r>
          <w:r>
            <w:t>56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"_Toc161250512" </w:instrText>
          </w:r>
          <w:r>
            <w:fldChar w:fldCharType="separate"/>
          </w:r>
          <w:r>
            <w:rPr>
              <w:rStyle w:val="23"/>
            </w:rPr>
            <w:t>8.3入河排污口设置合理性分析</w:t>
          </w:r>
          <w:r>
            <w:tab/>
          </w:r>
          <w:r>
            <w:fldChar w:fldCharType="begin"/>
          </w:r>
          <w:r>
            <w:instrText xml:space="preserve"> PAGEREF _Toc161250512 \h </w:instrText>
          </w:r>
          <w:r>
            <w:fldChar w:fldCharType="separate"/>
          </w:r>
          <w:r>
            <w:t>56</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"_Toc161250513" </w:instrText>
          </w:r>
          <w:r>
            <w:fldChar w:fldCharType="separate"/>
          </w:r>
          <w:r>
            <w:rPr>
              <w:rStyle w:val="23"/>
            </w:rPr>
            <w:t>9论证结论与建议</w:t>
          </w:r>
          <w:r>
            <w:tab/>
          </w:r>
          <w:r>
            <w:fldChar w:fldCharType="begin"/>
          </w:r>
          <w:r>
            <w:instrText xml:space="preserve"> PAGEREF _Toc161250513 \h </w:instrText>
          </w:r>
          <w:r>
            <w:fldChar w:fldCharType="separate"/>
          </w:r>
          <w:r>
            <w:t>58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"_Toc161250514" </w:instrText>
          </w:r>
          <w:r>
            <w:fldChar w:fldCharType="separate"/>
          </w:r>
          <w:r>
            <w:rPr>
              <w:rStyle w:val="23"/>
            </w:rPr>
            <w:t>9.1论证结论</w:t>
          </w:r>
          <w:r>
            <w:tab/>
          </w:r>
          <w:r>
            <w:fldChar w:fldCharType="begin"/>
          </w:r>
          <w:r>
            <w:instrText xml:space="preserve"> PAGEREF _Toc161250514 \h </w:instrText>
          </w:r>
          <w:r>
            <w:fldChar w:fldCharType="separate"/>
          </w:r>
          <w:r>
            <w:t>58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"_Toc161250515" </w:instrText>
          </w:r>
          <w:r>
            <w:fldChar w:fldCharType="separate"/>
          </w:r>
          <w:r>
            <w:rPr>
              <w:rStyle w:val="23"/>
            </w:rPr>
            <w:t>9.1.1入河排污口基本情况</w:t>
          </w:r>
          <w:r>
            <w:tab/>
          </w:r>
          <w:r>
            <w:fldChar w:fldCharType="begin"/>
          </w:r>
          <w:r>
            <w:instrText xml:space="preserve"> PAGEREF _Toc161250515 \h </w:instrText>
          </w:r>
          <w:r>
            <w:fldChar w:fldCharType="separate"/>
          </w:r>
          <w:r>
            <w:t>58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"_Toc161250516" </w:instrText>
          </w:r>
          <w:r>
            <w:fldChar w:fldCharType="separate"/>
          </w:r>
          <w:r>
            <w:rPr>
              <w:rStyle w:val="23"/>
            </w:rPr>
            <w:t>9.1.2对水功能区水质影响分析</w:t>
          </w:r>
          <w:r>
            <w:tab/>
          </w:r>
          <w:r>
            <w:fldChar w:fldCharType="begin"/>
          </w:r>
          <w:r>
            <w:instrText xml:space="preserve"> PAGEREF _Toc161250516 \h </w:instrText>
          </w:r>
          <w:r>
            <w:fldChar w:fldCharType="separate"/>
          </w:r>
          <w:r>
            <w:t>58</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"_Toc161250517" </w:instrText>
          </w:r>
          <w:r>
            <w:fldChar w:fldCharType="separate"/>
          </w:r>
          <w:r>
            <w:rPr>
              <w:rStyle w:val="23"/>
            </w:rPr>
            <w:t>9.1.3对水生态影响分析</w:t>
          </w:r>
          <w:r>
            <w:tab/>
          </w:r>
          <w:r>
            <w:fldChar w:fldCharType="begin"/>
          </w:r>
          <w:r>
            <w:instrText xml:space="preserve"> PAGEREF _Toc161250517 \h </w:instrText>
          </w:r>
          <w:r>
            <w:fldChar w:fldCharType="separate"/>
          </w:r>
          <w:r>
            <w:t>59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"_Toc161250518" </w:instrText>
          </w:r>
          <w:r>
            <w:fldChar w:fldCharType="separate"/>
          </w:r>
          <w:r>
            <w:rPr>
              <w:rStyle w:val="23"/>
            </w:rPr>
            <w:t>9.1.4对地下水影响分析</w:t>
          </w:r>
          <w:r>
            <w:tab/>
          </w:r>
          <w:r>
            <w:fldChar w:fldCharType="begin"/>
          </w:r>
          <w:r>
            <w:instrText xml:space="preserve"> PAGEREF _Toc161250518 \h </w:instrText>
          </w:r>
          <w:r>
            <w:fldChar w:fldCharType="separate"/>
          </w:r>
          <w:r>
            <w:t>59</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"_Toc161250519" </w:instrText>
          </w:r>
          <w:r>
            <w:fldChar w:fldCharType="separate"/>
          </w:r>
          <w:r>
            <w:rPr>
              <w:rStyle w:val="23"/>
            </w:rPr>
            <w:t>9.1.5对第三者影响分析</w:t>
          </w:r>
          <w:r>
            <w:tab/>
          </w:r>
          <w:r>
            <w:fldChar w:fldCharType="begin"/>
          </w:r>
          <w:r>
            <w:instrText xml:space="preserve"> PAGEREF _Toc161250519 \h </w:instrText>
          </w:r>
          <w:r>
            <w:fldChar w:fldCharType="separate"/>
          </w:r>
          <w:r>
            <w:t>60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"_Toc161250520" </w:instrText>
          </w:r>
          <w:r>
            <w:fldChar w:fldCharType="separate"/>
          </w:r>
          <w:r>
            <w:rPr>
              <w:rStyle w:val="23"/>
            </w:rPr>
            <w:t>9.1.6相关政策符合性分析</w:t>
          </w:r>
          <w:r>
            <w:tab/>
          </w:r>
          <w:r>
            <w:fldChar w:fldCharType="begin"/>
          </w:r>
          <w:r>
            <w:instrText xml:space="preserve"> PAGEREF _Toc161250520 \h </w:instrText>
          </w:r>
          <w:r>
            <w:fldChar w:fldCharType="separate"/>
          </w:r>
          <w:r>
            <w:t>60</w:t>
          </w:r>
          <w:r>
            <w:fldChar w:fldCharType="end"/>
          </w:r>
          <w:r>
            <w:fldChar w:fldCharType="end"/>
          </w:r>
        </w:p>
        <w:p>
          <w:pPr>
            <w:pStyle w:val="9"/>
            <w:tabs>
              <w:tab w:val="right" w:leader="dot" w:pos="8296"/>
            </w:tabs>
            <w:ind w:left="800"/>
            <w:rPr>
              <w:rFonts w:asciiTheme="minorHAnsi" w:hAnsiTheme="minorHAnsi" w:eastAsiaTheme="minorEastAsia" w:cstheme="minorBidi"/>
              <w:sz w:val="21"/>
              <w:szCs w:val="22"/>
              <w14:ligatures w14:val="standardContextual"/>
            </w:rPr>
          </w:pPr>
          <w:r>
            <w:fldChar w:fldCharType="begin"/>
          </w:r>
          <w:r>
            <w:instrText xml:space="preserve"> HYPERLINK \l "_Toc161250521" </w:instrText>
          </w:r>
          <w:r>
            <w:fldChar w:fldCharType="separate"/>
          </w:r>
          <w:r>
            <w:rPr>
              <w:rStyle w:val="23"/>
            </w:rPr>
            <w:t>9.1.7入河排污口设置最终结论</w:t>
          </w:r>
          <w:r>
            <w:tab/>
          </w:r>
          <w:r>
            <w:fldChar w:fldCharType="begin"/>
          </w:r>
          <w:r>
            <w:instrText xml:space="preserve"> PAGEREF _Toc161250521 \h </w:instrText>
          </w:r>
          <w:r>
            <w:fldChar w:fldCharType="separate"/>
          </w:r>
          <w:r>
            <w:t>60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"_Toc161250522" </w:instrText>
          </w:r>
          <w:r>
            <w:fldChar w:fldCharType="separate"/>
          </w:r>
          <w:r>
            <w:rPr>
              <w:rStyle w:val="23"/>
            </w:rPr>
            <w:t>9.2建议</w:t>
          </w:r>
          <w:r>
            <w:tab/>
          </w:r>
          <w:r>
            <w:fldChar w:fldCharType="begin"/>
          </w:r>
          <w:r>
            <w:instrText xml:space="preserve"> PAGEREF _Toc161250522 \h </w:instrText>
          </w:r>
          <w:r>
            <w:fldChar w:fldCharType="separate"/>
          </w:r>
          <w:r>
            <w:t>61</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"_Toc161250523" </w:instrText>
          </w:r>
          <w:r>
            <w:fldChar w:fldCharType="separate"/>
          </w:r>
          <w:r>
            <w:rPr>
              <w:rStyle w:val="23"/>
            </w:rPr>
            <w:t>附件</w:t>
          </w:r>
          <w:r>
            <w:tab/>
          </w:r>
          <w:r>
            <w:fldChar w:fldCharType="begin"/>
          </w:r>
          <w:r>
            <w:instrText xml:space="preserve"> PAGEREF _Toc161250523 \h </w:instrText>
          </w:r>
          <w:r>
            <w:fldChar w:fldCharType="separate"/>
          </w:r>
          <w:r>
            <w:t>62</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"_Toc161250524" </w:instrText>
          </w:r>
          <w:r>
            <w:fldChar w:fldCharType="separate"/>
          </w:r>
          <w:r>
            <w:rPr>
              <w:rStyle w:val="23"/>
            </w:rPr>
            <w:t>附件1：项目立项批复</w:t>
          </w:r>
          <w:r>
            <w:tab/>
          </w:r>
          <w:r>
            <w:fldChar w:fldCharType="begin"/>
          </w:r>
          <w:r>
            <w:instrText xml:space="preserve"> PAGEREF _Toc161250524 \h </w:instrText>
          </w:r>
          <w:r>
            <w:fldChar w:fldCharType="separate"/>
          </w:r>
          <w:r>
            <w:t>62</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"_Toc161250525" </w:instrText>
          </w:r>
          <w:r>
            <w:fldChar w:fldCharType="separate"/>
          </w:r>
          <w:r>
            <w:rPr>
              <w:rStyle w:val="23"/>
            </w:rPr>
            <w:t>附件2：项目环评批复</w:t>
          </w:r>
          <w:r>
            <w:tab/>
          </w:r>
          <w:r>
            <w:fldChar w:fldCharType="begin"/>
          </w:r>
          <w:r>
            <w:instrText xml:space="preserve"> PAGEREF _Toc161250525 \h </w:instrText>
          </w:r>
          <w:r>
            <w:fldChar w:fldCharType="separate"/>
          </w:r>
          <w:r>
            <w:t>65</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"_Toc161250526" </w:instrText>
          </w:r>
          <w:r>
            <w:fldChar w:fldCharType="separate"/>
          </w:r>
          <w:r>
            <w:rPr>
              <w:rStyle w:val="23"/>
            </w:rPr>
            <w:t>附件3：检测报告</w:t>
          </w:r>
          <w:r>
            <w:tab/>
          </w:r>
          <w:r>
            <w:fldChar w:fldCharType="begin"/>
          </w:r>
          <w:r>
            <w:instrText xml:space="preserve"> PAGEREF _Toc161250526 \h </w:instrText>
          </w:r>
          <w:r>
            <w:fldChar w:fldCharType="separate"/>
          </w:r>
          <w:r>
            <w:t>71</w:t>
          </w:r>
          <w:r>
            <w:fldChar w:fldCharType="end"/>
          </w:r>
          <w:r>
            <w:fldChar w:fldCharType="end"/>
          </w:r>
        </w:p>
        <w:p>
          <w:pPr>
            <w:pStyle w:val="14"/>
            <w:tabs>
              <w:tab w:val="right" w:leader="dot" w:pos="8296"/>
            </w:tabs>
            <w:rPr>
              <w:rFonts w:asciiTheme="minorHAnsi" w:hAnsiTheme="minorHAnsi" w:eastAsiaTheme="minorEastAsia" w:cstheme="minorBidi"/>
              <w:sz w:val="21"/>
              <w:szCs w:val="22"/>
              <w14:ligatures w14:val="standardContextual"/>
            </w:rPr>
          </w:pPr>
          <w:r>
            <w:fldChar w:fldCharType="begin"/>
          </w:r>
          <w:r>
            <w:instrText xml:space="preserve"> HYPERLINK \l "_Toc161250527" </w:instrText>
          </w:r>
          <w:r>
            <w:fldChar w:fldCharType="separate"/>
          </w:r>
          <w:r>
            <w:rPr>
              <w:rStyle w:val="23"/>
            </w:rPr>
            <w:t>附图</w:t>
          </w:r>
          <w:r>
            <w:tab/>
          </w:r>
          <w:r>
            <w:fldChar w:fldCharType="begin"/>
          </w:r>
          <w:r>
            <w:instrText xml:space="preserve"> PAGEREF _Toc161250527 \h </w:instrText>
          </w:r>
          <w:r>
            <w:fldChar w:fldCharType="separate"/>
          </w:r>
          <w:r>
            <w:t>84</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"_Toc161250528" </w:instrText>
          </w:r>
          <w:r>
            <w:fldChar w:fldCharType="separate"/>
          </w:r>
          <w:r>
            <w:rPr>
              <w:rStyle w:val="23"/>
            </w:rPr>
            <w:t>附图1：地理位置图</w:t>
          </w:r>
          <w:r>
            <w:tab/>
          </w:r>
          <w:r>
            <w:fldChar w:fldCharType="begin"/>
          </w:r>
          <w:r>
            <w:instrText xml:space="preserve"> PAGEREF _Toc161250528 \h </w:instrText>
          </w:r>
          <w:r>
            <w:fldChar w:fldCharType="separate"/>
          </w:r>
          <w:r>
            <w:t>84</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"_Toc161250529" </w:instrText>
          </w:r>
          <w:r>
            <w:fldChar w:fldCharType="separate"/>
          </w:r>
          <w:r>
            <w:rPr>
              <w:rStyle w:val="23"/>
            </w:rPr>
            <w:t>附图2：总平面布置图</w:t>
          </w:r>
          <w:r>
            <w:tab/>
          </w:r>
          <w:r>
            <w:fldChar w:fldCharType="begin"/>
          </w:r>
          <w:r>
            <w:instrText xml:space="preserve"> PAGEREF _Toc161250529 \h </w:instrText>
          </w:r>
          <w:r>
            <w:fldChar w:fldCharType="separate"/>
          </w:r>
          <w:r>
            <w:t>86</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"_Toc161250530" </w:instrText>
          </w:r>
          <w:r>
            <w:fldChar w:fldCharType="separate"/>
          </w:r>
          <w:r>
            <w:rPr>
              <w:rStyle w:val="23"/>
            </w:rPr>
            <w:t>附图3：污水处理工程污水收集专管布置图</w:t>
          </w:r>
          <w:r>
            <w:tab/>
          </w:r>
          <w:r>
            <w:fldChar w:fldCharType="begin"/>
          </w:r>
          <w:r>
            <w:instrText xml:space="preserve"> PAGEREF _Toc161250530 \h </w:instrText>
          </w:r>
          <w:r>
            <w:fldChar w:fldCharType="separate"/>
          </w:r>
          <w:r>
            <w:t>87</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"_Toc161250531" </w:instrText>
          </w:r>
          <w:r>
            <w:fldChar w:fldCharType="separate"/>
          </w:r>
          <w:r>
            <w:rPr>
              <w:rStyle w:val="23"/>
            </w:rPr>
            <w:t>附图4：污水处理工程污水分区图</w:t>
          </w:r>
          <w:r>
            <w:tab/>
          </w:r>
          <w:r>
            <w:fldChar w:fldCharType="begin"/>
          </w:r>
          <w:r>
            <w:instrText xml:space="preserve"> PAGEREF _Toc161250531 \h </w:instrText>
          </w:r>
          <w:r>
            <w:fldChar w:fldCharType="separate"/>
          </w:r>
          <w:r>
            <w:t>88</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"_Toc161250532" </w:instrText>
          </w:r>
          <w:r>
            <w:fldChar w:fldCharType="separate"/>
          </w:r>
          <w:r>
            <w:rPr>
              <w:rStyle w:val="23"/>
            </w:rPr>
            <w:t>附图5：排污口设置位置及排污路径图</w:t>
          </w:r>
          <w:r>
            <w:tab/>
          </w:r>
          <w:r>
            <w:fldChar w:fldCharType="begin"/>
          </w:r>
          <w:r>
            <w:instrText xml:space="preserve"> PAGEREF _Toc161250532 \h </w:instrText>
          </w:r>
          <w:r>
            <w:fldChar w:fldCharType="separate"/>
          </w:r>
          <w:r>
            <w:t>89</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"_Toc161250533" </w:instrText>
          </w:r>
          <w:r>
            <w:fldChar w:fldCharType="separate"/>
          </w:r>
          <w:r>
            <w:rPr>
              <w:rStyle w:val="23"/>
            </w:rPr>
            <w:t>附图6：区域水系图</w:t>
          </w:r>
          <w:r>
            <w:tab/>
          </w:r>
          <w:r>
            <w:fldChar w:fldCharType="begin"/>
          </w:r>
          <w:r>
            <w:instrText xml:space="preserve"> PAGEREF _Toc161250533 \h </w:instrText>
          </w:r>
          <w:r>
            <w:fldChar w:fldCharType="separate"/>
          </w:r>
          <w:r>
            <w:t>90</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"_Toc161250534" </w:instrText>
          </w:r>
          <w:r>
            <w:fldChar w:fldCharType="separate"/>
          </w:r>
          <w:r>
            <w:rPr>
              <w:rStyle w:val="23"/>
            </w:rPr>
            <w:t>附图7：监测点位图</w:t>
          </w:r>
          <w:r>
            <w:tab/>
          </w:r>
          <w:r>
            <w:fldChar w:fldCharType="begin"/>
          </w:r>
          <w:r>
            <w:instrText xml:space="preserve"> PAGEREF _Toc161250534 \h </w:instrText>
          </w:r>
          <w:r>
            <w:fldChar w:fldCharType="separate"/>
          </w:r>
          <w:r>
            <w:t>91</w:t>
          </w:r>
          <w:r>
            <w:fldChar w:fldCharType="end"/>
          </w:r>
          <w:r>
            <w:fldChar w:fldCharType="end"/>
          </w:r>
        </w:p>
        <w:p>
          <w:pPr>
            <w:pStyle w:val="17"/>
            <w:tabs>
              <w:tab w:val="right" w:leader="dot" w:pos="8296"/>
            </w:tabs>
            <w:ind w:left="400"/>
            <w:rPr>
              <w:rFonts w:asciiTheme="minorHAnsi" w:hAnsiTheme="minorHAnsi" w:eastAsiaTheme="minorEastAsia" w:cstheme="minorBidi"/>
              <w:sz w:val="21"/>
              <w:szCs w:val="22"/>
              <w14:ligatures w14:val="standardContextual"/>
            </w:rPr>
          </w:pPr>
          <w:r>
            <w:fldChar w:fldCharType="begin"/>
          </w:r>
          <w:r>
            <w:instrText xml:space="preserve"> HYPERLINK \l "_Toc161250535" </w:instrText>
          </w:r>
          <w:r>
            <w:fldChar w:fldCharType="separate"/>
          </w:r>
          <w:r>
            <w:rPr>
              <w:rStyle w:val="23"/>
            </w:rPr>
            <w:t>附图8：现场照片</w:t>
          </w:r>
          <w:r>
            <w:tab/>
          </w:r>
          <w:r>
            <w:fldChar w:fldCharType="begin"/>
          </w:r>
          <w:r>
            <w:instrText xml:space="preserve"> PAGEREF _Toc161250535 \h </w:instrText>
          </w:r>
          <w:r>
            <w:fldChar w:fldCharType="separate"/>
          </w:r>
          <w:r>
            <w:t>92</w:t>
          </w:r>
          <w:r>
            <w:fldChar w:fldCharType="end"/>
          </w:r>
          <w:r>
            <w:fldChar w:fldCharType="end"/>
          </w:r>
        </w:p>
        <w:p>
          <w:r>
            <w:rPr>
              <w:b/>
              <w:bCs/>
              <w:lang w:val="zh-CN"/>
            </w:rPr>
            <w:fldChar w:fldCharType="end"/>
          </w:r>
        </w:p>
      </w:sdtContent>
    </w:sdt>
    <w:p>
      <w:pPr>
        <w:pStyle w:val="40"/>
        <w:sectPr>
          <w:pgSz w:w="11906" w:h="16838"/>
          <w:pgMar w:top="1440" w:right="1800" w:bottom="1440" w:left="1800" w:header="851" w:footer="992" w:gutter="0"/>
          <w:cols w:space="425" w:num="1"/>
          <w:docGrid w:type="lines" w:linePitch="312" w:charSpace="0"/>
        </w:sectPr>
      </w:pPr>
    </w:p>
    <w:p>
      <w:pPr>
        <w:pStyle w:val="29"/>
      </w:pPr>
      <w:bookmarkStart w:id="2" w:name="_Toc161250431"/>
      <w:r>
        <w:rPr>
          <w:rFonts w:hint="eastAsia"/>
        </w:rPr>
        <w:t>1总则</w:t>
      </w:r>
      <w:bookmarkEnd w:id="2"/>
    </w:p>
    <w:p>
      <w:pPr>
        <w:pStyle w:val="32"/>
      </w:pPr>
      <w:bookmarkStart w:id="3" w:name="_Toc161250432"/>
      <w:r>
        <w:rPr>
          <w:rFonts w:hint="eastAsia"/>
        </w:rPr>
        <w:t>1</w:t>
      </w:r>
      <w:r>
        <w:t>.1</w:t>
      </w:r>
      <w:r>
        <w:rPr>
          <w:rFonts w:hint="eastAsia"/>
        </w:rPr>
        <w:t>论证背景</w:t>
      </w:r>
      <w:bookmarkEnd w:id="3"/>
    </w:p>
    <w:p>
      <w:pPr>
        <w:pStyle w:val="27"/>
        <w:ind w:firstLine="480"/>
      </w:pPr>
      <w:r>
        <w:rPr>
          <w:rFonts w:hint="eastAsia"/>
        </w:rPr>
        <w:t>祁东地处衡阳市西南部，湘江中游北岸，据湘桂交通要冲，扼衡阳市西南门户，交通区位优势独特，素有“湘桂咽喉”之称。近年来祁东县的城镇建设快速发展，规模不断扩大，人口不断增长，但是城镇污水</w:t>
      </w:r>
      <w:r>
        <w:t>处理及</w:t>
      </w:r>
      <w:r>
        <w:rPr>
          <w:rFonts w:hint="eastAsia"/>
        </w:rPr>
        <w:t>排水设施难以跟上城镇的快速发展步伐，祁东县各乡镇均没有完善污水</w:t>
      </w:r>
      <w:r>
        <w:t>处理及</w:t>
      </w:r>
      <w:r>
        <w:rPr>
          <w:rFonts w:hint="eastAsia"/>
        </w:rPr>
        <w:t>排水设施。目前祁东县县城和建制镇污水处理率较低，同时农村污染扩大，可能会导致县域内部分河流水质和地下水水质恶化。根据国务院办公厅印发《农村人居环境整治三年行动方案》、中央农村工作领导小组办公室、农业农村部、生态环境部等联合发布的《关于推进农村生活污水治理的指导意见》等文件要求，均要求开展农村生活污水治理。</w:t>
      </w:r>
    </w:p>
    <w:p>
      <w:pPr>
        <w:pStyle w:val="27"/>
        <w:ind w:firstLine="480"/>
      </w:pPr>
      <w:r>
        <w:rPr>
          <w:rFonts w:hint="eastAsia"/>
        </w:rPr>
        <w:t>污水处理设施作为一项城镇的重要基础设施，不仅是出于对环境资源的保护，也很大程度上影响着城市建设的发展。近年来，祁东县各乡镇的建设发展迅速，各乡镇道路、交通工程等基础设施建设亦有了很大的改变，但环境基础设施建设仍然滞后，污水处理设施较少。项目作为环境公共服务工程、民生工程，有利于城镇发展和提高竞争能力，有利于生态文明和和谐社会的建立。因此尽快建设祁东县城镇污水处理项目已经成为摆在祁东县人民</w:t>
      </w:r>
      <w:r>
        <w:t>政府</w:t>
      </w:r>
      <w:r>
        <w:rPr>
          <w:rFonts w:hint="eastAsia"/>
        </w:rPr>
        <w:t>面前的头等大事，亦是祁东县各乡镇政府构建和谐社会的重要举措。</w:t>
      </w:r>
    </w:p>
    <w:p>
      <w:pPr>
        <w:pStyle w:val="27"/>
        <w:ind w:firstLine="480"/>
        <w:rPr>
          <w:rFonts w:cs="宋体"/>
        </w:rPr>
      </w:pPr>
      <w:r>
        <w:rPr>
          <w:rFonts w:hint="eastAsia" w:cs="宋体"/>
        </w:rPr>
        <w:t>本项目工程主要内容包括污水处理厂建设和配套污水管网建设，污水收集处理后达到相应排放标准，通过15km灌溉渠，最终排入祁水。根据《中华人民共和国水法》、《中华人民共和国水污染防治法》、《入河排污口监督管理办法》和《关于做好入河排污口和水功能区划相关工作的通知》等法律法规的要求，在江河、湖泊新建、改建和扩大排污口，需经行政主管部门审批。在项目建设单位提交的申请材料中应包括《入河排污口设置论证报告》。</w:t>
      </w:r>
    </w:p>
    <w:p>
      <w:pPr>
        <w:pStyle w:val="27"/>
        <w:ind w:firstLine="480"/>
        <w:rPr>
          <w:rFonts w:hAnsi="宋体" w:eastAsia="仿宋_GB2312"/>
          <w:sz w:val="28"/>
        </w:rPr>
      </w:pPr>
      <w:r>
        <w:rPr>
          <w:rFonts w:hint="eastAsia" w:cs="宋体"/>
        </w:rPr>
        <w:t>为更好贯彻落实《入河排污口监督管理办法》，加强如何排污口监督管理，有效控制水环境污染，实现水资源的可持续利用和保护，祁东县住房和城乡建设局委托湖南易恒环保科技有限公司（以下简称“我公司”）承担祁东县</w:t>
      </w:r>
      <w:r>
        <w:rPr>
          <w:rFonts w:hint="eastAsia"/>
        </w:rPr>
        <w:t>凤歧坪乡污水处理工程</w:t>
      </w:r>
      <w:r>
        <w:rPr>
          <w:rFonts w:hint="eastAsia" w:cs="宋体"/>
        </w:rPr>
        <w:t>排污口设置论证报告编制工作。接受委托后，我公司收集了相关的技术资料，同时对祁东县</w:t>
      </w:r>
      <w:r>
        <w:rPr>
          <w:rFonts w:hint="eastAsia"/>
        </w:rPr>
        <w:t>凤歧坪乡污水处理工程</w:t>
      </w:r>
      <w:r>
        <w:rPr>
          <w:rFonts w:hint="eastAsia" w:cs="宋体"/>
        </w:rPr>
        <w:t>实地勘察，在此基础上编制了入河排污口设置论证报告，为行政主管部门审批入河排污口提供技术依据。</w:t>
      </w:r>
    </w:p>
    <w:p>
      <w:pPr>
        <w:pStyle w:val="32"/>
      </w:pPr>
      <w:bookmarkStart w:id="4" w:name="_Toc161250433"/>
      <w:r>
        <w:rPr>
          <w:rFonts w:hint="eastAsia"/>
        </w:rPr>
        <w:t>1</w:t>
      </w:r>
      <w:r>
        <w:t>.2</w:t>
      </w:r>
      <w:r>
        <w:rPr>
          <w:rFonts w:hint="eastAsia"/>
        </w:rPr>
        <w:t>论证目的</w:t>
      </w:r>
      <w:bookmarkEnd w:id="4"/>
    </w:p>
    <w:p>
      <w:pPr>
        <w:pStyle w:val="27"/>
        <w:ind w:firstLine="480"/>
      </w:pPr>
      <w:r>
        <w:rPr>
          <w:rFonts w:hint="eastAsia"/>
        </w:rPr>
        <w:t>通过分析凤歧坪乡污水处理工程排污口的有关信息，在满足相关水功能区保护要求的前提下，论证入河排污口设置对水功能区、水生态和第三者权益的影响，根据水功能区的纳污能力、水生态保护等要求，提出水资源保护措施，优化入河排污口设置方案，为行政主管部门审批入河排污口以及建设单位合理设置入河排污口提供科学依据，以保障生活、生产和生态用水安全。</w:t>
      </w:r>
    </w:p>
    <w:p>
      <w:pPr>
        <w:pStyle w:val="32"/>
      </w:pPr>
      <w:bookmarkStart w:id="5" w:name="_Toc161250434"/>
      <w:r>
        <w:rPr>
          <w:rFonts w:hint="eastAsia"/>
        </w:rPr>
        <w:t>1</w:t>
      </w:r>
      <w:r>
        <w:t>.3</w:t>
      </w:r>
      <w:r>
        <w:rPr>
          <w:rFonts w:hint="eastAsia"/>
        </w:rPr>
        <w:t>论证依据</w:t>
      </w:r>
      <w:bookmarkEnd w:id="5"/>
    </w:p>
    <w:p>
      <w:pPr>
        <w:pStyle w:val="35"/>
      </w:pPr>
      <w:bookmarkStart w:id="6" w:name="_Toc161250435"/>
      <w:r>
        <w:rPr>
          <w:rFonts w:hint="eastAsia"/>
        </w:rPr>
        <w:t>1</w:t>
      </w:r>
      <w:r>
        <w:t>.3.1</w:t>
      </w:r>
      <w:r>
        <w:rPr>
          <w:rFonts w:hint="eastAsia"/>
        </w:rPr>
        <w:t>法律法规</w:t>
      </w:r>
      <w:bookmarkEnd w:id="6"/>
    </w:p>
    <w:p>
      <w:pPr>
        <w:pStyle w:val="27"/>
        <w:ind w:firstLine="480"/>
      </w:pPr>
      <w:r>
        <w:rPr>
          <w:rFonts w:hint="eastAsia"/>
        </w:rPr>
        <w:t>(1)《中华人民共和国水法》（2016年9月1日施行）；</w:t>
      </w:r>
    </w:p>
    <w:p>
      <w:pPr>
        <w:pStyle w:val="27"/>
        <w:ind w:firstLine="480"/>
      </w:pPr>
      <w:r>
        <w:rPr>
          <w:rFonts w:hint="eastAsia"/>
        </w:rPr>
        <w:t>(2)《中华人民共和国水污染防治法》（2018年1月1日施行）；</w:t>
      </w:r>
    </w:p>
    <w:p>
      <w:pPr>
        <w:pStyle w:val="27"/>
        <w:ind w:firstLine="480"/>
      </w:pPr>
      <w:r>
        <w:rPr>
          <w:rFonts w:hint="eastAsia"/>
        </w:rPr>
        <w:t>(3)《中华人民共和国环境保护法》（2015年1月1日施行）；</w:t>
      </w:r>
    </w:p>
    <w:p>
      <w:pPr>
        <w:pStyle w:val="27"/>
        <w:ind w:firstLine="480"/>
      </w:pPr>
      <w:r>
        <w:rPr>
          <w:rFonts w:hint="eastAsia"/>
        </w:rPr>
        <w:t>(4)《中华人民共和国野生动物保护法》（2018年10月 26日施行）；</w:t>
      </w:r>
    </w:p>
    <w:p>
      <w:pPr>
        <w:pStyle w:val="27"/>
        <w:ind w:firstLine="480"/>
      </w:pPr>
      <w:r>
        <w:rPr>
          <w:rFonts w:hint="eastAsia"/>
        </w:rPr>
        <w:t>(5)《中华人民共和国防洪法》（2016年7月2日修正）；</w:t>
      </w:r>
    </w:p>
    <w:p>
      <w:pPr>
        <w:pStyle w:val="27"/>
        <w:ind w:firstLine="480"/>
      </w:pPr>
      <w:r>
        <w:rPr>
          <w:rFonts w:hint="eastAsia"/>
        </w:rPr>
        <w:t>(6)《建设项目环境保护管理条例》（2017年10月 1日实施）；</w:t>
      </w:r>
    </w:p>
    <w:p>
      <w:pPr>
        <w:pStyle w:val="27"/>
        <w:ind w:firstLine="480"/>
      </w:pPr>
      <w:r>
        <w:rPr>
          <w:rFonts w:hint="eastAsia"/>
        </w:rPr>
        <w:t>(7)《中华人民共和国河道管理条例》（2018年3月19日实施）；</w:t>
      </w:r>
    </w:p>
    <w:p>
      <w:pPr>
        <w:pStyle w:val="27"/>
        <w:ind w:firstLine="480"/>
      </w:pPr>
      <w:r>
        <w:rPr>
          <w:rFonts w:hint="eastAsia"/>
        </w:rPr>
        <w:t>(8)《国务院关于实行最严格水资源管理制度的意见》（国务院国发[〔012]3号），2012.1.12；</w:t>
      </w:r>
    </w:p>
    <w:p>
      <w:pPr>
        <w:pStyle w:val="27"/>
        <w:ind w:firstLine="480"/>
      </w:pPr>
      <w:r>
        <w:rPr>
          <w:rFonts w:hint="eastAsia"/>
        </w:rPr>
        <w:t>(9)《城镇排水与污水处理条例》（国务院第641号令，2014年1月1日实施）；</w:t>
      </w:r>
    </w:p>
    <w:p>
      <w:pPr>
        <w:pStyle w:val="27"/>
        <w:ind w:firstLine="480"/>
      </w:pPr>
      <w:r>
        <w:rPr>
          <w:rFonts w:hint="eastAsia"/>
        </w:rPr>
        <w:t>(10)《入河排污口监督管理办法》（2015年修正本）；</w:t>
      </w:r>
    </w:p>
    <w:p>
      <w:pPr>
        <w:pStyle w:val="27"/>
        <w:ind w:firstLine="480"/>
      </w:pPr>
      <w:r>
        <w:rPr>
          <w:rFonts w:hint="eastAsia"/>
        </w:rPr>
        <w:t>(11)《水功能区监督管理办法》（水资源[2017]101号），2017年4月1日实施</w:t>
      </w:r>
    </w:p>
    <w:p>
      <w:pPr>
        <w:pStyle w:val="27"/>
        <w:ind w:firstLine="480"/>
      </w:pPr>
      <w:r>
        <w:rPr>
          <w:rFonts w:hint="eastAsia"/>
        </w:rPr>
        <w:t>(12)《湖南省人民政府办公厅关于印发&lt;湖南省水功能区监督管理办法&gt;的通知》（湘政办发〔2016〕14号）；</w:t>
      </w:r>
    </w:p>
    <w:p>
      <w:pPr>
        <w:pStyle w:val="27"/>
        <w:ind w:firstLine="480"/>
      </w:pPr>
      <w:r>
        <w:rPr>
          <w:rFonts w:hint="eastAsia"/>
        </w:rPr>
        <w:t>(13)《关于进一步加强入河排污口监督管理工作的通知》（水利部，2017年3月）；</w:t>
      </w:r>
    </w:p>
    <w:p>
      <w:pPr>
        <w:pStyle w:val="27"/>
        <w:ind w:firstLine="480"/>
      </w:pPr>
      <w:r>
        <w:rPr>
          <w:rFonts w:hint="eastAsia"/>
        </w:rPr>
        <w:t>(14)《关于做好入河排污口和水功能区划相关工作的通知》（环办水体〔2019〕36号，2019 年4月24日）；</w:t>
      </w:r>
    </w:p>
    <w:p>
      <w:pPr>
        <w:pStyle w:val="27"/>
        <w:ind w:firstLine="480"/>
      </w:pPr>
      <w:r>
        <w:rPr>
          <w:rFonts w:hint="eastAsia"/>
        </w:rPr>
        <w:t>(15)《饮用水源保护区污染防治管理规定》（2010年12月22日修正）；</w:t>
      </w:r>
    </w:p>
    <w:p>
      <w:pPr>
        <w:pStyle w:val="27"/>
        <w:ind w:firstLine="480"/>
      </w:pPr>
      <w:r>
        <w:rPr>
          <w:rFonts w:hint="eastAsia"/>
        </w:rPr>
        <w:t>(16)《湖南省入河排污口监督管理办法》（湘政发办〔2018〕44 号，2018年7月12号实施）；</w:t>
      </w:r>
    </w:p>
    <w:p>
      <w:pPr>
        <w:pStyle w:val="27"/>
        <w:ind w:firstLine="480"/>
      </w:pPr>
      <w:r>
        <w:rPr>
          <w:rFonts w:hint="eastAsia"/>
        </w:rPr>
        <w:t>(17)《衡阳市水功能区划》（2010-2020），衡阳市水利局；</w:t>
      </w:r>
    </w:p>
    <w:p>
      <w:pPr>
        <w:pStyle w:val="27"/>
        <w:ind w:firstLine="480"/>
      </w:pPr>
      <w:r>
        <w:rPr>
          <w:rFonts w:hint="eastAsia"/>
        </w:rPr>
        <w:t>(18)衡阳市人民政府关于《衡阳市水功能区划》的批复（衡政函〔013〕1号）。</w:t>
      </w:r>
    </w:p>
    <w:p>
      <w:pPr>
        <w:pStyle w:val="35"/>
      </w:pPr>
      <w:bookmarkStart w:id="7" w:name="_Toc161250436"/>
      <w:r>
        <w:rPr>
          <w:rFonts w:hint="eastAsia"/>
        </w:rPr>
        <w:t>1</w:t>
      </w:r>
      <w:r>
        <w:t>.3.2</w:t>
      </w:r>
      <w:r>
        <w:rPr>
          <w:rFonts w:hint="eastAsia"/>
        </w:rPr>
        <w:t>技术标准、规范、规程</w:t>
      </w:r>
      <w:bookmarkEnd w:id="7"/>
    </w:p>
    <w:p>
      <w:pPr>
        <w:pStyle w:val="27"/>
        <w:ind w:firstLine="480"/>
      </w:pPr>
      <w:r>
        <w:rPr>
          <w:rFonts w:hint="eastAsia"/>
        </w:rPr>
        <w:t>(1)《入河排污口管理技术导则》（SL 532-2011）；</w:t>
      </w:r>
    </w:p>
    <w:p>
      <w:pPr>
        <w:pStyle w:val="27"/>
        <w:ind w:firstLine="480"/>
      </w:pPr>
      <w:r>
        <w:rPr>
          <w:rFonts w:hint="eastAsia"/>
        </w:rPr>
        <w:t>(2)《地表水环境质量标准》（GB 3838-2002）；</w:t>
      </w:r>
    </w:p>
    <w:p>
      <w:pPr>
        <w:pStyle w:val="27"/>
        <w:ind w:firstLine="480"/>
      </w:pPr>
      <w:r>
        <w:rPr>
          <w:rFonts w:hint="eastAsia"/>
        </w:rPr>
        <w:t>(3)《地下水质量标准》(GB/T14848-2017) ；</w:t>
      </w:r>
    </w:p>
    <w:p>
      <w:pPr>
        <w:pStyle w:val="27"/>
        <w:ind w:firstLine="480"/>
      </w:pPr>
      <w:r>
        <w:rPr>
          <w:rFonts w:hint="eastAsia"/>
        </w:rPr>
        <w:t>(4)《生活饮用水卫生标准》（GB 5749-2022）；</w:t>
      </w:r>
    </w:p>
    <w:p>
      <w:pPr>
        <w:pStyle w:val="27"/>
        <w:ind w:firstLine="480"/>
      </w:pPr>
      <w:r>
        <w:rPr>
          <w:rFonts w:hint="eastAsia"/>
        </w:rPr>
        <w:t>(5)《水域纳污能力计算规程》（GB/T 25173-2010）；</w:t>
      </w:r>
    </w:p>
    <w:p>
      <w:pPr>
        <w:pStyle w:val="27"/>
        <w:ind w:firstLine="480"/>
      </w:pPr>
      <w:r>
        <w:rPr>
          <w:rFonts w:hint="eastAsia"/>
        </w:rPr>
        <w:t>(6)《湖南省地方标准用水定额》（DB43/T 388-2020）；</w:t>
      </w:r>
    </w:p>
    <w:p>
      <w:pPr>
        <w:pStyle w:val="27"/>
        <w:ind w:firstLine="480"/>
      </w:pPr>
      <w:r>
        <w:rPr>
          <w:rFonts w:hint="eastAsia"/>
        </w:rPr>
        <w:t>(7)《环境影响评价技术导则 地表水环境》（HJ2.3-2018）；</w:t>
      </w:r>
    </w:p>
    <w:p>
      <w:pPr>
        <w:pStyle w:val="27"/>
        <w:ind w:firstLine="480"/>
      </w:pPr>
      <w:r>
        <w:rPr>
          <w:rFonts w:hint="eastAsia"/>
        </w:rPr>
        <w:t>(8)《医疗机构水污染物排放标准》（GB18466-2005）；</w:t>
      </w:r>
    </w:p>
    <w:p>
      <w:pPr>
        <w:pStyle w:val="27"/>
        <w:ind w:firstLine="480"/>
      </w:pPr>
      <w:r>
        <w:rPr>
          <w:rFonts w:hint="eastAsia"/>
        </w:rPr>
        <w:t>(9)《污水进入城镇下水道水质标准》（GB/T31962-2015）；</w:t>
      </w:r>
    </w:p>
    <w:p>
      <w:pPr>
        <w:pStyle w:val="27"/>
        <w:ind w:firstLine="480"/>
      </w:pPr>
      <w:r>
        <w:rPr>
          <w:rFonts w:hint="eastAsia"/>
        </w:rPr>
        <w:t>(10)《河湖生态环境需水计算规范》（SL/T 712-2021）；</w:t>
      </w:r>
    </w:p>
    <w:p>
      <w:pPr>
        <w:pStyle w:val="27"/>
        <w:ind w:firstLine="480"/>
      </w:pPr>
      <w:bookmarkStart w:id="8" w:name="_Toc161250437"/>
      <w:r>
        <w:rPr>
          <w:rFonts w:hint="eastAsia"/>
        </w:rPr>
        <w:t>(11)《入河入海排污口监督管理技术指南 排污口分类 》（HJ 1312—2023）；</w:t>
      </w:r>
    </w:p>
    <w:p>
      <w:pPr>
        <w:pStyle w:val="27"/>
        <w:ind w:firstLine="480"/>
      </w:pPr>
      <w:r>
        <w:rPr>
          <w:rFonts w:hint="eastAsia"/>
        </w:rPr>
        <w:t>(12)《入河入海排污口监督管理技术指南　入河排污口规范化建设》（HJ 1309—2023）；</w:t>
      </w:r>
    </w:p>
    <w:p>
      <w:pPr>
        <w:pStyle w:val="27"/>
        <w:ind w:firstLine="480"/>
      </w:pPr>
      <w:r>
        <w:rPr>
          <w:rFonts w:hint="eastAsia"/>
        </w:rPr>
        <w:t>(13)《湖南省主要地表水系水环境功能区划》（DB43/023-2005）；</w:t>
      </w:r>
    </w:p>
    <w:p>
      <w:pPr>
        <w:pStyle w:val="35"/>
      </w:pPr>
      <w:r>
        <w:rPr>
          <w:rFonts w:hint="eastAsia"/>
        </w:rPr>
        <w:t>1</w:t>
      </w:r>
      <w:r>
        <w:t>.3.3</w:t>
      </w:r>
      <w:r>
        <w:rPr>
          <w:rFonts w:hint="eastAsia"/>
        </w:rPr>
        <w:t>其他资料</w:t>
      </w:r>
      <w:bookmarkEnd w:id="8"/>
    </w:p>
    <w:p>
      <w:pPr>
        <w:pStyle w:val="27"/>
        <w:ind w:firstLine="480"/>
      </w:pPr>
      <w:r>
        <w:rPr>
          <w:rFonts w:hint="eastAsia"/>
        </w:rPr>
        <w:t>（1）《衡阳市2019年度水环境承载力评价报告》（衡阳市生态环境局，2020.11）</w:t>
      </w:r>
    </w:p>
    <w:p>
      <w:pPr>
        <w:pStyle w:val="27"/>
        <w:ind w:firstLine="480"/>
      </w:pPr>
      <w:r>
        <w:rPr>
          <w:rFonts w:hint="eastAsia"/>
        </w:rPr>
        <w:t>（2）《祁东县城镇污水处理工程环境影响评价报告表》（报批稿）及其批复；</w:t>
      </w:r>
    </w:p>
    <w:p>
      <w:pPr>
        <w:pStyle w:val="27"/>
        <w:ind w:firstLine="480"/>
      </w:pPr>
      <w:r>
        <w:rPr>
          <w:rFonts w:hint="eastAsia"/>
        </w:rPr>
        <w:t>（3）《祁东县城镇污水处理工程环境影响评价变更说明》（报批稿）及其批复；</w:t>
      </w:r>
    </w:p>
    <w:p>
      <w:pPr>
        <w:pStyle w:val="27"/>
        <w:ind w:firstLine="480"/>
      </w:pPr>
      <w:r>
        <w:rPr>
          <w:rFonts w:hint="eastAsia"/>
        </w:rPr>
        <w:t>（4）建设单位提供的其他资料。</w:t>
      </w:r>
    </w:p>
    <w:p>
      <w:pPr>
        <w:pStyle w:val="32"/>
      </w:pPr>
      <w:bookmarkStart w:id="9" w:name="_Toc161250438"/>
      <w:r>
        <w:rPr>
          <w:rFonts w:hint="eastAsia"/>
        </w:rPr>
        <w:t>1</w:t>
      </w:r>
      <w:r>
        <w:t>.4</w:t>
      </w:r>
      <w:r>
        <w:rPr>
          <w:rFonts w:hint="eastAsia"/>
        </w:rPr>
        <w:t>论证原则</w:t>
      </w:r>
      <w:bookmarkEnd w:id="9"/>
    </w:p>
    <w:p>
      <w:pPr>
        <w:pStyle w:val="27"/>
        <w:ind w:firstLine="480"/>
      </w:pPr>
      <w:r>
        <w:rPr>
          <w:rFonts w:hint="eastAsia"/>
        </w:rPr>
        <w:t>（1）符合国家法律、法规和相关政策的要求和规定；</w:t>
      </w:r>
    </w:p>
    <w:p>
      <w:pPr>
        <w:pStyle w:val="27"/>
        <w:ind w:firstLine="480"/>
      </w:pPr>
      <w:r>
        <w:rPr>
          <w:rFonts w:hint="eastAsia"/>
        </w:rPr>
        <w:t>（2）符合国家和行业有关技术标准与规范、规程；</w:t>
      </w:r>
    </w:p>
    <w:p>
      <w:pPr>
        <w:pStyle w:val="27"/>
        <w:ind w:firstLine="480"/>
      </w:pPr>
      <w:r>
        <w:rPr>
          <w:rFonts w:hint="eastAsia"/>
        </w:rPr>
        <w:t>（3）符合流域或区域的综合规划及水资源保护等专业规划；</w:t>
      </w:r>
    </w:p>
    <w:p>
      <w:pPr>
        <w:pStyle w:val="27"/>
        <w:ind w:firstLine="480"/>
      </w:pPr>
      <w:r>
        <w:rPr>
          <w:rFonts w:hint="eastAsia"/>
        </w:rPr>
        <w:t>（4）符合水功能区管理要求。</w:t>
      </w:r>
    </w:p>
    <w:p>
      <w:pPr>
        <w:pStyle w:val="32"/>
      </w:pPr>
      <w:bookmarkStart w:id="10" w:name="_Toc161250439"/>
      <w:r>
        <w:rPr>
          <w:rFonts w:hint="eastAsia"/>
        </w:rPr>
        <w:t>1</w:t>
      </w:r>
      <w:r>
        <w:t>.5</w:t>
      </w:r>
      <w:r>
        <w:rPr>
          <w:rFonts w:hint="eastAsia"/>
        </w:rPr>
        <w:t>论证范围</w:t>
      </w:r>
      <w:bookmarkEnd w:id="10"/>
    </w:p>
    <w:p>
      <w:pPr>
        <w:pStyle w:val="27"/>
        <w:ind w:firstLine="480"/>
        <w:rPr>
          <w:szCs w:val="24"/>
          <w:u w:val="single"/>
        </w:rPr>
      </w:pPr>
      <w:r>
        <w:rPr>
          <w:rFonts w:hint="eastAsia"/>
          <w:u w:val="single"/>
        </w:rPr>
        <w:t>祁东县凤歧坪乡污水处理工程位于凤歧坪乡人民政府东南侧150m处，由于凤歧坪乡无自然地表河流经过，祁东县凤歧坪乡污水处理工程出水口设置在污水处理工程的东侧170m处灌溉渠，灌溉渠主要功能为沿线农田灌溉，灌溉渠补水主要为自然降雨，枯水期基本无水流动，污水进入灌溉渠后15km汇入祁水</w:t>
      </w:r>
      <w:r>
        <w:rPr>
          <w:rFonts w:hint="eastAsia"/>
          <w:szCs w:val="24"/>
          <w:u w:val="single"/>
        </w:rPr>
        <w:t>。</w:t>
      </w:r>
    </w:p>
    <w:p>
      <w:pPr>
        <w:pStyle w:val="27"/>
        <w:ind w:firstLine="480"/>
      </w:pPr>
      <w:r>
        <w:rPr>
          <w:rFonts w:hint="eastAsia"/>
        </w:rPr>
        <w:t>祁水又名“小东江”，湘江一级支流，发源于湖南省邵阳市四明山东侧的九塘坳。该河流流经邵阳县、祁东县、祁阳县，于祁阳县浯溪镇-东江村头海水湾入湘江。祁水长114公里，流域面积1685平方公里，流域内属亚热带季风气候，祁水为祁东县西北部和祁阳县北部农田灌溉主要水源。为祁阳县浯溪镇内唯一一条支流。多年平均流量23.9立方米每秒，多年平均径流量7.55亿立方米。祁水在祁阳境内河长67.2公里，流域面积568.2平方公里。</w:t>
      </w:r>
    </w:p>
    <w:p>
      <w:pPr>
        <w:pStyle w:val="27"/>
        <w:ind w:firstLine="480"/>
      </w:pPr>
      <w:r>
        <w:rPr>
          <w:rFonts w:hint="eastAsia"/>
        </w:rPr>
        <w:t>按照《入河排污口设置论证基本要求（试行）》规定“原则上以受入河排污口影响的主要水域和其影响范围内的第三方取、用水户的地域为论证范围。论证工作的基础单元为水功能区，其中入河排污口所在水功能区和可能受到影响的周边水功能区，是论证的重点区域；涉及鱼类产卵场等生态敏感点的，论证范围可不限于上述水功能区。未划分水功能区的水域，入河排污口排污影响范围内的水域都应为论证范围”。</w:t>
      </w:r>
    </w:p>
    <w:p>
      <w:pPr>
        <w:pStyle w:val="27"/>
        <w:ind w:firstLine="480"/>
        <w:rPr>
          <w:u w:val="single"/>
        </w:rPr>
      </w:pPr>
      <w:r>
        <w:rPr>
          <w:rFonts w:hint="eastAsia"/>
          <w:u w:val="single"/>
        </w:rPr>
        <w:t>根据本项目正常排放工况下近远期COD、氨氮、总磷对受纳水体祁水的水质预测结果，最远到排污口下游1000m处即可恢复到上游水质水平，其最大影响范围为1000m，因此论证范围为入河排污口处至汇入祁水后下游1000m。</w:t>
      </w:r>
    </w:p>
    <w:p>
      <w:pPr>
        <w:jc w:val="center"/>
        <w:rPr>
          <w:u w:val="single"/>
        </w:rPr>
      </w:pPr>
      <w:r>
        <w:rPr>
          <w:b/>
          <w:bCs/>
          <w:u w:val="single"/>
        </w:rPr>
        <w:t>表1.</w:t>
      </w:r>
      <w:r>
        <w:rPr>
          <w:rFonts w:hint="eastAsia"/>
          <w:b/>
          <w:bCs/>
          <w:u w:val="single"/>
        </w:rPr>
        <w:t>5</w:t>
      </w:r>
      <w:r>
        <w:rPr>
          <w:b/>
          <w:bCs/>
          <w:u w:val="single"/>
        </w:rPr>
        <w:t>-1 论证范围表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4"/>
        <w:gridCol w:w="1612"/>
        <w:gridCol w:w="2996"/>
        <w:gridCol w:w="29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2" w:type="pct"/>
            <w:vAlign w:val="center"/>
          </w:tcPr>
          <w:p>
            <w:pPr>
              <w:pStyle w:val="40"/>
              <w:rPr>
                <w:u w:val="single"/>
              </w:rPr>
            </w:pPr>
            <w:r>
              <w:rPr>
                <w:rFonts w:hint="eastAsia"/>
                <w:u w:val="single"/>
              </w:rPr>
              <w:t>水体</w:t>
            </w:r>
          </w:p>
        </w:tc>
        <w:tc>
          <w:tcPr>
            <w:tcW w:w="946" w:type="pct"/>
            <w:vAlign w:val="center"/>
          </w:tcPr>
          <w:p>
            <w:pPr>
              <w:pStyle w:val="40"/>
              <w:rPr>
                <w:u w:val="single"/>
              </w:rPr>
            </w:pPr>
            <w:r>
              <w:rPr>
                <w:u w:val="single"/>
              </w:rPr>
              <w:t>名称</w:t>
            </w:r>
          </w:p>
        </w:tc>
        <w:tc>
          <w:tcPr>
            <w:tcW w:w="1758" w:type="pct"/>
            <w:vAlign w:val="center"/>
          </w:tcPr>
          <w:p>
            <w:pPr>
              <w:pStyle w:val="40"/>
              <w:rPr>
                <w:u w:val="single"/>
              </w:rPr>
            </w:pPr>
            <w:r>
              <w:rPr>
                <w:u w:val="single"/>
              </w:rPr>
              <w:t>位置名称</w:t>
            </w:r>
          </w:p>
        </w:tc>
        <w:tc>
          <w:tcPr>
            <w:tcW w:w="1754" w:type="pct"/>
            <w:vAlign w:val="center"/>
          </w:tcPr>
          <w:p>
            <w:pPr>
              <w:pStyle w:val="40"/>
              <w:rPr>
                <w:u w:val="single"/>
              </w:rPr>
            </w:pPr>
            <w:r>
              <w:rPr>
                <w:u w:val="single"/>
              </w:rPr>
              <w:t>距离本项目入河排污口距离</w:t>
            </w:r>
          </w:p>
          <w:p>
            <w:pPr>
              <w:pStyle w:val="40"/>
              <w:rPr>
                <w:u w:val="single"/>
              </w:rPr>
            </w:pPr>
            <w:r>
              <w:rPr>
                <w:u w:val="single"/>
              </w:rPr>
              <w:t>（km）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2" w:type="pct"/>
            <w:vMerge w:val="restart"/>
            <w:vAlign w:val="center"/>
          </w:tcPr>
          <w:p>
            <w:pPr>
              <w:pStyle w:val="40"/>
              <w:rPr>
                <w:u w:val="single"/>
              </w:rPr>
            </w:pPr>
            <w:r>
              <w:rPr>
                <w:rFonts w:hint="eastAsia"/>
                <w:u w:val="single"/>
              </w:rPr>
              <w:t>祁水</w:t>
            </w:r>
          </w:p>
        </w:tc>
        <w:tc>
          <w:tcPr>
            <w:tcW w:w="946" w:type="pct"/>
            <w:vAlign w:val="center"/>
          </w:tcPr>
          <w:p>
            <w:pPr>
              <w:pStyle w:val="40"/>
              <w:rPr>
                <w:u w:val="single"/>
              </w:rPr>
            </w:pPr>
            <w:r>
              <w:rPr>
                <w:u w:val="single"/>
              </w:rPr>
              <w:t>论证范围起点</w:t>
            </w:r>
          </w:p>
        </w:tc>
        <w:tc>
          <w:tcPr>
            <w:tcW w:w="1758" w:type="pct"/>
            <w:vAlign w:val="center"/>
          </w:tcPr>
          <w:p>
            <w:pPr>
              <w:pStyle w:val="40"/>
              <w:rPr>
                <w:u w:val="single"/>
              </w:rPr>
            </w:pPr>
            <w:r>
              <w:rPr>
                <w:rFonts w:hint="eastAsia"/>
                <w:u w:val="single"/>
              </w:rPr>
              <w:t>入河排污口处</w:t>
            </w:r>
          </w:p>
        </w:tc>
        <w:tc>
          <w:tcPr>
            <w:tcW w:w="1754" w:type="pct"/>
            <w:vAlign w:val="center"/>
          </w:tcPr>
          <w:p>
            <w:pPr>
              <w:pStyle w:val="40"/>
              <w:rPr>
                <w:u w:val="single"/>
              </w:rPr>
            </w:pPr>
            <w:r>
              <w:rPr>
                <w:rFonts w:hint="eastAsia"/>
                <w:u w:val="singl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2" w:type="pct"/>
            <w:vMerge w:val="continue"/>
            <w:vAlign w:val="center"/>
          </w:tcPr>
          <w:p>
            <w:pPr>
              <w:pStyle w:val="40"/>
              <w:rPr>
                <w:u w:val="single"/>
              </w:rPr>
            </w:pPr>
          </w:p>
        </w:tc>
        <w:tc>
          <w:tcPr>
            <w:tcW w:w="946" w:type="pct"/>
            <w:vAlign w:val="center"/>
          </w:tcPr>
          <w:p>
            <w:pPr>
              <w:pStyle w:val="40"/>
              <w:rPr>
                <w:u w:val="single"/>
              </w:rPr>
            </w:pPr>
            <w:r>
              <w:rPr>
                <w:u w:val="single"/>
              </w:rPr>
              <w:t>论证范围终点</w:t>
            </w:r>
          </w:p>
        </w:tc>
        <w:tc>
          <w:tcPr>
            <w:tcW w:w="1758" w:type="pct"/>
            <w:vAlign w:val="center"/>
          </w:tcPr>
          <w:p>
            <w:pPr>
              <w:pStyle w:val="40"/>
              <w:rPr>
                <w:u w:val="single"/>
              </w:rPr>
            </w:pPr>
            <w:r>
              <w:rPr>
                <w:rFonts w:hint="eastAsia"/>
                <w:u w:val="single"/>
              </w:rPr>
              <w:t>汇入祁水后下游1000m处</w:t>
            </w:r>
          </w:p>
        </w:tc>
        <w:tc>
          <w:tcPr>
            <w:tcW w:w="1754" w:type="pct"/>
            <w:vAlign w:val="center"/>
          </w:tcPr>
          <w:p>
            <w:pPr>
              <w:pStyle w:val="40"/>
              <w:rPr>
                <w:u w:val="single"/>
              </w:rPr>
            </w:pPr>
            <w:r>
              <w:rPr>
                <w:rFonts w:hint="eastAsia"/>
                <w:u w:val="single"/>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 w:hRule="atLeast"/>
        </w:trPr>
        <w:tc>
          <w:tcPr>
            <w:tcW w:w="3246" w:type="pct"/>
            <w:gridSpan w:val="3"/>
            <w:vAlign w:val="center"/>
          </w:tcPr>
          <w:p>
            <w:pPr>
              <w:pStyle w:val="40"/>
              <w:rPr>
                <w:u w:val="single"/>
              </w:rPr>
            </w:pPr>
            <w:r>
              <w:rPr>
                <w:u w:val="single"/>
              </w:rPr>
              <w:t>合计</w:t>
            </w:r>
          </w:p>
        </w:tc>
        <w:tc>
          <w:tcPr>
            <w:tcW w:w="1754" w:type="pct"/>
            <w:vAlign w:val="center"/>
          </w:tcPr>
          <w:p>
            <w:pPr>
              <w:pStyle w:val="40"/>
              <w:rPr>
                <w:u w:val="single"/>
              </w:rPr>
            </w:pPr>
            <w:r>
              <w:rPr>
                <w:rFonts w:hint="eastAsia"/>
                <w:u w:val="single"/>
              </w:rPr>
              <w:t>16</w:t>
            </w:r>
          </w:p>
        </w:tc>
      </w:tr>
    </w:tbl>
    <w:p>
      <w:pPr>
        <w:pStyle w:val="27"/>
        <w:ind w:firstLine="0" w:firstLineChars="0"/>
      </w:pPr>
      <w:r>
        <w:rPr>
          <w14:ligatures w14:val="standardContextual"/>
        </w:rPr>
        <mc:AlternateContent>
          <mc:Choice Requires="wps">
            <w:drawing>
              <wp:anchor distT="0" distB="0" distL="114300" distR="114300" simplePos="0" relativeHeight="251674624" behindDoc="0" locked="0" layoutInCell="1" allowOverlap="1">
                <wp:simplePos x="0" y="0"/>
                <wp:positionH relativeFrom="column">
                  <wp:posOffset>3486150</wp:posOffset>
                </wp:positionH>
                <wp:positionV relativeFrom="paragraph">
                  <wp:posOffset>4809490</wp:posOffset>
                </wp:positionV>
                <wp:extent cx="1438275" cy="304800"/>
                <wp:effectExtent l="628650" t="0" r="28575" b="876300"/>
                <wp:wrapNone/>
                <wp:docPr id="1637175232" name="对话气泡: 矩形 1"/>
                <wp:cNvGraphicFramePr/>
                <a:graphic xmlns:a="http://schemas.openxmlformats.org/drawingml/2006/main">
                  <a:graphicData uri="http://schemas.microsoft.com/office/word/2010/wordprocessingShape">
                    <wps:wsp>
                      <wps:cNvSpPr/>
                      <wps:spPr>
                        <a:xfrm>
                          <a:off x="0" y="0"/>
                          <a:ext cx="1438275" cy="304800"/>
                        </a:xfrm>
                        <a:prstGeom prst="wedgeRectCallout">
                          <a:avLst>
                            <a:gd name="adj1" fmla="val -90369"/>
                            <a:gd name="adj2" fmla="val 31875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汇入祁水口</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274.5pt;margin-top:378.7pt;height:24pt;width:113.25pt;z-index:251674624;v-text-anchor:middle;mso-width-relative:page;mso-height-relative:page;" fillcolor="#FFFFFF [3201]" filled="t" stroked="t" coordsize="21600,21600" o:gfxdata="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YtyJ1NwAAAAL&#10;AQAADwAAAAAAAAABACAAAAAiAAAAZHJzL2Rvd25yZXYueG1sUEsBAhQAFAAAAAgAh07iQEQCaw/D&#10;AgAAdQUAAA4AAAAAAAAAAQAgAAAAKwEAAGRycy9lMm9Eb2MueG1sUEsFBgAAAAAGAAYAWQEAAGAG&#10;AAAAAA==&#10;" adj="-8720,79650">
                <v:fill on="t" focussize="0,0"/>
                <v:stroke weight="1pt" color="#000000 [3200]" miterlimit="8" joinstyle="miter"/>
                <v:imagedata o:title=""/>
                <o:lock v:ext="edit" aspectratio="f"/>
                <v:textbox>
                  <w:txbxContent>
                    <w:p>
                      <w:pPr>
                        <w:jc w:val="center"/>
                      </w:pPr>
                      <w:r>
                        <w:rPr>
                          <w:rFonts w:hint="eastAsia"/>
                        </w:rPr>
                        <w:t>汇入祁水口</w:t>
                      </w:r>
                    </w:p>
                  </w:txbxContent>
                </v:textbox>
              </v:shape>
            </w:pict>
          </mc:Fallback>
        </mc:AlternateContent>
      </w:r>
      <w:r>
        <w:rPr>
          <w14:ligatures w14:val="standardContextual"/>
        </w:rPr>
        <mc:AlternateContent>
          <mc:Choice Requires="wps">
            <w:drawing>
              <wp:anchor distT="0" distB="0" distL="114300" distR="114300" simplePos="0" relativeHeight="251675648" behindDoc="0" locked="0" layoutInCell="1" allowOverlap="1">
                <wp:simplePos x="0" y="0"/>
                <wp:positionH relativeFrom="column">
                  <wp:posOffset>3629025</wp:posOffset>
                </wp:positionH>
                <wp:positionV relativeFrom="paragraph">
                  <wp:posOffset>5707380</wp:posOffset>
                </wp:positionV>
                <wp:extent cx="1438275" cy="304800"/>
                <wp:effectExtent l="476250" t="0" r="28575" b="533400"/>
                <wp:wrapNone/>
                <wp:docPr id="2017568981" name="对话气泡: 矩形 1"/>
                <wp:cNvGraphicFramePr/>
                <a:graphic xmlns:a="http://schemas.openxmlformats.org/drawingml/2006/main">
                  <a:graphicData uri="http://schemas.microsoft.com/office/word/2010/wordprocessingShape">
                    <wps:wsp>
                      <wps:cNvSpPr/>
                      <wps:spPr>
                        <a:xfrm>
                          <a:off x="0" y="0"/>
                          <a:ext cx="1438275" cy="304800"/>
                        </a:xfrm>
                        <a:prstGeom prst="wedgeRectCallout">
                          <a:avLst>
                            <a:gd name="adj1" fmla="val -79773"/>
                            <a:gd name="adj2" fmla="val 20625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论证终点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285.75pt;margin-top:449.4pt;height:24pt;width:113.25pt;z-index:251675648;v-text-anchor:middle;mso-width-relative:page;mso-height-relative:page;" fillcolor="#FFFFFF [3201]" filled="t" stroked="t" coordsize="21600,21600" o:gfxdata="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Biu7KM1gAAAAsBAAAPAAAA&#10;AAAAAAEAIAAAACIAAABkcnMvZG93bnJldi54bWxQSwECFAAUAAAACACHTuJAODXTAsICAAB1BQAA&#10;DgAAAAAAAAABACAAAAAlAQAAZHJzL2Uyb0RvYy54bWxQSwUGAAAAAAYABgBZAQAAWQYAAAAA&#10;" adj="-6431,55350">
                <v:fill on="t" focussize="0,0"/>
                <v:stroke weight="1pt" color="#000000 [3200]" miterlimit="8" joinstyle="miter"/>
                <v:imagedata o:title=""/>
                <o:lock v:ext="edit" aspectratio="f"/>
                <v:textbox>
                  <w:txbxContent>
                    <w:p>
                      <w:pPr>
                        <w:jc w:val="center"/>
                      </w:pPr>
                      <w:r>
                        <w:rPr>
                          <w:rFonts w:hint="eastAsia"/>
                        </w:rPr>
                        <w:t>论证终点</w:t>
                      </w:r>
                    </w:p>
                  </w:txbxContent>
                </v:textbox>
              </v:shape>
            </w:pict>
          </mc:Fallback>
        </mc:AlternateContent>
      </w:r>
      <w:r>
        <w:rPr>
          <w14:ligatures w14:val="standardContextual"/>
        </w:rPr>
        <mc:AlternateContent>
          <mc:Choice Requires="wps">
            <w:drawing>
              <wp:anchor distT="0" distB="0" distL="114300" distR="114300" simplePos="0" relativeHeight="251676672" behindDoc="0" locked="0" layoutInCell="1" allowOverlap="1">
                <wp:simplePos x="0" y="0"/>
                <wp:positionH relativeFrom="column">
                  <wp:posOffset>526415</wp:posOffset>
                </wp:positionH>
                <wp:positionV relativeFrom="paragraph">
                  <wp:posOffset>5210175</wp:posOffset>
                </wp:positionV>
                <wp:extent cx="1438275" cy="304800"/>
                <wp:effectExtent l="0" t="0" r="47625" b="762000"/>
                <wp:wrapNone/>
                <wp:docPr id="1215958951" name="对话气泡: 矩形 1"/>
                <wp:cNvGraphicFramePr/>
                <a:graphic xmlns:a="http://schemas.openxmlformats.org/drawingml/2006/main">
                  <a:graphicData uri="http://schemas.microsoft.com/office/word/2010/wordprocessingShape">
                    <wps:wsp>
                      <wps:cNvSpPr/>
                      <wps:spPr>
                        <a:xfrm>
                          <a:off x="0" y="0"/>
                          <a:ext cx="1438275" cy="304800"/>
                        </a:xfrm>
                        <a:prstGeom prst="wedgeRectCallout">
                          <a:avLst>
                            <a:gd name="adj1" fmla="val 49931"/>
                            <a:gd name="adj2" fmla="val 282147"/>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41.45pt;margin-top:410.25pt;height:24pt;width:113.25pt;z-index:251676672;v-text-anchor:middle;mso-width-relative:page;mso-height-relative:page;" fillcolor="#FFFFFF [3201]" filled="t" stroked="t" coordsize="21600,21600" o:gfxdata="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wNzxo1gAAAAoBAAAPAAAA&#10;AAAAAAEAIAAAACIAAABkcnMvZG93bnJldi54bWxQSwECFAAUAAAACACHTuJAnrbwvsICAAB0BQAA&#10;DgAAAAAAAAABACAAAAAlAQAAZHJzL2Uyb0RvYy54bWxQSwUGAAAAAAYABgBZAQAAWQYAAAAA&#10;" adj="21585,71744">
                <v:fill on="t" focussize="0,0"/>
                <v:stroke weight="1pt" color="#000000 [3200]" miterlimit="8" joinstyle="miter"/>
                <v:imagedata o:title=""/>
                <o:lock v:ext="edit" aspectratio="f"/>
                <v:textbox>
                  <w:txbxContent>
                    <w:p>
                      <w:pPr>
                        <w:jc w:val="center"/>
                      </w:pPr>
                      <w:r>
                        <w:rPr>
                          <w:rFonts w:hint="eastAsia"/>
                        </w:rPr>
                        <w:t>祁水</w:t>
                      </w:r>
                    </w:p>
                  </w:txbxContent>
                </v:textbox>
              </v:shape>
            </w:pict>
          </mc:Fallback>
        </mc:AlternateContent>
      </w:r>
      <w:r>
        <w:rPr>
          <w14:ligatures w14:val="standardContextual"/>
        </w:rPr>
        <mc:AlternateContent>
          <mc:Choice Requires="wps">
            <w:drawing>
              <wp:anchor distT="0" distB="0" distL="114300" distR="114300" simplePos="0" relativeHeight="251673600" behindDoc="0" locked="0" layoutInCell="1" allowOverlap="1">
                <wp:simplePos x="0" y="0"/>
                <wp:positionH relativeFrom="column">
                  <wp:posOffset>3295015</wp:posOffset>
                </wp:positionH>
                <wp:positionV relativeFrom="paragraph">
                  <wp:posOffset>523875</wp:posOffset>
                </wp:positionV>
                <wp:extent cx="1438275" cy="304800"/>
                <wp:effectExtent l="1162050" t="133350" r="28575" b="19050"/>
                <wp:wrapNone/>
                <wp:docPr id="1627070573" name="对话气泡: 矩形 1"/>
                <wp:cNvGraphicFramePr/>
                <a:graphic xmlns:a="http://schemas.openxmlformats.org/drawingml/2006/main">
                  <a:graphicData uri="http://schemas.microsoft.com/office/word/2010/wordprocessingShape">
                    <wps:wsp>
                      <wps:cNvSpPr/>
                      <wps:spPr>
                        <a:xfrm>
                          <a:off x="0" y="0"/>
                          <a:ext cx="1438275" cy="304800"/>
                        </a:xfrm>
                        <a:prstGeom prst="wedgeRectCallout">
                          <a:avLst>
                            <a:gd name="adj1" fmla="val -127478"/>
                            <a:gd name="adj2" fmla="val -85326"/>
                          </a:avLst>
                        </a:prstGeom>
                      </wps:spPr>
                      <wps:style>
                        <a:lnRef idx="2">
                          <a:schemeClr val="dk1"/>
                        </a:lnRef>
                        <a:fillRef idx="1">
                          <a:schemeClr val="lt1"/>
                        </a:fillRef>
                        <a:effectRef idx="0">
                          <a:schemeClr val="dk1"/>
                        </a:effectRef>
                        <a:fontRef idx="minor">
                          <a:schemeClr val="dk1"/>
                        </a:fontRef>
                      </wps:style>
                      <wps:txbx>
                        <w:txbxContent>
                          <w:p>
                            <w:pPr>
                              <w:pStyle w:val="40"/>
                            </w:pPr>
                            <w:r>
                              <w:rPr>
                                <w:rFonts w:hint="eastAsia"/>
                              </w:rPr>
                              <w:t>入河排污口处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259.45pt;margin-top:41.25pt;height:24pt;width:113.25pt;z-index:251673600;v-text-anchor:middle;mso-width-relative:page;mso-height-relative:page;" fillcolor="#FFFFFF [3201]" filled="t" stroked="t" coordsize="21600,21600" o:gfxdata="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3VlHE2QAAAAoBAAAP&#10;AAAAAAAAAAEAIAAAACIAAABkcnMvZG93bnJldi54bWxQSwECFAAUAAAACACHTuJAPebeusICAAB2&#10;BQAADgAAAAAAAAABACAAAAAoAQAAZHJzL2Uyb0RvYy54bWxQSwUGAAAAAAYABgBZAQAAXAYAAAAA&#10;" adj="-16735,-7630">
                <v:fill on="t" focussize="0,0"/>
                <v:stroke weight="1pt" color="#000000 [3200]" miterlimit="8" joinstyle="miter"/>
                <v:imagedata o:title=""/>
                <o:lock v:ext="edit" aspectratio="f"/>
                <v:textbox>
                  <w:txbxContent>
                    <w:p>
                      <w:pPr>
                        <w:pStyle w:val="40"/>
                      </w:pPr>
                      <w:r>
                        <w:rPr>
                          <w:rFonts w:hint="eastAsia"/>
                        </w:rPr>
                        <w:t>入河排污口处</w:t>
                      </w:r>
                    </w:p>
                  </w:txbxContent>
                </v:textbox>
              </v:shape>
            </w:pict>
          </mc:Fallback>
        </mc:AlternateContent>
      </w:r>
      <w:r>
        <w:rPr>
          <w14:ligatures w14:val="standardContextual"/>
        </w:rPr>
        <mc:AlternateContent>
          <mc:Choice Requires="wps">
            <w:drawing>
              <wp:anchor distT="0" distB="0" distL="114300" distR="114300" simplePos="0" relativeHeight="251677696" behindDoc="0" locked="0" layoutInCell="1" allowOverlap="1">
                <wp:simplePos x="0" y="0"/>
                <wp:positionH relativeFrom="column">
                  <wp:posOffset>49530</wp:posOffset>
                </wp:positionH>
                <wp:positionV relativeFrom="paragraph">
                  <wp:posOffset>500380</wp:posOffset>
                </wp:positionV>
                <wp:extent cx="1438275" cy="304800"/>
                <wp:effectExtent l="0" t="114300" r="676275" b="19050"/>
                <wp:wrapNone/>
                <wp:docPr id="1901617828" name="对话气泡: 矩形 1"/>
                <wp:cNvGraphicFramePr/>
                <a:graphic xmlns:a="http://schemas.openxmlformats.org/drawingml/2006/main">
                  <a:graphicData uri="http://schemas.microsoft.com/office/word/2010/wordprocessingShape">
                    <wps:wsp>
                      <wps:cNvSpPr/>
                      <wps:spPr>
                        <a:xfrm>
                          <a:off x="0" y="0"/>
                          <a:ext cx="1438275" cy="304800"/>
                        </a:xfrm>
                        <a:prstGeom prst="wedgeRectCallout">
                          <a:avLst>
                            <a:gd name="adj1" fmla="val 91175"/>
                            <a:gd name="adj2" fmla="val -79593"/>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 o:spid="_x0000_s1026" o:spt="61" type="#_x0000_t61" style="position:absolute;left:0pt;margin-left:3.9pt;margin-top:39.4pt;height:24pt;width:113.25pt;z-index:251677696;v-text-anchor:middle;mso-width-relative:page;mso-height-relative:page;" fillcolor="#FFFFFF [3201]" filled="t" stroked="t" coordsize="21600,21600" o:gfxdata="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PsmOlXWAAAACAEAAA8AAAAA&#10;AAAAAQAgAAAAIgAAAGRycy9kb3ducmV2LnhtbFBLAQIUABQAAAAIAIdO4kBjsf8wwQIAAHQFAAAO&#10;AAAAAAAAAAEAIAAAACUBAABkcnMvZTJvRG9jLnhtbFBLBQYAAAAABgAGAFkBAABYBgAAAAA=&#10;" adj="30494,-6392">
                <v:fill on="t" focussize="0,0"/>
                <v:stroke weight="1pt" color="#000000 [3200]" miterlimit="8" joinstyle="miter"/>
                <v:imagedata o:title=""/>
                <o:lock v:ext="edit" aspectratio="f"/>
                <v:textbox>
                  <w:txbxContent>
                    <w:p>
                      <w:pPr>
                        <w:jc w:val="center"/>
                      </w:pPr>
                      <w:r>
                        <w:rPr>
                          <w:rFonts w:hint="eastAsia"/>
                        </w:rPr>
                        <w:t>污水处理工程位置</w:t>
                      </w:r>
                    </w:p>
                  </w:txbxContent>
                </v:textbox>
              </v:shape>
            </w:pict>
          </mc:Fallback>
        </mc:AlternateContent>
      </w:r>
      <w:r>
        <w:drawing>
          <wp:inline distT="0" distB="0" distL="0" distR="0">
            <wp:extent cx="5162550" cy="7524750"/>
            <wp:effectExtent l="0" t="0" r="0" b="0"/>
            <wp:docPr id="160556614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66149" name="图片 1"/>
                    <pic:cNvPicPr>
                      <a:picLocks noChangeAspect="1"/>
                    </pic:cNvPicPr>
                  </pic:nvPicPr>
                  <pic:blipFill>
                    <a:blip r:embed="rId6"/>
                    <a:stretch>
                      <a:fillRect/>
                    </a:stretch>
                  </pic:blipFill>
                  <pic:spPr>
                    <a:xfrm>
                      <a:off x="0" y="0"/>
                      <a:ext cx="5162550" cy="7524750"/>
                    </a:xfrm>
                    <a:prstGeom prst="rect">
                      <a:avLst/>
                    </a:prstGeom>
                  </pic:spPr>
                </pic:pic>
              </a:graphicData>
            </a:graphic>
          </wp:inline>
        </w:drawing>
      </w:r>
    </w:p>
    <w:p>
      <w:pPr>
        <w:pStyle w:val="38"/>
      </w:pPr>
      <w:r>
        <w:rPr>
          <w:rFonts w:hint="eastAsia"/>
        </w:rPr>
        <w:t>图1</w:t>
      </w:r>
      <w:r>
        <w:t xml:space="preserve">.5-1  </w:t>
      </w:r>
      <w:r>
        <w:rPr>
          <w:rFonts w:hint="eastAsia"/>
        </w:rPr>
        <w:t>入河排污口论证范围图</w:t>
      </w:r>
    </w:p>
    <w:p>
      <w:pPr>
        <w:pStyle w:val="32"/>
      </w:pPr>
      <w:bookmarkStart w:id="11" w:name="_Toc161250440"/>
      <w:r>
        <w:rPr>
          <w:rFonts w:hint="eastAsia"/>
        </w:rPr>
        <w:t>1</w:t>
      </w:r>
      <w:r>
        <w:t>.6</w:t>
      </w:r>
      <w:r>
        <w:rPr>
          <w:rFonts w:hint="eastAsia"/>
        </w:rPr>
        <w:t>论证工作程序</w:t>
      </w:r>
      <w:bookmarkEnd w:id="11"/>
    </w:p>
    <w:p>
      <w:pPr>
        <w:pStyle w:val="27"/>
        <w:ind w:firstLine="480"/>
      </w:pPr>
      <w:r>
        <w:t>（1）现场查勘与资料收集</w:t>
      </w:r>
    </w:p>
    <w:p>
      <w:pPr>
        <w:pStyle w:val="27"/>
        <w:ind w:firstLine="480"/>
      </w:pPr>
      <w:r>
        <w:t>根据入河排污口设置的方案，组织技术人员对现场进行多次查勘，调查和收集该项目所在区域的自然环境和社会环境资料，排污口设置河段的水文、水质和水生态资料等，同时收集可能影响的其他取排水用户资料。</w:t>
      </w:r>
    </w:p>
    <w:p>
      <w:pPr>
        <w:pStyle w:val="27"/>
        <w:ind w:firstLine="480"/>
      </w:pPr>
      <w:r>
        <w:t>（2）资料整理</w:t>
      </w:r>
    </w:p>
    <w:p>
      <w:pPr>
        <w:pStyle w:val="27"/>
        <w:ind w:firstLine="480"/>
      </w:pPr>
      <w:r>
        <w:t>根据所收集的资料，整理分析，明确入河排污口位置、主要污染物排放量及污染特性等基本情况；分析所属河段水资源保护管理要求，水环境现状和水生态现状等情况，以及其他取排水用户分布情况等。</w:t>
      </w:r>
    </w:p>
    <w:p>
      <w:pPr>
        <w:pStyle w:val="27"/>
        <w:ind w:firstLine="480"/>
      </w:pPr>
      <w:r>
        <w:t>（3）建立数学模型，进行预测模拟</w:t>
      </w:r>
    </w:p>
    <w:p>
      <w:pPr>
        <w:pStyle w:val="27"/>
        <w:ind w:firstLine="480"/>
      </w:pPr>
      <w:r>
        <w:t>根据水功能区水质和水生态保护要求，结合废污水处理排放情况，项目所处河段河道水文特性，按照《水域纳污能力计算规程》，选定合适的数学模型，拟定模型预测计算工况，进行污染物扩散浓度预测计算，统计分析不同条件下入河废污水的影响程度及范围。</w:t>
      </w:r>
    </w:p>
    <w:p>
      <w:pPr>
        <w:pStyle w:val="27"/>
        <w:ind w:firstLine="480"/>
      </w:pPr>
      <w:r>
        <w:t>（4）影响分析</w:t>
      </w:r>
    </w:p>
    <w:p>
      <w:pPr>
        <w:pStyle w:val="27"/>
        <w:ind w:firstLine="480"/>
      </w:pPr>
      <w:r>
        <w:t>根据计算结果，得出的入河排污口污染物排放产生的影响范围，以及所处河段水生态现状，论证分析入河排污口对</w:t>
      </w:r>
      <w:r>
        <w:rPr>
          <w:rFonts w:hint="eastAsia"/>
        </w:rPr>
        <w:t>祁水</w:t>
      </w:r>
      <w:r>
        <w:t>的影响程度。论证分析排污口对下游水功能区内第三方取用水安全的影响，提出入河排污口设置的制约因素。</w:t>
      </w:r>
    </w:p>
    <w:p>
      <w:pPr>
        <w:pStyle w:val="27"/>
        <w:ind w:firstLine="480"/>
      </w:pPr>
      <w:r>
        <w:t>（5）排污口设置合理性分析</w:t>
      </w:r>
    </w:p>
    <w:p>
      <w:pPr>
        <w:pStyle w:val="27"/>
        <w:ind w:firstLine="480"/>
      </w:pPr>
      <w:r>
        <w:t>根据影响论证结果，综合考虑水功能区水质和水生态保护的要求、第三者权益等因素，分析入河排污口位置、排放浓度和总量是否符合有关要求。</w:t>
      </w:r>
    </w:p>
    <w:p>
      <w:pPr>
        <w:pStyle w:val="27"/>
        <w:ind w:firstLine="480"/>
      </w:pPr>
      <w:r>
        <w:t>（6）结论与建议</w:t>
      </w:r>
    </w:p>
    <w:p>
      <w:pPr>
        <w:pStyle w:val="27"/>
        <w:ind w:firstLine="480"/>
      </w:pPr>
      <w:r>
        <w:t>根据入河排污口设置情况及水功能区相关要求，经综合分析，给出排污口设置的结论及合理性建议</w:t>
      </w:r>
      <w:r>
        <w:rPr>
          <w:rFonts w:hint="eastAsia"/>
        </w:rPr>
        <w:t>。入河排污口论证工作程序见图1.6-1</w:t>
      </w:r>
      <w:r>
        <w:t>。</w:t>
      </w:r>
    </w:p>
    <w:p>
      <w:pPr>
        <w:ind w:firstLine="480"/>
        <w:jc w:val="center"/>
      </w:pPr>
      <w:r>
        <w:drawing>
          <wp:inline distT="0" distB="0" distL="0" distR="0">
            <wp:extent cx="4086225" cy="4619625"/>
            <wp:effectExtent l="0" t="0" r="9525" b="9525"/>
            <wp:docPr id="13746993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699335" name="图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4086225" cy="4619625"/>
                    </a:xfrm>
                    <a:prstGeom prst="rect">
                      <a:avLst/>
                    </a:prstGeom>
                    <a:noFill/>
                    <a:ln>
                      <a:noFill/>
                    </a:ln>
                    <a:effectLst/>
                  </pic:spPr>
                </pic:pic>
              </a:graphicData>
            </a:graphic>
          </wp:inline>
        </w:drawing>
      </w:r>
    </w:p>
    <w:p>
      <w:pPr>
        <w:pStyle w:val="38"/>
      </w:pPr>
      <w:r>
        <w:t>图1.6-1 入河排污口论证工作程序框图</w:t>
      </w:r>
    </w:p>
    <w:p>
      <w:pPr>
        <w:pStyle w:val="32"/>
      </w:pPr>
      <w:bookmarkStart w:id="12" w:name="_Toc161250441"/>
      <w:r>
        <w:rPr>
          <w:rFonts w:hint="eastAsia"/>
        </w:rPr>
        <w:t>1</w:t>
      </w:r>
      <w:r>
        <w:t>.7</w:t>
      </w:r>
      <w:r>
        <w:rPr>
          <w:rFonts w:hint="eastAsia"/>
        </w:rPr>
        <w:t>论证主要内容</w:t>
      </w:r>
      <w:bookmarkEnd w:id="12"/>
    </w:p>
    <w:p>
      <w:pPr>
        <w:pStyle w:val="44"/>
        <w:tabs>
          <w:tab w:val="left" w:pos="2021"/>
        </w:tabs>
        <w:ind w:left="0" w:firstLine="480"/>
        <w:jc w:val="both"/>
        <w:rPr>
          <w:color w:val="000000"/>
          <w:kern w:val="2"/>
          <w:lang w:eastAsia="zh-CN" w:bidi="ar-SA"/>
        </w:rPr>
      </w:pPr>
      <w:r>
        <w:rPr>
          <w:color w:val="000000"/>
          <w:kern w:val="2"/>
          <w:lang w:eastAsia="zh-CN" w:bidi="ar-SA"/>
        </w:rPr>
        <w:t>（1）建设项目基本情况。</w:t>
      </w:r>
    </w:p>
    <w:p>
      <w:pPr>
        <w:pStyle w:val="44"/>
        <w:tabs>
          <w:tab w:val="left" w:pos="2021"/>
        </w:tabs>
        <w:ind w:left="0" w:firstLine="480"/>
        <w:jc w:val="both"/>
        <w:rPr>
          <w:color w:val="000000"/>
          <w:kern w:val="2"/>
          <w:lang w:eastAsia="zh-CN" w:bidi="ar-SA"/>
        </w:rPr>
      </w:pPr>
      <w:r>
        <w:rPr>
          <w:color w:val="000000"/>
          <w:kern w:val="2"/>
          <w:lang w:eastAsia="zh-CN" w:bidi="ar-SA"/>
        </w:rPr>
        <w:t>（2）</w:t>
      </w:r>
      <w:r>
        <w:rPr>
          <w:rFonts w:hint="eastAsia"/>
          <w:color w:val="000000"/>
          <w:kern w:val="2"/>
          <w:lang w:eastAsia="zh-CN" w:bidi="ar-SA"/>
        </w:rPr>
        <w:t>调查</w:t>
      </w:r>
      <w:r>
        <w:rPr>
          <w:color w:val="000000"/>
          <w:kern w:val="2"/>
          <w:lang w:eastAsia="zh-CN" w:bidi="ar-SA"/>
        </w:rPr>
        <w:t>拟建入河排污口所在水功能区（水域）水质</w:t>
      </w:r>
      <w:r>
        <w:rPr>
          <w:rFonts w:hint="eastAsia"/>
          <w:color w:val="000000"/>
          <w:kern w:val="2"/>
          <w:lang w:eastAsia="zh-CN" w:bidi="ar-SA"/>
        </w:rPr>
        <w:t>，并进行</w:t>
      </w:r>
      <w:r>
        <w:rPr>
          <w:color w:val="000000"/>
          <w:kern w:val="2"/>
          <w:lang w:eastAsia="zh-CN" w:bidi="ar-SA"/>
        </w:rPr>
        <w:t>纳污现状分析。</w:t>
      </w:r>
    </w:p>
    <w:p>
      <w:pPr>
        <w:pStyle w:val="44"/>
        <w:tabs>
          <w:tab w:val="left" w:pos="2021"/>
        </w:tabs>
        <w:ind w:left="0" w:firstLine="480"/>
        <w:jc w:val="both"/>
        <w:rPr>
          <w:color w:val="000000"/>
          <w:kern w:val="2"/>
          <w:lang w:eastAsia="zh-CN" w:bidi="ar-SA"/>
        </w:rPr>
      </w:pPr>
      <w:r>
        <w:rPr>
          <w:color w:val="000000"/>
          <w:kern w:val="2"/>
          <w:lang w:eastAsia="zh-CN" w:bidi="ar-SA"/>
        </w:rPr>
        <w:t>（3）拟建项目入河排污口设置可行性分析论证及入河排污口设置方案。</w:t>
      </w:r>
    </w:p>
    <w:p>
      <w:pPr>
        <w:pStyle w:val="44"/>
        <w:tabs>
          <w:tab w:val="left" w:pos="2021"/>
        </w:tabs>
        <w:ind w:left="0" w:firstLine="480"/>
        <w:jc w:val="both"/>
        <w:rPr>
          <w:color w:val="000000"/>
          <w:kern w:val="2"/>
          <w:lang w:eastAsia="zh-CN" w:bidi="ar-SA"/>
        </w:rPr>
      </w:pPr>
      <w:r>
        <w:rPr>
          <w:color w:val="000000"/>
          <w:kern w:val="2"/>
          <w:lang w:eastAsia="zh-CN" w:bidi="ar-SA"/>
        </w:rPr>
        <w:t>（4）入河排污口设置对水功能区（水域）水质影响分析。</w:t>
      </w:r>
    </w:p>
    <w:p>
      <w:pPr>
        <w:pStyle w:val="44"/>
        <w:tabs>
          <w:tab w:val="left" w:pos="2021"/>
        </w:tabs>
        <w:ind w:left="0" w:firstLine="480"/>
        <w:jc w:val="both"/>
        <w:rPr>
          <w:color w:val="000000"/>
          <w:kern w:val="2"/>
          <w:lang w:eastAsia="zh-CN" w:bidi="ar-SA"/>
        </w:rPr>
      </w:pPr>
      <w:r>
        <w:rPr>
          <w:color w:val="000000"/>
          <w:kern w:val="2"/>
          <w:lang w:eastAsia="zh-CN" w:bidi="ar-SA"/>
        </w:rPr>
        <w:t>（5）入河排污口设置对水功能区（水域）水生态影响分析。</w:t>
      </w:r>
    </w:p>
    <w:p>
      <w:pPr>
        <w:pStyle w:val="44"/>
        <w:tabs>
          <w:tab w:val="left" w:pos="2021"/>
        </w:tabs>
        <w:ind w:left="0" w:firstLine="480"/>
        <w:jc w:val="both"/>
        <w:rPr>
          <w:color w:val="000000"/>
          <w:kern w:val="2"/>
          <w:lang w:eastAsia="zh-CN" w:bidi="ar-SA"/>
        </w:rPr>
      </w:pPr>
      <w:r>
        <w:rPr>
          <w:color w:val="000000"/>
          <w:kern w:val="2"/>
          <w:lang w:eastAsia="zh-CN" w:bidi="ar-SA"/>
        </w:rPr>
        <w:t>（6）入河排污口设置对地下水影响分析。</w:t>
      </w:r>
    </w:p>
    <w:p>
      <w:pPr>
        <w:pStyle w:val="44"/>
        <w:tabs>
          <w:tab w:val="left" w:pos="2021"/>
        </w:tabs>
        <w:ind w:left="0" w:firstLine="480"/>
        <w:jc w:val="both"/>
        <w:rPr>
          <w:color w:val="000000"/>
          <w:kern w:val="2"/>
          <w:lang w:eastAsia="zh-CN" w:bidi="ar-SA"/>
        </w:rPr>
      </w:pPr>
      <w:r>
        <w:rPr>
          <w:color w:val="000000"/>
          <w:kern w:val="2"/>
          <w:lang w:eastAsia="zh-CN" w:bidi="ar-SA"/>
        </w:rPr>
        <w:t>（7）入河排污口设置对有利害关系的第三者权益的影响分析。</w:t>
      </w:r>
    </w:p>
    <w:p>
      <w:pPr>
        <w:pStyle w:val="44"/>
        <w:tabs>
          <w:tab w:val="left" w:pos="2021"/>
        </w:tabs>
        <w:ind w:left="0" w:firstLine="480"/>
        <w:jc w:val="both"/>
        <w:rPr>
          <w:color w:val="000000"/>
          <w:kern w:val="2"/>
          <w:lang w:eastAsia="zh-CN" w:bidi="ar-SA"/>
        </w:rPr>
      </w:pPr>
      <w:r>
        <w:rPr>
          <w:color w:val="000000"/>
          <w:kern w:val="2"/>
          <w:lang w:eastAsia="zh-CN" w:bidi="ar-SA"/>
        </w:rPr>
        <w:t>（8）入河排污口设置合理性分析。</w:t>
      </w:r>
    </w:p>
    <w:p>
      <w:pPr>
        <w:pStyle w:val="27"/>
        <w:ind w:firstLine="480"/>
        <w:rPr>
          <w:color w:val="000000"/>
        </w:rPr>
      </w:pPr>
      <w:r>
        <w:rPr>
          <w:color w:val="000000"/>
        </w:rPr>
        <w:t>（9）结论与建议。</w:t>
      </w:r>
    </w:p>
    <w:p>
      <w:pPr>
        <w:pStyle w:val="32"/>
        <w:rPr>
          <w:u w:val="single"/>
        </w:rPr>
      </w:pPr>
      <w:bookmarkStart w:id="13" w:name="_Toc2629"/>
      <w:bookmarkStart w:id="14" w:name="_Hlk162214588"/>
      <w:r>
        <w:rPr>
          <w:rFonts w:hint="eastAsia"/>
          <w:u w:val="single"/>
        </w:rPr>
        <w:t>1.8论证水平年</w:t>
      </w:r>
      <w:bookmarkEnd w:id="13"/>
    </w:p>
    <w:p>
      <w:pPr>
        <w:widowControl/>
        <w:spacing w:line="360" w:lineRule="auto"/>
        <w:ind w:firstLine="480" w:firstLineChars="200"/>
        <w:rPr>
          <w:color w:val="000000"/>
          <w:sz w:val="24"/>
          <w:szCs w:val="24"/>
          <w:u w:val="single"/>
        </w:rPr>
      </w:pPr>
      <w:r>
        <w:rPr>
          <w:color w:val="000000"/>
          <w:sz w:val="24"/>
          <w:szCs w:val="24"/>
          <w:u w:val="single"/>
        </w:rPr>
        <w:t>入河排污口设置论证水平年的确定尽量与国民经济和社会发展规划、流域或区域水资源规划等有关规定水平年相协调。根据</w:t>
      </w:r>
      <w:r>
        <w:rPr>
          <w:rFonts w:hint="eastAsia"/>
          <w:color w:val="000000"/>
          <w:sz w:val="24"/>
          <w:szCs w:val="24"/>
          <w:u w:val="single"/>
        </w:rPr>
        <w:t>白地市镇</w:t>
      </w:r>
      <w:r>
        <w:rPr>
          <w:color w:val="000000"/>
          <w:sz w:val="24"/>
          <w:szCs w:val="24"/>
          <w:u w:val="single"/>
        </w:rPr>
        <w:t>污水处理工程设计及实际建设情况，论证选取2023年为现状水平年，2030年</w:t>
      </w:r>
      <w:r>
        <w:rPr>
          <w:rFonts w:hint="eastAsia"/>
          <w:color w:val="000000"/>
          <w:sz w:val="24"/>
          <w:szCs w:val="24"/>
          <w:u w:val="single"/>
        </w:rPr>
        <w:t>（远期）为</w:t>
      </w:r>
      <w:r>
        <w:rPr>
          <w:color w:val="000000"/>
          <w:sz w:val="24"/>
          <w:szCs w:val="24"/>
          <w:u w:val="single"/>
        </w:rPr>
        <w:t>设计水平年。</w:t>
      </w:r>
    </w:p>
    <w:p>
      <w:pPr>
        <w:pStyle w:val="32"/>
        <w:rPr>
          <w:u w:val="single"/>
        </w:rPr>
      </w:pPr>
      <w:bookmarkStart w:id="15" w:name="_Toc21985"/>
      <w:r>
        <w:rPr>
          <w:rFonts w:hint="eastAsia"/>
          <w:u w:val="single"/>
        </w:rPr>
        <w:t>1.9论证工作等级</w:t>
      </w:r>
      <w:bookmarkEnd w:id="15"/>
    </w:p>
    <w:p>
      <w:pPr>
        <w:pStyle w:val="44"/>
        <w:tabs>
          <w:tab w:val="left" w:pos="2021"/>
        </w:tabs>
        <w:ind w:left="0" w:firstLine="480"/>
        <w:jc w:val="both"/>
        <w:rPr>
          <w:u w:val="single"/>
          <w:lang w:eastAsia="zh-CN"/>
        </w:rPr>
      </w:pPr>
      <w:r>
        <w:rPr>
          <w:rFonts w:hint="eastAsia"/>
          <w:color w:val="000000"/>
          <w:kern w:val="2"/>
          <w:u w:val="single"/>
          <w:lang w:eastAsia="zh-CN" w:bidi="ar-SA"/>
        </w:rPr>
        <w:t>根据《入河排污口设置论证报告技术导则（征求意见稿）》，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w:t>
      </w:r>
    </w:p>
    <w:p>
      <w:pPr>
        <w:pStyle w:val="38"/>
        <w:rPr>
          <w:u w:val="single"/>
        </w:rPr>
      </w:pPr>
      <w:r>
        <w:rPr>
          <w:rFonts w:hint="eastAsia"/>
          <w:u w:val="single"/>
        </w:rPr>
        <w:t>表1.8-1 入河排污口设置论证分类分级指标</w:t>
      </w:r>
    </w:p>
    <w:tbl>
      <w:tblPr>
        <w:tblStyle w:val="20"/>
        <w:tblW w:w="49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29"/>
        <w:gridCol w:w="2759"/>
        <w:gridCol w:w="2065"/>
        <w:gridCol w:w="19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81" w:hRule="atLeast"/>
        </w:trPr>
        <w:tc>
          <w:tcPr>
            <w:tcW w:w="923" w:type="pct"/>
            <w:vMerge w:val="restart"/>
            <w:vAlign w:val="center"/>
          </w:tcPr>
          <w:p>
            <w:pPr>
              <w:jc w:val="center"/>
              <w:rPr>
                <w:sz w:val="21"/>
                <w:szCs w:val="21"/>
                <w:u w:val="single"/>
              </w:rPr>
            </w:pPr>
            <w:r>
              <w:rPr>
                <w:sz w:val="21"/>
                <w:szCs w:val="21"/>
                <w:u w:val="single"/>
              </w:rPr>
              <w:t>分类指标</w:t>
            </w:r>
          </w:p>
        </w:tc>
        <w:tc>
          <w:tcPr>
            <w:tcW w:w="4076" w:type="pct"/>
            <w:gridSpan w:val="3"/>
            <w:tcMar>
              <w:left w:w="28" w:type="dxa"/>
              <w:right w:w="28" w:type="dxa"/>
            </w:tcMar>
            <w:vAlign w:val="center"/>
          </w:tcPr>
          <w:p>
            <w:pPr>
              <w:jc w:val="center"/>
              <w:rPr>
                <w:sz w:val="21"/>
                <w:szCs w:val="21"/>
                <w:u w:val="single"/>
              </w:rPr>
            </w:pPr>
            <w:r>
              <w:rPr>
                <w:sz w:val="21"/>
                <w:szCs w:val="21"/>
                <w:u w:val="single"/>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Merge w:val="continue"/>
            <w:vAlign w:val="center"/>
          </w:tcPr>
          <w:p>
            <w:pPr>
              <w:jc w:val="center"/>
              <w:rPr>
                <w:sz w:val="21"/>
                <w:szCs w:val="21"/>
                <w:u w:val="single"/>
              </w:rPr>
            </w:pPr>
          </w:p>
        </w:tc>
        <w:tc>
          <w:tcPr>
            <w:tcW w:w="1665" w:type="pct"/>
            <w:tcMar>
              <w:left w:w="28" w:type="dxa"/>
              <w:right w:w="28" w:type="dxa"/>
            </w:tcMar>
            <w:vAlign w:val="center"/>
          </w:tcPr>
          <w:p>
            <w:pPr>
              <w:jc w:val="center"/>
              <w:rPr>
                <w:sz w:val="21"/>
                <w:szCs w:val="21"/>
                <w:u w:val="single"/>
              </w:rPr>
            </w:pPr>
            <w:r>
              <w:rPr>
                <w:sz w:val="21"/>
                <w:szCs w:val="21"/>
                <w:u w:val="single"/>
              </w:rPr>
              <w:t>一级</w:t>
            </w:r>
          </w:p>
        </w:tc>
        <w:tc>
          <w:tcPr>
            <w:tcW w:w="1246" w:type="pct"/>
            <w:tcMar>
              <w:left w:w="28" w:type="dxa"/>
              <w:right w:w="28" w:type="dxa"/>
            </w:tcMar>
            <w:vAlign w:val="center"/>
          </w:tcPr>
          <w:p>
            <w:pPr>
              <w:jc w:val="center"/>
              <w:rPr>
                <w:sz w:val="21"/>
                <w:szCs w:val="21"/>
                <w:u w:val="single"/>
              </w:rPr>
            </w:pPr>
            <w:r>
              <w:rPr>
                <w:sz w:val="21"/>
                <w:szCs w:val="21"/>
                <w:u w:val="single"/>
              </w:rPr>
              <w:t>二级</w:t>
            </w:r>
          </w:p>
        </w:tc>
        <w:tc>
          <w:tcPr>
            <w:tcW w:w="1164" w:type="pct"/>
            <w:tcMar>
              <w:left w:w="28" w:type="dxa"/>
              <w:right w:w="28" w:type="dxa"/>
            </w:tcMar>
            <w:vAlign w:val="center"/>
          </w:tcPr>
          <w:p>
            <w:pPr>
              <w:jc w:val="center"/>
              <w:rPr>
                <w:sz w:val="21"/>
                <w:szCs w:val="21"/>
                <w:u w:val="single"/>
              </w:rPr>
            </w:pPr>
            <w:r>
              <w:rPr>
                <w:sz w:val="21"/>
                <w:szCs w:val="21"/>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Align w:val="center"/>
          </w:tcPr>
          <w:p>
            <w:pPr>
              <w:jc w:val="center"/>
              <w:rPr>
                <w:sz w:val="21"/>
                <w:szCs w:val="21"/>
                <w:u w:val="single"/>
              </w:rPr>
            </w:pPr>
            <w:r>
              <w:rPr>
                <w:sz w:val="21"/>
                <w:szCs w:val="21"/>
                <w:u w:val="single"/>
              </w:rPr>
              <w:t>水功能区管理要求</w:t>
            </w:r>
          </w:p>
        </w:tc>
        <w:tc>
          <w:tcPr>
            <w:tcW w:w="1665" w:type="pct"/>
            <w:tcMar>
              <w:left w:w="28" w:type="dxa"/>
              <w:right w:w="28" w:type="dxa"/>
            </w:tcMar>
            <w:vAlign w:val="center"/>
          </w:tcPr>
          <w:p>
            <w:pPr>
              <w:jc w:val="center"/>
              <w:rPr>
                <w:sz w:val="21"/>
                <w:szCs w:val="21"/>
                <w:u w:val="single"/>
              </w:rPr>
            </w:pPr>
            <w:r>
              <w:rPr>
                <w:sz w:val="21"/>
                <w:szCs w:val="21"/>
                <w:u w:val="single"/>
              </w:rPr>
              <w:t>涉及一级水功能区中的保护区、保留区、缓冲区及二级水功能区中饮用水水源区</w:t>
            </w:r>
          </w:p>
        </w:tc>
        <w:tc>
          <w:tcPr>
            <w:tcW w:w="1246" w:type="pct"/>
            <w:tcMar>
              <w:left w:w="28" w:type="dxa"/>
              <w:right w:w="28" w:type="dxa"/>
            </w:tcMar>
            <w:vAlign w:val="center"/>
          </w:tcPr>
          <w:p>
            <w:pPr>
              <w:jc w:val="center"/>
              <w:rPr>
                <w:sz w:val="21"/>
                <w:szCs w:val="21"/>
                <w:u w:val="single"/>
              </w:rPr>
            </w:pPr>
            <w:r>
              <w:rPr>
                <w:sz w:val="21"/>
                <w:szCs w:val="21"/>
                <w:u w:val="single"/>
              </w:rPr>
              <w:t>涉及二级水功能区中的工业、农业、渔业、景观娱乐用水区</w:t>
            </w:r>
          </w:p>
        </w:tc>
        <w:tc>
          <w:tcPr>
            <w:tcW w:w="1164" w:type="pct"/>
            <w:tcMar>
              <w:left w:w="28" w:type="dxa"/>
              <w:right w:w="28" w:type="dxa"/>
            </w:tcMar>
            <w:vAlign w:val="center"/>
          </w:tcPr>
          <w:p>
            <w:pPr>
              <w:jc w:val="center"/>
              <w:rPr>
                <w:sz w:val="21"/>
                <w:szCs w:val="21"/>
                <w:u w:val="single"/>
              </w:rPr>
            </w:pPr>
            <w:r>
              <w:rPr>
                <w:sz w:val="21"/>
                <w:szCs w:val="21"/>
                <w:u w:val="single"/>
              </w:rPr>
              <w:t>涉及二级水功能区中的排污控制区和过渡区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30" w:hRule="atLeast"/>
        </w:trPr>
        <w:tc>
          <w:tcPr>
            <w:tcW w:w="923" w:type="pct"/>
            <w:tcMar>
              <w:left w:w="28" w:type="dxa"/>
              <w:right w:w="28" w:type="dxa"/>
            </w:tcMar>
            <w:vAlign w:val="center"/>
          </w:tcPr>
          <w:p>
            <w:pPr>
              <w:jc w:val="center"/>
              <w:rPr>
                <w:sz w:val="21"/>
                <w:szCs w:val="21"/>
                <w:u w:val="single"/>
              </w:rPr>
            </w:pPr>
            <w:r>
              <w:rPr>
                <w:sz w:val="21"/>
                <w:szCs w:val="21"/>
                <w:u w:val="single"/>
              </w:rPr>
              <w:t>水功能区水域纳污现状</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现状污染物入河量超出水功能区水域纳污能力</w:t>
            </w:r>
          </w:p>
        </w:tc>
        <w:tc>
          <w:tcPr>
            <w:tcW w:w="1246" w:type="pct"/>
            <w:tcMar>
              <w:left w:w="28" w:type="dxa"/>
              <w:right w:w="28" w:type="dxa"/>
            </w:tcMar>
            <w:vAlign w:val="center"/>
          </w:tcPr>
          <w:p>
            <w:pPr>
              <w:tabs>
                <w:tab w:val="left" w:pos="1425"/>
              </w:tabs>
              <w:jc w:val="center"/>
              <w:rPr>
                <w:sz w:val="21"/>
                <w:szCs w:val="21"/>
                <w:u w:val="single"/>
              </w:rPr>
            </w:pPr>
            <w:r>
              <w:rPr>
                <w:sz w:val="21"/>
                <w:szCs w:val="21"/>
                <w:u w:val="single"/>
              </w:rPr>
              <w:t>现状污染物入河量接近水功能区水域纳污能力</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现状污染物入河量远小于水功能区水域纳污能力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8" w:hRule="atLeast"/>
        </w:trPr>
        <w:tc>
          <w:tcPr>
            <w:tcW w:w="923" w:type="pct"/>
            <w:tcMar>
              <w:left w:w="28" w:type="dxa"/>
              <w:right w:w="28" w:type="dxa"/>
            </w:tcMar>
            <w:vAlign w:val="center"/>
          </w:tcPr>
          <w:p>
            <w:pPr>
              <w:jc w:val="center"/>
              <w:rPr>
                <w:sz w:val="21"/>
                <w:szCs w:val="21"/>
                <w:u w:val="single"/>
              </w:rPr>
            </w:pPr>
            <w:r>
              <w:rPr>
                <w:sz w:val="21"/>
                <w:szCs w:val="21"/>
                <w:u w:val="single"/>
              </w:rPr>
              <w:t>水生态现状</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现状生态问题敏感；相关水域现状排污对水文情势和水生态环境产生明显影响，同时存在水温或水体富营养化影响问题</w:t>
            </w:r>
          </w:p>
        </w:tc>
        <w:tc>
          <w:tcPr>
            <w:tcW w:w="1246" w:type="pct"/>
            <w:tcMar>
              <w:left w:w="28" w:type="dxa"/>
              <w:right w:w="28" w:type="dxa"/>
            </w:tcMar>
            <w:vAlign w:val="center"/>
          </w:tcPr>
          <w:p>
            <w:pPr>
              <w:jc w:val="center"/>
              <w:rPr>
                <w:sz w:val="21"/>
                <w:szCs w:val="21"/>
                <w:u w:val="single"/>
              </w:rPr>
            </w:pPr>
            <w:r>
              <w:rPr>
                <w:sz w:val="21"/>
                <w:szCs w:val="21"/>
                <w:u w:val="single"/>
              </w:rPr>
              <w:t>现状生态问题较为敏感；相关水域现状排污对水文情势和水生态环境产生一定影响</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现状无敏感生态问题；相关水域现状排污对水生态环境无影响或影响轻微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4" w:hRule="atLeast"/>
        </w:trPr>
        <w:tc>
          <w:tcPr>
            <w:tcW w:w="923" w:type="pct"/>
            <w:tcMar>
              <w:left w:w="28" w:type="dxa"/>
              <w:right w:w="28" w:type="dxa"/>
            </w:tcMar>
            <w:vAlign w:val="center"/>
          </w:tcPr>
          <w:p>
            <w:pPr>
              <w:jc w:val="center"/>
              <w:rPr>
                <w:sz w:val="21"/>
                <w:szCs w:val="21"/>
                <w:u w:val="single"/>
              </w:rPr>
            </w:pPr>
            <w:r>
              <w:rPr>
                <w:sz w:val="21"/>
                <w:szCs w:val="21"/>
                <w:u w:val="single"/>
              </w:rPr>
              <w:t>污染物排放种类</w:t>
            </w:r>
          </w:p>
        </w:tc>
        <w:tc>
          <w:tcPr>
            <w:tcW w:w="1665" w:type="pct"/>
            <w:tcMar>
              <w:left w:w="28" w:type="dxa"/>
              <w:right w:w="28" w:type="dxa"/>
            </w:tcMar>
            <w:vAlign w:val="center"/>
          </w:tcPr>
          <w:p>
            <w:pPr>
              <w:tabs>
                <w:tab w:val="left" w:pos="840"/>
                <w:tab w:val="left" w:pos="1425"/>
              </w:tabs>
              <w:jc w:val="center"/>
              <w:rPr>
                <w:sz w:val="21"/>
                <w:szCs w:val="21"/>
                <w:u w:val="single"/>
              </w:rPr>
            </w:pPr>
            <w:r>
              <w:rPr>
                <w:sz w:val="21"/>
                <w:szCs w:val="21"/>
                <w:u w:val="single"/>
              </w:rPr>
              <w:t>所排放废污水含有毒有机物、重金属、放射性或持久性化学污染物</w:t>
            </w:r>
          </w:p>
        </w:tc>
        <w:tc>
          <w:tcPr>
            <w:tcW w:w="1246" w:type="pct"/>
            <w:tcMar>
              <w:left w:w="28" w:type="dxa"/>
              <w:right w:w="28" w:type="dxa"/>
            </w:tcMar>
            <w:vAlign w:val="center"/>
          </w:tcPr>
          <w:p>
            <w:pPr>
              <w:tabs>
                <w:tab w:val="left" w:pos="522"/>
                <w:tab w:val="left" w:pos="1425"/>
              </w:tabs>
              <w:jc w:val="center"/>
              <w:rPr>
                <w:sz w:val="21"/>
                <w:szCs w:val="21"/>
                <w:u w:val="single"/>
              </w:rPr>
            </w:pPr>
            <w:r>
              <w:rPr>
                <w:sz w:val="21"/>
                <w:szCs w:val="21"/>
                <w:u w:val="single"/>
              </w:rPr>
              <w:t>所排放废污水含有多种可降解化学污染物</w:t>
            </w:r>
          </w:p>
        </w:tc>
        <w:tc>
          <w:tcPr>
            <w:tcW w:w="1164" w:type="pct"/>
            <w:tcMar>
              <w:left w:w="28" w:type="dxa"/>
              <w:right w:w="28" w:type="dxa"/>
            </w:tcMar>
            <w:vAlign w:val="center"/>
          </w:tcPr>
          <w:p>
            <w:pPr>
              <w:tabs>
                <w:tab w:val="left" w:pos="312"/>
                <w:tab w:val="left" w:pos="522"/>
                <w:tab w:val="left" w:pos="1425"/>
              </w:tabs>
              <w:jc w:val="center"/>
              <w:rPr>
                <w:sz w:val="21"/>
                <w:szCs w:val="21"/>
                <w:u w:val="single"/>
              </w:rPr>
            </w:pPr>
            <w:r>
              <w:rPr>
                <w:sz w:val="21"/>
                <w:szCs w:val="21"/>
                <w:u w:val="single"/>
              </w:rPr>
              <w:t>所排放废污水含有少量可降解的污染物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trPr>
        <w:tc>
          <w:tcPr>
            <w:tcW w:w="923" w:type="pct"/>
            <w:tcMar>
              <w:left w:w="28" w:type="dxa"/>
              <w:right w:w="28" w:type="dxa"/>
            </w:tcMar>
            <w:vAlign w:val="center"/>
          </w:tcPr>
          <w:p>
            <w:pPr>
              <w:jc w:val="center"/>
              <w:rPr>
                <w:sz w:val="21"/>
                <w:szCs w:val="21"/>
                <w:u w:val="single"/>
              </w:rPr>
            </w:pPr>
            <w:r>
              <w:rPr>
                <w:sz w:val="21"/>
                <w:szCs w:val="21"/>
                <w:u w:val="single"/>
              </w:rPr>
              <w:t>废污水排放流量（缺水地区）（m</w:t>
            </w:r>
            <w:r>
              <w:rPr>
                <w:sz w:val="21"/>
                <w:szCs w:val="21"/>
                <w:u w:val="single"/>
                <w:vertAlign w:val="superscript"/>
              </w:rPr>
              <w:t>3</w:t>
            </w:r>
            <w:r>
              <w:rPr>
                <w:sz w:val="21"/>
                <w:szCs w:val="21"/>
                <w:u w:val="single"/>
              </w:rPr>
              <w:t>/h）</w:t>
            </w:r>
          </w:p>
        </w:tc>
        <w:tc>
          <w:tcPr>
            <w:tcW w:w="1665" w:type="pct"/>
            <w:tcMar>
              <w:left w:w="28" w:type="dxa"/>
              <w:right w:w="28" w:type="dxa"/>
            </w:tcMar>
            <w:vAlign w:val="center"/>
          </w:tcPr>
          <w:p>
            <w:pPr>
              <w:tabs>
                <w:tab w:val="left" w:pos="522"/>
              </w:tabs>
              <w:jc w:val="center"/>
              <w:rPr>
                <w:sz w:val="21"/>
                <w:szCs w:val="21"/>
                <w:u w:val="single"/>
              </w:rPr>
            </w:pPr>
            <w:r>
              <w:rPr>
                <w:sz w:val="21"/>
                <w:szCs w:val="21"/>
                <w:u w:val="single"/>
              </w:rPr>
              <w:t>≥1000（300）</w:t>
            </w:r>
          </w:p>
        </w:tc>
        <w:tc>
          <w:tcPr>
            <w:tcW w:w="1246" w:type="pct"/>
            <w:tcMar>
              <w:left w:w="28" w:type="dxa"/>
              <w:right w:w="28" w:type="dxa"/>
            </w:tcMar>
            <w:vAlign w:val="center"/>
          </w:tcPr>
          <w:p>
            <w:pPr>
              <w:jc w:val="center"/>
              <w:rPr>
                <w:sz w:val="21"/>
                <w:szCs w:val="21"/>
                <w:u w:val="single"/>
              </w:rPr>
            </w:pPr>
            <w:r>
              <w:rPr>
                <w:sz w:val="21"/>
                <w:szCs w:val="21"/>
                <w:u w:val="single"/>
              </w:rPr>
              <w:t>1000～500（300～100）</w:t>
            </w:r>
          </w:p>
        </w:tc>
        <w:tc>
          <w:tcPr>
            <w:tcW w:w="1164" w:type="pct"/>
            <w:tcMar>
              <w:left w:w="28" w:type="dxa"/>
              <w:right w:w="28" w:type="dxa"/>
            </w:tcMar>
            <w:vAlign w:val="center"/>
          </w:tcPr>
          <w:p>
            <w:pPr>
              <w:tabs>
                <w:tab w:val="left" w:pos="312"/>
                <w:tab w:val="left" w:pos="522"/>
              </w:tabs>
              <w:jc w:val="center"/>
              <w:rPr>
                <w:sz w:val="21"/>
                <w:szCs w:val="21"/>
                <w:u w:val="single"/>
              </w:rPr>
            </w:pPr>
            <w:r>
              <w:rPr>
                <w:sz w:val="21"/>
                <w:szCs w:val="21"/>
                <w:u w:val="single"/>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4" w:hRule="atLeast"/>
        </w:trPr>
        <w:tc>
          <w:tcPr>
            <w:tcW w:w="923" w:type="pct"/>
            <w:tcMar>
              <w:left w:w="28" w:type="dxa"/>
              <w:right w:w="28" w:type="dxa"/>
            </w:tcMar>
            <w:vAlign w:val="center"/>
          </w:tcPr>
          <w:p>
            <w:pPr>
              <w:jc w:val="center"/>
              <w:rPr>
                <w:sz w:val="21"/>
                <w:szCs w:val="21"/>
                <w:u w:val="single"/>
              </w:rPr>
            </w:pPr>
            <w:r>
              <w:rPr>
                <w:sz w:val="21"/>
                <w:szCs w:val="21"/>
                <w:u w:val="single"/>
              </w:rPr>
              <w:t>年度废污水排放量</w:t>
            </w:r>
          </w:p>
        </w:tc>
        <w:tc>
          <w:tcPr>
            <w:tcW w:w="1665" w:type="pct"/>
            <w:tcMar>
              <w:left w:w="28" w:type="dxa"/>
              <w:right w:w="28" w:type="dxa"/>
            </w:tcMar>
            <w:vAlign w:val="center"/>
          </w:tcPr>
          <w:p>
            <w:pPr>
              <w:tabs>
                <w:tab w:val="left" w:pos="522"/>
              </w:tabs>
              <w:jc w:val="center"/>
              <w:rPr>
                <w:sz w:val="21"/>
                <w:szCs w:val="21"/>
                <w:u w:val="single"/>
              </w:rPr>
            </w:pPr>
            <w:r>
              <w:rPr>
                <w:sz w:val="21"/>
                <w:szCs w:val="21"/>
                <w:u w:val="single"/>
              </w:rPr>
              <w:t>大于200万吨</w:t>
            </w:r>
          </w:p>
        </w:tc>
        <w:tc>
          <w:tcPr>
            <w:tcW w:w="1246" w:type="pct"/>
            <w:tcMar>
              <w:left w:w="28" w:type="dxa"/>
              <w:right w:w="28" w:type="dxa"/>
            </w:tcMar>
            <w:vAlign w:val="center"/>
          </w:tcPr>
          <w:p>
            <w:pPr>
              <w:jc w:val="center"/>
              <w:rPr>
                <w:sz w:val="21"/>
                <w:szCs w:val="21"/>
                <w:u w:val="single"/>
              </w:rPr>
            </w:pPr>
            <w:r>
              <w:rPr>
                <w:sz w:val="21"/>
                <w:szCs w:val="21"/>
                <w:u w:val="single"/>
              </w:rPr>
              <w:t>20～200万吨</w:t>
            </w:r>
          </w:p>
        </w:tc>
        <w:tc>
          <w:tcPr>
            <w:tcW w:w="1164" w:type="pct"/>
            <w:tcMar>
              <w:left w:w="28" w:type="dxa"/>
              <w:right w:w="28" w:type="dxa"/>
            </w:tcMar>
            <w:vAlign w:val="center"/>
          </w:tcPr>
          <w:p>
            <w:pPr>
              <w:tabs>
                <w:tab w:val="left" w:pos="312"/>
                <w:tab w:val="left" w:pos="522"/>
              </w:tabs>
              <w:jc w:val="center"/>
              <w:rPr>
                <w:sz w:val="21"/>
                <w:szCs w:val="21"/>
                <w:u w:val="single"/>
              </w:rPr>
            </w:pPr>
            <w:r>
              <w:rPr>
                <w:sz w:val="21"/>
                <w:szCs w:val="21"/>
                <w:u w:val="single"/>
              </w:rPr>
              <w:t>小于20万吨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5" w:hRule="atLeast"/>
        </w:trPr>
        <w:tc>
          <w:tcPr>
            <w:tcW w:w="923" w:type="pct"/>
            <w:vAlign w:val="center"/>
          </w:tcPr>
          <w:p>
            <w:pPr>
              <w:jc w:val="center"/>
              <w:rPr>
                <w:sz w:val="21"/>
                <w:szCs w:val="21"/>
                <w:u w:val="single"/>
              </w:rPr>
            </w:pPr>
            <w:r>
              <w:rPr>
                <w:sz w:val="21"/>
                <w:szCs w:val="21"/>
                <w:u w:val="single"/>
              </w:rPr>
              <w:t>区域水资源状况</w:t>
            </w:r>
          </w:p>
        </w:tc>
        <w:tc>
          <w:tcPr>
            <w:tcW w:w="1665" w:type="pct"/>
            <w:tcMar>
              <w:left w:w="28" w:type="dxa"/>
              <w:right w:w="28" w:type="dxa"/>
            </w:tcMar>
            <w:vAlign w:val="center"/>
          </w:tcPr>
          <w:p>
            <w:pPr>
              <w:jc w:val="center"/>
              <w:rPr>
                <w:sz w:val="21"/>
                <w:szCs w:val="21"/>
                <w:u w:val="single"/>
              </w:rPr>
            </w:pPr>
            <w:r>
              <w:rPr>
                <w:sz w:val="21"/>
                <w:szCs w:val="21"/>
                <w:u w:val="single"/>
              </w:rPr>
              <w:t>用水紧缺，取用水量达到或超出所分配用水指标</w:t>
            </w:r>
          </w:p>
        </w:tc>
        <w:tc>
          <w:tcPr>
            <w:tcW w:w="1246" w:type="pct"/>
            <w:tcMar>
              <w:left w:w="28" w:type="dxa"/>
              <w:right w:w="28" w:type="dxa"/>
            </w:tcMar>
            <w:vAlign w:val="center"/>
          </w:tcPr>
          <w:p>
            <w:pPr>
              <w:jc w:val="center"/>
              <w:rPr>
                <w:sz w:val="21"/>
                <w:szCs w:val="21"/>
                <w:u w:val="single"/>
              </w:rPr>
            </w:pPr>
            <w:r>
              <w:rPr>
                <w:sz w:val="21"/>
                <w:szCs w:val="21"/>
                <w:u w:val="single"/>
              </w:rPr>
              <w:t>水资源量一般，取用水量小于或接近所分配用水指标</w:t>
            </w:r>
          </w:p>
        </w:tc>
        <w:tc>
          <w:tcPr>
            <w:tcW w:w="1164" w:type="pct"/>
            <w:tcMar>
              <w:left w:w="28" w:type="dxa"/>
              <w:right w:w="28" w:type="dxa"/>
            </w:tcMar>
            <w:vAlign w:val="center"/>
          </w:tcPr>
          <w:p>
            <w:pPr>
              <w:jc w:val="center"/>
              <w:rPr>
                <w:sz w:val="21"/>
                <w:szCs w:val="21"/>
                <w:u w:val="single"/>
              </w:rPr>
            </w:pPr>
            <w:r>
              <w:rPr>
                <w:sz w:val="21"/>
                <w:szCs w:val="21"/>
                <w:u w:val="single"/>
              </w:rPr>
              <w:t>水资源丰沛，取用水量远小于所分配用水指标</w:t>
            </w:r>
          </w:p>
        </w:tc>
      </w:tr>
    </w:tbl>
    <w:p>
      <w:pPr>
        <w:pStyle w:val="27"/>
        <w:ind w:firstLine="480"/>
      </w:pPr>
      <w:r>
        <w:rPr>
          <w:rFonts w:hint="eastAsia"/>
          <w:color w:val="000000"/>
          <w:szCs w:val="24"/>
          <w:u w:val="single"/>
        </w:rPr>
        <w:t>本项目纳污水体为祁水，所在断面水功能区划定为渔业用水区，水功能区管理要求评价等级为二级；污水处理厂各</w:t>
      </w:r>
      <w:r>
        <w:rPr>
          <w:color w:val="000000"/>
          <w:szCs w:val="24"/>
          <w:u w:val="single"/>
        </w:rPr>
        <w:t>污染物入河量远小于水功能区水域纳污能力</w:t>
      </w:r>
      <w:r>
        <w:rPr>
          <w:rFonts w:hint="eastAsia"/>
          <w:color w:val="000000"/>
          <w:szCs w:val="24"/>
          <w:u w:val="single"/>
        </w:rPr>
        <w:t>，水功能区水域纳污现状评价等级为三级；根据现场踏勘和现状监测结果可知，祁水现状无敏感生态问题，相关水域现状排污对水生态环境无影响或影响轻微，水生态现状评价等级为三级；本次排污口为乡镇污水处理厂排污口，废水处理规模为近期3.65万t/a，远期21.9万t/a，污染物种类较少，属于排放废污水中含有少量可降解的污染物，污染物排放种类评价等级为二级；废污水排放流量远小于</w:t>
      </w:r>
      <w:r>
        <w:rPr>
          <w:color w:val="000000"/>
          <w:szCs w:val="24"/>
          <w:u w:val="single"/>
        </w:rPr>
        <w:t>500m</w:t>
      </w:r>
      <w:r>
        <w:rPr>
          <w:color w:val="000000"/>
          <w:szCs w:val="24"/>
          <w:u w:val="single"/>
          <w:vertAlign w:val="superscript"/>
        </w:rPr>
        <w:t>3</w:t>
      </w:r>
      <w:r>
        <w:rPr>
          <w:color w:val="000000"/>
          <w:szCs w:val="24"/>
          <w:u w:val="single"/>
        </w:rPr>
        <w:t>/h</w:t>
      </w:r>
      <w:r>
        <w:rPr>
          <w:rFonts w:hint="eastAsia"/>
          <w:color w:val="000000"/>
          <w:szCs w:val="24"/>
          <w:u w:val="single"/>
        </w:rPr>
        <w:t>，</w:t>
      </w:r>
      <w:r>
        <w:rPr>
          <w:color w:val="000000"/>
          <w:szCs w:val="24"/>
          <w:u w:val="single"/>
        </w:rPr>
        <w:t>废污水排放流量</w:t>
      </w:r>
      <w:r>
        <w:rPr>
          <w:rFonts w:hint="eastAsia"/>
          <w:color w:val="000000"/>
          <w:szCs w:val="24"/>
          <w:u w:val="single"/>
        </w:rPr>
        <w:t>评价等级为三级；远期年度废污水排放量为20~200万吨，</w:t>
      </w:r>
      <w:r>
        <w:rPr>
          <w:color w:val="000000"/>
          <w:szCs w:val="24"/>
          <w:u w:val="single"/>
        </w:rPr>
        <w:t>年度废污水排放量</w:t>
      </w:r>
      <w:r>
        <w:rPr>
          <w:rFonts w:hint="eastAsia"/>
          <w:color w:val="000000"/>
          <w:szCs w:val="24"/>
          <w:u w:val="single"/>
        </w:rPr>
        <w:t>评价等级为二级；该区域取用水量远小于所分配用水指标，</w:t>
      </w:r>
      <w:r>
        <w:rPr>
          <w:color w:val="000000"/>
          <w:szCs w:val="24"/>
          <w:u w:val="single"/>
        </w:rPr>
        <w:t>区域水资源状况</w:t>
      </w:r>
      <w:r>
        <w:rPr>
          <w:rFonts w:hint="eastAsia"/>
          <w:color w:val="000000"/>
          <w:szCs w:val="24"/>
          <w:u w:val="single"/>
        </w:rPr>
        <w:t>评价等级为三级。上述分类指标最高等级为二级，因此确定本次入河排污口设置论证工作等级为二级。</w:t>
      </w:r>
      <w:bookmarkEnd w:id="14"/>
    </w:p>
    <w:p>
      <w:pPr>
        <w:pStyle w:val="40"/>
        <w:jc w:val="both"/>
        <w:sectPr>
          <w:footerReference r:id="rId3" w:type="default"/>
          <w:pgSz w:w="11906" w:h="16838"/>
          <w:pgMar w:top="1440" w:right="1800" w:bottom="1440" w:left="1800" w:header="851" w:footer="992" w:gutter="0"/>
          <w:pgNumType w:start="1"/>
          <w:cols w:space="425" w:num="1"/>
          <w:docGrid w:type="lines" w:linePitch="312" w:charSpace="0"/>
        </w:sectPr>
      </w:pPr>
    </w:p>
    <w:p>
      <w:pPr>
        <w:pStyle w:val="29"/>
      </w:pPr>
      <w:bookmarkStart w:id="16" w:name="_Toc161250442"/>
      <w:r>
        <w:rPr>
          <w:rFonts w:hint="eastAsia"/>
        </w:rPr>
        <w:t>2项目概况</w:t>
      </w:r>
      <w:bookmarkEnd w:id="16"/>
    </w:p>
    <w:p>
      <w:pPr>
        <w:pStyle w:val="32"/>
      </w:pPr>
      <w:bookmarkStart w:id="17" w:name="_Toc161250443"/>
      <w:r>
        <w:rPr>
          <w:rFonts w:hint="eastAsia"/>
        </w:rPr>
        <w:t>2</w:t>
      </w:r>
      <w:r>
        <w:t>.1</w:t>
      </w:r>
      <w:r>
        <w:rPr>
          <w:rFonts w:hint="eastAsia"/>
        </w:rPr>
        <w:t>项目的基本情况</w:t>
      </w:r>
      <w:bookmarkEnd w:id="17"/>
    </w:p>
    <w:p>
      <w:pPr>
        <w:pStyle w:val="35"/>
      </w:pPr>
      <w:bookmarkStart w:id="18" w:name="_Toc161250444"/>
      <w:r>
        <w:rPr>
          <w:rFonts w:hint="eastAsia"/>
        </w:rPr>
        <w:t>2</w:t>
      </w:r>
      <w:r>
        <w:t>.1.1</w:t>
      </w:r>
      <w:r>
        <w:rPr>
          <w:rFonts w:hint="eastAsia"/>
        </w:rPr>
        <w:t>项目基本情况</w:t>
      </w:r>
      <w:bookmarkEnd w:id="18"/>
    </w:p>
    <w:p>
      <w:pPr>
        <w:pStyle w:val="27"/>
        <w:ind w:firstLine="480"/>
      </w:pPr>
      <w:r>
        <w:rPr>
          <w:rFonts w:hint="eastAsia"/>
        </w:rPr>
        <w:t>项目名称：凤歧坪乡污水处理工程</w:t>
      </w:r>
    </w:p>
    <w:p>
      <w:pPr>
        <w:pStyle w:val="27"/>
        <w:ind w:firstLine="480"/>
        <w:rPr>
          <w:szCs w:val="24"/>
        </w:rPr>
      </w:pPr>
      <w:r>
        <w:rPr>
          <w:rFonts w:hAnsi="宋体"/>
          <w:szCs w:val="24"/>
        </w:rPr>
        <w:t>建设性质：新建；</w:t>
      </w:r>
    </w:p>
    <w:p>
      <w:pPr>
        <w:pStyle w:val="27"/>
        <w:ind w:firstLine="480"/>
        <w:rPr>
          <w:szCs w:val="24"/>
        </w:rPr>
      </w:pPr>
      <w:r>
        <w:rPr>
          <w:rFonts w:hAnsi="宋体"/>
          <w:szCs w:val="24"/>
        </w:rPr>
        <w:t>建设单位：</w:t>
      </w:r>
      <w:r>
        <w:rPr>
          <w:rFonts w:hint="eastAsia"/>
        </w:rPr>
        <w:t>祁东县住房和城乡建设局</w:t>
      </w:r>
      <w:r>
        <w:rPr>
          <w:rFonts w:hAnsi="宋体"/>
          <w:szCs w:val="24"/>
        </w:rPr>
        <w:t>；</w:t>
      </w:r>
    </w:p>
    <w:p>
      <w:pPr>
        <w:pStyle w:val="27"/>
        <w:ind w:firstLine="480"/>
        <w:rPr>
          <w:rFonts w:hAnsi="宋体"/>
          <w:szCs w:val="24"/>
        </w:rPr>
      </w:pPr>
      <w:r>
        <w:rPr>
          <w:rFonts w:hAnsi="宋体"/>
        </w:rPr>
        <w:t>建设地点：</w:t>
      </w:r>
      <w:r>
        <w:rPr>
          <w:rFonts w:hint="eastAsia"/>
        </w:rPr>
        <w:t>凤歧坪乡凤歧坪村（地理位置详见附图1）</w:t>
      </w:r>
      <w:r>
        <w:rPr>
          <w:rFonts w:hAnsi="宋体"/>
          <w:szCs w:val="24"/>
        </w:rPr>
        <w:t>；</w:t>
      </w:r>
    </w:p>
    <w:p>
      <w:pPr>
        <w:pStyle w:val="27"/>
        <w:ind w:firstLine="480"/>
        <w:rPr>
          <w:rFonts w:hAnsi="宋体"/>
          <w:szCs w:val="24"/>
        </w:rPr>
      </w:pPr>
      <w:r>
        <w:rPr>
          <w:rFonts w:hAnsi="宋体"/>
          <w:szCs w:val="24"/>
        </w:rPr>
        <w:t>建设内容：建设</w:t>
      </w:r>
      <w:r>
        <w:rPr>
          <w:rFonts w:hint="eastAsia" w:hAnsi="宋体"/>
          <w:szCs w:val="24"/>
        </w:rPr>
        <w:t>凤歧坪乡污水处理</w:t>
      </w:r>
      <w:r>
        <w:rPr>
          <w:rFonts w:hAnsi="宋体"/>
          <w:szCs w:val="24"/>
        </w:rPr>
        <w:t>主体工程及污水收集</w:t>
      </w:r>
      <w:r>
        <w:rPr>
          <w:rFonts w:hint="eastAsia" w:hAnsi="宋体"/>
          <w:szCs w:val="24"/>
        </w:rPr>
        <w:t>专管</w:t>
      </w:r>
      <w:r>
        <w:rPr>
          <w:rFonts w:hAnsi="宋体"/>
          <w:szCs w:val="24"/>
        </w:rPr>
        <w:t>工程</w:t>
      </w:r>
      <w:r>
        <w:rPr>
          <w:rFonts w:hint="eastAsia" w:hAnsi="宋体"/>
          <w:szCs w:val="24"/>
        </w:rPr>
        <w:t>。</w:t>
      </w:r>
    </w:p>
    <w:p>
      <w:pPr>
        <w:pStyle w:val="27"/>
        <w:ind w:firstLine="480"/>
        <w:rPr>
          <w:rFonts w:hAnsi="宋体"/>
          <w:szCs w:val="24"/>
          <w:u w:val="single"/>
        </w:rPr>
      </w:pPr>
      <w:r>
        <w:rPr>
          <w:rFonts w:hAnsi="宋体"/>
          <w:szCs w:val="24"/>
          <w:u w:val="single"/>
        </w:rPr>
        <w:t>建设规模：项目</w:t>
      </w:r>
      <w:r>
        <w:rPr>
          <w:rFonts w:hint="eastAsia" w:hAnsi="宋体" w:cs="Calibri"/>
          <w:szCs w:val="24"/>
          <w:u w:val="single"/>
        </w:rPr>
        <w:t>占</w:t>
      </w:r>
      <w:r>
        <w:rPr>
          <w:rFonts w:hAnsi="宋体"/>
          <w:szCs w:val="24"/>
          <w:u w:val="single"/>
        </w:rPr>
        <w:t>地面积</w:t>
      </w:r>
      <w:r>
        <w:rPr>
          <w:rFonts w:hint="eastAsia" w:cs="Calibri"/>
          <w:szCs w:val="24"/>
          <w:u w:val="single"/>
        </w:rPr>
        <w:t>1352.0</w:t>
      </w:r>
      <w:r>
        <w:rPr>
          <w:szCs w:val="24"/>
          <w:u w:val="single"/>
        </w:rPr>
        <w:t>m</w:t>
      </w:r>
      <w:r>
        <w:rPr>
          <w:szCs w:val="24"/>
          <w:u w:val="single"/>
          <w:vertAlign w:val="superscript"/>
        </w:rPr>
        <w:t>2</w:t>
      </w:r>
      <w:r>
        <w:rPr>
          <w:rFonts w:hAnsi="宋体"/>
          <w:szCs w:val="24"/>
          <w:u w:val="single"/>
        </w:rPr>
        <w:t>，</w:t>
      </w:r>
      <w:r>
        <w:rPr>
          <w:rFonts w:hint="eastAsia" w:hAnsi="宋体"/>
          <w:szCs w:val="24"/>
          <w:u w:val="single"/>
        </w:rPr>
        <w:t>近期</w:t>
      </w:r>
      <w:r>
        <w:rPr>
          <w:rFonts w:hint="eastAsia" w:hAnsi="宋体" w:cs="Calibri"/>
          <w:szCs w:val="24"/>
          <w:u w:val="single"/>
        </w:rPr>
        <w:t>污水处理</w:t>
      </w:r>
      <w:r>
        <w:rPr>
          <w:rFonts w:hAnsi="宋体"/>
          <w:szCs w:val="24"/>
          <w:u w:val="single"/>
        </w:rPr>
        <w:t>规模为</w:t>
      </w:r>
      <w:r>
        <w:rPr>
          <w:rFonts w:hint="eastAsia" w:cs="Calibri"/>
          <w:szCs w:val="24"/>
          <w:u w:val="single"/>
        </w:rPr>
        <w:t>100</w:t>
      </w:r>
      <w:r>
        <w:rPr>
          <w:szCs w:val="24"/>
          <w:u w:val="single"/>
        </w:rPr>
        <w:t>m</w:t>
      </w:r>
      <w:r>
        <w:rPr>
          <w:szCs w:val="24"/>
          <w:u w:val="single"/>
          <w:vertAlign w:val="superscript"/>
        </w:rPr>
        <w:t>3</w:t>
      </w:r>
      <w:r>
        <w:rPr>
          <w:szCs w:val="24"/>
          <w:u w:val="single"/>
        </w:rPr>
        <w:t>/d</w:t>
      </w:r>
      <w:r>
        <w:rPr>
          <w:rFonts w:hint="eastAsia" w:hAnsi="宋体"/>
          <w:szCs w:val="24"/>
          <w:u w:val="single"/>
        </w:rPr>
        <w:t>，远期</w:t>
      </w:r>
      <w:r>
        <w:rPr>
          <w:rFonts w:hint="eastAsia" w:hAnsi="宋体" w:cs="Calibri"/>
          <w:szCs w:val="24"/>
          <w:u w:val="single"/>
        </w:rPr>
        <w:t>污水处理</w:t>
      </w:r>
      <w:r>
        <w:rPr>
          <w:rFonts w:hAnsi="宋体"/>
          <w:szCs w:val="24"/>
          <w:u w:val="single"/>
        </w:rPr>
        <w:t>规模为</w:t>
      </w:r>
      <w:r>
        <w:rPr>
          <w:rFonts w:hint="eastAsia" w:cs="Calibri"/>
          <w:szCs w:val="24"/>
          <w:u w:val="single"/>
        </w:rPr>
        <w:t>600</w:t>
      </w:r>
      <w:r>
        <w:rPr>
          <w:szCs w:val="24"/>
          <w:u w:val="single"/>
        </w:rPr>
        <w:t>m</w:t>
      </w:r>
      <w:r>
        <w:rPr>
          <w:szCs w:val="24"/>
          <w:u w:val="single"/>
          <w:vertAlign w:val="superscript"/>
        </w:rPr>
        <w:t>3</w:t>
      </w:r>
      <w:r>
        <w:rPr>
          <w:szCs w:val="24"/>
          <w:u w:val="single"/>
        </w:rPr>
        <w:t>/d</w:t>
      </w:r>
      <w:r>
        <w:rPr>
          <w:rFonts w:hint="eastAsia" w:hAnsi="宋体" w:cs="Calibri"/>
          <w:szCs w:val="24"/>
          <w:u w:val="single"/>
        </w:rPr>
        <w:t>，配套修建管网2237</w:t>
      </w:r>
      <w:r>
        <w:rPr>
          <w:rFonts w:hint="eastAsia"/>
          <w:kern w:val="0"/>
          <w:szCs w:val="24"/>
          <w:u w:val="single"/>
        </w:rPr>
        <w:t>m</w:t>
      </w:r>
      <w:r>
        <w:rPr>
          <w:rFonts w:hint="eastAsia" w:hAnsi="宋体" w:cs="Calibri"/>
          <w:szCs w:val="24"/>
          <w:u w:val="single"/>
        </w:rPr>
        <w:t>；</w:t>
      </w:r>
    </w:p>
    <w:p>
      <w:pPr>
        <w:pStyle w:val="27"/>
        <w:ind w:firstLine="480"/>
        <w:rPr>
          <w:rFonts w:hAnsi="宋体"/>
          <w:szCs w:val="24"/>
        </w:rPr>
      </w:pPr>
      <w:r>
        <w:rPr>
          <w:rFonts w:hint="eastAsia" w:hAnsi="宋体"/>
          <w:szCs w:val="24"/>
        </w:rPr>
        <w:t>纳污范围：</w:t>
      </w:r>
      <w:r>
        <w:rPr>
          <w:rFonts w:hint="eastAsia"/>
        </w:rPr>
        <w:t>凤歧坪乡</w:t>
      </w:r>
      <w:r>
        <w:rPr>
          <w:rFonts w:hint="eastAsia" w:hAnsi="宋体"/>
          <w:szCs w:val="24"/>
        </w:rPr>
        <w:t>镇区，服务面积0.64km</w:t>
      </w:r>
      <w:r>
        <w:rPr>
          <w:rFonts w:hint="eastAsia" w:hAnsi="宋体"/>
          <w:szCs w:val="24"/>
          <w:vertAlign w:val="superscript"/>
        </w:rPr>
        <w:t>2</w:t>
      </w:r>
      <w:r>
        <w:rPr>
          <w:rFonts w:hint="eastAsia" w:hAnsi="宋体"/>
          <w:szCs w:val="24"/>
        </w:rPr>
        <w:t>。</w:t>
      </w:r>
    </w:p>
    <w:p>
      <w:pPr>
        <w:pStyle w:val="27"/>
        <w:ind w:firstLine="480"/>
        <w:rPr>
          <w:rFonts w:hAnsi="宋体"/>
          <w:szCs w:val="24"/>
        </w:rPr>
      </w:pPr>
      <w:r>
        <w:rPr>
          <w:rFonts w:hAnsi="宋体"/>
          <w:szCs w:val="24"/>
        </w:rPr>
        <w:t>项目投资：</w:t>
      </w:r>
      <w:r>
        <w:rPr>
          <w:rFonts w:hint="eastAsia" w:hAnsi="宋体"/>
          <w:szCs w:val="24"/>
        </w:rPr>
        <w:t>工程</w:t>
      </w:r>
      <w:r>
        <w:rPr>
          <w:rFonts w:hAnsi="宋体"/>
          <w:szCs w:val="24"/>
        </w:rPr>
        <w:t>总投资</w:t>
      </w:r>
      <w:r>
        <w:rPr>
          <w:rFonts w:hint="eastAsia" w:hAnsi="宋体"/>
          <w:szCs w:val="24"/>
        </w:rPr>
        <w:t>926.5万元；</w:t>
      </w:r>
    </w:p>
    <w:p>
      <w:pPr>
        <w:pStyle w:val="27"/>
        <w:ind w:firstLine="480"/>
        <w:rPr>
          <w:rFonts w:hAnsi="宋体"/>
          <w:szCs w:val="24"/>
        </w:rPr>
      </w:pPr>
      <w:r>
        <w:rPr>
          <w:rFonts w:hint="eastAsia" w:hAnsi="宋体"/>
          <w:szCs w:val="24"/>
        </w:rPr>
        <w:t>建设进度：</w:t>
      </w:r>
      <w:r>
        <w:rPr>
          <w:rFonts w:hint="eastAsia"/>
        </w:rPr>
        <w:t>凤歧坪乡污水处理工程</w:t>
      </w:r>
      <w:r>
        <w:rPr>
          <w:rFonts w:hint="eastAsia" w:hAnsi="宋体"/>
          <w:szCs w:val="24"/>
        </w:rPr>
        <w:t>于2</w:t>
      </w:r>
      <w:r>
        <w:rPr>
          <w:rFonts w:hAnsi="宋体"/>
          <w:szCs w:val="24"/>
        </w:rPr>
        <w:t>023</w:t>
      </w:r>
      <w:r>
        <w:rPr>
          <w:rFonts w:hint="eastAsia" w:hAnsi="宋体"/>
          <w:szCs w:val="24"/>
        </w:rPr>
        <w:t>年6月开工，目前已完成场地平整、池体开挖及部分设备安装，目前仍在建设中，尚未竣工运营，预计2</w:t>
      </w:r>
      <w:r>
        <w:rPr>
          <w:rFonts w:hAnsi="宋体"/>
          <w:szCs w:val="24"/>
        </w:rPr>
        <w:t>024</w:t>
      </w:r>
      <w:r>
        <w:rPr>
          <w:rFonts w:hint="eastAsia" w:hAnsi="宋体"/>
          <w:szCs w:val="24"/>
        </w:rPr>
        <w:t>年6月竣工并投入运营。</w:t>
      </w:r>
    </w:p>
    <w:p>
      <w:pPr>
        <w:pStyle w:val="27"/>
        <w:ind w:firstLine="480"/>
        <w:rPr>
          <w:rFonts w:hAnsi="宋体"/>
          <w:szCs w:val="24"/>
        </w:rPr>
      </w:pPr>
      <w:r>
        <w:rPr>
          <w:rFonts w:hint="eastAsia" w:hAnsi="宋体"/>
          <w:szCs w:val="24"/>
        </w:rPr>
        <w:t>污水排放路径：项目污水处理达标后通过管道排入厂区东侧灌溉渠，之后经15km灌溉渠进入祁水。</w:t>
      </w:r>
    </w:p>
    <w:p>
      <w:pPr>
        <w:pStyle w:val="27"/>
        <w:ind w:firstLine="480"/>
        <w:rPr>
          <w:rFonts w:hAnsi="宋体"/>
          <w:szCs w:val="24"/>
        </w:rPr>
      </w:pPr>
      <w:r>
        <w:rPr>
          <w:rFonts w:hint="eastAsia" w:hAnsi="宋体"/>
          <w:szCs w:val="24"/>
        </w:rPr>
        <w:t>受纳地表水体：祁水，祁水为湘江一级支流。祁水项目纳污河段属于渔业用水区，水功能目标为III类水质，本次论证范围河段无生活用水及工业用水取水口，不涉及饮用水水源保护区。</w:t>
      </w:r>
    </w:p>
    <w:p>
      <w:pPr>
        <w:pStyle w:val="27"/>
        <w:ind w:firstLine="480"/>
        <w:rPr>
          <w:szCs w:val="24"/>
        </w:rPr>
      </w:pPr>
      <w:r>
        <w:rPr>
          <w:rFonts w:hint="eastAsia" w:hAnsi="宋体"/>
          <w:szCs w:val="24"/>
        </w:rPr>
        <w:t>入河排污口设置位置：入河排污口设置位置位于东侧沟渠右岸，地理坐标为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p>
    <w:p>
      <w:pPr>
        <w:pStyle w:val="27"/>
        <w:ind w:firstLine="480"/>
      </w:pPr>
      <w:r>
        <w:rPr>
          <w:rFonts w:hint="eastAsia"/>
        </w:rPr>
        <w:t>凤歧坪乡污水处理工程地理位置详见图2</w:t>
      </w:r>
      <w:r>
        <w:t>.1-1</w:t>
      </w:r>
      <w:r>
        <w:rPr>
          <w:rFonts w:hint="eastAsia"/>
        </w:rPr>
        <w:t>。</w:t>
      </w:r>
    </w:p>
    <w:p>
      <w:pPr>
        <w:pStyle w:val="27"/>
        <w:ind w:firstLine="0" w:firstLineChars="0"/>
      </w:pPr>
      <w:r>
        <w:rPr>
          <w14:ligatures w14:val="standardContextual"/>
        </w:rPr>
        <mc:AlternateContent>
          <mc:Choice Requires="wps">
            <w:drawing>
              <wp:anchor distT="0" distB="0" distL="114300" distR="114300" simplePos="0" relativeHeight="251681792" behindDoc="0" locked="0" layoutInCell="1" allowOverlap="1">
                <wp:simplePos x="0" y="0"/>
                <wp:positionH relativeFrom="column">
                  <wp:posOffset>3362325</wp:posOffset>
                </wp:positionH>
                <wp:positionV relativeFrom="paragraph">
                  <wp:posOffset>1066800</wp:posOffset>
                </wp:positionV>
                <wp:extent cx="1800225" cy="285750"/>
                <wp:effectExtent l="457200" t="0" r="28575" b="571500"/>
                <wp:wrapNone/>
                <wp:docPr id="370467391" name="对话气泡: 矩形 3"/>
                <wp:cNvGraphicFramePr/>
                <a:graphic xmlns:a="http://schemas.openxmlformats.org/drawingml/2006/main">
                  <a:graphicData uri="http://schemas.microsoft.com/office/word/2010/wordprocessingShape">
                    <wps:wsp>
                      <wps:cNvSpPr/>
                      <wps:spPr>
                        <a:xfrm>
                          <a:off x="0" y="0"/>
                          <a:ext cx="1800225" cy="285750"/>
                        </a:xfrm>
                        <a:prstGeom prst="wedgeRectCallout">
                          <a:avLst>
                            <a:gd name="adj1" fmla="val -73214"/>
                            <a:gd name="adj2" fmla="val 23250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264.75pt;margin-top:84pt;height:22.5pt;width:141.75pt;z-index:251681792;v-text-anchor:middle;mso-width-relative:page;mso-height-relative:page;" fillcolor="#FFFFFF [3201]" filled="t" stroked="t" coordsize="21600,21600" o:gfxdata="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U/W6E2gAAAAsBAAAP&#10;AAAAAAAAAAEAIAAAACIAAABkcnMvZG93bnJldi54bWxQSwECFAAUAAAACACHTuJATeryv8ECAAB0&#10;BQAADgAAAAAAAAABACAAAAApAQAAZHJzL2Uyb0RvYy54bWxQSwUGAAAAAAYABgBZAQAAXAYAAAAA&#10;" adj="-5014,61020">
                <v:fill on="t" focussize="0,0"/>
                <v:stroke weight="1pt" color="#000000 [3200]" miterlimit="8" joinstyle="miter"/>
                <v:imagedata o:title=""/>
                <o:lock v:ext="edit" aspectratio="f"/>
                <v:textbox>
                  <w:txbxContent>
                    <w:p>
                      <w:pPr>
                        <w:jc w:val="center"/>
                      </w:pPr>
                      <w:r>
                        <w:rPr>
                          <w:rFonts w:hint="eastAsia"/>
                        </w:rPr>
                        <w:t>入河排污口位置</w:t>
                      </w:r>
                    </w:p>
                  </w:txbxContent>
                </v:textbox>
              </v:shape>
            </w:pict>
          </mc:Fallback>
        </mc:AlternateContent>
      </w:r>
      <w:r>
        <w:rPr>
          <w14:ligatures w14:val="standardContextual"/>
        </w:rPr>
        <mc:AlternateContent>
          <mc:Choice Requires="wps">
            <w:drawing>
              <wp:anchor distT="0" distB="0" distL="114300" distR="114300" simplePos="0" relativeHeight="251680768" behindDoc="0" locked="0" layoutInCell="1" allowOverlap="1">
                <wp:simplePos x="0" y="0"/>
                <wp:positionH relativeFrom="column">
                  <wp:posOffset>1905000</wp:posOffset>
                </wp:positionH>
                <wp:positionV relativeFrom="paragraph">
                  <wp:posOffset>1685925</wp:posOffset>
                </wp:positionV>
                <wp:extent cx="1009650" cy="209550"/>
                <wp:effectExtent l="0" t="0" r="76200" b="76200"/>
                <wp:wrapNone/>
                <wp:docPr id="2074345144" name="直接箭头连接符 4"/>
                <wp:cNvGraphicFramePr/>
                <a:graphic xmlns:a="http://schemas.openxmlformats.org/drawingml/2006/main">
                  <a:graphicData uri="http://schemas.microsoft.com/office/word/2010/wordprocessingShape">
                    <wps:wsp>
                      <wps:cNvCnPr/>
                      <wps:spPr>
                        <a:xfrm>
                          <a:off x="0" y="0"/>
                          <a:ext cx="1009650" cy="2095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4" o:spid="_x0000_s1026" o:spt="32" type="#_x0000_t32" style="position:absolute;left:0pt;margin-left:150pt;margin-top:132.75pt;height:16.5pt;width:79.5pt;z-index:251680768;mso-width-relative:page;mso-height-relative:page;" filled="f" stroked="t" coordsize="21600,21600" o:gfxdata="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CG6ZZNoAAAALAQAADwAA&#10;AAAAAAABACAAAAAiAAAAZHJzL2Rvd25yZXYueG1sUEsBAhQAFAAAAAgAh07iQC99KQAUAgAA7wMA&#10;AA4AAAAAAAAAAQAgAAAAKQEAAGRycy9lMm9Eb2MueG1sUEsFBgAAAAAGAAYAWQEAAK8FAAAAAA==&#10;">
                <v:fill on="f" focussize="0,0"/>
                <v:stroke weight="0.5pt" color="#FF0000 [3204]" miterlimit="8" joinstyle="miter" endarrow="block"/>
                <v:imagedata o:title=""/>
                <o:lock v:ext="edit" aspectratio="f"/>
              </v:shape>
            </w:pict>
          </mc:Fallback>
        </mc:AlternateContent>
      </w:r>
      <w:r>
        <w:rPr>
          <w14:ligatures w14:val="standardContextual"/>
        </w:rPr>
        <mc:AlternateContent>
          <mc:Choice Requires="wps">
            <w:drawing>
              <wp:anchor distT="0" distB="0" distL="114300" distR="114300" simplePos="0" relativeHeight="251679744" behindDoc="0" locked="0" layoutInCell="1" allowOverlap="1">
                <wp:simplePos x="0" y="0"/>
                <wp:positionH relativeFrom="column">
                  <wp:posOffset>285750</wp:posOffset>
                </wp:positionH>
                <wp:positionV relativeFrom="paragraph">
                  <wp:posOffset>514350</wp:posOffset>
                </wp:positionV>
                <wp:extent cx="1800225" cy="285750"/>
                <wp:effectExtent l="0" t="0" r="28575" b="800100"/>
                <wp:wrapNone/>
                <wp:docPr id="1390832128" name="对话气泡: 矩形 3"/>
                <wp:cNvGraphicFramePr/>
                <a:graphic xmlns:a="http://schemas.openxmlformats.org/drawingml/2006/main">
                  <a:graphicData uri="http://schemas.microsoft.com/office/word/2010/wordprocessingShape">
                    <wps:wsp>
                      <wps:cNvSpPr/>
                      <wps:spPr>
                        <a:xfrm>
                          <a:off x="0" y="0"/>
                          <a:ext cx="1800225" cy="285750"/>
                        </a:xfrm>
                        <a:prstGeom prst="wedgeRectCallout">
                          <a:avLst>
                            <a:gd name="adj1" fmla="val 31019"/>
                            <a:gd name="adj2" fmla="val 31250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凤岐坪乡污水处理工程位置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 o:spid="_x0000_s1026" o:spt="61" type="#_x0000_t61" style="position:absolute;left:0pt;margin-left:22.5pt;margin-top:40.5pt;height:22.5pt;width:141.75pt;z-index:251679744;v-text-anchor:middle;mso-width-relative:page;mso-height-relative:page;" fillcolor="#FFFFFF [3201]" filled="t" stroked="t" coordsize="21600,21600" o:gfxdata="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CY8xmN2gAAAAkBAAAPAAAA&#10;AAAAAAEAIAAAACIAAABkcnMvZG93bnJldi54bWxQSwECFAAUAAAACACHTuJAzFEpj74CAAB0BQAA&#10;DgAAAAAAAAABACAAAAApAQAAZHJzL2Uyb0RvYy54bWxQSwUGAAAAAAYABgBZAQAAWQYAAAAA&#10;" adj="17500,78300">
                <v:fill on="t" focussize="0,0"/>
                <v:stroke weight="1pt" color="#000000 [3200]" miterlimit="8" joinstyle="miter"/>
                <v:imagedata o:title=""/>
                <o:lock v:ext="edit" aspectratio="f"/>
                <v:textbox>
                  <w:txbxContent>
                    <w:p>
                      <w:pPr>
                        <w:jc w:val="center"/>
                      </w:pPr>
                      <w:r>
                        <w:rPr>
                          <w:rFonts w:hint="eastAsia"/>
                        </w:rPr>
                        <w:t>凤岐坪乡污水处理工程位置</w:t>
                      </w:r>
                    </w:p>
                  </w:txbxContent>
                </v:textbox>
              </v:shape>
            </w:pict>
          </mc:Fallback>
        </mc:AlternateContent>
      </w:r>
      <w:r>
        <w:rPr>
          <w14:ligatures w14:val="standardContextual"/>
        </w:rPr>
        <mc:AlternateContent>
          <mc:Choice Requires="wps">
            <w:drawing>
              <wp:anchor distT="0" distB="0" distL="114300" distR="114300" simplePos="0" relativeHeight="251678720" behindDoc="0" locked="0" layoutInCell="1" allowOverlap="1">
                <wp:simplePos x="0" y="0"/>
                <wp:positionH relativeFrom="column">
                  <wp:posOffset>1628775</wp:posOffset>
                </wp:positionH>
                <wp:positionV relativeFrom="paragraph">
                  <wp:posOffset>1352550</wp:posOffset>
                </wp:positionV>
                <wp:extent cx="333375" cy="333375"/>
                <wp:effectExtent l="19050" t="38100" r="47625" b="47625"/>
                <wp:wrapNone/>
                <wp:docPr id="1160345245" name="星形: 五角 2"/>
                <wp:cNvGraphicFramePr/>
                <a:graphic xmlns:a="http://schemas.openxmlformats.org/drawingml/2006/main">
                  <a:graphicData uri="http://schemas.microsoft.com/office/word/2010/wordprocessingShape">
                    <wps:wsp>
                      <wps:cNvSpPr/>
                      <wps:spPr>
                        <a:xfrm>
                          <a:off x="0" y="0"/>
                          <a:ext cx="333375" cy="333375"/>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2" o:spid="_x0000_s1026" style="position:absolute;left:0pt;margin-left:128.25pt;margin-top:106.5pt;height:26.25pt;width:26.25pt;z-index:251678720;v-text-anchor:middle;mso-width-relative:page;mso-height-relative:page;" fillcolor="#FF0000" filled="t" stroked="t" coordsize="333375,333375" o:gfxdata="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i+qrWtgAAAALAQAADwAAAAAAAAABACAAAAAi&#10;AAAAZHJzL2Rvd25yZXYueG1sUEsBAhQAFAAAAAgAh07iQCCImrF8AgAABQUAAA4AAAAAAAAAAQAg&#10;AAAAJwEAAGRycy9lMm9Eb2MueG1sUEsFBgAAAAAGAAYAWQEAABUGAAAAAA==&#10;" path="m0,127337l127338,127338,166687,0,206036,127338,333374,127337,230355,206036,269705,333374,166687,254674,63669,333374,103019,206036xe">
                <v:path o:connectlocs="166687,0;0,127337;63669,333374;269705,333374;333374,127337" o:connectangles="247,164,82,82,0"/>
                <v:fill on="t" focussize="0,0"/>
                <v:stroke weight="1pt" color="#FF0000 [3204]" miterlimit="8" joinstyle="miter"/>
                <v:imagedata o:title=""/>
                <o:lock v:ext="edit" aspectratio="f"/>
              </v:shape>
            </w:pict>
          </mc:Fallback>
        </mc:AlternateContent>
      </w:r>
      <w:r>
        <w:rPr>
          <w14:ligatures w14:val="standardContextual"/>
        </w:rPr>
        <w:drawing>
          <wp:inline distT="0" distB="0" distL="0" distR="0">
            <wp:extent cx="5274310" cy="3211830"/>
            <wp:effectExtent l="0" t="0" r="2540" b="7620"/>
            <wp:docPr id="2566362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36213" name="图片 1"/>
                    <pic:cNvPicPr>
                      <a:picLocks noChangeAspect="1"/>
                    </pic:cNvPicPr>
                  </pic:nvPicPr>
                  <pic:blipFill>
                    <a:blip r:embed="rId8"/>
                    <a:stretch>
                      <a:fillRect/>
                    </a:stretch>
                  </pic:blipFill>
                  <pic:spPr>
                    <a:xfrm>
                      <a:off x="0" y="0"/>
                      <a:ext cx="5274310" cy="3211830"/>
                    </a:xfrm>
                    <a:prstGeom prst="rect">
                      <a:avLst/>
                    </a:prstGeom>
                  </pic:spPr>
                </pic:pic>
              </a:graphicData>
            </a:graphic>
          </wp:inline>
        </w:drawing>
      </w:r>
    </w:p>
    <w:p>
      <w:pPr>
        <w:pStyle w:val="38"/>
      </w:pPr>
      <w:r>
        <w:rPr>
          <w:rFonts w:hint="eastAsia"/>
        </w:rPr>
        <w:t>图2</w:t>
      </w:r>
      <w:r>
        <w:t xml:space="preserve">.1-1  </w:t>
      </w:r>
      <w:r>
        <w:rPr>
          <w:rFonts w:hint="eastAsia"/>
        </w:rPr>
        <w:t>污水处理工程设置位置图</w:t>
      </w:r>
    </w:p>
    <w:p>
      <w:pPr>
        <w:pStyle w:val="27"/>
        <w:ind w:firstLine="0" w:firstLineChars="0"/>
      </w:pPr>
      <w:r>
        <w:rPr>
          <w14:ligatures w14:val="standardContextual"/>
        </w:rPr>
        <mc:AlternateContent>
          <mc:Choice Requires="wps">
            <w:drawing>
              <wp:anchor distT="0" distB="0" distL="114300" distR="114300" simplePos="0" relativeHeight="251684864" behindDoc="0" locked="0" layoutInCell="1" allowOverlap="1">
                <wp:simplePos x="0" y="0"/>
                <wp:positionH relativeFrom="column">
                  <wp:posOffset>2981325</wp:posOffset>
                </wp:positionH>
                <wp:positionV relativeFrom="paragraph">
                  <wp:posOffset>1609725</wp:posOffset>
                </wp:positionV>
                <wp:extent cx="1438275" cy="323850"/>
                <wp:effectExtent l="552450" t="0" r="28575" b="514350"/>
                <wp:wrapNone/>
                <wp:docPr id="1064547616" name="对话气泡: 矩形 5"/>
                <wp:cNvGraphicFramePr/>
                <a:graphic xmlns:a="http://schemas.openxmlformats.org/drawingml/2006/main">
                  <a:graphicData uri="http://schemas.microsoft.com/office/word/2010/wordprocessingShape">
                    <wps:wsp>
                      <wps:cNvSpPr/>
                      <wps:spPr>
                        <a:xfrm>
                          <a:off x="0" y="0"/>
                          <a:ext cx="1438275" cy="323850"/>
                        </a:xfrm>
                        <a:prstGeom prst="wedgeRectCallout">
                          <a:avLst>
                            <a:gd name="adj1" fmla="val -85734"/>
                            <a:gd name="adj2" fmla="val 188971"/>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通过灌溉渠排放</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5" o:spid="_x0000_s1026" o:spt="61" type="#_x0000_t61" style="position:absolute;left:0pt;margin-left:234.75pt;margin-top:126.75pt;height:25.5pt;width:113.25pt;z-index:251684864;v-text-anchor:middle;mso-width-relative:page;mso-height-relative:page;" fillcolor="#FFFFFF [3201]" filled="t" stroked="t" coordsize="21600,21600" o:gfxdata="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DR5QCz3QAAAAsB&#10;AAAPAAAAAAAAAAEAIAAAACIAAABkcnMvZG93bnJldi54bWxQSwECFAAUAAAACACHTuJAVY8y7MEC&#10;AAB1BQAADgAAAAAAAAABACAAAAAsAQAAZHJzL2Uyb0RvYy54bWxQSwUGAAAAAAYABgBZAQAAXwYA&#10;AAAA&#10;" adj="-7719,51618">
                <v:fill on="t" focussize="0,0"/>
                <v:stroke weight="1pt" color="#000000 [3200]" miterlimit="8" joinstyle="miter"/>
                <v:imagedata o:title=""/>
                <o:lock v:ext="edit" aspectratio="f"/>
                <v:textbox>
                  <w:txbxContent>
                    <w:p>
                      <w:pPr>
                        <w:jc w:val="center"/>
                      </w:pPr>
                      <w:r>
                        <w:rPr>
                          <w:rFonts w:hint="eastAsia"/>
                        </w:rPr>
                        <w:t>通过灌溉渠排放</w:t>
                      </w:r>
                    </w:p>
                  </w:txbxContent>
                </v:textbox>
              </v:shape>
            </w:pict>
          </mc:Fallback>
        </mc:AlternateContent>
      </w:r>
      <w:r>
        <w:rPr>
          <w14:ligatures w14:val="standardContextual"/>
        </w:rPr>
        <mc:AlternateContent>
          <mc:Choice Requires="wps">
            <w:drawing>
              <wp:anchor distT="0" distB="0" distL="114300" distR="114300" simplePos="0" relativeHeight="251683840" behindDoc="0" locked="0" layoutInCell="1" allowOverlap="1">
                <wp:simplePos x="0" y="0"/>
                <wp:positionH relativeFrom="column">
                  <wp:posOffset>3400425</wp:posOffset>
                </wp:positionH>
                <wp:positionV relativeFrom="paragraph">
                  <wp:posOffset>3333750</wp:posOffset>
                </wp:positionV>
                <wp:extent cx="1438275" cy="323850"/>
                <wp:effectExtent l="590550" t="0" r="28575" b="628650"/>
                <wp:wrapNone/>
                <wp:docPr id="889119809" name="对话气泡: 矩形 5"/>
                <wp:cNvGraphicFramePr/>
                <a:graphic xmlns:a="http://schemas.openxmlformats.org/drawingml/2006/main">
                  <a:graphicData uri="http://schemas.microsoft.com/office/word/2010/wordprocessingShape">
                    <wps:wsp>
                      <wps:cNvSpPr/>
                      <wps:spPr>
                        <a:xfrm>
                          <a:off x="0" y="0"/>
                          <a:ext cx="1438275" cy="323850"/>
                        </a:xfrm>
                        <a:prstGeom prst="wedgeRectCallout">
                          <a:avLst>
                            <a:gd name="adj1" fmla="val -88383"/>
                            <a:gd name="adj2" fmla="val 224265"/>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汇入祁水位置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5" o:spid="_x0000_s1026" o:spt="61" type="#_x0000_t61" style="position:absolute;left:0pt;margin-left:267.75pt;margin-top:262.5pt;height:25.5pt;width:113.25pt;z-index:251683840;v-text-anchor:middle;mso-width-relative:page;mso-height-relative:page;" fillcolor="#FFFFFF [3201]" filled="t" stroked="t" coordsize="21600,21600" o:gfxdata="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BYjBgr2gAAAAsBAAAP&#10;AAAAAAAAAAEAIAAAACIAAABkcnMvZG93bnJldi54bWxQSwECFAAUAAAACACHTuJAJSoSAMECAAB0&#10;BQAADgAAAAAAAAABACAAAAApAQAAZHJzL2Uyb0RvYy54bWxQSwUGAAAAAAYABgBZAQAAXAYAAAAA&#10;" adj="-8291,59241">
                <v:fill on="t" focussize="0,0"/>
                <v:stroke weight="1pt" color="#000000 [3200]" miterlimit="8" joinstyle="miter"/>
                <v:imagedata o:title=""/>
                <o:lock v:ext="edit" aspectratio="f"/>
                <v:textbox>
                  <w:txbxContent>
                    <w:p>
                      <w:pPr>
                        <w:jc w:val="center"/>
                      </w:pPr>
                      <w:r>
                        <w:rPr>
                          <w:rFonts w:hint="eastAsia"/>
                        </w:rPr>
                        <w:t>汇入祁水位置</w:t>
                      </w:r>
                    </w:p>
                  </w:txbxContent>
                </v:textbox>
              </v:shape>
            </w:pict>
          </mc:Fallback>
        </mc:AlternateContent>
      </w:r>
      <w:r>
        <w:rPr>
          <w14:ligatures w14:val="standardContextual"/>
        </w:rPr>
        <mc:AlternateContent>
          <mc:Choice Requires="wps">
            <w:drawing>
              <wp:anchor distT="0" distB="0" distL="114300" distR="114300" simplePos="0" relativeHeight="251682816" behindDoc="0" locked="0" layoutInCell="1" allowOverlap="1">
                <wp:simplePos x="0" y="0"/>
                <wp:positionH relativeFrom="column">
                  <wp:posOffset>361950</wp:posOffset>
                </wp:positionH>
                <wp:positionV relativeFrom="paragraph">
                  <wp:posOffset>257175</wp:posOffset>
                </wp:positionV>
                <wp:extent cx="1438275" cy="323850"/>
                <wp:effectExtent l="0" t="57150" r="542925" b="19050"/>
                <wp:wrapNone/>
                <wp:docPr id="1643671790" name="对话气泡: 矩形 5"/>
                <wp:cNvGraphicFramePr/>
                <a:graphic xmlns:a="http://schemas.openxmlformats.org/drawingml/2006/main">
                  <a:graphicData uri="http://schemas.microsoft.com/office/word/2010/wordprocessingShape">
                    <wps:wsp>
                      <wps:cNvSpPr/>
                      <wps:spPr>
                        <a:xfrm>
                          <a:off x="0" y="0"/>
                          <a:ext cx="1438275" cy="323850"/>
                        </a:xfrm>
                        <a:prstGeom prst="wedgeRectCallout">
                          <a:avLst>
                            <a:gd name="adj1" fmla="val 82478"/>
                            <a:gd name="adj2" fmla="val -58088"/>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污水处理工程位置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5" o:spid="_x0000_s1026" o:spt="61" type="#_x0000_t61" style="position:absolute;left:0pt;margin-left:28.5pt;margin-top:20.25pt;height:25.5pt;width:113.25pt;z-index:251682816;v-text-anchor:middle;mso-width-relative:page;mso-height-relative:page;" fillcolor="#FFFFFF [3201]" filled="t" stroked="t" coordsize="21600,21600" o:gfxdata="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G8ZZ3LWAAAACAEAAA8AAAAA&#10;AAAAAQAgAAAAIgAAAGRycy9kb3ducmV2LnhtbFBLAQIUABQAAAAIAIdO4kD5/fZDwQIAAHQFAAAO&#10;AAAAAAAAAAEAIAAAACUBAABkcnMvZTJvRG9jLnhtbFBLBQYAAAAABgAGAFkBAABYBgAAAAA=&#10;" adj="28615,-1747">
                <v:fill on="t" focussize="0,0"/>
                <v:stroke weight="1pt" color="#000000 [3200]" miterlimit="8" joinstyle="miter"/>
                <v:imagedata o:title=""/>
                <o:lock v:ext="edit" aspectratio="f"/>
                <v:textbox>
                  <w:txbxContent>
                    <w:p>
                      <w:pPr>
                        <w:jc w:val="center"/>
                      </w:pPr>
                      <w:r>
                        <w:rPr>
                          <w:rFonts w:hint="eastAsia"/>
                        </w:rPr>
                        <w:t>污水处理工程位置</w:t>
                      </w:r>
                    </w:p>
                  </w:txbxContent>
                </v:textbox>
              </v:shape>
            </w:pict>
          </mc:Fallback>
        </mc:AlternateContent>
      </w:r>
      <w:r>
        <w:rPr>
          <w14:ligatures w14:val="standardContextual"/>
        </w:rPr>
        <w:drawing>
          <wp:inline distT="0" distB="0" distL="0" distR="0">
            <wp:extent cx="5274310" cy="6704330"/>
            <wp:effectExtent l="0" t="0" r="2540" b="1270"/>
            <wp:docPr id="20352055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05561" name="图片 1"/>
                    <pic:cNvPicPr>
                      <a:picLocks noChangeAspect="1"/>
                    </pic:cNvPicPr>
                  </pic:nvPicPr>
                  <pic:blipFill>
                    <a:blip r:embed="rId9"/>
                    <a:stretch>
                      <a:fillRect/>
                    </a:stretch>
                  </pic:blipFill>
                  <pic:spPr>
                    <a:xfrm>
                      <a:off x="0" y="0"/>
                      <a:ext cx="5274310" cy="6704330"/>
                    </a:xfrm>
                    <a:prstGeom prst="rect">
                      <a:avLst/>
                    </a:prstGeom>
                  </pic:spPr>
                </pic:pic>
              </a:graphicData>
            </a:graphic>
          </wp:inline>
        </w:drawing>
      </w:r>
    </w:p>
    <w:p>
      <w:pPr>
        <w:pStyle w:val="38"/>
      </w:pPr>
      <w:r>
        <w:rPr>
          <w:rFonts w:hint="eastAsia"/>
        </w:rPr>
        <w:t>图2.1-2  入河排污口位置</w:t>
      </w:r>
    </w:p>
    <w:p>
      <w:pPr>
        <w:pStyle w:val="27"/>
        <w:ind w:firstLine="480"/>
      </w:pPr>
      <w:r>
        <w:rPr>
          <w:rFonts w:hint="eastAsia"/>
        </w:rPr>
        <w:t>纳污管网图见附件，纳污范围图、污水工程管线规划图以及厂区平面布置图见下图。</w:t>
      </w:r>
    </w:p>
    <w:p>
      <w:pPr>
        <w:pStyle w:val="27"/>
        <w:ind w:firstLine="0" w:firstLineChars="0"/>
      </w:pPr>
      <w:r>
        <w:drawing>
          <wp:inline distT="0" distB="0" distL="0" distR="0">
            <wp:extent cx="5284470" cy="3733800"/>
            <wp:effectExtent l="0" t="0" r="0" b="0"/>
            <wp:docPr id="96774418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44181" name="图片 6"/>
                    <pic:cNvPicPr>
                      <a:picLocks noChangeAspect="1" noChangeArrowheads="1"/>
                    </pic:cNvPicPr>
                  </pic:nvPicPr>
                  <pic:blipFill>
                    <a:blip r:embed="rId10" cstate="print">
                      <a:extLst>
                        <a:ext uri="{28A0092B-C50C-407E-A947-70E740481C1C}">
                          <a14:useLocalDpi xmlns:a14="http://schemas.microsoft.com/office/drawing/2010/main" val="0"/>
                        </a:ext>
                      </a:extLst>
                    </a:blip>
                    <a:srcRect l="9752" t="5874" r="7175" b="11134"/>
                    <a:stretch>
                      <a:fillRect/>
                    </a:stretch>
                  </pic:blipFill>
                  <pic:spPr>
                    <a:xfrm>
                      <a:off x="0" y="0"/>
                      <a:ext cx="5293585" cy="3740033"/>
                    </a:xfrm>
                    <a:prstGeom prst="rect">
                      <a:avLst/>
                    </a:prstGeom>
                    <a:noFill/>
                    <a:ln>
                      <a:noFill/>
                    </a:ln>
                  </pic:spPr>
                </pic:pic>
              </a:graphicData>
            </a:graphic>
          </wp:inline>
        </w:drawing>
      </w:r>
    </w:p>
    <w:p>
      <w:pPr>
        <w:pStyle w:val="38"/>
      </w:pPr>
      <w:r>
        <w:rPr>
          <w:rFonts w:hint="eastAsia"/>
        </w:rPr>
        <w:t>图2</w:t>
      </w:r>
      <w:r>
        <w:t>.1-</w:t>
      </w:r>
      <w:r>
        <w:rPr>
          <w:rFonts w:hint="eastAsia"/>
        </w:rPr>
        <w:t>3</w:t>
      </w:r>
      <w:r>
        <w:t xml:space="preserve">  </w:t>
      </w:r>
      <w:r>
        <w:rPr>
          <w:rFonts w:hint="eastAsia"/>
        </w:rPr>
        <w:t>污水管网规划图</w:t>
      </w:r>
    </w:p>
    <w:p>
      <w:pPr>
        <w:pStyle w:val="27"/>
        <w:ind w:firstLine="0" w:firstLineChars="0"/>
      </w:pPr>
      <w:r>
        <w:drawing>
          <wp:inline distT="0" distB="0" distL="0" distR="0">
            <wp:extent cx="5314950" cy="3714750"/>
            <wp:effectExtent l="0" t="0" r="0" b="0"/>
            <wp:docPr id="157161655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616550" name="图片 7"/>
                    <pic:cNvPicPr>
                      <a:picLocks noChangeAspect="1" noChangeArrowheads="1"/>
                    </pic:cNvPicPr>
                  </pic:nvPicPr>
                  <pic:blipFill>
                    <a:blip r:embed="rId11" cstate="print">
                      <a:extLst>
                        <a:ext uri="{28A0092B-C50C-407E-A947-70E740481C1C}">
                          <a14:useLocalDpi xmlns:a14="http://schemas.microsoft.com/office/drawing/2010/main" val="0"/>
                        </a:ext>
                      </a:extLst>
                    </a:blip>
                    <a:srcRect l="9752" t="6385" r="6273" b="10622"/>
                    <a:stretch>
                      <a:fillRect/>
                    </a:stretch>
                  </pic:blipFill>
                  <pic:spPr>
                    <a:xfrm>
                      <a:off x="0" y="0"/>
                      <a:ext cx="5320428" cy="3718579"/>
                    </a:xfrm>
                    <a:prstGeom prst="rect">
                      <a:avLst/>
                    </a:prstGeom>
                    <a:noFill/>
                    <a:ln>
                      <a:noFill/>
                    </a:ln>
                  </pic:spPr>
                </pic:pic>
              </a:graphicData>
            </a:graphic>
          </wp:inline>
        </w:drawing>
      </w:r>
    </w:p>
    <w:p>
      <w:pPr>
        <w:pStyle w:val="38"/>
      </w:pPr>
      <w:r>
        <w:rPr>
          <w:rFonts w:hint="eastAsia"/>
        </w:rPr>
        <w:t>图2</w:t>
      </w:r>
      <w:r>
        <w:t>.1-</w:t>
      </w:r>
      <w:r>
        <w:rPr>
          <w:rFonts w:hint="eastAsia"/>
        </w:rPr>
        <w:t>4</w:t>
      </w:r>
      <w:r>
        <w:t xml:space="preserve">  </w:t>
      </w:r>
      <w:r>
        <w:rPr>
          <w:rFonts w:hint="eastAsia"/>
        </w:rPr>
        <w:t>污水处理分区图</w:t>
      </w:r>
    </w:p>
    <w:p>
      <w:pPr>
        <w:pStyle w:val="27"/>
        <w:ind w:firstLine="0" w:firstLineChars="0"/>
      </w:pPr>
      <w:r>
        <w:drawing>
          <wp:inline distT="0" distB="0" distL="0" distR="0">
            <wp:extent cx="5248275" cy="3457575"/>
            <wp:effectExtent l="19050" t="19050" r="28575" b="9525"/>
            <wp:docPr id="11665653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65328" name="图片 8"/>
                    <pic:cNvPicPr>
                      <a:picLocks noChangeAspect="1" noChangeArrowheads="1"/>
                    </pic:cNvPicPr>
                  </pic:nvPicPr>
                  <pic:blipFill>
                    <a:blip r:embed="rId12" cstate="print">
                      <a:extLst>
                        <a:ext uri="{28A0092B-C50C-407E-A947-70E740481C1C}">
                          <a14:useLocalDpi xmlns:a14="http://schemas.microsoft.com/office/drawing/2010/main" val="0"/>
                        </a:ext>
                      </a:extLst>
                    </a:blip>
                    <a:srcRect l="9933" t="6384" r="5912" b="15219"/>
                    <a:stretch>
                      <a:fillRect/>
                    </a:stretch>
                  </pic:blipFill>
                  <pic:spPr>
                    <a:xfrm>
                      <a:off x="0" y="0"/>
                      <a:ext cx="5254516" cy="3461666"/>
                    </a:xfrm>
                    <a:prstGeom prst="rect">
                      <a:avLst/>
                    </a:prstGeom>
                    <a:noFill/>
                    <a:ln>
                      <a:solidFill>
                        <a:schemeClr val="tx1"/>
                      </a:solidFill>
                    </a:ln>
                  </pic:spPr>
                </pic:pic>
              </a:graphicData>
            </a:graphic>
          </wp:inline>
        </w:drawing>
      </w:r>
    </w:p>
    <w:p>
      <w:pPr>
        <w:pStyle w:val="38"/>
      </w:pPr>
      <w:r>
        <w:rPr>
          <w:rFonts w:hint="eastAsia"/>
        </w:rPr>
        <w:t>图2</w:t>
      </w:r>
      <w:r>
        <w:t>.1-</w:t>
      </w:r>
      <w:r>
        <w:rPr>
          <w:rFonts w:hint="eastAsia"/>
        </w:rPr>
        <w:t>5</w:t>
      </w:r>
      <w:r>
        <w:t xml:space="preserve">  </w:t>
      </w:r>
      <w:r>
        <w:rPr>
          <w:rFonts w:hint="eastAsia"/>
        </w:rPr>
        <w:t>污水处理站总平面布置图</w:t>
      </w:r>
    </w:p>
    <w:p>
      <w:pPr>
        <w:pStyle w:val="35"/>
      </w:pPr>
      <w:bookmarkStart w:id="19" w:name="_Toc161250445"/>
      <w:r>
        <w:rPr>
          <w:rFonts w:hint="eastAsia"/>
        </w:rPr>
        <w:t>2</w:t>
      </w:r>
      <w:r>
        <w:t>.1.2</w:t>
      </w:r>
      <w:r>
        <w:rPr>
          <w:rFonts w:hint="eastAsia"/>
        </w:rPr>
        <w:t>主要建设内容及规模</w:t>
      </w:r>
      <w:bookmarkEnd w:id="19"/>
    </w:p>
    <w:p>
      <w:pPr>
        <w:pStyle w:val="27"/>
        <w:ind w:firstLine="480"/>
      </w:pPr>
      <w:r>
        <w:rPr>
          <w:rFonts w:hint="eastAsia"/>
        </w:rPr>
        <w:t>1、项目组成</w:t>
      </w:r>
    </w:p>
    <w:p>
      <w:pPr>
        <w:pStyle w:val="27"/>
        <w:ind w:firstLine="480"/>
      </w:pPr>
      <w:r>
        <w:rPr>
          <w:rFonts w:hint="eastAsia"/>
        </w:rPr>
        <w:t>污水处理站主要污水处理单元包括组合池、智能一体化设备组、储泥池及人工，同时配套建设操作间等设施。具体如下：</w:t>
      </w:r>
    </w:p>
    <w:p>
      <w:pPr>
        <w:pStyle w:val="38"/>
      </w:pPr>
      <w:r>
        <w:rPr>
          <w:rFonts w:hint="eastAsia"/>
        </w:rPr>
        <w:t>表2</w:t>
      </w:r>
      <w:r>
        <w:t xml:space="preserve">.1-1  </w:t>
      </w:r>
      <w:r>
        <w:rPr>
          <w:rFonts w:hint="eastAsia"/>
        </w:rPr>
        <w:t>项目工程组成表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2"/>
        <w:gridCol w:w="946"/>
        <w:gridCol w:w="6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973" w:type="pct"/>
            <w:gridSpan w:val="2"/>
            <w:vAlign w:val="center"/>
          </w:tcPr>
          <w:p>
            <w:pPr>
              <w:jc w:val="center"/>
              <w:rPr>
                <w:sz w:val="21"/>
                <w:szCs w:val="21"/>
              </w:rPr>
            </w:pPr>
            <w:r>
              <w:rPr>
                <w:sz w:val="21"/>
                <w:szCs w:val="21"/>
              </w:rPr>
              <w:t>工程组成</w:t>
            </w:r>
          </w:p>
        </w:tc>
        <w:tc>
          <w:tcPr>
            <w:tcW w:w="4027" w:type="pct"/>
            <w:vAlign w:val="center"/>
          </w:tcPr>
          <w:p>
            <w:pPr>
              <w:jc w:val="center"/>
              <w:rPr>
                <w:sz w:val="21"/>
                <w:szCs w:val="21"/>
              </w:rPr>
            </w:pPr>
            <w:r>
              <w:rPr>
                <w:sz w:val="21"/>
                <w:szCs w:val="21"/>
              </w:rPr>
              <w:t>工程内容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restart"/>
            <w:vAlign w:val="center"/>
          </w:tcPr>
          <w:p>
            <w:pPr>
              <w:jc w:val="center"/>
              <w:rPr>
                <w:sz w:val="21"/>
                <w:szCs w:val="21"/>
              </w:rPr>
            </w:pPr>
            <w:r>
              <w:rPr>
                <w:sz w:val="21"/>
                <w:szCs w:val="21"/>
              </w:rPr>
              <w:t>主体工程</w:t>
            </w:r>
          </w:p>
        </w:tc>
        <w:tc>
          <w:tcPr>
            <w:tcW w:w="555" w:type="pct"/>
            <w:vAlign w:val="center"/>
          </w:tcPr>
          <w:p>
            <w:pPr>
              <w:jc w:val="center"/>
              <w:rPr>
                <w:sz w:val="21"/>
                <w:szCs w:val="21"/>
              </w:rPr>
            </w:pPr>
            <w:r>
              <w:rPr>
                <w:rFonts w:hint="eastAsia"/>
                <w:sz w:val="21"/>
                <w:szCs w:val="21"/>
              </w:rPr>
              <w:t>组合池</w:t>
            </w:r>
          </w:p>
        </w:tc>
        <w:tc>
          <w:tcPr>
            <w:tcW w:w="4027" w:type="pct"/>
            <w:vAlign w:val="center"/>
          </w:tcPr>
          <w:p>
            <w:pPr>
              <w:jc w:val="center"/>
              <w:rPr>
                <w:sz w:val="21"/>
                <w:szCs w:val="21"/>
              </w:rPr>
            </w:pPr>
            <w:r>
              <w:rPr>
                <w:rFonts w:hint="eastAsia"/>
                <w:sz w:val="21"/>
                <w:szCs w:val="21"/>
              </w:rPr>
              <w:t>1座，封闭式</w:t>
            </w:r>
            <w:r>
              <w:rPr>
                <w:rFonts w:hint="eastAsia" w:hAnsi="宋体"/>
                <w:sz w:val="21"/>
                <w:szCs w:val="21"/>
              </w:rPr>
              <w:t>钢筋砼结构，建设规模为600m</w:t>
            </w:r>
            <w:r>
              <w:rPr>
                <w:rFonts w:hint="eastAsia" w:hAnsi="宋体"/>
                <w:sz w:val="21"/>
                <w:szCs w:val="21"/>
                <w:vertAlign w:val="superscript"/>
              </w:rPr>
              <w:t>3</w:t>
            </w:r>
            <w:r>
              <w:rPr>
                <w:rFonts w:hint="eastAsia" w:hAnsi="宋体"/>
                <w:sz w:val="21"/>
                <w:szCs w:val="21"/>
              </w:rPr>
              <w:t>/d，组合池内配套建设格栅提升井、调节池和储泥池。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Align w:val="center"/>
          </w:tcPr>
          <w:p>
            <w:pPr>
              <w:jc w:val="center"/>
              <w:rPr>
                <w:rFonts w:hAnsi="宋体"/>
                <w:sz w:val="21"/>
                <w:szCs w:val="21"/>
              </w:rPr>
            </w:pPr>
            <w:r>
              <w:rPr>
                <w:rFonts w:hint="eastAsia" w:hAnsi="宋体"/>
                <w:sz w:val="21"/>
                <w:szCs w:val="21"/>
              </w:rPr>
              <w:t>智能一体化设备组</w:t>
            </w:r>
          </w:p>
        </w:tc>
        <w:tc>
          <w:tcPr>
            <w:tcW w:w="4027" w:type="pct"/>
            <w:vAlign w:val="center"/>
          </w:tcPr>
          <w:p>
            <w:pPr>
              <w:jc w:val="center"/>
              <w:rPr>
                <w:rFonts w:hAnsi="宋体"/>
                <w:sz w:val="21"/>
                <w:szCs w:val="21"/>
              </w:rPr>
            </w:pPr>
            <w:r>
              <w:rPr>
                <w:rFonts w:hint="eastAsia" w:hAnsi="宋体"/>
                <w:sz w:val="21"/>
                <w:szCs w:val="21"/>
              </w:rPr>
              <w:t>1组，封闭式碳钢结构，1套600m</w:t>
            </w:r>
            <w:r>
              <w:rPr>
                <w:rFonts w:hint="eastAsia" w:hAnsi="宋体"/>
                <w:sz w:val="21"/>
                <w:szCs w:val="21"/>
                <w:vertAlign w:val="superscript"/>
              </w:rPr>
              <w:t>3</w:t>
            </w:r>
            <w:r>
              <w:rPr>
                <w:rFonts w:hint="eastAsia" w:hAnsi="宋体"/>
                <w:sz w:val="21"/>
                <w:szCs w:val="21"/>
              </w:rPr>
              <w:t>/d智能一体化设备组，包括厌氧池、缺氧池、生物接触氧化池、沉淀池和清水池等单元。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Align w:val="center"/>
          </w:tcPr>
          <w:p>
            <w:pPr>
              <w:jc w:val="center"/>
              <w:rPr>
                <w:sz w:val="21"/>
                <w:szCs w:val="21"/>
              </w:rPr>
            </w:pPr>
            <w:r>
              <w:rPr>
                <w:rFonts w:hint="eastAsia"/>
                <w:sz w:val="21"/>
                <w:szCs w:val="21"/>
              </w:rPr>
              <w:t>辅助工程</w:t>
            </w:r>
          </w:p>
        </w:tc>
        <w:tc>
          <w:tcPr>
            <w:tcW w:w="555" w:type="pct"/>
            <w:vAlign w:val="center"/>
          </w:tcPr>
          <w:p>
            <w:pPr>
              <w:jc w:val="center"/>
              <w:rPr>
                <w:sz w:val="21"/>
                <w:szCs w:val="21"/>
              </w:rPr>
            </w:pPr>
            <w:r>
              <w:rPr>
                <w:rFonts w:hint="eastAsia"/>
                <w:sz w:val="21"/>
                <w:szCs w:val="21"/>
              </w:rPr>
              <w:t>配套用房</w:t>
            </w:r>
          </w:p>
        </w:tc>
        <w:tc>
          <w:tcPr>
            <w:tcW w:w="4027" w:type="pct"/>
            <w:vAlign w:val="center"/>
          </w:tcPr>
          <w:p>
            <w:pPr>
              <w:jc w:val="center"/>
              <w:rPr>
                <w:sz w:val="21"/>
                <w:szCs w:val="21"/>
              </w:rPr>
            </w:pPr>
            <w:r>
              <w:rPr>
                <w:rFonts w:hint="eastAsia" w:hAnsi="宋体"/>
                <w:sz w:val="21"/>
                <w:szCs w:val="21"/>
              </w:rPr>
              <w:t>1座，1层，砖混结构，占地面积8m</w:t>
            </w:r>
            <w:r>
              <w:rPr>
                <w:rFonts w:hint="eastAsia" w:hAnsi="宋体"/>
                <w:sz w:val="21"/>
                <w:szCs w:val="21"/>
                <w:vertAlign w:val="superscript"/>
              </w:rPr>
              <w:t>2</w:t>
            </w:r>
            <w:r>
              <w:rPr>
                <w:rFonts w:hint="eastAsia" w:hAnsi="宋体"/>
                <w:sz w:val="21"/>
                <w:szCs w:val="21"/>
              </w:rPr>
              <w:t>，配备供电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restart"/>
            <w:vAlign w:val="center"/>
          </w:tcPr>
          <w:p>
            <w:pPr>
              <w:jc w:val="center"/>
              <w:rPr>
                <w:sz w:val="21"/>
                <w:szCs w:val="21"/>
              </w:rPr>
            </w:pPr>
            <w:r>
              <w:rPr>
                <w:sz w:val="21"/>
                <w:szCs w:val="21"/>
              </w:rPr>
              <w:t>公用工程</w:t>
            </w:r>
          </w:p>
        </w:tc>
        <w:tc>
          <w:tcPr>
            <w:tcW w:w="555" w:type="pct"/>
            <w:vAlign w:val="center"/>
          </w:tcPr>
          <w:p>
            <w:pPr>
              <w:jc w:val="center"/>
              <w:rPr>
                <w:sz w:val="21"/>
                <w:szCs w:val="21"/>
              </w:rPr>
            </w:pPr>
            <w:r>
              <w:rPr>
                <w:sz w:val="21"/>
                <w:szCs w:val="21"/>
              </w:rPr>
              <w:t>供水工程</w:t>
            </w:r>
          </w:p>
        </w:tc>
        <w:tc>
          <w:tcPr>
            <w:tcW w:w="4027" w:type="pct"/>
            <w:vAlign w:val="center"/>
          </w:tcPr>
          <w:p>
            <w:pPr>
              <w:jc w:val="center"/>
              <w:rPr>
                <w:sz w:val="21"/>
                <w:szCs w:val="21"/>
              </w:rPr>
            </w:pPr>
            <w:r>
              <w:rPr>
                <w:rFonts w:hint="eastAsia"/>
                <w:sz w:val="21"/>
                <w:szCs w:val="21"/>
              </w:rPr>
              <w:t>由凤歧坪乡集中供水管网供水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Align w:val="center"/>
          </w:tcPr>
          <w:p>
            <w:pPr>
              <w:jc w:val="center"/>
              <w:rPr>
                <w:sz w:val="21"/>
                <w:szCs w:val="21"/>
              </w:rPr>
            </w:pPr>
            <w:r>
              <w:rPr>
                <w:sz w:val="21"/>
                <w:szCs w:val="21"/>
              </w:rPr>
              <w:t>排水工程</w:t>
            </w:r>
          </w:p>
        </w:tc>
        <w:tc>
          <w:tcPr>
            <w:tcW w:w="4027" w:type="pct"/>
            <w:vAlign w:val="center"/>
          </w:tcPr>
          <w:p>
            <w:pPr>
              <w:jc w:val="center"/>
              <w:rPr>
                <w:sz w:val="21"/>
                <w:szCs w:val="21"/>
              </w:rPr>
            </w:pPr>
            <w:r>
              <w:rPr>
                <w:rFonts w:hint="eastAsia"/>
                <w:sz w:val="21"/>
                <w:szCs w:val="21"/>
              </w:rPr>
              <w:t>拟建项目自身无工作人员常驻，工作人员由乡镇政府配套两人定期巡查，不产生生活污水。本项目污水处理站处理达标后的</w:t>
            </w:r>
            <w:r>
              <w:rPr>
                <w:sz w:val="21"/>
                <w:szCs w:val="21"/>
              </w:rPr>
              <w:t>出水排至</w:t>
            </w:r>
            <w:r>
              <w:rPr>
                <w:rFonts w:hint="eastAsia"/>
                <w:sz w:val="21"/>
                <w:szCs w:val="21"/>
              </w:rPr>
              <w:t>凤歧坪农灌渠。站区雨水经收集后排入凤歧坪农灌渠。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Align w:val="center"/>
          </w:tcPr>
          <w:p>
            <w:pPr>
              <w:jc w:val="center"/>
              <w:rPr>
                <w:sz w:val="21"/>
                <w:szCs w:val="21"/>
              </w:rPr>
            </w:pPr>
            <w:r>
              <w:rPr>
                <w:sz w:val="21"/>
                <w:szCs w:val="21"/>
              </w:rPr>
              <w:t>供电工程</w:t>
            </w:r>
          </w:p>
        </w:tc>
        <w:tc>
          <w:tcPr>
            <w:tcW w:w="4027" w:type="pct"/>
            <w:vAlign w:val="center"/>
          </w:tcPr>
          <w:p>
            <w:pPr>
              <w:jc w:val="center"/>
              <w:rPr>
                <w:sz w:val="21"/>
                <w:szCs w:val="21"/>
                <w:highlight w:val="yellow"/>
              </w:rPr>
            </w:pPr>
            <w:r>
              <w:rPr>
                <w:rFonts w:hAnsi="宋体"/>
                <w:sz w:val="21"/>
                <w:szCs w:val="21"/>
              </w:rPr>
              <w:t>依托</w:t>
            </w:r>
            <w:r>
              <w:rPr>
                <w:rFonts w:hint="eastAsia" w:hAnsi="宋体"/>
                <w:sz w:val="21"/>
                <w:szCs w:val="21"/>
              </w:rPr>
              <w:t>凤歧坪乡供电管网，</w:t>
            </w:r>
            <w:r>
              <w:rPr>
                <w:rFonts w:hAnsi="宋体"/>
                <w:sz w:val="21"/>
                <w:szCs w:val="21"/>
              </w:rPr>
              <w:t>新建一座</w:t>
            </w:r>
            <w:r>
              <w:rPr>
                <w:rFonts w:hint="eastAsia" w:hAnsi="宋体"/>
                <w:sz w:val="21"/>
                <w:szCs w:val="21"/>
              </w:rPr>
              <w:t>配套用房</w:t>
            </w:r>
            <w:r>
              <w:rPr>
                <w:rFonts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restart"/>
            <w:vAlign w:val="center"/>
          </w:tcPr>
          <w:p>
            <w:pPr>
              <w:jc w:val="center"/>
              <w:rPr>
                <w:sz w:val="21"/>
                <w:szCs w:val="21"/>
              </w:rPr>
            </w:pPr>
            <w:r>
              <w:rPr>
                <w:sz w:val="21"/>
                <w:szCs w:val="21"/>
              </w:rPr>
              <w:t>环保工程</w:t>
            </w:r>
          </w:p>
        </w:tc>
        <w:tc>
          <w:tcPr>
            <w:tcW w:w="555" w:type="pct"/>
            <w:vAlign w:val="center"/>
          </w:tcPr>
          <w:p>
            <w:pPr>
              <w:jc w:val="center"/>
              <w:rPr>
                <w:sz w:val="21"/>
                <w:szCs w:val="21"/>
              </w:rPr>
            </w:pPr>
            <w:r>
              <w:rPr>
                <w:sz w:val="21"/>
                <w:szCs w:val="21"/>
              </w:rPr>
              <w:t>废气处理措施</w:t>
            </w:r>
          </w:p>
        </w:tc>
        <w:tc>
          <w:tcPr>
            <w:tcW w:w="4027" w:type="pct"/>
            <w:vAlign w:val="center"/>
          </w:tcPr>
          <w:p>
            <w:pPr>
              <w:jc w:val="center"/>
              <w:rPr>
                <w:rFonts w:ascii="宋体" w:hAnsi="宋体"/>
                <w:sz w:val="21"/>
                <w:szCs w:val="21"/>
              </w:rPr>
            </w:pPr>
            <w:r>
              <w:rPr>
                <w:rFonts w:hAnsi="宋体"/>
                <w:sz w:val="21"/>
                <w:szCs w:val="21"/>
              </w:rPr>
              <w:t>污水处理站产生的恶臭气体主要成分为</w:t>
            </w:r>
            <w:r>
              <w:rPr>
                <w:rFonts w:hint="eastAsia" w:hAnsi="宋体"/>
                <w:sz w:val="21"/>
                <w:szCs w:val="21"/>
              </w:rPr>
              <w:t>NH</w:t>
            </w:r>
            <w:r>
              <w:rPr>
                <w:rFonts w:hint="eastAsia" w:hAnsi="宋体"/>
                <w:sz w:val="21"/>
                <w:szCs w:val="21"/>
                <w:vertAlign w:val="subscript"/>
              </w:rPr>
              <w:t>3</w:t>
            </w:r>
            <w:r>
              <w:rPr>
                <w:rFonts w:hint="eastAsia" w:hAnsi="宋体"/>
                <w:sz w:val="21"/>
                <w:szCs w:val="21"/>
              </w:rPr>
              <w:t>、H</w:t>
            </w:r>
            <w:r>
              <w:rPr>
                <w:rFonts w:hint="eastAsia" w:hAnsi="宋体"/>
                <w:sz w:val="21"/>
                <w:szCs w:val="21"/>
                <w:vertAlign w:val="subscript"/>
              </w:rPr>
              <w:t>2</w:t>
            </w:r>
            <w:r>
              <w:rPr>
                <w:rFonts w:hint="eastAsia" w:hAnsi="宋体"/>
                <w:sz w:val="21"/>
                <w:szCs w:val="21"/>
              </w:rPr>
              <w:t>S，本项目拟在组合池和一体化设备进行密闭，</w:t>
            </w:r>
            <w:r>
              <w:rPr>
                <w:rFonts w:hint="eastAsia"/>
                <w:szCs w:val="24"/>
              </w:rPr>
              <w:t>采用密封抽风的方式收集臭气，收集后的恶臭气送至一体化污水处理设备自带离子除臭系统进行处理</w:t>
            </w:r>
            <w:r>
              <w:rPr>
                <w:rFonts w:hint="eastAsia" w:hAnsi="宋体"/>
                <w:sz w:val="21"/>
                <w:szCs w:val="21"/>
              </w:rPr>
              <w:t>措施，处理后通过一体化设备排气口自然排放；另外在站址区域种植花草树木，</w:t>
            </w:r>
            <w:r>
              <w:rPr>
                <w:rFonts w:hAnsi="宋体"/>
                <w:sz w:val="21"/>
                <w:szCs w:val="21"/>
              </w:rPr>
              <w:t>以降低恶臭污染物对周围环境的影响程度</w:t>
            </w:r>
            <w:r>
              <w:rPr>
                <w:rFonts w:hint="eastAsia" w:hAnsi="宋体"/>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Align w:val="center"/>
          </w:tcPr>
          <w:p>
            <w:pPr>
              <w:jc w:val="center"/>
              <w:rPr>
                <w:sz w:val="21"/>
                <w:szCs w:val="21"/>
              </w:rPr>
            </w:pPr>
            <w:r>
              <w:rPr>
                <w:rFonts w:hint="eastAsia"/>
                <w:sz w:val="21"/>
                <w:szCs w:val="21"/>
              </w:rPr>
              <w:t>废水</w:t>
            </w:r>
            <w:r>
              <w:rPr>
                <w:sz w:val="21"/>
                <w:szCs w:val="21"/>
              </w:rPr>
              <w:t>处理措施</w:t>
            </w:r>
          </w:p>
        </w:tc>
        <w:tc>
          <w:tcPr>
            <w:tcW w:w="4027" w:type="pct"/>
            <w:vAlign w:val="center"/>
          </w:tcPr>
          <w:p>
            <w:pPr>
              <w:jc w:val="center"/>
              <w:rPr>
                <w:sz w:val="21"/>
                <w:szCs w:val="21"/>
              </w:rPr>
            </w:pPr>
            <w:r>
              <w:rPr>
                <w:rFonts w:hAnsi="宋体"/>
                <w:sz w:val="21"/>
                <w:szCs w:val="21"/>
              </w:rPr>
              <w:t>项目自身</w:t>
            </w:r>
            <w:r>
              <w:rPr>
                <w:rFonts w:hint="eastAsia" w:hAnsi="宋体"/>
                <w:sz w:val="21"/>
                <w:szCs w:val="21"/>
              </w:rPr>
              <w:t>不产生生产和生活污水；收集的生活污水经污水处理站处理达标后排至凤歧坪农灌渠。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10" w:hRule="atLeast"/>
          <w:jc w:val="center"/>
        </w:trPr>
        <w:tc>
          <w:tcPr>
            <w:tcW w:w="418" w:type="pct"/>
            <w:vMerge w:val="continue"/>
            <w:vAlign w:val="center"/>
          </w:tcPr>
          <w:p>
            <w:pPr>
              <w:jc w:val="center"/>
              <w:rPr>
                <w:sz w:val="21"/>
                <w:szCs w:val="21"/>
              </w:rPr>
            </w:pPr>
          </w:p>
        </w:tc>
        <w:tc>
          <w:tcPr>
            <w:tcW w:w="555" w:type="pct"/>
            <w:vAlign w:val="center"/>
          </w:tcPr>
          <w:p>
            <w:pPr>
              <w:jc w:val="center"/>
              <w:rPr>
                <w:sz w:val="21"/>
                <w:szCs w:val="21"/>
              </w:rPr>
            </w:pPr>
            <w:r>
              <w:rPr>
                <w:rFonts w:hint="eastAsia"/>
                <w:sz w:val="21"/>
                <w:szCs w:val="21"/>
              </w:rPr>
              <w:t>噪声</w:t>
            </w:r>
            <w:r>
              <w:rPr>
                <w:sz w:val="21"/>
                <w:szCs w:val="21"/>
              </w:rPr>
              <w:t>控制措施</w:t>
            </w:r>
          </w:p>
        </w:tc>
        <w:tc>
          <w:tcPr>
            <w:tcW w:w="4027" w:type="pct"/>
            <w:vAlign w:val="center"/>
          </w:tcPr>
          <w:p>
            <w:pPr>
              <w:jc w:val="center"/>
              <w:rPr>
                <w:sz w:val="21"/>
                <w:szCs w:val="21"/>
              </w:rPr>
            </w:pPr>
            <w:r>
              <w:rPr>
                <w:rFonts w:hint="eastAsia" w:hAnsi="宋体"/>
                <w:sz w:val="21"/>
                <w:szCs w:val="21"/>
              </w:rPr>
              <w:t>合理进行总平面布置，</w:t>
            </w:r>
            <w:r>
              <w:rPr>
                <w:rFonts w:hAnsi="宋体"/>
                <w:sz w:val="21"/>
                <w:szCs w:val="21"/>
              </w:rPr>
              <w:t>选择低噪声设备，采取吸声、减震、隔声、距离衰减和绿化降噪等措施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Merge w:val="restart"/>
            <w:vAlign w:val="center"/>
          </w:tcPr>
          <w:p>
            <w:pPr>
              <w:jc w:val="center"/>
              <w:rPr>
                <w:sz w:val="21"/>
                <w:szCs w:val="21"/>
              </w:rPr>
            </w:pPr>
            <w:r>
              <w:rPr>
                <w:sz w:val="21"/>
                <w:szCs w:val="21"/>
              </w:rPr>
              <w:t>固废处置措施</w:t>
            </w:r>
          </w:p>
        </w:tc>
        <w:tc>
          <w:tcPr>
            <w:tcW w:w="4027" w:type="pct"/>
            <w:vAlign w:val="center"/>
          </w:tcPr>
          <w:p>
            <w:pPr>
              <w:jc w:val="center"/>
              <w:rPr>
                <w:sz w:val="21"/>
                <w:szCs w:val="21"/>
              </w:rPr>
            </w:pPr>
            <w:r>
              <w:rPr>
                <w:rFonts w:hint="eastAsia" w:hAnsi="宋体"/>
                <w:sz w:val="21"/>
                <w:szCs w:val="21"/>
              </w:rPr>
              <w:t>栅渣、污泥由</w:t>
            </w:r>
            <w:r>
              <w:rPr>
                <w:rFonts w:hAnsi="宋体"/>
                <w:sz w:val="21"/>
                <w:szCs w:val="21"/>
              </w:rPr>
              <w:t>环卫部门定期清运</w:t>
            </w:r>
            <w:r>
              <w:rPr>
                <w:rFonts w:hint="eastAsia" w:hAnsi="宋体"/>
                <w:sz w:val="21"/>
                <w:szCs w:val="21"/>
              </w:rPr>
              <w:t>至渔陂污水处理厂进行进一步处理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Merge w:val="continue"/>
            <w:vAlign w:val="center"/>
          </w:tcPr>
          <w:p>
            <w:pPr>
              <w:jc w:val="center"/>
              <w:rPr>
                <w:sz w:val="21"/>
                <w:szCs w:val="21"/>
              </w:rPr>
            </w:pPr>
          </w:p>
        </w:tc>
        <w:tc>
          <w:tcPr>
            <w:tcW w:w="4027" w:type="pct"/>
            <w:vAlign w:val="center"/>
          </w:tcPr>
          <w:p>
            <w:pPr>
              <w:jc w:val="center"/>
              <w:rPr>
                <w:sz w:val="21"/>
                <w:szCs w:val="21"/>
              </w:rPr>
            </w:pPr>
            <w:r>
              <w:rPr>
                <w:rFonts w:hint="eastAsia"/>
                <w:sz w:val="21"/>
                <w:szCs w:val="21"/>
              </w:rPr>
              <w:t>巡查人员时产生少量生活垃圾，由环卫部门定期清运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418" w:type="pct"/>
            <w:vMerge w:val="continue"/>
            <w:vAlign w:val="center"/>
          </w:tcPr>
          <w:p>
            <w:pPr>
              <w:jc w:val="center"/>
              <w:rPr>
                <w:sz w:val="21"/>
                <w:szCs w:val="21"/>
              </w:rPr>
            </w:pPr>
          </w:p>
        </w:tc>
        <w:tc>
          <w:tcPr>
            <w:tcW w:w="555" w:type="pct"/>
            <w:vMerge w:val="continue"/>
            <w:vAlign w:val="center"/>
          </w:tcPr>
          <w:p>
            <w:pPr>
              <w:jc w:val="center"/>
              <w:rPr>
                <w:sz w:val="21"/>
                <w:szCs w:val="21"/>
              </w:rPr>
            </w:pPr>
          </w:p>
        </w:tc>
        <w:tc>
          <w:tcPr>
            <w:tcW w:w="4027" w:type="pct"/>
            <w:vAlign w:val="center"/>
          </w:tcPr>
          <w:p>
            <w:pPr>
              <w:jc w:val="center"/>
              <w:rPr>
                <w:sz w:val="21"/>
                <w:szCs w:val="21"/>
              </w:rPr>
            </w:pPr>
            <w:r>
              <w:rPr>
                <w:rFonts w:hint="eastAsia"/>
                <w:sz w:val="21"/>
                <w:szCs w:val="21"/>
              </w:rPr>
              <w:t>消毒工序产生的废紫外灯管属于《国家危险废物名录》（2016版）中HW29含汞废物，危废代码900-023-29，不设置危废暂存间，产生的紫外灯管暂存在渔陂污水处理厂危废暂存间后由有资质的单位收集处置。</w:t>
            </w:r>
          </w:p>
        </w:tc>
      </w:tr>
    </w:tbl>
    <w:p>
      <w:pPr>
        <w:pStyle w:val="27"/>
        <w:ind w:firstLine="480"/>
      </w:pPr>
      <w:r>
        <w:rPr>
          <w:rFonts w:hint="eastAsia"/>
        </w:rPr>
        <w:t>2、管网工程</w:t>
      </w:r>
    </w:p>
    <w:p>
      <w:pPr>
        <w:pStyle w:val="27"/>
        <w:ind w:firstLine="480"/>
        <w:rPr>
          <w:u w:val="single"/>
        </w:rPr>
      </w:pPr>
      <w:r>
        <w:rPr>
          <w:rFonts w:hint="eastAsia"/>
          <w:u w:val="single"/>
        </w:rPr>
        <w:t>目前凤歧坪乡未设置污水收集管网，区内产生生活污水直接排入凤歧坪农灌渠。本污水处理工程服务对象为凤歧坪乡居民的生活污水，范围为凤歧坪乡镇域范围，服务面积为0.64km</w:t>
      </w:r>
      <w:r>
        <w:rPr>
          <w:rFonts w:hint="eastAsia"/>
          <w:u w:val="single"/>
          <w:vertAlign w:val="superscript"/>
        </w:rPr>
        <w:t>2</w:t>
      </w:r>
      <w:r>
        <w:rPr>
          <w:rFonts w:hint="eastAsia"/>
          <w:u w:val="single"/>
        </w:rPr>
        <w:t>，服务人口0.90万人。污水收集管网主要沿镇区内主街铺设，呈树枝状，向污水处理站汇集，专管采用重力式污水管。污水管道采用圆形断面形式，材质为HDPE双壁波纹管，管网总长2237m。</w:t>
      </w:r>
    </w:p>
    <w:p>
      <w:pPr>
        <w:pStyle w:val="27"/>
        <w:ind w:firstLine="480"/>
      </w:pPr>
      <w:r>
        <w:t>3</w:t>
      </w:r>
      <w:r>
        <w:rPr>
          <w:rFonts w:hint="eastAsia"/>
        </w:rPr>
        <w:t>、人员编制及作业制度</w:t>
      </w:r>
    </w:p>
    <w:p>
      <w:pPr>
        <w:pStyle w:val="27"/>
        <w:ind w:firstLine="480"/>
      </w:pPr>
      <w:r>
        <w:rPr>
          <w:rFonts w:hint="eastAsia"/>
        </w:rPr>
        <w:t>本污水处理站不设常驻工作人员，由乡镇政府配套2名工作人员对污水站定期进行巡查。</w:t>
      </w:r>
    </w:p>
    <w:p>
      <w:pPr>
        <w:pStyle w:val="27"/>
        <w:ind w:firstLine="480"/>
      </w:pPr>
      <w:r>
        <w:rPr>
          <w:rFonts w:hint="eastAsia"/>
        </w:rPr>
        <w:t>4、主要经济技术指标</w:t>
      </w:r>
    </w:p>
    <w:p>
      <w:pPr>
        <w:pStyle w:val="38"/>
      </w:pPr>
      <w:r>
        <w:rPr>
          <w:rFonts w:hint="eastAsia"/>
        </w:rPr>
        <w:t>表2</w:t>
      </w:r>
      <w:r>
        <w:t xml:space="preserve">.1-2  </w:t>
      </w:r>
      <w:r>
        <w:rPr>
          <w:rFonts w:hint="eastAsia"/>
        </w:rPr>
        <w:t>主要经济技术指标一览表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4201"/>
        <w:gridCol w:w="958"/>
        <w:gridCol w:w="26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pPr>
              <w:jc w:val="center"/>
              <w:rPr>
                <w:sz w:val="21"/>
                <w:szCs w:val="21"/>
              </w:rPr>
            </w:pPr>
            <w:r>
              <w:rPr>
                <w:sz w:val="21"/>
                <w:szCs w:val="21"/>
              </w:rPr>
              <w:t>序号</w:t>
            </w:r>
          </w:p>
        </w:tc>
        <w:tc>
          <w:tcPr>
            <w:tcW w:w="2465" w:type="pct"/>
            <w:vAlign w:val="center"/>
          </w:tcPr>
          <w:p>
            <w:pPr>
              <w:jc w:val="center"/>
              <w:rPr>
                <w:sz w:val="21"/>
                <w:szCs w:val="21"/>
              </w:rPr>
            </w:pPr>
            <w:r>
              <w:rPr>
                <w:sz w:val="21"/>
                <w:szCs w:val="21"/>
              </w:rPr>
              <w:t>名称</w:t>
            </w:r>
          </w:p>
        </w:tc>
        <w:tc>
          <w:tcPr>
            <w:tcW w:w="562" w:type="pct"/>
            <w:vAlign w:val="center"/>
          </w:tcPr>
          <w:p>
            <w:pPr>
              <w:jc w:val="center"/>
              <w:rPr>
                <w:sz w:val="21"/>
                <w:szCs w:val="21"/>
              </w:rPr>
            </w:pPr>
            <w:r>
              <w:rPr>
                <w:sz w:val="21"/>
                <w:szCs w:val="21"/>
              </w:rPr>
              <w:t>单位</w:t>
            </w:r>
          </w:p>
        </w:tc>
        <w:tc>
          <w:tcPr>
            <w:tcW w:w="1548" w:type="pct"/>
            <w:vAlign w:val="center"/>
          </w:tcPr>
          <w:p>
            <w:pPr>
              <w:jc w:val="center"/>
              <w:rPr>
                <w:sz w:val="21"/>
                <w:szCs w:val="21"/>
              </w:rPr>
            </w:pPr>
            <w:r>
              <w:rPr>
                <w:sz w:val="21"/>
                <w:szCs w:val="21"/>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pPr>
              <w:jc w:val="center"/>
              <w:rPr>
                <w:sz w:val="21"/>
                <w:szCs w:val="21"/>
              </w:rPr>
            </w:pPr>
            <w:r>
              <w:rPr>
                <w:sz w:val="21"/>
                <w:szCs w:val="21"/>
              </w:rPr>
              <w:t>1</w:t>
            </w:r>
          </w:p>
        </w:tc>
        <w:tc>
          <w:tcPr>
            <w:tcW w:w="2465" w:type="pct"/>
            <w:vAlign w:val="center"/>
          </w:tcPr>
          <w:p>
            <w:pPr>
              <w:pStyle w:val="45"/>
              <w:rPr>
                <w:szCs w:val="21"/>
                <w:lang w:val="en-US"/>
              </w:rPr>
            </w:pPr>
            <w:r>
              <w:rPr>
                <w:rFonts w:hint="eastAsia"/>
                <w:szCs w:val="21"/>
                <w:lang w:val="en-US"/>
              </w:rPr>
              <w:t>总</w:t>
            </w:r>
            <w:r>
              <w:rPr>
                <w:szCs w:val="21"/>
                <w:lang w:val="en-US"/>
              </w:rPr>
              <w:t>占地面积</w:t>
            </w:r>
          </w:p>
        </w:tc>
        <w:tc>
          <w:tcPr>
            <w:tcW w:w="562" w:type="pct"/>
            <w:vAlign w:val="center"/>
          </w:tcPr>
          <w:p>
            <w:pPr>
              <w:pStyle w:val="45"/>
              <w:rPr>
                <w:szCs w:val="21"/>
                <w:vertAlign w:val="superscript"/>
                <w:lang w:val="en-US"/>
              </w:rPr>
            </w:pPr>
            <w:r>
              <w:rPr>
                <w:szCs w:val="21"/>
                <w:lang w:val="en-US"/>
              </w:rPr>
              <w:t>m</w:t>
            </w:r>
            <w:r>
              <w:rPr>
                <w:szCs w:val="21"/>
                <w:vertAlign w:val="superscript"/>
                <w:lang w:val="en-US"/>
              </w:rPr>
              <w:t>2</w:t>
            </w:r>
          </w:p>
        </w:tc>
        <w:tc>
          <w:tcPr>
            <w:tcW w:w="1548" w:type="pct"/>
            <w:vAlign w:val="center"/>
          </w:tcPr>
          <w:p>
            <w:pPr>
              <w:pStyle w:val="45"/>
              <w:rPr>
                <w:bCs/>
                <w:vertAlign w:val="superscript"/>
                <w:lang w:val="en-US"/>
              </w:rPr>
            </w:pPr>
            <w:r>
              <w:rPr>
                <w:rFonts w:hint="eastAsia"/>
                <w:bCs/>
                <w:lang w:val="en-US"/>
              </w:rPr>
              <w:t>1352.0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pPr>
              <w:jc w:val="center"/>
              <w:rPr>
                <w:sz w:val="21"/>
                <w:szCs w:val="21"/>
              </w:rPr>
            </w:pPr>
            <w:r>
              <w:rPr>
                <w:sz w:val="21"/>
                <w:szCs w:val="21"/>
              </w:rPr>
              <w:t>2</w:t>
            </w:r>
          </w:p>
        </w:tc>
        <w:tc>
          <w:tcPr>
            <w:tcW w:w="2465" w:type="pct"/>
            <w:vAlign w:val="center"/>
          </w:tcPr>
          <w:p>
            <w:pPr>
              <w:pStyle w:val="45"/>
              <w:rPr>
                <w:szCs w:val="21"/>
                <w:lang w:val="en-US"/>
              </w:rPr>
            </w:pPr>
            <w:r>
              <w:rPr>
                <w:rFonts w:hint="eastAsia"/>
                <w:szCs w:val="21"/>
                <w:lang w:val="en-US"/>
              </w:rPr>
              <w:t>建构（筑）物占地面积</w:t>
            </w:r>
          </w:p>
        </w:tc>
        <w:tc>
          <w:tcPr>
            <w:tcW w:w="562" w:type="pct"/>
            <w:vAlign w:val="center"/>
          </w:tcPr>
          <w:p>
            <w:pPr>
              <w:pStyle w:val="45"/>
              <w:rPr>
                <w:szCs w:val="21"/>
                <w:lang w:val="en-US"/>
              </w:rPr>
            </w:pPr>
            <w:r>
              <w:rPr>
                <w:szCs w:val="21"/>
                <w:lang w:val="en-US"/>
              </w:rPr>
              <w:t>m</w:t>
            </w:r>
            <w:r>
              <w:rPr>
                <w:szCs w:val="21"/>
                <w:vertAlign w:val="superscript"/>
                <w:lang w:val="en-US"/>
              </w:rPr>
              <w:t>2</w:t>
            </w:r>
          </w:p>
        </w:tc>
        <w:tc>
          <w:tcPr>
            <w:tcW w:w="1548" w:type="pct"/>
            <w:vAlign w:val="center"/>
          </w:tcPr>
          <w:p>
            <w:pPr>
              <w:pStyle w:val="45"/>
              <w:rPr>
                <w:bCs/>
                <w:lang w:val="en-US"/>
              </w:rPr>
            </w:pPr>
            <w:r>
              <w:rPr>
                <w:rFonts w:hint="eastAsia"/>
                <w:bCs/>
                <w:lang w:val="en-US"/>
              </w:rPr>
              <w:t>131.32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pPr>
              <w:jc w:val="center"/>
              <w:rPr>
                <w:sz w:val="21"/>
                <w:szCs w:val="21"/>
              </w:rPr>
            </w:pPr>
            <w:r>
              <w:rPr>
                <w:rFonts w:hint="eastAsia"/>
                <w:sz w:val="21"/>
                <w:szCs w:val="21"/>
              </w:rPr>
              <w:t>3</w:t>
            </w:r>
          </w:p>
        </w:tc>
        <w:tc>
          <w:tcPr>
            <w:tcW w:w="2465" w:type="pct"/>
            <w:vAlign w:val="center"/>
          </w:tcPr>
          <w:p>
            <w:pPr>
              <w:pStyle w:val="45"/>
              <w:rPr>
                <w:szCs w:val="21"/>
                <w:lang w:val="en-US"/>
              </w:rPr>
            </w:pPr>
            <w:r>
              <w:rPr>
                <w:rFonts w:hint="eastAsia"/>
                <w:szCs w:val="21"/>
                <w:lang w:val="en-US"/>
              </w:rPr>
              <w:t>道路占地面积</w:t>
            </w:r>
          </w:p>
        </w:tc>
        <w:tc>
          <w:tcPr>
            <w:tcW w:w="562" w:type="pct"/>
            <w:vAlign w:val="center"/>
          </w:tcPr>
          <w:p>
            <w:pPr>
              <w:pStyle w:val="45"/>
              <w:rPr>
                <w:szCs w:val="21"/>
                <w:lang w:val="en-US"/>
              </w:rPr>
            </w:pPr>
            <w:r>
              <w:rPr>
                <w:szCs w:val="21"/>
                <w:lang w:val="en-US"/>
              </w:rPr>
              <w:t>m</w:t>
            </w:r>
            <w:r>
              <w:rPr>
                <w:szCs w:val="21"/>
                <w:vertAlign w:val="superscript"/>
                <w:lang w:val="en-US"/>
              </w:rPr>
              <w:t>2</w:t>
            </w:r>
          </w:p>
        </w:tc>
        <w:tc>
          <w:tcPr>
            <w:tcW w:w="1548" w:type="pct"/>
            <w:vAlign w:val="center"/>
          </w:tcPr>
          <w:p>
            <w:pPr>
              <w:pStyle w:val="45"/>
              <w:rPr>
                <w:bCs/>
                <w:lang w:val="en-US"/>
              </w:rPr>
            </w:pPr>
            <w:r>
              <w:rPr>
                <w:rFonts w:hint="eastAsia"/>
                <w:bCs/>
                <w:lang w:val="en-US"/>
              </w:rPr>
              <w:t>149.08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25" w:type="pct"/>
            <w:vAlign w:val="center"/>
          </w:tcPr>
          <w:p>
            <w:pPr>
              <w:jc w:val="center"/>
              <w:rPr>
                <w:sz w:val="21"/>
                <w:szCs w:val="21"/>
              </w:rPr>
            </w:pPr>
            <w:r>
              <w:rPr>
                <w:rFonts w:hint="eastAsia"/>
                <w:sz w:val="21"/>
                <w:szCs w:val="21"/>
              </w:rPr>
              <w:t>4</w:t>
            </w:r>
          </w:p>
        </w:tc>
        <w:tc>
          <w:tcPr>
            <w:tcW w:w="2465" w:type="pct"/>
            <w:vAlign w:val="center"/>
          </w:tcPr>
          <w:p>
            <w:pPr>
              <w:pStyle w:val="45"/>
              <w:rPr>
                <w:szCs w:val="21"/>
                <w:lang w:val="en-US"/>
              </w:rPr>
            </w:pPr>
            <w:r>
              <w:rPr>
                <w:rFonts w:hint="eastAsia"/>
                <w:szCs w:val="21"/>
                <w:lang w:val="en-US"/>
              </w:rPr>
              <w:t>绿化面积</w:t>
            </w:r>
          </w:p>
        </w:tc>
        <w:tc>
          <w:tcPr>
            <w:tcW w:w="562" w:type="pct"/>
            <w:vAlign w:val="center"/>
          </w:tcPr>
          <w:p>
            <w:pPr>
              <w:pStyle w:val="45"/>
              <w:rPr>
                <w:szCs w:val="21"/>
                <w:lang w:val="en-US"/>
              </w:rPr>
            </w:pPr>
            <w:r>
              <w:rPr>
                <w:szCs w:val="21"/>
                <w:lang w:val="en-US"/>
              </w:rPr>
              <w:t>m</w:t>
            </w:r>
            <w:r>
              <w:rPr>
                <w:szCs w:val="21"/>
                <w:vertAlign w:val="superscript"/>
                <w:lang w:val="en-US"/>
              </w:rPr>
              <w:t>2</w:t>
            </w:r>
          </w:p>
        </w:tc>
        <w:tc>
          <w:tcPr>
            <w:tcW w:w="1548" w:type="pct"/>
            <w:vAlign w:val="center"/>
          </w:tcPr>
          <w:p>
            <w:pPr>
              <w:pStyle w:val="45"/>
              <w:rPr>
                <w:bCs/>
                <w:lang w:val="en-US"/>
              </w:rPr>
            </w:pPr>
            <w:r>
              <w:rPr>
                <w:rFonts w:hint="eastAsia"/>
                <w:bCs/>
                <w:lang w:val="en-US"/>
              </w:rPr>
              <w:t>927.1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425" w:type="pct"/>
            <w:vAlign w:val="center"/>
          </w:tcPr>
          <w:p>
            <w:pPr>
              <w:jc w:val="center"/>
              <w:rPr>
                <w:sz w:val="21"/>
                <w:szCs w:val="21"/>
              </w:rPr>
            </w:pPr>
            <w:r>
              <w:rPr>
                <w:rFonts w:hint="eastAsia"/>
                <w:sz w:val="21"/>
                <w:szCs w:val="21"/>
              </w:rPr>
              <w:t>5</w:t>
            </w:r>
          </w:p>
        </w:tc>
        <w:tc>
          <w:tcPr>
            <w:tcW w:w="2465" w:type="pct"/>
            <w:vAlign w:val="center"/>
          </w:tcPr>
          <w:p>
            <w:pPr>
              <w:pStyle w:val="45"/>
              <w:rPr>
                <w:szCs w:val="21"/>
                <w:lang w:val="en-US"/>
              </w:rPr>
            </w:pPr>
            <w:r>
              <w:rPr>
                <w:rFonts w:hint="eastAsia"/>
                <w:szCs w:val="21"/>
                <w:lang w:val="en-US"/>
              </w:rPr>
              <w:t>绿化系数</w:t>
            </w:r>
          </w:p>
        </w:tc>
        <w:tc>
          <w:tcPr>
            <w:tcW w:w="562" w:type="pct"/>
            <w:vAlign w:val="center"/>
          </w:tcPr>
          <w:p>
            <w:pPr>
              <w:pStyle w:val="45"/>
              <w:rPr>
                <w:szCs w:val="21"/>
                <w:lang w:val="en-US"/>
              </w:rPr>
            </w:pPr>
            <w:r>
              <w:rPr>
                <w:szCs w:val="21"/>
                <w:lang w:val="en-US"/>
              </w:rPr>
              <w:t>%</w:t>
            </w:r>
          </w:p>
        </w:tc>
        <w:tc>
          <w:tcPr>
            <w:tcW w:w="1548" w:type="pct"/>
            <w:vAlign w:val="center"/>
          </w:tcPr>
          <w:p>
            <w:pPr>
              <w:pStyle w:val="45"/>
              <w:rPr>
                <w:bCs/>
                <w:lang w:val="en-US"/>
              </w:rPr>
            </w:pPr>
            <w:r>
              <w:rPr>
                <w:rFonts w:hint="eastAsia"/>
                <w:bCs/>
                <w:lang w:val="en-US"/>
              </w:rPr>
              <w:t>68.6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5" w:type="pct"/>
            <w:vAlign w:val="center"/>
          </w:tcPr>
          <w:p>
            <w:pPr>
              <w:jc w:val="center"/>
              <w:rPr>
                <w:sz w:val="21"/>
                <w:szCs w:val="21"/>
              </w:rPr>
            </w:pPr>
            <w:r>
              <w:rPr>
                <w:rFonts w:hint="eastAsia"/>
                <w:sz w:val="21"/>
                <w:szCs w:val="21"/>
              </w:rPr>
              <w:t>6</w:t>
            </w:r>
          </w:p>
        </w:tc>
        <w:tc>
          <w:tcPr>
            <w:tcW w:w="2465" w:type="pct"/>
            <w:vAlign w:val="center"/>
          </w:tcPr>
          <w:p>
            <w:pPr>
              <w:pStyle w:val="45"/>
              <w:rPr>
                <w:szCs w:val="21"/>
                <w:lang w:val="en-US"/>
              </w:rPr>
            </w:pPr>
            <w:r>
              <w:rPr>
                <w:rFonts w:hint="eastAsia"/>
                <w:szCs w:val="21"/>
                <w:lang w:val="en-US"/>
              </w:rPr>
              <w:t>围墙</w:t>
            </w:r>
          </w:p>
        </w:tc>
        <w:tc>
          <w:tcPr>
            <w:tcW w:w="562" w:type="pct"/>
            <w:vAlign w:val="center"/>
          </w:tcPr>
          <w:p>
            <w:pPr>
              <w:pStyle w:val="45"/>
              <w:rPr>
                <w:szCs w:val="21"/>
                <w:lang w:val="en-US"/>
              </w:rPr>
            </w:pPr>
            <w:r>
              <w:rPr>
                <w:szCs w:val="21"/>
                <w:lang w:val="en-US"/>
              </w:rPr>
              <w:t>m</w:t>
            </w:r>
          </w:p>
        </w:tc>
        <w:tc>
          <w:tcPr>
            <w:tcW w:w="1548" w:type="pct"/>
            <w:vAlign w:val="center"/>
          </w:tcPr>
          <w:p>
            <w:pPr>
              <w:pStyle w:val="45"/>
              <w:rPr>
                <w:bCs/>
                <w:lang w:val="en-US"/>
              </w:rPr>
            </w:pPr>
            <w:r>
              <w:rPr>
                <w:rFonts w:hint="eastAsia"/>
                <w:bCs/>
                <w:lang w:val="en-US"/>
              </w:rPr>
              <w:t>110.25</w:t>
            </w:r>
          </w:p>
        </w:tc>
      </w:tr>
    </w:tbl>
    <w:p>
      <w:pPr>
        <w:pStyle w:val="35"/>
      </w:pPr>
      <w:bookmarkStart w:id="20" w:name="_Toc161250446"/>
      <w:r>
        <w:rPr>
          <w:rFonts w:hint="eastAsia"/>
        </w:rPr>
        <w:t>2</w:t>
      </w:r>
      <w:r>
        <w:t>.1.3</w:t>
      </w:r>
      <w:r>
        <w:rPr>
          <w:rFonts w:hint="eastAsia"/>
        </w:rPr>
        <w:t>服务范围</w:t>
      </w:r>
      <w:bookmarkEnd w:id="20"/>
    </w:p>
    <w:p>
      <w:pPr>
        <w:pStyle w:val="27"/>
        <w:ind w:firstLine="480"/>
      </w:pPr>
      <w:r>
        <w:rPr>
          <w:rFonts w:hint="eastAsia"/>
        </w:rPr>
        <w:t>凤歧坪乡污水处理工程主要服务区域为凤歧坪乡</w:t>
      </w:r>
      <w:r>
        <w:rPr>
          <w:rFonts w:hint="eastAsia" w:hAnsi="宋体"/>
          <w:szCs w:val="24"/>
        </w:rPr>
        <w:t>镇区，服务面积0.64km</w:t>
      </w:r>
      <w:r>
        <w:rPr>
          <w:rFonts w:hint="eastAsia" w:hAnsi="宋体"/>
          <w:szCs w:val="24"/>
          <w:vertAlign w:val="superscript"/>
        </w:rPr>
        <w:t>2</w:t>
      </w:r>
      <w:r>
        <w:rPr>
          <w:rFonts w:hint="eastAsia"/>
        </w:rPr>
        <w:t>，具体服务范围为南至集镇主街道与S231南侧交会处、东至污水处理站东侧民房、北至主街道与S231北侧交会处、凤歧坪乡人民政府。</w:t>
      </w:r>
    </w:p>
    <w:p>
      <w:pPr>
        <w:pStyle w:val="35"/>
      </w:pPr>
      <w:bookmarkStart w:id="21" w:name="_Toc161250447"/>
      <w:r>
        <w:rPr>
          <w:rFonts w:hint="eastAsia"/>
        </w:rPr>
        <w:t>2</w:t>
      </w:r>
      <w:r>
        <w:t>.1.4</w:t>
      </w:r>
      <w:r>
        <w:rPr>
          <w:rFonts w:hint="eastAsia"/>
        </w:rPr>
        <w:t>污水量预测</w:t>
      </w:r>
      <w:bookmarkEnd w:id="21"/>
    </w:p>
    <w:p>
      <w:pPr>
        <w:pStyle w:val="27"/>
        <w:ind w:firstLine="480"/>
      </w:pPr>
      <w:r>
        <w:t>根据《村镇供水工程技术规范》SL310-2004及《室外排水设计规范</w:t>
      </w:r>
      <w:r>
        <w:rPr>
          <w:rFonts w:hint="eastAsia"/>
        </w:rPr>
        <w:t>（</w:t>
      </w:r>
      <w:r>
        <w:t>2016年版</w:t>
      </w:r>
      <w:r>
        <w:rPr>
          <w:rFonts w:hint="eastAsia"/>
        </w:rPr>
        <w:t>）</w:t>
      </w:r>
      <w:r>
        <w:t>》GB50014-2006；本项目乡镇属于5区，最高日用水定额为120～180L/人天，再根据住建厅发布的《湖南省镇（乡）村供排水工程专项规划设计技术导引》（2019）中，污水量以生活污水为主的乡镇，可采用综合指标法计算污水量，近期污水处理规模以镇区（集镇）建成区现状常住人口为依据，及本工程所在地区的经济和社会发展现状，水资源充沛程度和居民用水习惯，本项目乡镇居民综合生活用水量按照130L/人天计</w:t>
      </w:r>
      <w:r>
        <w:rPr>
          <w:rFonts w:hint="eastAsia"/>
        </w:rPr>
        <w:t>。</w:t>
      </w:r>
    </w:p>
    <w:p>
      <w:pPr>
        <w:pStyle w:val="27"/>
        <w:ind w:firstLine="480"/>
        <w:rPr>
          <w:u w:val="single"/>
        </w:rPr>
      </w:pPr>
      <w:bookmarkStart w:id="22" w:name="_Hlk162214966"/>
      <w:r>
        <w:rPr>
          <w:rFonts w:hint="eastAsia"/>
          <w:u w:val="single"/>
        </w:rPr>
        <w:t>根据项目污水收集管网建设进度，近期（2024年）凤歧坪乡污水处理工程收集范围内服务人口约为0.15万人，</w:t>
      </w:r>
      <w:r>
        <w:rPr>
          <w:u w:val="single"/>
        </w:rPr>
        <w:t>则用水量约</w:t>
      </w:r>
      <w:r>
        <w:rPr>
          <w:rFonts w:hint="eastAsia"/>
          <w:u w:val="single"/>
        </w:rPr>
        <w:t>195</w:t>
      </w:r>
      <w:r>
        <w:rPr>
          <w:u w:val="single"/>
        </w:rPr>
        <w:t>m</w:t>
      </w:r>
      <w:r>
        <w:rPr>
          <w:u w:val="single"/>
          <w:vertAlign w:val="superscript"/>
        </w:rPr>
        <w:t>3</w:t>
      </w:r>
      <w:r>
        <w:rPr>
          <w:u w:val="single"/>
        </w:rPr>
        <w:t>/d。</w:t>
      </w:r>
      <w:r>
        <w:rPr>
          <w:rFonts w:hint="eastAsia"/>
          <w:u w:val="single"/>
        </w:rPr>
        <w:t>污水处理厂</w:t>
      </w:r>
      <w:r>
        <w:rPr>
          <w:u w:val="single"/>
        </w:rPr>
        <w:t>的服务范围是乡镇镇区人口集中区域，居民生活污水排放量按照总用水量的80%计；污水收集率根据管网覆盖率来确定，近期（2023年）污水管网覆盖率较低约为60%；则居民生活污水排放量约为</w:t>
      </w:r>
      <w:r>
        <w:rPr>
          <w:rFonts w:hint="eastAsia"/>
          <w:u w:val="single"/>
        </w:rPr>
        <w:t>93.6</w:t>
      </w:r>
      <w:r>
        <w:rPr>
          <w:u w:val="single"/>
        </w:rPr>
        <w:t>m</w:t>
      </w:r>
      <w:r>
        <w:rPr>
          <w:u w:val="single"/>
          <w:vertAlign w:val="superscript"/>
        </w:rPr>
        <w:t>3</w:t>
      </w:r>
      <w:r>
        <w:rPr>
          <w:u w:val="single"/>
        </w:rPr>
        <w:t>/d；考虑乡镇具体情况，本次污水量预测规模取整为</w:t>
      </w:r>
      <w:r>
        <w:rPr>
          <w:rFonts w:hint="eastAsia"/>
          <w:u w:val="single"/>
        </w:rPr>
        <w:t>100</w:t>
      </w:r>
      <w:r>
        <w:rPr>
          <w:u w:val="single"/>
        </w:rPr>
        <w:t>m</w:t>
      </w:r>
      <w:r>
        <w:rPr>
          <w:u w:val="single"/>
          <w:vertAlign w:val="superscript"/>
        </w:rPr>
        <w:t>3</w:t>
      </w:r>
      <w:r>
        <w:rPr>
          <w:u w:val="single"/>
        </w:rPr>
        <w:t>/d。</w:t>
      </w:r>
    </w:p>
    <w:p>
      <w:pPr>
        <w:pStyle w:val="27"/>
        <w:ind w:firstLine="480"/>
      </w:pPr>
      <w:r>
        <w:rPr>
          <w:u w:val="single"/>
        </w:rPr>
        <w:t>而</w:t>
      </w:r>
      <w:r>
        <w:rPr>
          <w:rFonts w:hint="eastAsia"/>
          <w:u w:val="single"/>
        </w:rPr>
        <w:t>远期（2030年）凤歧坪乡污水处理工程收集范围内服务人口约为0.9</w:t>
      </w:r>
      <w:r>
        <w:rPr>
          <w:u w:val="single"/>
        </w:rPr>
        <w:t>万，则用水量约</w:t>
      </w:r>
      <w:r>
        <w:rPr>
          <w:rFonts w:hint="eastAsia"/>
          <w:u w:val="single"/>
        </w:rPr>
        <w:t>1170</w:t>
      </w:r>
      <w:r>
        <w:rPr>
          <w:u w:val="single"/>
        </w:rPr>
        <w:t>m</w:t>
      </w:r>
      <w:r>
        <w:rPr>
          <w:u w:val="single"/>
          <w:vertAlign w:val="superscript"/>
        </w:rPr>
        <w:t>3</w:t>
      </w:r>
      <w:r>
        <w:rPr>
          <w:u w:val="single"/>
        </w:rPr>
        <w:t>/d。</w:t>
      </w:r>
      <w:r>
        <w:rPr>
          <w:rFonts w:hint="eastAsia"/>
          <w:u w:val="single"/>
        </w:rPr>
        <w:t>污水处理厂</w:t>
      </w:r>
      <w:r>
        <w:rPr>
          <w:u w:val="single"/>
        </w:rPr>
        <w:t>的服务范围是乡镇镇区人口集中区域，居民生活污水排放量按照总用水量的80%计；污水收集率根据管网覆盖率来确定，</w:t>
      </w:r>
      <w:r>
        <w:rPr>
          <w:rFonts w:hint="eastAsia"/>
          <w:u w:val="single"/>
        </w:rPr>
        <w:t>远期（2030年）</w:t>
      </w:r>
      <w:r>
        <w:rPr>
          <w:u w:val="single"/>
        </w:rPr>
        <w:t>污水管网覆盖率较低约为60%；则居民生活污水排放量约为</w:t>
      </w:r>
      <w:r>
        <w:rPr>
          <w:rFonts w:hint="eastAsia"/>
          <w:u w:val="single"/>
        </w:rPr>
        <w:t>561.6</w:t>
      </w:r>
      <w:r>
        <w:rPr>
          <w:u w:val="single"/>
        </w:rPr>
        <w:t>m</w:t>
      </w:r>
      <w:r>
        <w:rPr>
          <w:u w:val="single"/>
          <w:vertAlign w:val="superscript"/>
        </w:rPr>
        <w:t>3</w:t>
      </w:r>
      <w:r>
        <w:rPr>
          <w:u w:val="single"/>
        </w:rPr>
        <w:t>/d；考虑乡镇具体情况，本次污水量预测规模取整为</w:t>
      </w:r>
      <w:r>
        <w:rPr>
          <w:rFonts w:hint="eastAsia"/>
          <w:u w:val="single"/>
        </w:rPr>
        <w:t>600</w:t>
      </w:r>
      <w:r>
        <w:rPr>
          <w:u w:val="single"/>
        </w:rPr>
        <w:t>m</w:t>
      </w:r>
      <w:r>
        <w:rPr>
          <w:u w:val="single"/>
          <w:vertAlign w:val="superscript"/>
        </w:rPr>
        <w:t>3</w:t>
      </w:r>
      <w:r>
        <w:rPr>
          <w:u w:val="single"/>
        </w:rPr>
        <w:t>/d。</w:t>
      </w:r>
      <w:bookmarkEnd w:id="22"/>
    </w:p>
    <w:p>
      <w:pPr>
        <w:pStyle w:val="35"/>
      </w:pPr>
      <w:bookmarkStart w:id="23" w:name="_Toc161250448"/>
      <w:r>
        <w:rPr>
          <w:rFonts w:hint="eastAsia"/>
        </w:rPr>
        <w:t>2</w:t>
      </w:r>
      <w:r>
        <w:t>.1.5</w:t>
      </w:r>
      <w:r>
        <w:rPr>
          <w:rFonts w:hint="eastAsia"/>
        </w:rPr>
        <w:t>设计进出水质</w:t>
      </w:r>
      <w:bookmarkEnd w:id="23"/>
    </w:p>
    <w:p>
      <w:pPr>
        <w:pStyle w:val="27"/>
        <w:ind w:firstLine="480"/>
      </w:pPr>
      <w:r>
        <w:rPr>
          <w:rFonts w:hint="eastAsia"/>
        </w:rPr>
        <w:t>根据工程内容，项目区主要以生活污水为主，可接纳小部分的工业废水（排入比例不大于30%，不得接纳印染、化工、医药、钢铁、电镀、垃圾渗滤液、造纸废水等废水类型）。污水处理厂进水污染物浓度的高低决定污水处理工艺流程的选择，与污水处理厂的基建投资和运行费用密切相关。然而，污水处理厂进水水质又与居民生活水平、生活用水量、工业用水量以及污水收集方式等关联，要准确预测污水处理厂建成后服务期内的水质，难度较大。实际工作中往往根据实测法和类比法进行城市污水水质论证。综合考虑《给水排水设计手册》第5册，推荐的典型生活污水水质和住建厅发布的《湖南省镇（乡）村供排水工程专项规划设计技术导引》（2019）中表4.4.4的湖南省乡镇生活污水水质范围参考，根据各乡镇的实际发展情况及总体规划，综合确定祁东县各乡镇污水进水水质见表2.1-1。祁东县各乡镇污水处理厂主要收集各乡镇产生的生活污水。根据《室外排水设计规范》（GB50014-2006），出水执行《城镇污水处理厂污染物排放标准》（GB18918－2002）一级B标准。</w:t>
      </w:r>
      <w:r>
        <w:t>本项目设计进出水水质见表2.1-3。</w:t>
      </w:r>
    </w:p>
    <w:p>
      <w:pPr>
        <w:pStyle w:val="38"/>
      </w:pPr>
      <w:r>
        <w:rPr>
          <w:rFonts w:hint="eastAsia"/>
        </w:rPr>
        <w:t>表2</w:t>
      </w:r>
      <w:r>
        <w:t>.1-3  本项目污水处理厂</w:t>
      </w:r>
      <w:r>
        <w:rPr>
          <w:rFonts w:hint="eastAsia"/>
        </w:rPr>
        <w:t>设计</w:t>
      </w:r>
      <w:r>
        <w:t>进出</w:t>
      </w:r>
      <w:r>
        <w:rPr>
          <w:rFonts w:hint="eastAsia"/>
        </w:rPr>
        <w:t>水</w:t>
      </w:r>
      <w:r>
        <w:t>水质一览表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3"/>
        <w:gridCol w:w="1084"/>
        <w:gridCol w:w="1086"/>
        <w:gridCol w:w="1084"/>
        <w:gridCol w:w="1086"/>
        <w:gridCol w:w="1084"/>
        <w:gridCol w:w="10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1" w:type="pct"/>
            <w:vAlign w:val="center"/>
          </w:tcPr>
          <w:p>
            <w:pPr>
              <w:pStyle w:val="40"/>
            </w:pPr>
            <w:r>
              <w:t>项目</w:t>
            </w:r>
          </w:p>
        </w:tc>
        <w:tc>
          <w:tcPr>
            <w:tcW w:w="636" w:type="pct"/>
            <w:vAlign w:val="center"/>
          </w:tcPr>
          <w:p>
            <w:pPr>
              <w:pStyle w:val="40"/>
            </w:pPr>
            <w:r>
              <w:t>COD</w:t>
            </w:r>
            <w:r>
              <w:rPr>
                <w:vertAlign w:val="subscript"/>
              </w:rPr>
              <w:t>Cr</w:t>
            </w:r>
          </w:p>
        </w:tc>
        <w:tc>
          <w:tcPr>
            <w:tcW w:w="637" w:type="pct"/>
            <w:vAlign w:val="center"/>
          </w:tcPr>
          <w:p>
            <w:pPr>
              <w:pStyle w:val="40"/>
            </w:pPr>
            <w:r>
              <w:t>BOD</w:t>
            </w:r>
            <w:r>
              <w:rPr>
                <w:vertAlign w:val="subscript"/>
              </w:rPr>
              <w:t>5</w:t>
            </w:r>
          </w:p>
        </w:tc>
        <w:tc>
          <w:tcPr>
            <w:tcW w:w="636" w:type="pct"/>
            <w:vAlign w:val="center"/>
          </w:tcPr>
          <w:p>
            <w:pPr>
              <w:pStyle w:val="40"/>
            </w:pPr>
            <w:r>
              <w:t>SS</w:t>
            </w:r>
          </w:p>
        </w:tc>
        <w:tc>
          <w:tcPr>
            <w:tcW w:w="637" w:type="pct"/>
            <w:vAlign w:val="center"/>
          </w:tcPr>
          <w:p>
            <w:pPr>
              <w:pStyle w:val="40"/>
            </w:pPr>
            <w:r>
              <w:t>NH</w:t>
            </w:r>
            <w:r>
              <w:rPr>
                <w:vertAlign w:val="subscript"/>
              </w:rPr>
              <w:t>3</w:t>
            </w:r>
            <w:r>
              <w:t>-N</w:t>
            </w:r>
          </w:p>
        </w:tc>
        <w:tc>
          <w:tcPr>
            <w:tcW w:w="636" w:type="pct"/>
            <w:vAlign w:val="center"/>
          </w:tcPr>
          <w:p>
            <w:pPr>
              <w:pStyle w:val="40"/>
            </w:pPr>
            <w:r>
              <w:t>TP</w:t>
            </w:r>
          </w:p>
        </w:tc>
        <w:tc>
          <w:tcPr>
            <w:tcW w:w="636" w:type="pct"/>
            <w:vAlign w:val="center"/>
          </w:tcPr>
          <w:p>
            <w:pPr>
              <w:pStyle w:val="40"/>
            </w:pPr>
            <w:r>
              <w:t>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1" w:type="pct"/>
            <w:vAlign w:val="center"/>
          </w:tcPr>
          <w:p>
            <w:pPr>
              <w:pStyle w:val="40"/>
            </w:pPr>
            <w:r>
              <w:t>设计进水</w:t>
            </w:r>
          </w:p>
        </w:tc>
        <w:tc>
          <w:tcPr>
            <w:tcW w:w="636" w:type="pct"/>
            <w:vAlign w:val="center"/>
          </w:tcPr>
          <w:p>
            <w:pPr>
              <w:pStyle w:val="40"/>
            </w:pPr>
            <w:r>
              <w:t>280</w:t>
            </w:r>
          </w:p>
        </w:tc>
        <w:tc>
          <w:tcPr>
            <w:tcW w:w="637" w:type="pct"/>
            <w:vAlign w:val="center"/>
          </w:tcPr>
          <w:p>
            <w:pPr>
              <w:pStyle w:val="40"/>
            </w:pPr>
            <w:r>
              <w:t>150</w:t>
            </w:r>
          </w:p>
        </w:tc>
        <w:tc>
          <w:tcPr>
            <w:tcW w:w="636" w:type="pct"/>
            <w:vAlign w:val="center"/>
          </w:tcPr>
          <w:p>
            <w:pPr>
              <w:pStyle w:val="40"/>
            </w:pPr>
            <w:r>
              <w:t>200</w:t>
            </w:r>
          </w:p>
        </w:tc>
        <w:tc>
          <w:tcPr>
            <w:tcW w:w="637" w:type="pct"/>
            <w:vAlign w:val="center"/>
          </w:tcPr>
          <w:p>
            <w:pPr>
              <w:pStyle w:val="40"/>
            </w:pPr>
            <w:r>
              <w:t>35</w:t>
            </w:r>
          </w:p>
        </w:tc>
        <w:tc>
          <w:tcPr>
            <w:tcW w:w="636" w:type="pct"/>
            <w:vAlign w:val="center"/>
          </w:tcPr>
          <w:p>
            <w:pPr>
              <w:pStyle w:val="40"/>
            </w:pPr>
            <w:r>
              <w:t>3</w:t>
            </w:r>
          </w:p>
        </w:tc>
        <w:tc>
          <w:tcPr>
            <w:tcW w:w="636" w:type="pct"/>
            <w:vAlign w:val="center"/>
          </w:tcPr>
          <w:p>
            <w:pPr>
              <w:pStyle w:val="40"/>
            </w:pPr>
            <w: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1" w:type="pct"/>
            <w:vAlign w:val="center"/>
          </w:tcPr>
          <w:p>
            <w:pPr>
              <w:pStyle w:val="40"/>
            </w:pPr>
            <w:r>
              <w:t>设计出水</w:t>
            </w:r>
          </w:p>
        </w:tc>
        <w:tc>
          <w:tcPr>
            <w:tcW w:w="636" w:type="pct"/>
            <w:vAlign w:val="center"/>
          </w:tcPr>
          <w:p>
            <w:pPr>
              <w:pStyle w:val="40"/>
            </w:pPr>
            <w:r>
              <w:t>60</w:t>
            </w:r>
          </w:p>
        </w:tc>
        <w:tc>
          <w:tcPr>
            <w:tcW w:w="637" w:type="pct"/>
            <w:vAlign w:val="center"/>
          </w:tcPr>
          <w:p>
            <w:pPr>
              <w:pStyle w:val="40"/>
            </w:pPr>
            <w:r>
              <w:t>20</w:t>
            </w:r>
          </w:p>
        </w:tc>
        <w:tc>
          <w:tcPr>
            <w:tcW w:w="636" w:type="pct"/>
            <w:vAlign w:val="center"/>
          </w:tcPr>
          <w:p>
            <w:pPr>
              <w:pStyle w:val="40"/>
            </w:pPr>
            <w:r>
              <w:t>20</w:t>
            </w:r>
          </w:p>
        </w:tc>
        <w:tc>
          <w:tcPr>
            <w:tcW w:w="637" w:type="pct"/>
            <w:vAlign w:val="center"/>
          </w:tcPr>
          <w:p>
            <w:pPr>
              <w:pStyle w:val="40"/>
            </w:pPr>
            <w:r>
              <w:t>8</w:t>
            </w:r>
          </w:p>
        </w:tc>
        <w:tc>
          <w:tcPr>
            <w:tcW w:w="636" w:type="pct"/>
            <w:vAlign w:val="center"/>
          </w:tcPr>
          <w:p>
            <w:pPr>
              <w:pStyle w:val="40"/>
            </w:pPr>
            <w:r>
              <w:t>1</w:t>
            </w:r>
          </w:p>
        </w:tc>
        <w:tc>
          <w:tcPr>
            <w:tcW w:w="636" w:type="pct"/>
            <w:vAlign w:val="center"/>
          </w:tcPr>
          <w:p>
            <w:pPr>
              <w:pStyle w:val="40"/>
            </w:pPr>
            <w: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181" w:type="pct"/>
            <w:vAlign w:val="center"/>
          </w:tcPr>
          <w:p>
            <w:pPr>
              <w:pStyle w:val="40"/>
            </w:pPr>
            <w:r>
              <w:t>去除率（%）</w:t>
            </w:r>
          </w:p>
        </w:tc>
        <w:tc>
          <w:tcPr>
            <w:tcW w:w="636" w:type="pct"/>
            <w:vAlign w:val="center"/>
          </w:tcPr>
          <w:p>
            <w:pPr>
              <w:pStyle w:val="40"/>
            </w:pPr>
            <w:r>
              <w:rPr>
                <w:rFonts w:hint="eastAsia"/>
              </w:rPr>
              <w:t>7</w:t>
            </w:r>
            <w:r>
              <w:t>8.57</w:t>
            </w:r>
          </w:p>
        </w:tc>
        <w:tc>
          <w:tcPr>
            <w:tcW w:w="637" w:type="pct"/>
            <w:vAlign w:val="center"/>
          </w:tcPr>
          <w:p>
            <w:pPr>
              <w:pStyle w:val="40"/>
            </w:pPr>
            <w:r>
              <w:rPr>
                <w:rFonts w:hint="eastAsia"/>
              </w:rPr>
              <w:t>8</w:t>
            </w:r>
            <w:r>
              <w:t>6.67</w:t>
            </w:r>
          </w:p>
        </w:tc>
        <w:tc>
          <w:tcPr>
            <w:tcW w:w="636" w:type="pct"/>
            <w:vAlign w:val="center"/>
          </w:tcPr>
          <w:p>
            <w:pPr>
              <w:pStyle w:val="40"/>
            </w:pPr>
            <w:r>
              <w:rPr>
                <w:rFonts w:hint="eastAsia"/>
              </w:rPr>
              <w:t>9</w:t>
            </w:r>
            <w:r>
              <w:t>0.00</w:t>
            </w:r>
          </w:p>
        </w:tc>
        <w:tc>
          <w:tcPr>
            <w:tcW w:w="637" w:type="pct"/>
            <w:vAlign w:val="center"/>
          </w:tcPr>
          <w:p>
            <w:pPr>
              <w:pStyle w:val="40"/>
            </w:pPr>
            <w:r>
              <w:rPr>
                <w:rFonts w:hint="eastAsia"/>
              </w:rPr>
              <w:t>7</w:t>
            </w:r>
            <w:r>
              <w:t>7.14</w:t>
            </w:r>
          </w:p>
        </w:tc>
        <w:tc>
          <w:tcPr>
            <w:tcW w:w="636" w:type="pct"/>
            <w:vAlign w:val="center"/>
          </w:tcPr>
          <w:p>
            <w:pPr>
              <w:pStyle w:val="40"/>
            </w:pPr>
            <w:r>
              <w:rPr>
                <w:rFonts w:hint="eastAsia"/>
              </w:rPr>
              <w:t>6</w:t>
            </w:r>
            <w:r>
              <w:t>6.67</w:t>
            </w:r>
          </w:p>
        </w:tc>
        <w:tc>
          <w:tcPr>
            <w:tcW w:w="636" w:type="pct"/>
            <w:vAlign w:val="center"/>
          </w:tcPr>
          <w:p>
            <w:pPr>
              <w:pStyle w:val="40"/>
            </w:pPr>
            <w:r>
              <w:rPr>
                <w:rFonts w:hint="eastAsia"/>
              </w:rPr>
              <w:t>5</w:t>
            </w:r>
            <w:r>
              <w:t>0</w:t>
            </w:r>
          </w:p>
        </w:tc>
      </w:tr>
    </w:tbl>
    <w:p>
      <w:pPr>
        <w:pStyle w:val="35"/>
      </w:pPr>
      <w:bookmarkStart w:id="24" w:name="_Toc161250449"/>
      <w:r>
        <w:rPr>
          <w:rFonts w:hint="eastAsia"/>
        </w:rPr>
        <w:t>2</w:t>
      </w:r>
      <w:r>
        <w:t>.1.6</w:t>
      </w:r>
      <w:r>
        <w:rPr>
          <w:rFonts w:hint="eastAsia"/>
        </w:rPr>
        <w:t>污水处理工艺</w:t>
      </w:r>
      <w:bookmarkEnd w:id="24"/>
    </w:p>
    <w:p>
      <w:pPr>
        <w:pStyle w:val="27"/>
        <w:ind w:firstLine="480"/>
      </w:pPr>
      <w:r>
        <w:rPr>
          <w:rFonts w:hint="eastAsia"/>
          <w:szCs w:val="24"/>
        </w:rPr>
        <w:t>污水处理工艺均为“组合池+一体化污水处理站”，其中一体化污水处理站工艺采用A</w:t>
      </w:r>
      <w:r>
        <w:rPr>
          <w:rFonts w:hint="eastAsia"/>
          <w:szCs w:val="24"/>
          <w:vertAlign w:val="superscript"/>
        </w:rPr>
        <w:t>2</w:t>
      </w:r>
      <w:r>
        <w:rPr>
          <w:rFonts w:hint="eastAsia"/>
          <w:szCs w:val="24"/>
        </w:rPr>
        <w:t>/O工艺</w:t>
      </w:r>
      <w:r>
        <w:rPr>
          <w:rFonts w:hint="eastAsia"/>
        </w:rPr>
        <w:t>，A</w:t>
      </w:r>
      <w:r>
        <w:rPr>
          <w:rFonts w:hint="eastAsia"/>
          <w:vertAlign w:val="superscript"/>
        </w:rPr>
        <w:t>2</w:t>
      </w:r>
      <w:r>
        <w:rPr>
          <w:rFonts w:hint="eastAsia"/>
        </w:rPr>
        <w:t>/O工艺是一种典型的脱氮除磷工艺，其生物反应池由ANAEROBIC（厌氧）、ANOXIC（缺氧）和OXIC（好氧）三段组成，是一种以缺氧、厌氧为主，好氧为辅的高效低耗的处理工艺，其典型工艺流程见图1.5-1，污水处理工程处理工艺流程见图</w:t>
      </w:r>
      <w:r>
        <w:t>2.1-5</w:t>
      </w:r>
      <w:r>
        <w:rPr>
          <w:rFonts w:hint="eastAsia"/>
        </w:rPr>
        <w:t>。</w:t>
      </w:r>
    </w:p>
    <w:p>
      <w:pPr>
        <w:pStyle w:val="27"/>
        <w:ind w:firstLine="0" w:firstLineChars="0"/>
      </w:pPr>
      <w:r>
        <w:drawing>
          <wp:inline distT="0" distB="0" distL="0" distR="0">
            <wp:extent cx="5274310" cy="1375410"/>
            <wp:effectExtent l="0" t="0" r="2540" b="0"/>
            <wp:docPr id="17050588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058888" name="图片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5274310" cy="1375410"/>
                    </a:xfrm>
                    <a:prstGeom prst="rect">
                      <a:avLst/>
                    </a:prstGeom>
                    <a:noFill/>
                    <a:ln>
                      <a:noFill/>
                    </a:ln>
                  </pic:spPr>
                </pic:pic>
              </a:graphicData>
            </a:graphic>
          </wp:inline>
        </w:drawing>
      </w:r>
    </w:p>
    <w:p>
      <w:pPr>
        <w:pStyle w:val="38"/>
      </w:pPr>
      <w:r>
        <w:rPr>
          <w:rFonts w:hint="eastAsia"/>
        </w:rPr>
        <w:t>图2</w:t>
      </w:r>
      <w:r>
        <w:t xml:space="preserve">.1-5  </w:t>
      </w:r>
      <w:r>
        <w:rPr>
          <w:rFonts w:hint="eastAsia"/>
        </w:rPr>
        <w:t>A</w:t>
      </w:r>
      <w:r>
        <w:rPr>
          <w:rFonts w:hint="eastAsia"/>
          <w:vertAlign w:val="superscript"/>
        </w:rPr>
        <w:t>2</w:t>
      </w:r>
      <w:r>
        <w:rPr>
          <w:rFonts w:hint="eastAsia"/>
        </w:rPr>
        <w:t>/O工艺流程图</w:t>
      </w:r>
    </w:p>
    <w:p>
      <w:pPr>
        <w:pStyle w:val="40"/>
      </w:pPr>
      <w:r>
        <w:drawing>
          <wp:inline distT="0" distB="0" distL="0" distR="0">
            <wp:extent cx="5149850" cy="5274310"/>
            <wp:effectExtent l="0" t="0" r="0" b="2540"/>
            <wp:docPr id="10156766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76632" name="图片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149850" cy="5274310"/>
                    </a:xfrm>
                    <a:prstGeom prst="rect">
                      <a:avLst/>
                    </a:prstGeom>
                    <a:noFill/>
                    <a:ln>
                      <a:noFill/>
                    </a:ln>
                  </pic:spPr>
                </pic:pic>
              </a:graphicData>
            </a:graphic>
          </wp:inline>
        </w:drawing>
      </w:r>
    </w:p>
    <w:p>
      <w:pPr>
        <w:pStyle w:val="38"/>
      </w:pPr>
      <w:r>
        <w:rPr>
          <w:rFonts w:hint="eastAsia"/>
        </w:rPr>
        <w:t>图2</w:t>
      </w:r>
      <w:r>
        <w:t xml:space="preserve">.1-6  </w:t>
      </w:r>
      <w:r>
        <w:rPr>
          <w:rFonts w:hint="eastAsia"/>
        </w:rPr>
        <w:t>污水处理工艺流程图</w:t>
      </w:r>
    </w:p>
    <w:p>
      <w:pPr>
        <w:pStyle w:val="27"/>
        <w:ind w:firstLine="480"/>
      </w:pPr>
      <w:r>
        <w:rPr>
          <w:rFonts w:hint="eastAsia"/>
        </w:rPr>
        <w:t>本项目变更后处理工艺采用“组合池（格栅井+调节池）+一体化污水处理站”工艺</w:t>
      </w:r>
      <w:r>
        <w:rPr>
          <w:rFonts w:hint="eastAsia"/>
          <w:szCs w:val="24"/>
        </w:rPr>
        <w:t>，与原环评基本保持一致，基于缩减占地的角度将格栅井和调节池于一处组合池内建设，同时取消了人工湿地处理环节，其中一体化污水处理站工艺均采用A</w:t>
      </w:r>
      <w:r>
        <w:rPr>
          <w:rFonts w:hint="eastAsia"/>
          <w:szCs w:val="24"/>
          <w:vertAlign w:val="superscript"/>
        </w:rPr>
        <w:t>2</w:t>
      </w:r>
      <w:r>
        <w:rPr>
          <w:rFonts w:hint="eastAsia"/>
          <w:szCs w:val="24"/>
        </w:rPr>
        <w:t>/O工艺</w:t>
      </w:r>
      <w:r>
        <w:rPr>
          <w:rFonts w:hint="eastAsia"/>
        </w:rPr>
        <w:t>。各乡镇生活污水经场外管网收集自流汇聚于组合池内格栅井中，经格栅后进入组合池内调节池中，废水经调节池均化水质水量后由提升泵抽至一体化污水处理站中。</w:t>
      </w:r>
    </w:p>
    <w:p>
      <w:pPr>
        <w:pStyle w:val="27"/>
        <w:ind w:firstLine="480"/>
      </w:pPr>
      <w:r>
        <w:rPr>
          <w:rFonts w:hint="eastAsia"/>
        </w:rPr>
        <w:t>一体化污水处理站中，在水解酸化池（A段），在大量水解细菌、酸化菌作用下将不溶性有机物水解为溶性有机物，将难生物降解的大分子物质转化为易生物降解的小分子物质。水解酸化池出水自流入生物接触氧化池（O段），自上向下流动，运行中废水与填料接触，微生物附着在填料上，水中的有机物被微生物吸附，氧化分解部分转化为新的生物膜，废水得以净化。在缺氧段（A段），异养菌将蛋白质、脂肪等污染物进行氨化（有机链上的N或氨基酸中的氨基）游离出氨（NH</w:t>
      </w:r>
      <w:r>
        <w:rPr>
          <w:rFonts w:hint="eastAsia"/>
          <w:vertAlign w:val="subscript"/>
        </w:rPr>
        <w:t>3</w:t>
      </w:r>
      <w:r>
        <w:rPr>
          <w:rFonts w:hint="eastAsia"/>
        </w:rPr>
        <w:t>、NH4</w:t>
      </w:r>
      <w:r>
        <w:rPr>
          <w:rFonts w:hint="eastAsia"/>
          <w:vertAlign w:val="superscript"/>
        </w:rPr>
        <w:t>+</w:t>
      </w:r>
      <w:r>
        <w:rPr>
          <w:rFonts w:hint="eastAsia"/>
        </w:rPr>
        <w:t>），在充足供氧条件下（O段），自养菌的硝化作用将NH</w:t>
      </w:r>
      <w:r>
        <w:rPr>
          <w:rFonts w:hint="eastAsia"/>
          <w:vertAlign w:val="subscript"/>
        </w:rPr>
        <w:t>3</w:t>
      </w:r>
      <w:r>
        <w:rPr>
          <w:rFonts w:hint="eastAsia"/>
        </w:rPr>
        <w:t>-N（NH</w:t>
      </w:r>
      <w:r>
        <w:rPr>
          <w:rFonts w:hint="eastAsia"/>
          <w:vertAlign w:val="subscript"/>
        </w:rPr>
        <w:t>4</w:t>
      </w:r>
      <w:r>
        <w:rPr>
          <w:rFonts w:hint="eastAsia"/>
          <w:vertAlign w:val="superscript"/>
        </w:rPr>
        <w:t>+</w:t>
      </w:r>
      <w:r>
        <w:rPr>
          <w:rFonts w:hint="eastAsia"/>
        </w:rPr>
        <w:t>）氧化为NO</w:t>
      </w:r>
      <w:r>
        <w:rPr>
          <w:rFonts w:hint="eastAsia"/>
          <w:vertAlign w:val="subscript"/>
        </w:rPr>
        <w:t>3</w:t>
      </w:r>
      <w:r>
        <w:rPr>
          <w:rFonts w:hint="eastAsia"/>
          <w:vertAlign w:val="superscript"/>
        </w:rPr>
        <w:t>-</w:t>
      </w:r>
      <w:r>
        <w:rPr>
          <w:rFonts w:hint="eastAsia"/>
        </w:rPr>
        <w:t>，通过回流控制返回至A池，在缺氧条件下，异氧菌的反硝化作用将NO</w:t>
      </w:r>
      <w:r>
        <w:rPr>
          <w:rFonts w:hint="eastAsia"/>
          <w:vertAlign w:val="subscript"/>
        </w:rPr>
        <w:t>3</w:t>
      </w:r>
      <w:r>
        <w:rPr>
          <w:rFonts w:hint="eastAsia"/>
          <w:vertAlign w:val="superscript"/>
        </w:rPr>
        <w:t>-</w:t>
      </w:r>
      <w:r>
        <w:rPr>
          <w:rFonts w:hint="eastAsia"/>
        </w:rPr>
        <w:t>还原为分子态氮（N</w:t>
      </w:r>
      <w:r>
        <w:rPr>
          <w:rFonts w:hint="eastAsia"/>
          <w:vertAlign w:val="subscript"/>
        </w:rPr>
        <w:t>2</w:t>
      </w:r>
      <w:r>
        <w:rPr>
          <w:rFonts w:hint="eastAsia"/>
        </w:rPr>
        <w:t>）完成C、N、O在生态中的循环，实现污水无害化处理。经过两级AO后出水自流至沉淀池，进行泥水分离，部分污泥通过管道离心泵回流至污泥池中，沉淀池上层清液溢流至中间提升泵站，由提升泵泵入清水池，采用紫外线消毒后达标排放。</w:t>
      </w:r>
    </w:p>
    <w:p>
      <w:pPr>
        <w:pStyle w:val="27"/>
        <w:ind w:firstLine="480"/>
      </w:pPr>
      <w:r>
        <w:rPr>
          <w:rFonts w:hint="eastAsia"/>
        </w:rPr>
        <w:t>沉淀池与生化处理池都设置了排泥管道，底泥定期排入集泥池，再经提升泵抽至污泥池进行沉淀、重力浓缩，下层污泥定期清运，污泥池上清液回流至组合池。</w:t>
      </w:r>
    </w:p>
    <w:p>
      <w:pPr>
        <w:pStyle w:val="32"/>
      </w:pPr>
      <w:bookmarkStart w:id="25" w:name="_Toc161250450"/>
      <w:r>
        <w:rPr>
          <w:rFonts w:hint="eastAsia"/>
        </w:rPr>
        <w:t>2</w:t>
      </w:r>
      <w:r>
        <w:t>.2</w:t>
      </w:r>
      <w:r>
        <w:rPr>
          <w:rFonts w:hint="eastAsia"/>
        </w:rPr>
        <w:t>项目所在区域概况</w:t>
      </w:r>
      <w:bookmarkEnd w:id="25"/>
    </w:p>
    <w:p>
      <w:pPr>
        <w:pStyle w:val="35"/>
      </w:pPr>
      <w:bookmarkStart w:id="26" w:name="_Toc161250451"/>
      <w:r>
        <w:rPr>
          <w:rFonts w:hint="eastAsia"/>
        </w:rPr>
        <w:t>2</w:t>
      </w:r>
      <w:r>
        <w:t>.2.1</w:t>
      </w:r>
      <w:r>
        <w:rPr>
          <w:rFonts w:hint="eastAsia"/>
        </w:rPr>
        <w:t>地理位置</w:t>
      </w:r>
      <w:bookmarkEnd w:id="26"/>
    </w:p>
    <w:p>
      <w:pPr>
        <w:pStyle w:val="27"/>
        <w:ind w:firstLine="480"/>
        <w:rPr>
          <w:rStyle w:val="47"/>
        </w:rPr>
      </w:pPr>
      <w:r>
        <w:rPr>
          <w:rStyle w:val="47"/>
        </w:rPr>
        <w:t>祁东县位于湖南省衡邵盆地西南边缘，</w:t>
      </w:r>
      <w:r>
        <w:fldChar w:fldCharType="begin"/>
      </w:r>
      <w:r>
        <w:instrText xml:space="preserve"> HYPERLINK "https://baike.baidu.com/item/%E6%B9%98%E6%B1%9F/1710?fromModule=lemma_inlink" \t "_blank" </w:instrText>
      </w:r>
      <w:r>
        <w:fldChar w:fldCharType="separate"/>
      </w:r>
      <w:r>
        <w:rPr>
          <w:rStyle w:val="23"/>
          <w:color w:val="auto"/>
          <w:u w:val="none"/>
        </w:rPr>
        <w:t>湘江</w:t>
      </w:r>
      <w:r>
        <w:rPr>
          <w:rStyle w:val="23"/>
          <w:color w:val="auto"/>
          <w:u w:val="none"/>
        </w:rPr>
        <w:fldChar w:fldCharType="end"/>
      </w:r>
      <w:r>
        <w:rPr>
          <w:rStyle w:val="47"/>
        </w:rPr>
        <w:t>中游北岸，地势自西北向东南倾斜，西部为四明山，中部为祁山，东南为湘江之滨，湘江流经境域51公里。东接</w:t>
      </w:r>
      <w:r>
        <w:fldChar w:fldCharType="begin"/>
      </w:r>
      <w:r>
        <w:instrText xml:space="preserve"> HYPERLINK "https://baike.baidu.com/item/%E8%A1%A1%E5%8D%97%E5%8E%BF/5116029?fromModule=lemma_inlink" \t "_blank" </w:instrText>
      </w:r>
      <w:r>
        <w:fldChar w:fldCharType="separate"/>
      </w:r>
      <w:r>
        <w:rPr>
          <w:rStyle w:val="23"/>
          <w:color w:val="auto"/>
          <w:u w:val="none"/>
        </w:rPr>
        <w:t>衡南县</w:t>
      </w:r>
      <w:r>
        <w:rPr>
          <w:rStyle w:val="23"/>
          <w:color w:val="auto"/>
          <w:u w:val="none"/>
        </w:rPr>
        <w:fldChar w:fldCharType="end"/>
      </w:r>
      <w:r>
        <w:rPr>
          <w:rStyle w:val="47"/>
        </w:rPr>
        <w:t>、</w:t>
      </w:r>
      <w:r>
        <w:fldChar w:fldCharType="begin"/>
      </w:r>
      <w:r>
        <w:instrText xml:space="preserve"> HYPERLINK "https://baike.baidu.com/item/%E5%B8%B8%E5%AE%81%E5%B8%82/10368848?fromModule=lemma_inlink" \t "_blank" </w:instrText>
      </w:r>
      <w:r>
        <w:fldChar w:fldCharType="separate"/>
      </w:r>
      <w:r>
        <w:rPr>
          <w:rStyle w:val="23"/>
          <w:color w:val="auto"/>
          <w:u w:val="none"/>
        </w:rPr>
        <w:t>常宁市</w:t>
      </w:r>
      <w:r>
        <w:rPr>
          <w:rStyle w:val="23"/>
          <w:color w:val="auto"/>
          <w:u w:val="none"/>
        </w:rPr>
        <w:fldChar w:fldCharType="end"/>
      </w:r>
      <w:r>
        <w:rPr>
          <w:rStyle w:val="47"/>
        </w:rPr>
        <w:t>，南连</w:t>
      </w:r>
      <w:r>
        <w:fldChar w:fldCharType="begin"/>
      </w:r>
      <w:r>
        <w:instrText xml:space="preserve"> HYPERLINK "https://baike.baidu.com/item/%E6%B0%B8%E5%B7%9E%E5%B8%82/3111713?fromModule=lemma_inlink" \t "_blank" </w:instrText>
      </w:r>
      <w:r>
        <w:fldChar w:fldCharType="separate"/>
      </w:r>
      <w:r>
        <w:rPr>
          <w:rStyle w:val="23"/>
          <w:color w:val="auto"/>
          <w:u w:val="none"/>
        </w:rPr>
        <w:t>永州市</w:t>
      </w:r>
      <w:r>
        <w:rPr>
          <w:rStyle w:val="23"/>
          <w:color w:val="auto"/>
          <w:u w:val="none"/>
        </w:rPr>
        <w:fldChar w:fldCharType="end"/>
      </w:r>
      <w:r>
        <w:fldChar w:fldCharType="begin"/>
      </w:r>
      <w:r>
        <w:instrText xml:space="preserve"> HYPERLINK "https://baike.baidu.com/item/%E7%A5%81%E9%98%B3%E5%8E%BF/10369657?fromModule=lemma_inlink" \t "_blank" </w:instrText>
      </w:r>
      <w:r>
        <w:fldChar w:fldCharType="separate"/>
      </w:r>
      <w:r>
        <w:rPr>
          <w:rStyle w:val="23"/>
          <w:color w:val="auto"/>
          <w:u w:val="none"/>
        </w:rPr>
        <w:t>祁阳县</w:t>
      </w:r>
      <w:r>
        <w:rPr>
          <w:rStyle w:val="23"/>
          <w:color w:val="auto"/>
          <w:u w:val="none"/>
        </w:rPr>
        <w:fldChar w:fldCharType="end"/>
      </w:r>
      <w:r>
        <w:rPr>
          <w:rStyle w:val="47"/>
        </w:rPr>
        <w:t>、</w:t>
      </w:r>
      <w:r>
        <w:fldChar w:fldCharType="begin"/>
      </w:r>
      <w:r>
        <w:instrText xml:space="preserve"> HYPERLINK "https://baike.baidu.com/item/%E5%86%B7%E6%B0%B4%E6%BB%A9%E5%8C%BA/10369643?fromModule=lemma_inlink" \t "_blank" </w:instrText>
      </w:r>
      <w:r>
        <w:fldChar w:fldCharType="separate"/>
      </w:r>
      <w:r>
        <w:rPr>
          <w:rStyle w:val="23"/>
          <w:color w:val="auto"/>
          <w:u w:val="none"/>
        </w:rPr>
        <w:t>冷水滩区</w:t>
      </w:r>
      <w:r>
        <w:rPr>
          <w:rStyle w:val="23"/>
          <w:color w:val="auto"/>
          <w:u w:val="none"/>
        </w:rPr>
        <w:fldChar w:fldCharType="end"/>
      </w:r>
      <w:r>
        <w:rPr>
          <w:rStyle w:val="47"/>
        </w:rPr>
        <w:t>，西邻</w:t>
      </w:r>
      <w:r>
        <w:fldChar w:fldCharType="begin"/>
      </w:r>
      <w:r>
        <w:instrText xml:space="preserve"> HYPERLINK "https://baike.baidu.com/item/%E4%B8%9C%E5%AE%89%E5%8E%BF/81388?fromModule=lemma_inlink" \t "_blank" </w:instrText>
      </w:r>
      <w:r>
        <w:fldChar w:fldCharType="separate"/>
      </w:r>
      <w:r>
        <w:rPr>
          <w:rStyle w:val="23"/>
          <w:color w:val="auto"/>
          <w:u w:val="none"/>
        </w:rPr>
        <w:t>东安县</w:t>
      </w:r>
      <w:r>
        <w:rPr>
          <w:rStyle w:val="23"/>
          <w:color w:val="auto"/>
          <w:u w:val="none"/>
        </w:rPr>
        <w:fldChar w:fldCharType="end"/>
      </w:r>
      <w:r>
        <w:rPr>
          <w:rStyle w:val="47"/>
        </w:rPr>
        <w:t>、</w:t>
      </w:r>
      <w:r>
        <w:fldChar w:fldCharType="begin"/>
      </w:r>
      <w:r>
        <w:instrText xml:space="preserve"> HYPERLINK "https://baike.baidu.com/item/%E9%82%B5%E9%98%B3%E5%B8%82/402435?fromModule=lemma_inlink" \t "_blank" </w:instrText>
      </w:r>
      <w:r>
        <w:fldChar w:fldCharType="separate"/>
      </w:r>
      <w:r>
        <w:rPr>
          <w:rStyle w:val="23"/>
          <w:color w:val="auto"/>
          <w:u w:val="none"/>
        </w:rPr>
        <w:t>邵阳市</w:t>
      </w:r>
      <w:r>
        <w:rPr>
          <w:rStyle w:val="23"/>
          <w:color w:val="auto"/>
          <w:u w:val="none"/>
        </w:rPr>
        <w:fldChar w:fldCharType="end"/>
      </w:r>
      <w:r>
        <w:fldChar w:fldCharType="begin"/>
      </w:r>
      <w:r>
        <w:instrText xml:space="preserve"> HYPERLINK "https://baike.baidu.com/item/%E9%82%B5%E9%98%B3%E5%8E%BF/8568907?fromModule=lemma_inlink" \t "_blank" </w:instrText>
      </w:r>
      <w:r>
        <w:fldChar w:fldCharType="separate"/>
      </w:r>
      <w:r>
        <w:rPr>
          <w:rStyle w:val="23"/>
          <w:color w:val="auto"/>
          <w:u w:val="none"/>
        </w:rPr>
        <w:t>邵阳县</w:t>
      </w:r>
      <w:r>
        <w:rPr>
          <w:rStyle w:val="23"/>
          <w:color w:val="auto"/>
          <w:u w:val="none"/>
        </w:rPr>
        <w:fldChar w:fldCharType="end"/>
      </w:r>
      <w:r>
        <w:rPr>
          <w:rStyle w:val="47"/>
        </w:rPr>
        <w:t>，北抵</w:t>
      </w:r>
      <w:r>
        <w:fldChar w:fldCharType="begin"/>
      </w:r>
      <w:r>
        <w:instrText xml:space="preserve"> HYPERLINK "https://baike.baidu.com/item/%E9%82%B5%E4%B8%9C%E5%8E%BF/4936366?fromModule=lemma_inlink" \t "_blank" </w:instrText>
      </w:r>
      <w:r>
        <w:fldChar w:fldCharType="separate"/>
      </w:r>
      <w:r>
        <w:rPr>
          <w:rStyle w:val="23"/>
          <w:color w:val="auto"/>
          <w:u w:val="none"/>
        </w:rPr>
        <w:t>邵东县</w:t>
      </w:r>
      <w:r>
        <w:rPr>
          <w:rStyle w:val="23"/>
          <w:color w:val="auto"/>
          <w:u w:val="none"/>
        </w:rPr>
        <w:fldChar w:fldCharType="end"/>
      </w:r>
      <w:r>
        <w:rPr>
          <w:rStyle w:val="47"/>
        </w:rPr>
        <w:t>、</w:t>
      </w:r>
      <w:r>
        <w:fldChar w:fldCharType="begin"/>
      </w:r>
      <w:r>
        <w:instrText xml:space="preserve"> HYPERLINK "https://baike.baidu.com/item/%E8%A1%A1%E9%98%B3%E5%8E%BF/3459101?fromModule=lemma_inlink" \t "_blank" </w:instrText>
      </w:r>
      <w:r>
        <w:fldChar w:fldCharType="separate"/>
      </w:r>
      <w:r>
        <w:rPr>
          <w:rStyle w:val="23"/>
          <w:color w:val="auto"/>
          <w:u w:val="none"/>
        </w:rPr>
        <w:t>衡阳县</w:t>
      </w:r>
      <w:r>
        <w:rPr>
          <w:rStyle w:val="23"/>
          <w:color w:val="auto"/>
          <w:u w:val="none"/>
        </w:rPr>
        <w:fldChar w:fldCharType="end"/>
      </w:r>
      <w:r>
        <w:rPr>
          <w:rStyle w:val="47"/>
        </w:rPr>
        <w:t>。介于东经111°32′16″～112°20′10″，北纬26°28′1″～27°4′34″之间，总面积1872平方千米。</w:t>
      </w:r>
    </w:p>
    <w:p>
      <w:pPr>
        <w:pStyle w:val="27"/>
        <w:ind w:firstLine="480"/>
      </w:pPr>
      <w:r>
        <w:rPr>
          <w:rFonts w:hint="eastAsia"/>
        </w:rPr>
        <w:t>凤歧坪乡，湖南省衡阳市祁东县下辖乡，地处祁东县西北边陲，东接步云桥镇，南邻蒋家桥镇，西与邵东县双凤乡接壤，北与邵阳县郦家坪镇交界，行政区域面积39.55平方千米。</w:t>
      </w:r>
    </w:p>
    <w:p>
      <w:pPr>
        <w:pStyle w:val="27"/>
        <w:ind w:firstLine="480"/>
      </w:pPr>
      <w:r>
        <w:rPr>
          <w:rFonts w:hint="eastAsia"/>
        </w:rPr>
        <w:t>凤歧坪乡污水处理工程位于凤歧坪乡人民政府南侧约120m处，中心地理坐标</w:t>
      </w:r>
      <w:r>
        <w:t>为E 111°40′6.42″, 27°01′17.79″。</w:t>
      </w:r>
    </w:p>
    <w:p>
      <w:pPr>
        <w:pStyle w:val="27"/>
        <w:ind w:firstLine="0" w:firstLineChars="0"/>
      </w:pPr>
      <w:r>
        <w:rPr>
          <w14:ligatures w14:val="standardContextual"/>
        </w:rPr>
        <mc:AlternateContent>
          <mc:Choice Requires="wps">
            <w:drawing>
              <wp:anchor distT="0" distB="0" distL="114300" distR="114300" simplePos="0" relativeHeight="251660288" behindDoc="0" locked="0" layoutInCell="1" allowOverlap="1">
                <wp:simplePos x="0" y="0"/>
                <wp:positionH relativeFrom="column">
                  <wp:posOffset>533400</wp:posOffset>
                </wp:positionH>
                <wp:positionV relativeFrom="paragraph">
                  <wp:posOffset>2095500</wp:posOffset>
                </wp:positionV>
                <wp:extent cx="1111885" cy="270510"/>
                <wp:effectExtent l="0" t="1504950" r="12065" b="15240"/>
                <wp:wrapNone/>
                <wp:docPr id="751489380" name="对话气泡: 矩形 12"/>
                <wp:cNvGraphicFramePr/>
                <a:graphic xmlns:a="http://schemas.openxmlformats.org/drawingml/2006/main">
                  <a:graphicData uri="http://schemas.microsoft.com/office/word/2010/wordprocessingShape">
                    <wps:wsp>
                      <wps:cNvSpPr/>
                      <wps:spPr>
                        <a:xfrm>
                          <a:off x="0" y="0"/>
                          <a:ext cx="1111885" cy="270510"/>
                        </a:xfrm>
                        <a:prstGeom prst="wedgeRectCallout">
                          <a:avLst>
                            <a:gd name="adj1" fmla="val 8040"/>
                            <a:gd name="adj2" fmla="val -597669"/>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42pt;margin-top:165pt;height:21.3pt;width:87.55pt;z-index:251660288;v-text-anchor:middle;mso-width-relative:page;mso-height-relative:page;" fillcolor="#FFFFFF [3201]" filled="t" stroked="t" coordsize="21600,21600" o:gfxdata="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lTmZx9gAAAAKAQAADwAAAAAA&#10;AAABACAAAAAiAAAAZHJzL2Rvd25yZXYueG1sUEsBAhQAFAAAAAgAh07iQGVcKhC+AgAAdAUAAA4A&#10;AAAAAAAAAQAgAAAAJwEAAGRycy9lMm9Eb2MueG1sUEsFBgAAAAAGAAYAWQEAAFcGAAAAAA==&#10;" adj="12537,-118297">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w:rPr>
          <w14:ligatures w14:val="standardContextual"/>
        </w:rPr>
        <mc:AlternateContent>
          <mc:Choice Requires="wps">
            <w:drawing>
              <wp:anchor distT="0" distB="0" distL="114300" distR="114300" simplePos="0" relativeHeight="251659264" behindDoc="0" locked="0" layoutInCell="1" allowOverlap="1">
                <wp:simplePos x="0" y="0"/>
                <wp:positionH relativeFrom="column">
                  <wp:posOffset>1102995</wp:posOffset>
                </wp:positionH>
                <wp:positionV relativeFrom="paragraph">
                  <wp:posOffset>513715</wp:posOffset>
                </wp:positionV>
                <wp:extent cx="131445" cy="131445"/>
                <wp:effectExtent l="19050" t="38100" r="40005" b="40005"/>
                <wp:wrapNone/>
                <wp:docPr id="1582948458" name="星形: 五角 11"/>
                <wp:cNvGraphicFramePr/>
                <a:graphic xmlns:a="http://schemas.openxmlformats.org/drawingml/2006/main">
                  <a:graphicData uri="http://schemas.microsoft.com/office/word/2010/wordprocessingShape">
                    <wps:wsp>
                      <wps:cNvSpPr/>
                      <wps:spPr>
                        <a:xfrm>
                          <a:off x="0" y="0"/>
                          <a:ext cx="131674" cy="131674"/>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11" o:spid="_x0000_s1026" style="position:absolute;left:0pt;margin-left:86.85pt;margin-top:40.45pt;height:10.35pt;width:10.35pt;z-index:251659264;v-text-anchor:middle;mso-width-relative:page;mso-height-relative:page;" fillcolor="#FF0000" filled="t" stroked="t" coordsize="131674,131674" o:gfxdata="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USx1e2gAAAAoBAAAPAAAAAAAAAAEA&#10;IAAAACIAAABkcnMvZG93bnJldi54bWxQSwECFAAUAAAACACHTuJAv3wDTX8CAAAGBQAADgAAAAAA&#10;AAABACAAAAApAQAAZHJzL2Uyb0RvYy54bWxQSwUGAAAAAAYABgBZAQAAGgYAAAAA&#10;" path="m0,50294l50295,50295,65837,0,81378,50295,131673,50294,90984,81378,106526,131673,65837,100589,25147,131673,40689,81378xe">
                <v:path o:connectlocs="65837,0;0,50294;25147,131673;106526,131673;131673,50294" o:connectangles="247,164,82,82,0"/>
                <v:fill on="t" focussize="0,0"/>
                <v:stroke weight="1pt" color="#FF0000 [3204]" miterlimit="8" joinstyle="miter"/>
                <v:imagedata o:title=""/>
                <o:lock v:ext="edit" aspectratio="f"/>
              </v:shape>
            </w:pict>
          </mc:Fallback>
        </mc:AlternateContent>
      </w:r>
      <w:r>
        <w:drawing>
          <wp:inline distT="0" distB="0" distL="0" distR="0">
            <wp:extent cx="5229860" cy="3787140"/>
            <wp:effectExtent l="0" t="0" r="8890" b="3810"/>
            <wp:docPr id="114620387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203875" name="图片 10"/>
                    <pic:cNvPicPr>
                      <a:picLocks noChangeAspect="1" noChangeArrowheads="1"/>
                    </pic:cNvPicPr>
                  </pic:nvPicPr>
                  <pic:blipFill>
                    <a:blip r:embed="rId15" cstate="print">
                      <a:extLst>
                        <a:ext uri="{28A0092B-C50C-407E-A947-70E740481C1C}">
                          <a14:useLocalDpi xmlns:a14="http://schemas.microsoft.com/office/drawing/2010/main" val="0"/>
                        </a:ext>
                      </a:extLst>
                    </a:blip>
                    <a:srcRect l="6104" t="4724" r="5963" b="4935"/>
                    <a:stretch>
                      <a:fillRect/>
                    </a:stretch>
                  </pic:blipFill>
                  <pic:spPr>
                    <a:xfrm>
                      <a:off x="0" y="0"/>
                      <a:ext cx="5244349" cy="3797352"/>
                    </a:xfrm>
                    <a:prstGeom prst="rect">
                      <a:avLst/>
                    </a:prstGeom>
                    <a:noFill/>
                    <a:ln>
                      <a:noFill/>
                    </a:ln>
                  </pic:spPr>
                </pic:pic>
              </a:graphicData>
            </a:graphic>
          </wp:inline>
        </w:drawing>
      </w:r>
    </w:p>
    <w:p>
      <w:pPr>
        <w:pStyle w:val="38"/>
      </w:pPr>
      <w:r>
        <w:rPr>
          <w:rFonts w:hint="eastAsia"/>
        </w:rPr>
        <w:t>图2</w:t>
      </w:r>
      <w:r>
        <w:t xml:space="preserve">.2-1  </w:t>
      </w:r>
      <w:r>
        <w:rPr>
          <w:rFonts w:hint="eastAsia"/>
        </w:rPr>
        <w:t>项目地理位置图</w:t>
      </w:r>
    </w:p>
    <w:p>
      <w:pPr>
        <w:pStyle w:val="35"/>
      </w:pPr>
      <w:bookmarkStart w:id="27" w:name="_Toc161250452"/>
      <w:r>
        <w:rPr>
          <w:rFonts w:hint="eastAsia"/>
        </w:rPr>
        <w:t>2</w:t>
      </w:r>
      <w:r>
        <w:t>.2.2</w:t>
      </w:r>
      <w:r>
        <w:rPr>
          <w:rFonts w:hint="eastAsia"/>
        </w:rPr>
        <w:t>地形地貌地质</w:t>
      </w:r>
      <w:bookmarkEnd w:id="27"/>
    </w:p>
    <w:p>
      <w:pPr>
        <w:pStyle w:val="27"/>
        <w:ind w:firstLine="480"/>
        <w:rPr>
          <w:rStyle w:val="47"/>
        </w:rPr>
      </w:pPr>
      <w:r>
        <w:rPr>
          <w:rStyle w:val="47"/>
        </w:rPr>
        <w:t>祁东县县境狭长，地势自西北向东南倾斜，平均坡降为12.5‰。最高点位于四明山乡的腾云岭主峰，海拔1043.2米。最低点为粮市镇枫冲村江河组湘江河床，海拔54.8米，与腾云岭高差988.4米。全境地貌组合呈三条横列带状。西北的中山、中低山、低山山地呈镰刀形环绕县境边陲；南部中段突起系祁山余脉，多为中低山、低山山地；两山地之间的狭长地带为地势低平、呈波状起伏的岗地、丘陵和平原。以形态类型划分，地貌以岗、山居多，平、丘、水兼有。山地、丘陵、岗地、平原和水面的组合比例大致为1:0.4:1.1:0.7:0.2。山地主要分布在西北部和南部中段，海拔均在300米以上，相对高度大于200米，坡度大于20度，地势起伏变化大，脉络明显，面积541.31平方公里，占总面积28.93%；丘陵海拔均在350米以下，相对高度60～200米，丘体稍有脉络，其顶浑圆，流水侵蚀中等，面积236.07平方公里，占12.61%；岗地，主要分布在两山地之间的狭长地带及东南红岩区，海拔均在300米以下，切割破碎，相对高度10～60米，坡度5～15度，面积595.41平方公里，占31.82%；平原主要分布在湘江、白河、祁水沿岸和丘陵山区的垄间，地势平坦，稍有起伏</w:t>
      </w:r>
      <w:r>
        <w:rPr>
          <w:rStyle w:val="47"/>
          <w:rFonts w:hint="eastAsia"/>
        </w:rPr>
        <w:t>，</w:t>
      </w:r>
      <w:r>
        <w:rPr>
          <w:rStyle w:val="47"/>
        </w:rPr>
        <w:t>一般由第四纪松散堆积物组成</w:t>
      </w:r>
      <w:r>
        <w:rPr>
          <w:rStyle w:val="47"/>
          <w:rFonts w:hint="eastAsia"/>
        </w:rPr>
        <w:t>，</w:t>
      </w:r>
      <w:r>
        <w:rPr>
          <w:rStyle w:val="47"/>
        </w:rPr>
        <w:t>面积383.52平方公里</w:t>
      </w:r>
      <w:r>
        <w:rPr>
          <w:rStyle w:val="47"/>
          <w:rFonts w:hint="eastAsia"/>
        </w:rPr>
        <w:t>，</w:t>
      </w:r>
      <w:r>
        <w:rPr>
          <w:rStyle w:val="47"/>
        </w:rPr>
        <w:t>占20.46%。</w:t>
      </w:r>
    </w:p>
    <w:p>
      <w:pPr>
        <w:pStyle w:val="27"/>
        <w:ind w:firstLine="480"/>
      </w:pPr>
      <w:r>
        <w:rPr>
          <w:rFonts w:hint="eastAsia"/>
        </w:rPr>
        <w:t>本项目位于凤歧坪乡集镇区南侧，集镇区地势较为平坦，整体呈西北高东南低，本项目管网采用重力自流方式收集污水，污水排放通过重力自流排入东侧灌溉渠，之后经15km灌溉渠排入祁水。</w:t>
      </w:r>
    </w:p>
    <w:p>
      <w:pPr>
        <w:pStyle w:val="35"/>
      </w:pPr>
      <w:bookmarkStart w:id="28" w:name="_Toc161250453"/>
      <w:r>
        <w:rPr>
          <w:rFonts w:hint="eastAsia"/>
        </w:rPr>
        <w:t>2</w:t>
      </w:r>
      <w:r>
        <w:t>.2.3</w:t>
      </w:r>
      <w:r>
        <w:rPr>
          <w:rFonts w:hint="eastAsia"/>
        </w:rPr>
        <w:t>气候气象</w:t>
      </w:r>
      <w:bookmarkEnd w:id="28"/>
    </w:p>
    <w:p>
      <w:pPr>
        <w:pStyle w:val="27"/>
        <w:ind w:firstLine="480"/>
      </w:pPr>
      <w:r>
        <w:t>祁东县属中亚热带季风湿润气候，具有气候温和、四季分明、热量充足、雨季集中、降水充沛等特点，受季风环流影响较明显。夏季为低纬度海洋暖温气团所控制，温高湿重，天气炎热。冬季受西伯利亚干冷气团影响，寒流频频南下，造成雪雨冰霜。春、夏之交，正处于冷暖气团交界处，锋面和气旋活动频繁，形成梅雨天气，常有山洪暴发。</w:t>
      </w:r>
    </w:p>
    <w:p>
      <w:pPr>
        <w:pStyle w:val="27"/>
        <w:ind w:firstLine="480"/>
      </w:pPr>
      <w:r>
        <w:rPr>
          <w:rFonts w:hint="eastAsia"/>
        </w:rPr>
        <w:t>祁东气象站</w:t>
      </w:r>
      <w:r>
        <w:rPr>
          <w:kern w:val="0"/>
        </w:rPr>
        <w:t>站台编号为57870，</w:t>
      </w:r>
      <w:r>
        <w:t>站点地理坐标为东经112.0825度，北纬26.7633度，测站高度218.9米。该气象站位于拟建厂区西侧，距离8.4km。</w:t>
      </w:r>
      <w:r>
        <w:rPr>
          <w:kern w:val="0"/>
        </w:rPr>
        <w:t>据祁东气象站2003～2022年累计气象观测资料，本地区多年最大日降水量为87.25mm(极值为159.6mm，出现时间：2021.8.18)，多年最高气温为3</w:t>
      </w:r>
      <w:r>
        <w:rPr>
          <w:rFonts w:hint="eastAsia"/>
          <w:kern w:val="0"/>
        </w:rPr>
        <w:t>8</w:t>
      </w:r>
      <w:r>
        <w:rPr>
          <w:kern w:val="0"/>
        </w:rPr>
        <w:t>.73℃(极值为40.6℃，出现时间：2010.78.5)，多年最低气温为-1.86℃(极值为-4.5℃，出现时间：2008.2.3)，多年最大风速为16.22m/s(极值为26.5m/s，出现时间：2002.8.8)，多年平均气压为996.48</w:t>
      </w:r>
      <w:r>
        <w:t>hPa</w:t>
      </w:r>
      <w:r>
        <w:rPr>
          <w:kern w:val="0"/>
        </w:rPr>
        <w:t>。</w:t>
      </w:r>
    </w:p>
    <w:p>
      <w:pPr>
        <w:pStyle w:val="35"/>
      </w:pPr>
      <w:bookmarkStart w:id="29" w:name="_Toc161250454"/>
      <w:r>
        <w:rPr>
          <w:rFonts w:hint="eastAsia"/>
        </w:rPr>
        <w:t>2</w:t>
      </w:r>
      <w:r>
        <w:t>.2.4</w:t>
      </w:r>
      <w:r>
        <w:rPr>
          <w:rFonts w:hint="eastAsia"/>
        </w:rPr>
        <w:t>水文条件</w:t>
      </w:r>
      <w:bookmarkEnd w:id="29"/>
    </w:p>
    <w:p>
      <w:pPr>
        <w:pStyle w:val="27"/>
        <w:ind w:firstLine="480"/>
      </w:pPr>
      <w:r>
        <w:rPr>
          <w:rFonts w:hint="eastAsia"/>
        </w:rPr>
        <w:t>1、地表水</w:t>
      </w:r>
    </w:p>
    <w:p>
      <w:pPr>
        <w:pStyle w:val="27"/>
        <w:ind w:firstLine="480"/>
      </w:pPr>
      <w:r>
        <w:t>祁东县属湘江流域。境内有湘江一级支流6条，长达278公里</w:t>
      </w:r>
      <w:r>
        <w:rPr>
          <w:rFonts w:hint="eastAsia"/>
        </w:rPr>
        <w:t>，</w:t>
      </w:r>
      <w:r>
        <w:t>二级支流17条，长达407.4公里，三级支流23条，长达237.9公里，四级支流2条，长24.3公里。此外，河长小于5公里或控制流域面积不足10平方公里的小溪沟有210条，长513公里。全县河网平均密度每平方公里0.77公里。境内水系可分祁水水系和归阳河水系，二水系以白地市的花屋、毛坪、七宝山一带的抬升地段为分水岭，祁水居西，归阳河居东。主要河流有湘江、祁水、归阳河及清江。归阳河的最长支流是清江，汇合前又自成水系。归阳河与清江是以断岭冲至双桥一带的山丘脊岭为界，归阳河居东，清江居南。</w:t>
      </w:r>
    </w:p>
    <w:p>
      <w:pPr>
        <w:pStyle w:val="27"/>
        <w:ind w:firstLine="480"/>
      </w:pPr>
      <w:r>
        <w:t>湘江从祁阳县楼梯乡水桐流入祁东县归阳镇清塘堰村狮子头，经归阳、七碗、樟木、五家围、河洲、粮市等乡镇，从粮市乡枫冲村江河组进入衡南县境内流长引公里，最宽处是五家围乡林埠头至祁阳县林家塘，宽1210米。最窄处是五家围乡戏台坪至常宁县大堡，宽255米。境内平均坡降12.9%。接纳了本县全部水系，累年平均流量每秒774.5立方米，实测流量每秒1.33万立方米（1976年），最小流量每秒23.5立方米（1966年）。归阳水文站确定，归山河段警戒为44米（折海拔高程69.69米）。50年来，最高水位达49.52米，最低水位38.5米（1966），归阳以下，小火轮可终年通航，归阳以上在枯水季节停航。</w:t>
      </w:r>
    </w:p>
    <w:p>
      <w:pPr>
        <w:pStyle w:val="27"/>
        <w:ind w:firstLine="480"/>
      </w:pPr>
      <w:r>
        <w:rPr>
          <w:rFonts w:hint="eastAsia"/>
        </w:rPr>
        <w:t>祁水又名“小东江”，湘江一级支流，发源于湖南省邵阳市四明山东侧的九塘坳。该河流流经邵阳县、祁东县、祁阳县，于祁阳县浯溪镇-东江村头海水湾入湘江。祁水长114公里，流域面积1685平方公里，流域内属亚热带季风气候，祁水为祁东县西北部和祁阳县北部农田灌溉主要水源。为祁阳县浯溪镇内唯一一条支流。多年平均流量23.9立方米每秒，多年平均径流量7.55亿立方米。</w:t>
      </w:r>
    </w:p>
    <w:p>
      <w:pPr>
        <w:pStyle w:val="27"/>
        <w:ind w:firstLine="480"/>
      </w:pPr>
      <w:bookmarkStart w:id="30" w:name="_Hlk162215163"/>
      <w:r>
        <w:rPr>
          <w:color w:val="000000"/>
          <w:kern w:val="0"/>
          <w:szCs w:val="24"/>
          <w:u w:val="single"/>
          <w:lang w:bidi="ar"/>
        </w:rPr>
        <w:t>根据项目区域水系与排水路径图可知，</w:t>
      </w:r>
      <w:r>
        <w:rPr>
          <w:rFonts w:hint="eastAsia" w:hAnsi="宋体"/>
          <w:szCs w:val="24"/>
          <w:u w:val="single"/>
        </w:rPr>
        <w:t>项目污水处理达标后通过管道排入厂区东侧灌溉渠，之后经15km灌溉渠进入祁水</w:t>
      </w:r>
      <w:r>
        <w:rPr>
          <w:color w:val="000000"/>
          <w:kern w:val="0"/>
          <w:szCs w:val="24"/>
          <w:u w:val="single"/>
          <w:lang w:bidi="ar"/>
        </w:rPr>
        <w:t>，</w:t>
      </w:r>
      <w:r>
        <w:rPr>
          <w:rFonts w:hint="eastAsia"/>
          <w:color w:val="000000"/>
          <w:kern w:val="0"/>
          <w:szCs w:val="24"/>
          <w:u w:val="single"/>
          <w:lang w:bidi="ar"/>
        </w:rPr>
        <w:t>根据现场调查可知</w:t>
      </w:r>
      <w:r>
        <w:rPr>
          <w:color w:val="000000"/>
          <w:kern w:val="0"/>
          <w:szCs w:val="24"/>
          <w:u w:val="single"/>
          <w:lang w:bidi="ar"/>
        </w:rPr>
        <w:t>排水路径沿途周边主要以农用地为主，包括水田、菜地等，</w:t>
      </w:r>
      <w:r>
        <w:rPr>
          <w:rFonts w:hint="eastAsia"/>
          <w:color w:val="000000"/>
          <w:kern w:val="0"/>
          <w:szCs w:val="24"/>
          <w:u w:val="single"/>
          <w:lang w:bidi="ar"/>
        </w:rPr>
        <w:t>灌溉渠作为凤歧坪乡农业耕作的主要用水来源，祁水论证范围为渔业用水，不涉及水产种质资源保护区、饮用水源保护区等</w:t>
      </w:r>
      <w:r>
        <w:rPr>
          <w:color w:val="000000"/>
          <w:kern w:val="0"/>
          <w:szCs w:val="24"/>
          <w:u w:val="single"/>
          <w:lang w:bidi="ar"/>
        </w:rPr>
        <w:t>其它需特别保护的水环境敏感目标。</w:t>
      </w:r>
      <w:bookmarkEnd w:id="30"/>
    </w:p>
    <w:p>
      <w:pPr>
        <w:pStyle w:val="27"/>
        <w:ind w:firstLine="480"/>
      </w:pPr>
      <w:r>
        <w:rPr>
          <w:rFonts w:hint="eastAsia"/>
        </w:rPr>
        <w:t>2、地下水</w:t>
      </w:r>
    </w:p>
    <w:p>
      <w:pPr>
        <w:pStyle w:val="27"/>
        <w:ind w:firstLine="480"/>
      </w:pPr>
      <w:r>
        <w:rPr>
          <w:rFonts w:hint="eastAsia"/>
        </w:rPr>
        <w:t>（1）地下水类型及富水性</w:t>
      </w:r>
    </w:p>
    <w:p>
      <w:pPr>
        <w:pStyle w:val="27"/>
        <w:ind w:firstLine="480"/>
      </w:pPr>
      <w:r>
        <w:t>场地地下水类型按埋藏条件，可分为上层滞水和基岩裂隙水。</w:t>
      </w:r>
    </w:p>
    <w:p>
      <w:pPr>
        <w:pStyle w:val="27"/>
        <w:ind w:firstLine="480"/>
      </w:pPr>
      <w:r>
        <w:rPr>
          <w:rFonts w:hint="eastAsia"/>
        </w:rPr>
        <w:t>1</w:t>
      </w:r>
      <w:r>
        <w:t>）上层滞水</w:t>
      </w:r>
    </w:p>
    <w:p>
      <w:pPr>
        <w:pStyle w:val="27"/>
        <w:ind w:firstLine="480"/>
      </w:pPr>
      <w:r>
        <w:t>赋存于人工填土</w:t>
      </w:r>
      <w:r>
        <w:rPr>
          <w:rFonts w:hint="eastAsia" w:ascii="宋体" w:hAnsi="宋体" w:cs="宋体"/>
        </w:rPr>
        <w:t>①</w:t>
      </w:r>
      <w:r>
        <w:t>和耕土</w:t>
      </w:r>
      <w:r>
        <w:rPr>
          <w:rFonts w:hint="eastAsia" w:ascii="宋体" w:hAnsi="宋体" w:cs="宋体"/>
        </w:rPr>
        <w:t>②</w:t>
      </w:r>
      <w:r>
        <w:t>层中，主要接受地表排水与大气降水的补给，上层滞水水位不连续，无统一自由水面，本次勘察仅在ZK5、ZK10中揭露到地下水，上层滞水稳定水位埋深0.20-1.50m，水位标高为102.71-105.60m。</w:t>
      </w:r>
    </w:p>
    <w:p>
      <w:pPr>
        <w:pStyle w:val="27"/>
        <w:ind w:firstLine="480"/>
      </w:pPr>
      <w:r>
        <w:rPr>
          <w:rFonts w:hint="eastAsia"/>
        </w:rPr>
        <w:t>2</w:t>
      </w:r>
      <w:r>
        <w:t>）基岩裂隙水</w:t>
      </w:r>
    </w:p>
    <w:p>
      <w:pPr>
        <w:pStyle w:val="27"/>
        <w:ind w:firstLine="480"/>
      </w:pPr>
      <w:r>
        <w:t>基岩裂隙水赋存场地泥质粉砂岩裂隙中，该场地强风化岩节理裂隙发育，中风化岩节理裂隙稍发育，基岩裂隙水分布不均匀，主要受大气降水补给，地下水总体沿基岩裂隙顺地势降低或渗出，水量贫乏，勘察期间未能测得其水位。</w:t>
      </w:r>
    </w:p>
    <w:p>
      <w:pPr>
        <w:pStyle w:val="27"/>
        <w:ind w:firstLine="480"/>
      </w:pPr>
      <w:r>
        <w:rPr>
          <w:rFonts w:hint="eastAsia"/>
        </w:rPr>
        <w:t>（2）地下水补、迳、排条件及动态特征</w:t>
      </w:r>
    </w:p>
    <w:p>
      <w:pPr>
        <w:pStyle w:val="27"/>
        <w:ind w:firstLine="480"/>
      </w:pPr>
      <w:r>
        <w:t>场地上层滞水主要靠大气降水入渗补给，以大气蒸发方式排泄，该层地下水年变化幅度一般为水位变幅在0.5～2.0m左右。基岩裂隙水主要存在泥质粉砂岩中，水量较小，主要受大气降水补给。</w:t>
      </w:r>
    </w:p>
    <w:p>
      <w:pPr>
        <w:pStyle w:val="27"/>
        <w:ind w:firstLine="0" w:firstLineChars="0"/>
      </w:pPr>
      <w:r>
        <w:rPr>
          <w14:ligatures w14:val="standardContextual"/>
        </w:rPr>
        <mc:AlternateContent>
          <mc:Choice Requires="wps">
            <w:drawing>
              <wp:anchor distT="0" distB="0" distL="114300" distR="114300" simplePos="0" relativeHeight="251706368" behindDoc="0" locked="0" layoutInCell="1" allowOverlap="1">
                <wp:simplePos x="0" y="0"/>
                <wp:positionH relativeFrom="column">
                  <wp:posOffset>3361055</wp:posOffset>
                </wp:positionH>
                <wp:positionV relativeFrom="paragraph">
                  <wp:posOffset>1464945</wp:posOffset>
                </wp:positionV>
                <wp:extent cx="1484630" cy="255905"/>
                <wp:effectExtent l="819150" t="152400" r="20320" b="10795"/>
                <wp:wrapNone/>
                <wp:docPr id="2060707741" name="对话气泡: 矩形 15"/>
                <wp:cNvGraphicFramePr/>
                <a:graphic xmlns:a="http://schemas.openxmlformats.org/drawingml/2006/main">
                  <a:graphicData uri="http://schemas.microsoft.com/office/word/2010/wordprocessingShape">
                    <wps:wsp>
                      <wps:cNvSpPr/>
                      <wps:spPr>
                        <a:xfrm>
                          <a:off x="0" y="0"/>
                          <a:ext cx="1484630" cy="255905"/>
                        </a:xfrm>
                        <a:prstGeom prst="wedgeRectCallout">
                          <a:avLst>
                            <a:gd name="adj1" fmla="val -102133"/>
                            <a:gd name="adj2" fmla="val -10329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入河排污口位置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264.65pt;margin-top:115.35pt;height:20.15pt;width:116.9pt;z-index:251706368;v-text-anchor:middle;mso-width-relative:page;mso-height-relative:page;" fillcolor="#FFFFFF [3201]" filled="t" stroked="t" coordsize="21600,21600" o:gfxdata="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Es5kydoAAAALAQAADwAA&#10;AAAAAAABACAAAAAiAAAAZHJzL2Rvd25yZXYueG1sUEsBAhQAFAAAAAgAh07iQPobdCK/AgAAeAUA&#10;AA4AAAAAAAAAAQAgAAAAKQEAAGRycy9lMm9Eb2MueG1sUEsFBgAAAAAGAAYAWQEAAFoGAAAAAA==&#10;" adj="-11261,-11512">
                <v:fill on="t" focussize="0,0"/>
                <v:stroke weight="1pt" color="#000000 [3200]" miterlimit="8" joinstyle="miter"/>
                <v:imagedata o:title=""/>
                <o:lock v:ext="edit" aspectratio="f"/>
                <v:textbox>
                  <w:txbxContent>
                    <w:p>
                      <w:pPr>
                        <w:jc w:val="center"/>
                      </w:pPr>
                      <w:r>
                        <w:rPr>
                          <w:rFonts w:hint="eastAsia"/>
                        </w:rPr>
                        <w:t>入河排污口位置</w:t>
                      </w:r>
                    </w:p>
                  </w:txbxContent>
                </v:textbox>
              </v:shape>
            </w:pict>
          </mc:Fallback>
        </mc:AlternateContent>
      </w:r>
      <w:r>
        <w:rPr>
          <w14:ligatures w14:val="standardContextual"/>
        </w:rPr>
        <mc:AlternateContent>
          <mc:Choice Requires="wps">
            <w:drawing>
              <wp:anchor distT="0" distB="0" distL="114300" distR="114300" simplePos="0" relativeHeight="251661312" behindDoc="0" locked="0" layoutInCell="1" allowOverlap="1">
                <wp:simplePos x="0" y="0"/>
                <wp:positionH relativeFrom="column">
                  <wp:posOffset>2519045</wp:posOffset>
                </wp:positionH>
                <wp:positionV relativeFrom="paragraph">
                  <wp:posOffset>1285240</wp:posOffset>
                </wp:positionV>
                <wp:extent cx="125730" cy="127635"/>
                <wp:effectExtent l="38100" t="38100" r="26670" b="24765"/>
                <wp:wrapNone/>
                <wp:docPr id="2076862647" name="直接箭头连接符 14"/>
                <wp:cNvGraphicFramePr/>
                <a:graphic xmlns:a="http://schemas.openxmlformats.org/drawingml/2006/main">
                  <a:graphicData uri="http://schemas.microsoft.com/office/word/2010/wordprocessingShape">
                    <wps:wsp>
                      <wps:cNvCnPr/>
                      <wps:spPr>
                        <a:xfrm flipH="1" flipV="1">
                          <a:off x="0" y="0"/>
                          <a:ext cx="125730" cy="12763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接箭头连接符 14" o:spid="_x0000_s1026" o:spt="32" type="#_x0000_t32" style="position:absolute;left:0pt;flip:x y;margin-left:198.35pt;margin-top:101.2pt;height:10.05pt;width:9.9pt;z-index:251661312;mso-width-relative:page;mso-height-relative:page;" filled="f" stroked="t" coordsize="21600,21600" o:gfxdata="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G3G&#10;0RfZAAAACwEAAA8AAAAAAAAAAQAgAAAAIgAAAGRycy9kb3ducmV2LnhtbFBLAQIUABQAAAAIAIdO&#10;4kD4CSA0IgIAAAQEAAAOAAAAAAAAAAEAIAAAACgBAABkcnMvZTJvRG9jLnhtbFBLBQYAAAAABgAG&#10;AFkBAAC8BQAAAAA=&#10;">
                <v:fill on="f" focussize="0,0"/>
                <v:stroke weight="3pt" color="#FF0000 [3204]" miterlimit="8" joinstyle="miter" endarrow="block"/>
                <v:imagedata o:title=""/>
                <o:lock v:ext="edit" aspectratio="f"/>
              </v:shape>
            </w:pict>
          </mc:Fallback>
        </mc:AlternateContent>
      </w:r>
      <w:r>
        <w:rPr>
          <w14:ligatures w14:val="standardContextual"/>
        </w:rPr>
        <mc:AlternateContent>
          <mc:Choice Requires="wps">
            <w:drawing>
              <wp:anchor distT="0" distB="0" distL="114300" distR="114300" simplePos="0" relativeHeight="251685888" behindDoc="0" locked="0" layoutInCell="1" allowOverlap="1">
                <wp:simplePos x="0" y="0"/>
                <wp:positionH relativeFrom="column">
                  <wp:posOffset>1920875</wp:posOffset>
                </wp:positionH>
                <wp:positionV relativeFrom="paragraph">
                  <wp:posOffset>1285875</wp:posOffset>
                </wp:positionV>
                <wp:extent cx="1118870" cy="4010025"/>
                <wp:effectExtent l="19050" t="19050" r="24130" b="28575"/>
                <wp:wrapNone/>
                <wp:docPr id="1488518136" name="任意多边形: 形状 9"/>
                <wp:cNvGraphicFramePr/>
                <a:graphic xmlns:a="http://schemas.openxmlformats.org/drawingml/2006/main">
                  <a:graphicData uri="http://schemas.microsoft.com/office/word/2010/wordprocessingShape">
                    <wps:wsp>
                      <wps:cNvSpPr/>
                      <wps:spPr>
                        <a:xfrm>
                          <a:off x="0" y="0"/>
                          <a:ext cx="1118870" cy="4010025"/>
                        </a:xfrm>
                        <a:custGeom>
                          <a:avLst/>
                          <a:gdLst>
                            <a:gd name="connsiteX0" fmla="*/ 633377 w 1119152"/>
                            <a:gd name="connsiteY0" fmla="*/ 0 h 4010025"/>
                            <a:gd name="connsiteX1" fmla="*/ 585752 w 1119152"/>
                            <a:gd name="connsiteY1" fmla="*/ 9525 h 4010025"/>
                            <a:gd name="connsiteX2" fmla="*/ 490502 w 1119152"/>
                            <a:gd name="connsiteY2" fmla="*/ 95250 h 4010025"/>
                            <a:gd name="connsiteX3" fmla="*/ 423827 w 1119152"/>
                            <a:gd name="connsiteY3" fmla="*/ 171450 h 4010025"/>
                            <a:gd name="connsiteX4" fmla="*/ 385727 w 1119152"/>
                            <a:gd name="connsiteY4" fmla="*/ 228600 h 4010025"/>
                            <a:gd name="connsiteX5" fmla="*/ 328577 w 1119152"/>
                            <a:gd name="connsiteY5" fmla="*/ 323850 h 4010025"/>
                            <a:gd name="connsiteX6" fmla="*/ 280952 w 1119152"/>
                            <a:gd name="connsiteY6" fmla="*/ 342900 h 4010025"/>
                            <a:gd name="connsiteX7" fmla="*/ 214277 w 1119152"/>
                            <a:gd name="connsiteY7" fmla="*/ 419100 h 4010025"/>
                            <a:gd name="connsiteX8" fmla="*/ 176177 w 1119152"/>
                            <a:gd name="connsiteY8" fmla="*/ 476250 h 4010025"/>
                            <a:gd name="connsiteX9" fmla="*/ 71402 w 1119152"/>
                            <a:gd name="connsiteY9" fmla="*/ 561975 h 4010025"/>
                            <a:gd name="connsiteX10" fmla="*/ 14252 w 1119152"/>
                            <a:gd name="connsiteY10" fmla="*/ 638175 h 4010025"/>
                            <a:gd name="connsiteX11" fmla="*/ 14252 w 1119152"/>
                            <a:gd name="connsiteY11" fmla="*/ 800100 h 4010025"/>
                            <a:gd name="connsiteX12" fmla="*/ 23777 w 1119152"/>
                            <a:gd name="connsiteY12" fmla="*/ 828675 h 4010025"/>
                            <a:gd name="connsiteX13" fmla="*/ 52352 w 1119152"/>
                            <a:gd name="connsiteY13" fmla="*/ 866775 h 4010025"/>
                            <a:gd name="connsiteX14" fmla="*/ 90452 w 1119152"/>
                            <a:gd name="connsiteY14" fmla="*/ 952500 h 4010025"/>
                            <a:gd name="connsiteX15" fmla="*/ 119027 w 1119152"/>
                            <a:gd name="connsiteY15" fmla="*/ 990600 h 4010025"/>
                            <a:gd name="connsiteX16" fmla="*/ 157127 w 1119152"/>
                            <a:gd name="connsiteY16" fmla="*/ 1047750 h 4010025"/>
                            <a:gd name="connsiteX17" fmla="*/ 166652 w 1119152"/>
                            <a:gd name="connsiteY17" fmla="*/ 1076325 h 4010025"/>
                            <a:gd name="connsiteX18" fmla="*/ 195227 w 1119152"/>
                            <a:gd name="connsiteY18" fmla="*/ 1104900 h 4010025"/>
                            <a:gd name="connsiteX19" fmla="*/ 261902 w 1119152"/>
                            <a:gd name="connsiteY19" fmla="*/ 1152525 h 4010025"/>
                            <a:gd name="connsiteX20" fmla="*/ 290477 w 1119152"/>
                            <a:gd name="connsiteY20" fmla="*/ 1228725 h 4010025"/>
                            <a:gd name="connsiteX21" fmla="*/ 300002 w 1119152"/>
                            <a:gd name="connsiteY21" fmla="*/ 1304925 h 4010025"/>
                            <a:gd name="connsiteX22" fmla="*/ 319052 w 1119152"/>
                            <a:gd name="connsiteY22" fmla="*/ 1371600 h 4010025"/>
                            <a:gd name="connsiteX23" fmla="*/ 347627 w 1119152"/>
                            <a:gd name="connsiteY23" fmla="*/ 1457325 h 4010025"/>
                            <a:gd name="connsiteX24" fmla="*/ 366677 w 1119152"/>
                            <a:gd name="connsiteY24" fmla="*/ 1485900 h 4010025"/>
                            <a:gd name="connsiteX25" fmla="*/ 376202 w 1119152"/>
                            <a:gd name="connsiteY25" fmla="*/ 1533525 h 4010025"/>
                            <a:gd name="connsiteX26" fmla="*/ 395252 w 1119152"/>
                            <a:gd name="connsiteY26" fmla="*/ 1562100 h 4010025"/>
                            <a:gd name="connsiteX27" fmla="*/ 404777 w 1119152"/>
                            <a:gd name="connsiteY27" fmla="*/ 1609725 h 4010025"/>
                            <a:gd name="connsiteX28" fmla="*/ 442877 w 1119152"/>
                            <a:gd name="connsiteY28" fmla="*/ 1695450 h 4010025"/>
                            <a:gd name="connsiteX29" fmla="*/ 461927 w 1119152"/>
                            <a:gd name="connsiteY29" fmla="*/ 1724025 h 4010025"/>
                            <a:gd name="connsiteX30" fmla="*/ 471452 w 1119152"/>
                            <a:gd name="connsiteY30" fmla="*/ 1752600 h 4010025"/>
                            <a:gd name="connsiteX31" fmla="*/ 490502 w 1119152"/>
                            <a:gd name="connsiteY31" fmla="*/ 1819275 h 4010025"/>
                            <a:gd name="connsiteX32" fmla="*/ 519077 w 1119152"/>
                            <a:gd name="connsiteY32" fmla="*/ 1885950 h 4010025"/>
                            <a:gd name="connsiteX33" fmla="*/ 528602 w 1119152"/>
                            <a:gd name="connsiteY33" fmla="*/ 1933575 h 4010025"/>
                            <a:gd name="connsiteX34" fmla="*/ 557177 w 1119152"/>
                            <a:gd name="connsiteY34" fmla="*/ 2000250 h 4010025"/>
                            <a:gd name="connsiteX35" fmla="*/ 566702 w 1119152"/>
                            <a:gd name="connsiteY35" fmla="*/ 2028825 h 4010025"/>
                            <a:gd name="connsiteX36" fmla="*/ 585752 w 1119152"/>
                            <a:gd name="connsiteY36" fmla="*/ 2076450 h 4010025"/>
                            <a:gd name="connsiteX37" fmla="*/ 623852 w 1119152"/>
                            <a:gd name="connsiteY37" fmla="*/ 2085975 h 4010025"/>
                            <a:gd name="connsiteX38" fmla="*/ 652427 w 1119152"/>
                            <a:gd name="connsiteY38" fmla="*/ 2095500 h 4010025"/>
                            <a:gd name="connsiteX39" fmla="*/ 719102 w 1119152"/>
                            <a:gd name="connsiteY39" fmla="*/ 2200275 h 4010025"/>
                            <a:gd name="connsiteX40" fmla="*/ 728627 w 1119152"/>
                            <a:gd name="connsiteY40" fmla="*/ 2238375 h 4010025"/>
                            <a:gd name="connsiteX41" fmla="*/ 719102 w 1119152"/>
                            <a:gd name="connsiteY41" fmla="*/ 2400300 h 4010025"/>
                            <a:gd name="connsiteX42" fmla="*/ 690527 w 1119152"/>
                            <a:gd name="connsiteY42" fmla="*/ 2409825 h 4010025"/>
                            <a:gd name="connsiteX43" fmla="*/ 719102 w 1119152"/>
                            <a:gd name="connsiteY43" fmla="*/ 2505075 h 4010025"/>
                            <a:gd name="connsiteX44" fmla="*/ 757202 w 1119152"/>
                            <a:gd name="connsiteY44" fmla="*/ 2524125 h 4010025"/>
                            <a:gd name="connsiteX45" fmla="*/ 785777 w 1119152"/>
                            <a:gd name="connsiteY45" fmla="*/ 2609850 h 4010025"/>
                            <a:gd name="connsiteX46" fmla="*/ 795302 w 1119152"/>
                            <a:gd name="connsiteY46" fmla="*/ 2638425 h 4010025"/>
                            <a:gd name="connsiteX47" fmla="*/ 728627 w 1119152"/>
                            <a:gd name="connsiteY47" fmla="*/ 2733675 h 4010025"/>
                            <a:gd name="connsiteX48" fmla="*/ 690527 w 1119152"/>
                            <a:gd name="connsiteY48" fmla="*/ 2790825 h 4010025"/>
                            <a:gd name="connsiteX49" fmla="*/ 652427 w 1119152"/>
                            <a:gd name="connsiteY49" fmla="*/ 2838450 h 4010025"/>
                            <a:gd name="connsiteX50" fmla="*/ 642902 w 1119152"/>
                            <a:gd name="connsiteY50" fmla="*/ 2886075 h 4010025"/>
                            <a:gd name="connsiteX51" fmla="*/ 633377 w 1119152"/>
                            <a:gd name="connsiteY51" fmla="*/ 2924175 h 4010025"/>
                            <a:gd name="connsiteX52" fmla="*/ 652427 w 1119152"/>
                            <a:gd name="connsiteY52" fmla="*/ 3019425 h 4010025"/>
                            <a:gd name="connsiteX53" fmla="*/ 671477 w 1119152"/>
                            <a:gd name="connsiteY53" fmla="*/ 3057525 h 4010025"/>
                            <a:gd name="connsiteX54" fmla="*/ 690527 w 1119152"/>
                            <a:gd name="connsiteY54" fmla="*/ 3086100 h 4010025"/>
                            <a:gd name="connsiteX55" fmla="*/ 709577 w 1119152"/>
                            <a:gd name="connsiteY55" fmla="*/ 3143250 h 4010025"/>
                            <a:gd name="connsiteX56" fmla="*/ 719102 w 1119152"/>
                            <a:gd name="connsiteY56" fmla="*/ 3171825 h 4010025"/>
                            <a:gd name="connsiteX57" fmla="*/ 728627 w 1119152"/>
                            <a:gd name="connsiteY57" fmla="*/ 3228975 h 4010025"/>
                            <a:gd name="connsiteX58" fmla="*/ 785777 w 1119152"/>
                            <a:gd name="connsiteY58" fmla="*/ 3381375 h 4010025"/>
                            <a:gd name="connsiteX59" fmla="*/ 804827 w 1119152"/>
                            <a:gd name="connsiteY59" fmla="*/ 3476625 h 4010025"/>
                            <a:gd name="connsiteX60" fmla="*/ 814352 w 1119152"/>
                            <a:gd name="connsiteY60" fmla="*/ 3514725 h 4010025"/>
                            <a:gd name="connsiteX61" fmla="*/ 833402 w 1119152"/>
                            <a:gd name="connsiteY61" fmla="*/ 3552825 h 4010025"/>
                            <a:gd name="connsiteX62" fmla="*/ 861977 w 1119152"/>
                            <a:gd name="connsiteY62" fmla="*/ 3581400 h 4010025"/>
                            <a:gd name="connsiteX63" fmla="*/ 881027 w 1119152"/>
                            <a:gd name="connsiteY63" fmla="*/ 3629025 h 4010025"/>
                            <a:gd name="connsiteX64" fmla="*/ 909602 w 1119152"/>
                            <a:gd name="connsiteY64" fmla="*/ 3657600 h 4010025"/>
                            <a:gd name="connsiteX65" fmla="*/ 919127 w 1119152"/>
                            <a:gd name="connsiteY65" fmla="*/ 3695700 h 4010025"/>
                            <a:gd name="connsiteX66" fmla="*/ 938177 w 1119152"/>
                            <a:gd name="connsiteY66" fmla="*/ 3733800 h 4010025"/>
                            <a:gd name="connsiteX67" fmla="*/ 966752 w 1119152"/>
                            <a:gd name="connsiteY67" fmla="*/ 3771900 h 4010025"/>
                            <a:gd name="connsiteX68" fmla="*/ 985802 w 1119152"/>
                            <a:gd name="connsiteY68" fmla="*/ 3810000 h 4010025"/>
                            <a:gd name="connsiteX69" fmla="*/ 1033427 w 1119152"/>
                            <a:gd name="connsiteY69" fmla="*/ 3876675 h 4010025"/>
                            <a:gd name="connsiteX70" fmla="*/ 1090577 w 1119152"/>
                            <a:gd name="connsiteY70" fmla="*/ 3962400 h 4010025"/>
                            <a:gd name="connsiteX71" fmla="*/ 1119152 w 1119152"/>
                            <a:gd name="connsiteY71" fmla="*/ 4010025 h 40100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Lst>
                          <a:rect l="l" t="t" r="r" b="b"/>
                          <a:pathLst>
                            <a:path w="1119152" h="4010025">
                              <a:moveTo>
                                <a:pt x="633377" y="0"/>
                              </a:moveTo>
                              <a:cubicBezTo>
                                <a:pt x="617502" y="3175"/>
                                <a:pt x="599222" y="545"/>
                                <a:pt x="585752" y="9525"/>
                              </a:cubicBezTo>
                              <a:cubicBezTo>
                                <a:pt x="550211" y="33219"/>
                                <a:pt x="521889" y="66277"/>
                                <a:pt x="490502" y="95250"/>
                              </a:cubicBezTo>
                              <a:cubicBezTo>
                                <a:pt x="463387" y="120279"/>
                                <a:pt x="446443" y="140354"/>
                                <a:pt x="423827" y="171450"/>
                              </a:cubicBezTo>
                              <a:cubicBezTo>
                                <a:pt x="410361" y="189966"/>
                                <a:pt x="397507" y="208967"/>
                                <a:pt x="385727" y="228600"/>
                              </a:cubicBezTo>
                              <a:cubicBezTo>
                                <a:pt x="366289" y="260997"/>
                                <a:pt x="358669" y="297101"/>
                                <a:pt x="328577" y="323850"/>
                              </a:cubicBezTo>
                              <a:cubicBezTo>
                                <a:pt x="315798" y="335209"/>
                                <a:pt x="296827" y="336550"/>
                                <a:pt x="280952" y="342900"/>
                              </a:cubicBezTo>
                              <a:cubicBezTo>
                                <a:pt x="248275" y="375577"/>
                                <a:pt x="245287" y="376461"/>
                                <a:pt x="214277" y="419100"/>
                              </a:cubicBezTo>
                              <a:cubicBezTo>
                                <a:pt x="200811" y="437616"/>
                                <a:pt x="176177" y="476250"/>
                                <a:pt x="176177" y="476250"/>
                              </a:cubicBezTo>
                              <a:cubicBezTo>
                                <a:pt x="156369" y="595101"/>
                                <a:pt x="193447" y="478069"/>
                                <a:pt x="71402" y="561975"/>
                              </a:cubicBezTo>
                              <a:cubicBezTo>
                                <a:pt x="45239" y="579962"/>
                                <a:pt x="33302" y="612775"/>
                                <a:pt x="14252" y="638175"/>
                              </a:cubicBezTo>
                              <a:cubicBezTo>
                                <a:pt x="-8262" y="705716"/>
                                <a:pt x="-886" y="671428"/>
                                <a:pt x="14252" y="800100"/>
                              </a:cubicBezTo>
                              <a:cubicBezTo>
                                <a:pt x="15425" y="810071"/>
                                <a:pt x="18796" y="819958"/>
                                <a:pt x="23777" y="828675"/>
                              </a:cubicBezTo>
                              <a:cubicBezTo>
                                <a:pt x="31653" y="842458"/>
                                <a:pt x="43938" y="853313"/>
                                <a:pt x="52352" y="866775"/>
                              </a:cubicBezTo>
                              <a:cubicBezTo>
                                <a:pt x="96354" y="937178"/>
                                <a:pt x="45290" y="871209"/>
                                <a:pt x="90452" y="952500"/>
                              </a:cubicBezTo>
                              <a:cubicBezTo>
                                <a:pt x="98162" y="966377"/>
                                <a:pt x="109502" y="977900"/>
                                <a:pt x="119027" y="990600"/>
                              </a:cubicBezTo>
                              <a:cubicBezTo>
                                <a:pt x="140902" y="1078100"/>
                                <a:pt x="109288" y="987951"/>
                                <a:pt x="157127" y="1047750"/>
                              </a:cubicBezTo>
                              <a:cubicBezTo>
                                <a:pt x="163399" y="1055590"/>
                                <a:pt x="161083" y="1067971"/>
                                <a:pt x="166652" y="1076325"/>
                              </a:cubicBezTo>
                              <a:cubicBezTo>
                                <a:pt x="174124" y="1087533"/>
                                <a:pt x="185000" y="1096134"/>
                                <a:pt x="195227" y="1104900"/>
                              </a:cubicBezTo>
                              <a:cubicBezTo>
                                <a:pt x="215902" y="1122622"/>
                                <a:pt x="239287" y="1137448"/>
                                <a:pt x="261902" y="1152525"/>
                              </a:cubicBezTo>
                              <a:cubicBezTo>
                                <a:pt x="263491" y="1156497"/>
                                <a:pt x="287988" y="1215037"/>
                                <a:pt x="290477" y="1228725"/>
                              </a:cubicBezTo>
                              <a:cubicBezTo>
                                <a:pt x="295056" y="1253910"/>
                                <a:pt x="295794" y="1279676"/>
                                <a:pt x="300002" y="1304925"/>
                              </a:cubicBezTo>
                              <a:cubicBezTo>
                                <a:pt x="305957" y="1340657"/>
                                <a:pt x="309993" y="1339893"/>
                                <a:pt x="319052" y="1371600"/>
                              </a:cubicBezTo>
                              <a:cubicBezTo>
                                <a:pt x="331179" y="1414043"/>
                                <a:pt x="325734" y="1413538"/>
                                <a:pt x="347627" y="1457325"/>
                              </a:cubicBezTo>
                              <a:cubicBezTo>
                                <a:pt x="352747" y="1467564"/>
                                <a:pt x="360327" y="1476375"/>
                                <a:pt x="366677" y="1485900"/>
                              </a:cubicBezTo>
                              <a:cubicBezTo>
                                <a:pt x="369852" y="1501775"/>
                                <a:pt x="370518" y="1518366"/>
                                <a:pt x="376202" y="1533525"/>
                              </a:cubicBezTo>
                              <a:cubicBezTo>
                                <a:pt x="380222" y="1544244"/>
                                <a:pt x="391232" y="1551381"/>
                                <a:pt x="395252" y="1562100"/>
                              </a:cubicBezTo>
                              <a:cubicBezTo>
                                <a:pt x="400936" y="1577259"/>
                                <a:pt x="400125" y="1594218"/>
                                <a:pt x="404777" y="1609725"/>
                              </a:cubicBezTo>
                              <a:cubicBezTo>
                                <a:pt x="411223" y="1631211"/>
                                <a:pt x="431027" y="1674713"/>
                                <a:pt x="442877" y="1695450"/>
                              </a:cubicBezTo>
                              <a:cubicBezTo>
                                <a:pt x="448557" y="1705389"/>
                                <a:pt x="456807" y="1713786"/>
                                <a:pt x="461927" y="1724025"/>
                              </a:cubicBezTo>
                              <a:cubicBezTo>
                                <a:pt x="466417" y="1733005"/>
                                <a:pt x="468694" y="1742946"/>
                                <a:pt x="471452" y="1752600"/>
                              </a:cubicBezTo>
                              <a:cubicBezTo>
                                <a:pt x="478357" y="1776767"/>
                                <a:pt x="480714" y="1796437"/>
                                <a:pt x="490502" y="1819275"/>
                              </a:cubicBezTo>
                              <a:cubicBezTo>
                                <a:pt x="506858" y="1857439"/>
                                <a:pt x="510142" y="1850209"/>
                                <a:pt x="519077" y="1885950"/>
                              </a:cubicBezTo>
                              <a:cubicBezTo>
                                <a:pt x="523004" y="1901656"/>
                                <a:pt x="524675" y="1917869"/>
                                <a:pt x="528602" y="1933575"/>
                              </a:cubicBezTo>
                              <a:cubicBezTo>
                                <a:pt x="537537" y="1969316"/>
                                <a:pt x="540821" y="1962086"/>
                                <a:pt x="557177" y="2000250"/>
                              </a:cubicBezTo>
                              <a:cubicBezTo>
                                <a:pt x="561132" y="2009478"/>
                                <a:pt x="563177" y="2019424"/>
                                <a:pt x="566702" y="2028825"/>
                              </a:cubicBezTo>
                              <a:cubicBezTo>
                                <a:pt x="572705" y="2044834"/>
                                <a:pt x="573662" y="2064360"/>
                                <a:pt x="585752" y="2076450"/>
                              </a:cubicBezTo>
                              <a:cubicBezTo>
                                <a:pt x="595009" y="2085707"/>
                                <a:pt x="611265" y="2082379"/>
                                <a:pt x="623852" y="2085975"/>
                              </a:cubicBezTo>
                              <a:cubicBezTo>
                                <a:pt x="633506" y="2088733"/>
                                <a:pt x="642902" y="2092325"/>
                                <a:pt x="652427" y="2095500"/>
                              </a:cubicBezTo>
                              <a:cubicBezTo>
                                <a:pt x="724545" y="2167618"/>
                                <a:pt x="702178" y="2124117"/>
                                <a:pt x="719102" y="2200275"/>
                              </a:cubicBezTo>
                              <a:cubicBezTo>
                                <a:pt x="721942" y="2213054"/>
                                <a:pt x="725452" y="2225675"/>
                                <a:pt x="728627" y="2238375"/>
                              </a:cubicBezTo>
                              <a:cubicBezTo>
                                <a:pt x="725452" y="2292350"/>
                                <a:pt x="730831" y="2347519"/>
                                <a:pt x="719102" y="2400300"/>
                              </a:cubicBezTo>
                              <a:cubicBezTo>
                                <a:pt x="716924" y="2410101"/>
                                <a:pt x="693285" y="2400171"/>
                                <a:pt x="690527" y="2409825"/>
                              </a:cubicBezTo>
                              <a:cubicBezTo>
                                <a:pt x="685719" y="2426655"/>
                                <a:pt x="703669" y="2489642"/>
                                <a:pt x="719102" y="2505075"/>
                              </a:cubicBezTo>
                              <a:cubicBezTo>
                                <a:pt x="729142" y="2515115"/>
                                <a:pt x="744502" y="2517775"/>
                                <a:pt x="757202" y="2524125"/>
                              </a:cubicBezTo>
                              <a:lnTo>
                                <a:pt x="785777" y="2609850"/>
                              </a:lnTo>
                              <a:lnTo>
                                <a:pt x="795302" y="2638425"/>
                              </a:lnTo>
                              <a:cubicBezTo>
                                <a:pt x="748396" y="2708784"/>
                                <a:pt x="770939" y="2677259"/>
                                <a:pt x="728627" y="2733675"/>
                              </a:cubicBezTo>
                              <a:cubicBezTo>
                                <a:pt x="706752" y="2821175"/>
                                <a:pt x="738366" y="2731026"/>
                                <a:pt x="690527" y="2790825"/>
                              </a:cubicBezTo>
                              <a:cubicBezTo>
                                <a:pt x="637947" y="2856550"/>
                                <a:pt x="734319" y="2783855"/>
                                <a:pt x="652427" y="2838450"/>
                              </a:cubicBezTo>
                              <a:cubicBezTo>
                                <a:pt x="649252" y="2854325"/>
                                <a:pt x="646414" y="2870271"/>
                                <a:pt x="642902" y="2886075"/>
                              </a:cubicBezTo>
                              <a:cubicBezTo>
                                <a:pt x="640062" y="2898854"/>
                                <a:pt x="633377" y="2911084"/>
                                <a:pt x="633377" y="2924175"/>
                              </a:cubicBezTo>
                              <a:cubicBezTo>
                                <a:pt x="633377" y="2950469"/>
                                <a:pt x="640697" y="2992055"/>
                                <a:pt x="652427" y="3019425"/>
                              </a:cubicBezTo>
                              <a:cubicBezTo>
                                <a:pt x="658020" y="3032476"/>
                                <a:pt x="664432" y="3045197"/>
                                <a:pt x="671477" y="3057525"/>
                              </a:cubicBezTo>
                              <a:cubicBezTo>
                                <a:pt x="677157" y="3067464"/>
                                <a:pt x="685878" y="3075639"/>
                                <a:pt x="690527" y="3086100"/>
                              </a:cubicBezTo>
                              <a:cubicBezTo>
                                <a:pt x="698682" y="3104450"/>
                                <a:pt x="703227" y="3124200"/>
                                <a:pt x="709577" y="3143250"/>
                              </a:cubicBezTo>
                              <a:cubicBezTo>
                                <a:pt x="712752" y="3152775"/>
                                <a:pt x="717451" y="3161921"/>
                                <a:pt x="719102" y="3171825"/>
                              </a:cubicBezTo>
                              <a:cubicBezTo>
                                <a:pt x="722277" y="3190875"/>
                                <a:pt x="722866" y="3210541"/>
                                <a:pt x="728627" y="3228975"/>
                              </a:cubicBezTo>
                              <a:cubicBezTo>
                                <a:pt x="735395" y="3250632"/>
                                <a:pt x="778691" y="3345947"/>
                                <a:pt x="785777" y="3381375"/>
                              </a:cubicBezTo>
                              <a:cubicBezTo>
                                <a:pt x="792127" y="3413125"/>
                                <a:pt x="796974" y="3445213"/>
                                <a:pt x="804827" y="3476625"/>
                              </a:cubicBezTo>
                              <a:cubicBezTo>
                                <a:pt x="808002" y="3489325"/>
                                <a:pt x="809755" y="3502468"/>
                                <a:pt x="814352" y="3514725"/>
                              </a:cubicBezTo>
                              <a:cubicBezTo>
                                <a:pt x="819338" y="3528020"/>
                                <a:pt x="825149" y="3541271"/>
                                <a:pt x="833402" y="3552825"/>
                              </a:cubicBezTo>
                              <a:cubicBezTo>
                                <a:pt x="841232" y="3563786"/>
                                <a:pt x="852452" y="3571875"/>
                                <a:pt x="861977" y="3581400"/>
                              </a:cubicBezTo>
                              <a:cubicBezTo>
                                <a:pt x="868327" y="3597275"/>
                                <a:pt x="871965" y="3614526"/>
                                <a:pt x="881027" y="3629025"/>
                              </a:cubicBezTo>
                              <a:cubicBezTo>
                                <a:pt x="888166" y="3640448"/>
                                <a:pt x="902919" y="3645904"/>
                                <a:pt x="909602" y="3657600"/>
                              </a:cubicBezTo>
                              <a:cubicBezTo>
                                <a:pt x="916097" y="3668966"/>
                                <a:pt x="914530" y="3683443"/>
                                <a:pt x="919127" y="3695700"/>
                              </a:cubicBezTo>
                              <a:cubicBezTo>
                                <a:pt x="924113" y="3708995"/>
                                <a:pt x="930652" y="3721759"/>
                                <a:pt x="938177" y="3733800"/>
                              </a:cubicBezTo>
                              <a:cubicBezTo>
                                <a:pt x="946591" y="3747262"/>
                                <a:pt x="958338" y="3758438"/>
                                <a:pt x="966752" y="3771900"/>
                              </a:cubicBezTo>
                              <a:cubicBezTo>
                                <a:pt x="974277" y="3783941"/>
                                <a:pt x="978277" y="3797959"/>
                                <a:pt x="985802" y="3810000"/>
                              </a:cubicBezTo>
                              <a:cubicBezTo>
                                <a:pt x="1010560" y="3849613"/>
                                <a:pt x="1013277" y="3840404"/>
                                <a:pt x="1033427" y="3876675"/>
                              </a:cubicBezTo>
                              <a:cubicBezTo>
                                <a:pt x="1076676" y="3954523"/>
                                <a:pt x="1041471" y="3913294"/>
                                <a:pt x="1090577" y="3962400"/>
                              </a:cubicBezTo>
                              <a:cubicBezTo>
                                <a:pt x="1101824" y="4007388"/>
                                <a:pt x="1088393" y="3994646"/>
                                <a:pt x="1119152" y="4010025"/>
                              </a:cubicBezTo>
                            </a:path>
                          </a:pathLst>
                        </a:custGeom>
                        <a:noFill/>
                        <a:ln w="28575">
                          <a:solidFill>
                            <a:srgbClr val="FFC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9" o:spid="_x0000_s1026" o:spt="100" style="position:absolute;left:0pt;margin-left:151.25pt;margin-top:101.25pt;height:315.75pt;width:88.1pt;z-index:251685888;v-text-anchor:middle;mso-width-relative:page;mso-height-relative:page;" filled="f" stroked="t" coordsize="1119152,4010025" o:gfxdata="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" path="m633377,0c617502,3175,599222,545,585752,9525c550211,33219,521889,66277,490502,95250c463387,120279,446443,140354,423827,171450c410361,189966,397507,208967,385727,228600c366289,260997,358669,297101,328577,323850c315798,335209,296827,336550,280952,342900c248275,375577,245287,376461,214277,419100c200811,437616,176177,476250,176177,476250c156369,595101,193447,478069,71402,561975c45239,579962,33302,612775,14252,638175c-8262,705716,-886,671428,14252,800100c15425,810071,18796,819958,23777,828675c31653,842458,43938,853313,52352,866775c96354,937178,45290,871209,90452,952500c98162,966377,109502,977900,119027,990600c140902,1078100,109288,987951,157127,1047750c163399,1055590,161083,1067971,166652,1076325c174124,1087533,185000,1096134,195227,1104900c215902,1122622,239287,1137448,261902,1152525c263491,1156497,287988,1215037,290477,1228725c295056,1253910,295794,1279676,300002,1304925c305957,1340657,309993,1339893,319052,1371600c331179,1414043,325734,1413538,347627,1457325c352747,1467564,360327,1476375,366677,1485900c369852,1501775,370518,1518366,376202,1533525c380222,1544244,391232,1551381,395252,1562100c400936,1577259,400125,1594218,404777,1609725c411223,1631211,431027,1674713,442877,1695450c448557,1705389,456807,1713786,461927,1724025c466417,1733005,468694,1742946,471452,1752600c478357,1776767,480714,1796437,490502,1819275c506858,1857439,510142,1850209,519077,1885950c523004,1901656,524675,1917869,528602,1933575c537537,1969316,540821,1962086,557177,2000250c561132,2009478,563177,2019424,566702,2028825c572705,2044834,573662,2064360,585752,2076450c595009,2085707,611265,2082379,623852,2085975c633506,2088733,642902,2092325,652427,2095500c724545,2167618,702178,2124117,719102,2200275c721942,2213054,725452,2225675,728627,2238375c725452,2292350,730831,2347519,719102,2400300c716924,2410101,693285,2400171,690527,2409825c685719,2426655,703669,2489642,719102,2505075c729142,2515115,744502,2517775,757202,2524125l785777,2609850,795302,2638425c748396,2708784,770939,2677259,728627,2733675c706752,2821175,738366,2731026,690527,2790825c637947,2856550,734319,2783855,652427,2838450c649252,2854325,646414,2870271,642902,2886075c640062,2898854,633377,2911084,633377,2924175c633377,2950469,640697,2992055,652427,3019425c658020,3032476,664432,3045197,671477,3057525c677157,3067464,685878,3075639,690527,3086100c698682,3104450,703227,3124200,709577,3143250c712752,3152775,717451,3161921,719102,3171825c722277,3190875,722866,3210541,728627,3228975c735395,3250632,778691,3345947,785777,3381375c792127,3413125,796974,3445213,804827,3476625c808002,3489325,809755,3502468,814352,3514725c819338,3528020,825149,3541271,833402,3552825c841232,3563786,852452,3571875,861977,3581400c868327,3597275,871965,3614526,881027,3629025c888166,3640448,902919,3645904,909602,3657600c916097,3668966,914530,3683443,919127,3695700c924113,3708995,930652,3721759,938177,3733800c946591,3747262,958338,3758438,966752,3771900c974277,3783941,978277,3797959,985802,3810000c1010560,3849613,1013277,3840404,1033427,3876675c1076676,3954523,1041471,3913294,1090577,3962400c1101824,4007388,1088393,3994646,1119152,4010025e">
                <v:path o:connectlocs="633217,0;585604,9525;490378,95250;423720,171450;385629,228600;328494,323850;280881,342900;214223,419100;176132,476250;71384,561975;14248,638175;14248,800100;23771,828675;52338,866775;90429,952500;118997,990600;157087,1047750;166610,1076325;195177,1104900;261836,1152525;290403,1228725;299926,1304925;318971,1371600;347539,1457325;366584,1485900;376107,1533525;395152,1562100;404675,1609725;442765,1695450;461810,1724025;471333,1752600;490378,1819275;518946,1885950;528468,1933575;557036,2000250;566559,2028825;585604,2076450;623694,2085975;652262,2095500;718920,2200275;728443,2238375;718920,2400300;690353,2409825;718920,2505075;757011,2524125;785579,2609850;795101,2638425;728443,2733675;690353,2790825;652262,2838450;642740,2886075;633217,2924175;652262,3019425;671307,3057525;690353,3086100;709398,3143250;718920,3171825;728443,3228975;785579,3381375;804624,3476625;814146,3514725;833192,3552825;861759,3581400;880805,3629025;909372,3657600;918895,3695700;937940,3733800;966508,3771900;985553,3810000;1033166,3876675;1090302,3962400;1118870,4010025" o:connectangles="0,0,0,0,0,0,0,0,0,0,0,0,0,0,0,0,0,0,0,0,0,0,0,0,0,0,0,0,0,0,0,0,0,0,0,0,0,0,0,0,0,0,0,0,0,0,0,0,0,0,0,0,0,0,0,0,0,0,0,0,0,0,0,0,0,0,0,0,0,0,0,0"/>
                <v:fill on="f" focussize="0,0"/>
                <v:stroke weight="2.25pt" color="#FFC0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87936" behindDoc="0" locked="0" layoutInCell="1" allowOverlap="1">
                <wp:simplePos x="0" y="0"/>
                <wp:positionH relativeFrom="column">
                  <wp:posOffset>59055</wp:posOffset>
                </wp:positionH>
                <wp:positionV relativeFrom="paragraph">
                  <wp:posOffset>5332730</wp:posOffset>
                </wp:positionV>
                <wp:extent cx="5257800" cy="2496185"/>
                <wp:effectExtent l="0" t="19050" r="38100" b="56515"/>
                <wp:wrapNone/>
                <wp:docPr id="584807030" name="任意多边形: 形状 10"/>
                <wp:cNvGraphicFramePr/>
                <a:graphic xmlns:a="http://schemas.openxmlformats.org/drawingml/2006/main">
                  <a:graphicData uri="http://schemas.microsoft.com/office/word/2010/wordprocessingShape">
                    <wps:wsp>
                      <wps:cNvSpPr/>
                      <wps:spPr>
                        <a:xfrm>
                          <a:off x="0" y="0"/>
                          <a:ext cx="5257800" cy="2496185"/>
                        </a:xfrm>
                        <a:custGeom>
                          <a:avLst/>
                          <a:gdLst>
                            <a:gd name="connsiteX0" fmla="*/ 0 w 5257832"/>
                            <a:gd name="connsiteY0" fmla="*/ 48447 h 2496372"/>
                            <a:gd name="connsiteX1" fmla="*/ 57150 w 5257832"/>
                            <a:gd name="connsiteY1" fmla="*/ 67497 h 2496372"/>
                            <a:gd name="connsiteX2" fmla="*/ 95250 w 5257832"/>
                            <a:gd name="connsiteY2" fmla="*/ 153222 h 2496372"/>
                            <a:gd name="connsiteX3" fmla="*/ 142875 w 5257832"/>
                            <a:gd name="connsiteY3" fmla="*/ 248472 h 2496372"/>
                            <a:gd name="connsiteX4" fmla="*/ 285750 w 5257832"/>
                            <a:gd name="connsiteY4" fmla="*/ 267522 h 2496372"/>
                            <a:gd name="connsiteX5" fmla="*/ 304800 w 5257832"/>
                            <a:gd name="connsiteY5" fmla="*/ 305622 h 2496372"/>
                            <a:gd name="connsiteX6" fmla="*/ 352425 w 5257832"/>
                            <a:gd name="connsiteY6" fmla="*/ 372297 h 2496372"/>
                            <a:gd name="connsiteX7" fmla="*/ 409575 w 5257832"/>
                            <a:gd name="connsiteY7" fmla="*/ 438972 h 2496372"/>
                            <a:gd name="connsiteX8" fmla="*/ 438150 w 5257832"/>
                            <a:gd name="connsiteY8" fmla="*/ 524697 h 2496372"/>
                            <a:gd name="connsiteX9" fmla="*/ 466725 w 5257832"/>
                            <a:gd name="connsiteY9" fmla="*/ 572322 h 2496372"/>
                            <a:gd name="connsiteX10" fmla="*/ 552450 w 5257832"/>
                            <a:gd name="connsiteY10" fmla="*/ 581847 h 2496372"/>
                            <a:gd name="connsiteX11" fmla="*/ 581025 w 5257832"/>
                            <a:gd name="connsiteY11" fmla="*/ 591372 h 2496372"/>
                            <a:gd name="connsiteX12" fmla="*/ 647700 w 5257832"/>
                            <a:gd name="connsiteY12" fmla="*/ 619947 h 2496372"/>
                            <a:gd name="connsiteX13" fmla="*/ 762000 w 5257832"/>
                            <a:gd name="connsiteY13" fmla="*/ 629472 h 2496372"/>
                            <a:gd name="connsiteX14" fmla="*/ 828675 w 5257832"/>
                            <a:gd name="connsiteY14" fmla="*/ 638997 h 2496372"/>
                            <a:gd name="connsiteX15" fmla="*/ 942975 w 5257832"/>
                            <a:gd name="connsiteY15" fmla="*/ 638997 h 2496372"/>
                            <a:gd name="connsiteX16" fmla="*/ 971550 w 5257832"/>
                            <a:gd name="connsiteY16" fmla="*/ 619947 h 2496372"/>
                            <a:gd name="connsiteX17" fmla="*/ 1038225 w 5257832"/>
                            <a:gd name="connsiteY17" fmla="*/ 600897 h 2496372"/>
                            <a:gd name="connsiteX18" fmla="*/ 1104900 w 5257832"/>
                            <a:gd name="connsiteY18" fmla="*/ 581847 h 2496372"/>
                            <a:gd name="connsiteX19" fmla="*/ 1228725 w 5257832"/>
                            <a:gd name="connsiteY19" fmla="*/ 572322 h 2496372"/>
                            <a:gd name="connsiteX20" fmla="*/ 1352550 w 5257832"/>
                            <a:gd name="connsiteY20" fmla="*/ 553272 h 2496372"/>
                            <a:gd name="connsiteX21" fmla="*/ 1419225 w 5257832"/>
                            <a:gd name="connsiteY21" fmla="*/ 524697 h 2496372"/>
                            <a:gd name="connsiteX22" fmla="*/ 1514475 w 5257832"/>
                            <a:gd name="connsiteY22" fmla="*/ 486597 h 2496372"/>
                            <a:gd name="connsiteX23" fmla="*/ 1590675 w 5257832"/>
                            <a:gd name="connsiteY23" fmla="*/ 448497 h 2496372"/>
                            <a:gd name="connsiteX24" fmla="*/ 1647825 w 5257832"/>
                            <a:gd name="connsiteY24" fmla="*/ 438972 h 2496372"/>
                            <a:gd name="connsiteX25" fmla="*/ 1819275 w 5257832"/>
                            <a:gd name="connsiteY25" fmla="*/ 419922 h 2496372"/>
                            <a:gd name="connsiteX26" fmla="*/ 1876425 w 5257832"/>
                            <a:gd name="connsiteY26" fmla="*/ 410397 h 2496372"/>
                            <a:gd name="connsiteX27" fmla="*/ 1914525 w 5257832"/>
                            <a:gd name="connsiteY27" fmla="*/ 391347 h 2496372"/>
                            <a:gd name="connsiteX28" fmla="*/ 2124075 w 5257832"/>
                            <a:gd name="connsiteY28" fmla="*/ 381822 h 2496372"/>
                            <a:gd name="connsiteX29" fmla="*/ 2162175 w 5257832"/>
                            <a:gd name="connsiteY29" fmla="*/ 362772 h 2496372"/>
                            <a:gd name="connsiteX30" fmla="*/ 2219325 w 5257832"/>
                            <a:gd name="connsiteY30" fmla="*/ 343722 h 2496372"/>
                            <a:gd name="connsiteX31" fmla="*/ 2286000 w 5257832"/>
                            <a:gd name="connsiteY31" fmla="*/ 277047 h 2496372"/>
                            <a:gd name="connsiteX32" fmla="*/ 2324100 w 5257832"/>
                            <a:gd name="connsiteY32" fmla="*/ 248472 h 2496372"/>
                            <a:gd name="connsiteX33" fmla="*/ 2343150 w 5257832"/>
                            <a:gd name="connsiteY33" fmla="*/ 219897 h 2496372"/>
                            <a:gd name="connsiteX34" fmla="*/ 2381250 w 5257832"/>
                            <a:gd name="connsiteY34" fmla="*/ 200847 h 2496372"/>
                            <a:gd name="connsiteX35" fmla="*/ 2409825 w 5257832"/>
                            <a:gd name="connsiteY35" fmla="*/ 172272 h 2496372"/>
                            <a:gd name="connsiteX36" fmla="*/ 2438400 w 5257832"/>
                            <a:gd name="connsiteY36" fmla="*/ 162747 h 2496372"/>
                            <a:gd name="connsiteX37" fmla="*/ 2476500 w 5257832"/>
                            <a:gd name="connsiteY37" fmla="*/ 143697 h 2496372"/>
                            <a:gd name="connsiteX38" fmla="*/ 2524125 w 5257832"/>
                            <a:gd name="connsiteY38" fmla="*/ 96072 h 2496372"/>
                            <a:gd name="connsiteX39" fmla="*/ 2590800 w 5257832"/>
                            <a:gd name="connsiteY39" fmla="*/ 48447 h 2496372"/>
                            <a:gd name="connsiteX40" fmla="*/ 2733675 w 5257832"/>
                            <a:gd name="connsiteY40" fmla="*/ 29397 h 2496372"/>
                            <a:gd name="connsiteX41" fmla="*/ 2819400 w 5257832"/>
                            <a:gd name="connsiteY41" fmla="*/ 10347 h 2496372"/>
                            <a:gd name="connsiteX42" fmla="*/ 2847975 w 5257832"/>
                            <a:gd name="connsiteY42" fmla="*/ 822 h 2496372"/>
                            <a:gd name="connsiteX43" fmla="*/ 3048000 w 5257832"/>
                            <a:gd name="connsiteY43" fmla="*/ 10347 h 2496372"/>
                            <a:gd name="connsiteX44" fmla="*/ 3105150 w 5257832"/>
                            <a:gd name="connsiteY44" fmla="*/ 96072 h 2496372"/>
                            <a:gd name="connsiteX45" fmla="*/ 3124200 w 5257832"/>
                            <a:gd name="connsiteY45" fmla="*/ 124647 h 2496372"/>
                            <a:gd name="connsiteX46" fmla="*/ 3143250 w 5257832"/>
                            <a:gd name="connsiteY46" fmla="*/ 181797 h 2496372"/>
                            <a:gd name="connsiteX47" fmla="*/ 3152775 w 5257832"/>
                            <a:gd name="connsiteY47" fmla="*/ 210372 h 2496372"/>
                            <a:gd name="connsiteX48" fmla="*/ 3162300 w 5257832"/>
                            <a:gd name="connsiteY48" fmla="*/ 248472 h 2496372"/>
                            <a:gd name="connsiteX49" fmla="*/ 3200400 w 5257832"/>
                            <a:gd name="connsiteY49" fmla="*/ 391347 h 2496372"/>
                            <a:gd name="connsiteX50" fmla="*/ 3219450 w 5257832"/>
                            <a:gd name="connsiteY50" fmla="*/ 638997 h 2496372"/>
                            <a:gd name="connsiteX51" fmla="*/ 3228975 w 5257832"/>
                            <a:gd name="connsiteY51" fmla="*/ 734247 h 2496372"/>
                            <a:gd name="connsiteX52" fmla="*/ 3238500 w 5257832"/>
                            <a:gd name="connsiteY52" fmla="*/ 762822 h 2496372"/>
                            <a:gd name="connsiteX53" fmla="*/ 3248025 w 5257832"/>
                            <a:gd name="connsiteY53" fmla="*/ 819972 h 2496372"/>
                            <a:gd name="connsiteX54" fmla="*/ 3257550 w 5257832"/>
                            <a:gd name="connsiteY54" fmla="*/ 867597 h 2496372"/>
                            <a:gd name="connsiteX55" fmla="*/ 3209925 w 5257832"/>
                            <a:gd name="connsiteY55" fmla="*/ 1048572 h 2496372"/>
                            <a:gd name="connsiteX56" fmla="*/ 3181350 w 5257832"/>
                            <a:gd name="connsiteY56" fmla="*/ 1058097 h 2496372"/>
                            <a:gd name="connsiteX57" fmla="*/ 3143250 w 5257832"/>
                            <a:gd name="connsiteY57" fmla="*/ 1096197 h 2496372"/>
                            <a:gd name="connsiteX58" fmla="*/ 3086100 w 5257832"/>
                            <a:gd name="connsiteY58" fmla="*/ 1134297 h 2496372"/>
                            <a:gd name="connsiteX59" fmla="*/ 3028950 w 5257832"/>
                            <a:gd name="connsiteY59" fmla="*/ 1200972 h 2496372"/>
                            <a:gd name="connsiteX60" fmla="*/ 2990850 w 5257832"/>
                            <a:gd name="connsiteY60" fmla="*/ 1210497 h 2496372"/>
                            <a:gd name="connsiteX61" fmla="*/ 2962275 w 5257832"/>
                            <a:gd name="connsiteY61" fmla="*/ 1220022 h 2496372"/>
                            <a:gd name="connsiteX62" fmla="*/ 2914650 w 5257832"/>
                            <a:gd name="connsiteY62" fmla="*/ 1286697 h 2496372"/>
                            <a:gd name="connsiteX63" fmla="*/ 2971800 w 5257832"/>
                            <a:gd name="connsiteY63" fmla="*/ 1324797 h 2496372"/>
                            <a:gd name="connsiteX64" fmla="*/ 2981325 w 5257832"/>
                            <a:gd name="connsiteY64" fmla="*/ 1372422 h 2496372"/>
                            <a:gd name="connsiteX65" fmla="*/ 3000375 w 5257832"/>
                            <a:gd name="connsiteY65" fmla="*/ 1448622 h 2496372"/>
                            <a:gd name="connsiteX66" fmla="*/ 2990850 w 5257832"/>
                            <a:gd name="connsiteY66" fmla="*/ 1486722 h 2496372"/>
                            <a:gd name="connsiteX67" fmla="*/ 2981325 w 5257832"/>
                            <a:gd name="connsiteY67" fmla="*/ 1534347 h 2496372"/>
                            <a:gd name="connsiteX68" fmla="*/ 2952750 w 5257832"/>
                            <a:gd name="connsiteY68" fmla="*/ 1562922 h 2496372"/>
                            <a:gd name="connsiteX69" fmla="*/ 2943225 w 5257832"/>
                            <a:gd name="connsiteY69" fmla="*/ 1591497 h 2496372"/>
                            <a:gd name="connsiteX70" fmla="*/ 2914650 w 5257832"/>
                            <a:gd name="connsiteY70" fmla="*/ 1639122 h 2496372"/>
                            <a:gd name="connsiteX71" fmla="*/ 2924175 w 5257832"/>
                            <a:gd name="connsiteY71" fmla="*/ 1677222 h 2496372"/>
                            <a:gd name="connsiteX72" fmla="*/ 2933700 w 5257832"/>
                            <a:gd name="connsiteY72" fmla="*/ 1705797 h 2496372"/>
                            <a:gd name="connsiteX73" fmla="*/ 2981325 w 5257832"/>
                            <a:gd name="connsiteY73" fmla="*/ 1715322 h 2496372"/>
                            <a:gd name="connsiteX74" fmla="*/ 3009900 w 5257832"/>
                            <a:gd name="connsiteY74" fmla="*/ 1734372 h 2496372"/>
                            <a:gd name="connsiteX75" fmla="*/ 3028950 w 5257832"/>
                            <a:gd name="connsiteY75" fmla="*/ 1762947 h 2496372"/>
                            <a:gd name="connsiteX76" fmla="*/ 3067050 w 5257832"/>
                            <a:gd name="connsiteY76" fmla="*/ 1772472 h 2496372"/>
                            <a:gd name="connsiteX77" fmla="*/ 3105150 w 5257832"/>
                            <a:gd name="connsiteY77" fmla="*/ 1810572 h 2496372"/>
                            <a:gd name="connsiteX78" fmla="*/ 3105150 w 5257832"/>
                            <a:gd name="connsiteY78" fmla="*/ 1915347 h 2496372"/>
                            <a:gd name="connsiteX79" fmla="*/ 3095625 w 5257832"/>
                            <a:gd name="connsiteY79" fmla="*/ 2001072 h 2496372"/>
                            <a:gd name="connsiteX80" fmla="*/ 3067050 w 5257832"/>
                            <a:gd name="connsiteY80" fmla="*/ 2077272 h 2496372"/>
                            <a:gd name="connsiteX81" fmla="*/ 3076575 w 5257832"/>
                            <a:gd name="connsiteY81" fmla="*/ 2124897 h 2496372"/>
                            <a:gd name="connsiteX82" fmla="*/ 3295650 w 5257832"/>
                            <a:gd name="connsiteY82" fmla="*/ 2096322 h 2496372"/>
                            <a:gd name="connsiteX83" fmla="*/ 3333750 w 5257832"/>
                            <a:gd name="connsiteY83" fmla="*/ 1867722 h 2496372"/>
                            <a:gd name="connsiteX84" fmla="*/ 3371850 w 5257832"/>
                            <a:gd name="connsiteY84" fmla="*/ 1848672 h 2496372"/>
                            <a:gd name="connsiteX85" fmla="*/ 3400425 w 5257832"/>
                            <a:gd name="connsiteY85" fmla="*/ 1867722 h 2496372"/>
                            <a:gd name="connsiteX86" fmla="*/ 3457575 w 5257832"/>
                            <a:gd name="connsiteY86" fmla="*/ 2001072 h 2496372"/>
                            <a:gd name="connsiteX87" fmla="*/ 3514725 w 5257832"/>
                            <a:gd name="connsiteY87" fmla="*/ 2077272 h 2496372"/>
                            <a:gd name="connsiteX88" fmla="*/ 3571875 w 5257832"/>
                            <a:gd name="connsiteY88" fmla="*/ 2172522 h 2496372"/>
                            <a:gd name="connsiteX89" fmla="*/ 3600450 w 5257832"/>
                            <a:gd name="connsiteY89" fmla="*/ 2201097 h 2496372"/>
                            <a:gd name="connsiteX90" fmla="*/ 3638550 w 5257832"/>
                            <a:gd name="connsiteY90" fmla="*/ 2267772 h 2496372"/>
                            <a:gd name="connsiteX91" fmla="*/ 3686175 w 5257832"/>
                            <a:gd name="connsiteY91" fmla="*/ 2277297 h 2496372"/>
                            <a:gd name="connsiteX92" fmla="*/ 3695700 w 5257832"/>
                            <a:gd name="connsiteY92" fmla="*/ 2191572 h 2496372"/>
                            <a:gd name="connsiteX93" fmla="*/ 3714750 w 5257832"/>
                            <a:gd name="connsiteY93" fmla="*/ 2162997 h 2496372"/>
                            <a:gd name="connsiteX94" fmla="*/ 3724275 w 5257832"/>
                            <a:gd name="connsiteY94" fmla="*/ 2086797 h 2496372"/>
                            <a:gd name="connsiteX95" fmla="*/ 3733800 w 5257832"/>
                            <a:gd name="connsiteY95" fmla="*/ 1982022 h 2496372"/>
                            <a:gd name="connsiteX96" fmla="*/ 3771900 w 5257832"/>
                            <a:gd name="connsiteY96" fmla="*/ 1924872 h 2496372"/>
                            <a:gd name="connsiteX97" fmla="*/ 3810000 w 5257832"/>
                            <a:gd name="connsiteY97" fmla="*/ 1915347 h 2496372"/>
                            <a:gd name="connsiteX98" fmla="*/ 3867150 w 5257832"/>
                            <a:gd name="connsiteY98" fmla="*/ 1924872 h 2496372"/>
                            <a:gd name="connsiteX99" fmla="*/ 3876675 w 5257832"/>
                            <a:gd name="connsiteY99" fmla="*/ 1953447 h 2496372"/>
                            <a:gd name="connsiteX100" fmla="*/ 3905250 w 5257832"/>
                            <a:gd name="connsiteY100" fmla="*/ 1982022 h 2496372"/>
                            <a:gd name="connsiteX101" fmla="*/ 3924300 w 5257832"/>
                            <a:gd name="connsiteY101" fmla="*/ 2039172 h 2496372"/>
                            <a:gd name="connsiteX102" fmla="*/ 3933825 w 5257832"/>
                            <a:gd name="connsiteY102" fmla="*/ 2077272 h 2496372"/>
                            <a:gd name="connsiteX103" fmla="*/ 3962400 w 5257832"/>
                            <a:gd name="connsiteY103" fmla="*/ 2115372 h 2496372"/>
                            <a:gd name="connsiteX104" fmla="*/ 3971925 w 5257832"/>
                            <a:gd name="connsiteY104" fmla="*/ 2153472 h 2496372"/>
                            <a:gd name="connsiteX105" fmla="*/ 3981450 w 5257832"/>
                            <a:gd name="connsiteY105" fmla="*/ 2315397 h 2496372"/>
                            <a:gd name="connsiteX106" fmla="*/ 4038600 w 5257832"/>
                            <a:gd name="connsiteY106" fmla="*/ 2305872 h 2496372"/>
                            <a:gd name="connsiteX107" fmla="*/ 4048125 w 5257832"/>
                            <a:gd name="connsiteY107" fmla="*/ 2277297 h 2496372"/>
                            <a:gd name="connsiteX108" fmla="*/ 4057650 w 5257832"/>
                            <a:gd name="connsiteY108" fmla="*/ 2229672 h 2496372"/>
                            <a:gd name="connsiteX109" fmla="*/ 4086225 w 5257832"/>
                            <a:gd name="connsiteY109" fmla="*/ 2191572 h 2496372"/>
                            <a:gd name="connsiteX110" fmla="*/ 4114800 w 5257832"/>
                            <a:gd name="connsiteY110" fmla="*/ 2115372 h 2496372"/>
                            <a:gd name="connsiteX111" fmla="*/ 4124325 w 5257832"/>
                            <a:gd name="connsiteY111" fmla="*/ 2086797 h 2496372"/>
                            <a:gd name="connsiteX112" fmla="*/ 4171950 w 5257832"/>
                            <a:gd name="connsiteY112" fmla="*/ 2077272 h 2496372"/>
                            <a:gd name="connsiteX113" fmla="*/ 4229100 w 5257832"/>
                            <a:gd name="connsiteY113" fmla="*/ 2229672 h 2496372"/>
                            <a:gd name="connsiteX114" fmla="*/ 4267200 w 5257832"/>
                            <a:gd name="connsiteY114" fmla="*/ 2248722 h 2496372"/>
                            <a:gd name="connsiteX115" fmla="*/ 4305300 w 5257832"/>
                            <a:gd name="connsiteY115" fmla="*/ 2277297 h 2496372"/>
                            <a:gd name="connsiteX116" fmla="*/ 4438650 w 5257832"/>
                            <a:gd name="connsiteY116" fmla="*/ 2353497 h 2496372"/>
                            <a:gd name="connsiteX117" fmla="*/ 4467225 w 5257832"/>
                            <a:gd name="connsiteY117" fmla="*/ 2382072 h 2496372"/>
                            <a:gd name="connsiteX118" fmla="*/ 4514850 w 5257832"/>
                            <a:gd name="connsiteY118" fmla="*/ 2410647 h 2496372"/>
                            <a:gd name="connsiteX119" fmla="*/ 4638675 w 5257832"/>
                            <a:gd name="connsiteY119" fmla="*/ 2467797 h 2496372"/>
                            <a:gd name="connsiteX120" fmla="*/ 4695825 w 5257832"/>
                            <a:gd name="connsiteY120" fmla="*/ 2496372 h 2496372"/>
                            <a:gd name="connsiteX121" fmla="*/ 4743450 w 5257832"/>
                            <a:gd name="connsiteY121" fmla="*/ 2401122 h 2496372"/>
                            <a:gd name="connsiteX122" fmla="*/ 4772025 w 5257832"/>
                            <a:gd name="connsiteY122" fmla="*/ 2372547 h 2496372"/>
                            <a:gd name="connsiteX123" fmla="*/ 4848225 w 5257832"/>
                            <a:gd name="connsiteY123" fmla="*/ 2353497 h 2496372"/>
                            <a:gd name="connsiteX124" fmla="*/ 5029200 w 5257832"/>
                            <a:gd name="connsiteY124" fmla="*/ 2363022 h 2496372"/>
                            <a:gd name="connsiteX125" fmla="*/ 5067300 w 5257832"/>
                            <a:gd name="connsiteY125" fmla="*/ 2382072 h 2496372"/>
                            <a:gd name="connsiteX126" fmla="*/ 5114925 w 5257832"/>
                            <a:gd name="connsiteY126" fmla="*/ 2401122 h 2496372"/>
                            <a:gd name="connsiteX127" fmla="*/ 5153025 w 5257832"/>
                            <a:gd name="connsiteY127" fmla="*/ 2420172 h 2496372"/>
                            <a:gd name="connsiteX128" fmla="*/ 5210175 w 5257832"/>
                            <a:gd name="connsiteY128" fmla="*/ 2429697 h 2496372"/>
                            <a:gd name="connsiteX129" fmla="*/ 5257800 w 5257832"/>
                            <a:gd name="connsiteY129" fmla="*/ 2401122 h 24963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Lst>
                          <a:rect l="l" t="t" r="r" b="b"/>
                          <a:pathLst>
                            <a:path w="5257832" h="2496372">
                              <a:moveTo>
                                <a:pt x="0" y="48447"/>
                              </a:moveTo>
                              <a:cubicBezTo>
                                <a:pt x="19050" y="54797"/>
                                <a:pt x="40122" y="56854"/>
                                <a:pt x="57150" y="67497"/>
                              </a:cubicBezTo>
                              <a:cubicBezTo>
                                <a:pt x="75995" y="79275"/>
                                <a:pt x="92478" y="143983"/>
                                <a:pt x="95250" y="153222"/>
                              </a:cubicBezTo>
                              <a:cubicBezTo>
                                <a:pt x="103592" y="181029"/>
                                <a:pt x="109294" y="237278"/>
                                <a:pt x="142875" y="248472"/>
                              </a:cubicBezTo>
                              <a:cubicBezTo>
                                <a:pt x="207720" y="270087"/>
                                <a:pt x="161444" y="257163"/>
                                <a:pt x="285750" y="267522"/>
                              </a:cubicBezTo>
                              <a:cubicBezTo>
                                <a:pt x="292100" y="280222"/>
                                <a:pt x="297755" y="293294"/>
                                <a:pt x="304800" y="305622"/>
                              </a:cubicBezTo>
                              <a:cubicBezTo>
                                <a:pt x="313415" y="320699"/>
                                <a:pt x="343664" y="362075"/>
                                <a:pt x="352425" y="372297"/>
                              </a:cubicBezTo>
                              <a:cubicBezTo>
                                <a:pt x="432026" y="465164"/>
                                <a:pt x="326013" y="327556"/>
                                <a:pt x="409575" y="438972"/>
                              </a:cubicBezTo>
                              <a:cubicBezTo>
                                <a:pt x="418670" y="475352"/>
                                <a:pt x="420216" y="488829"/>
                                <a:pt x="438150" y="524697"/>
                              </a:cubicBezTo>
                              <a:cubicBezTo>
                                <a:pt x="446429" y="541256"/>
                                <a:pt x="450166" y="564043"/>
                                <a:pt x="466725" y="572322"/>
                              </a:cubicBezTo>
                              <a:cubicBezTo>
                                <a:pt x="492441" y="585180"/>
                                <a:pt x="523875" y="578672"/>
                                <a:pt x="552450" y="581847"/>
                              </a:cubicBezTo>
                              <a:cubicBezTo>
                                <a:pt x="561975" y="585022"/>
                                <a:pt x="572045" y="586882"/>
                                <a:pt x="581025" y="591372"/>
                              </a:cubicBezTo>
                              <a:cubicBezTo>
                                <a:pt x="623690" y="612705"/>
                                <a:pt x="594837" y="613339"/>
                                <a:pt x="647700" y="619947"/>
                              </a:cubicBezTo>
                              <a:cubicBezTo>
                                <a:pt x="685637" y="624689"/>
                                <a:pt x="723978" y="625470"/>
                                <a:pt x="762000" y="629472"/>
                              </a:cubicBezTo>
                              <a:cubicBezTo>
                                <a:pt x="784327" y="631822"/>
                                <a:pt x="806450" y="635822"/>
                                <a:pt x="828675" y="638997"/>
                              </a:cubicBezTo>
                              <a:cubicBezTo>
                                <a:pt x="876568" y="654961"/>
                                <a:pt x="870058" y="657226"/>
                                <a:pt x="942975" y="638997"/>
                              </a:cubicBezTo>
                              <a:cubicBezTo>
                                <a:pt x="954081" y="636221"/>
                                <a:pt x="961311" y="625067"/>
                                <a:pt x="971550" y="619947"/>
                              </a:cubicBezTo>
                              <a:cubicBezTo>
                                <a:pt x="986151" y="612647"/>
                                <a:pt x="1024797" y="604559"/>
                                <a:pt x="1038225" y="600897"/>
                              </a:cubicBezTo>
                              <a:cubicBezTo>
                                <a:pt x="1060525" y="594815"/>
                                <a:pt x="1082041" y="585276"/>
                                <a:pt x="1104900" y="581847"/>
                              </a:cubicBezTo>
                              <a:cubicBezTo>
                                <a:pt x="1145839" y="575706"/>
                                <a:pt x="1187515" y="576247"/>
                                <a:pt x="1228725" y="572322"/>
                              </a:cubicBezTo>
                              <a:cubicBezTo>
                                <a:pt x="1266096" y="568763"/>
                                <a:pt x="1314542" y="562774"/>
                                <a:pt x="1352550" y="553272"/>
                              </a:cubicBezTo>
                              <a:cubicBezTo>
                                <a:pt x="1399856" y="541446"/>
                                <a:pt x="1364705" y="545142"/>
                                <a:pt x="1419225" y="524697"/>
                              </a:cubicBezTo>
                              <a:cubicBezTo>
                                <a:pt x="1505647" y="492289"/>
                                <a:pt x="1400615" y="549853"/>
                                <a:pt x="1514475" y="486597"/>
                              </a:cubicBezTo>
                              <a:cubicBezTo>
                                <a:pt x="1556540" y="463228"/>
                                <a:pt x="1533521" y="464084"/>
                                <a:pt x="1590675" y="448497"/>
                              </a:cubicBezTo>
                              <a:cubicBezTo>
                                <a:pt x="1609307" y="443415"/>
                                <a:pt x="1628887" y="442760"/>
                                <a:pt x="1647825" y="438972"/>
                              </a:cubicBezTo>
                              <a:cubicBezTo>
                                <a:pt x="1760787" y="416380"/>
                                <a:pt x="1565196" y="438070"/>
                                <a:pt x="1819275" y="419922"/>
                              </a:cubicBezTo>
                              <a:cubicBezTo>
                                <a:pt x="1838325" y="416747"/>
                                <a:pt x="1857927" y="415946"/>
                                <a:pt x="1876425" y="410397"/>
                              </a:cubicBezTo>
                              <a:cubicBezTo>
                                <a:pt x="1890025" y="406317"/>
                                <a:pt x="1900420" y="392975"/>
                                <a:pt x="1914525" y="391347"/>
                              </a:cubicBezTo>
                              <a:cubicBezTo>
                                <a:pt x="1983986" y="383332"/>
                                <a:pt x="2054225" y="384997"/>
                                <a:pt x="2124075" y="381822"/>
                              </a:cubicBezTo>
                              <a:cubicBezTo>
                                <a:pt x="2136775" y="375472"/>
                                <a:pt x="2148992" y="368045"/>
                                <a:pt x="2162175" y="362772"/>
                              </a:cubicBezTo>
                              <a:cubicBezTo>
                                <a:pt x="2180819" y="355314"/>
                                <a:pt x="2219325" y="343722"/>
                                <a:pt x="2219325" y="343722"/>
                              </a:cubicBezTo>
                              <a:cubicBezTo>
                                <a:pt x="2241550" y="321497"/>
                                <a:pt x="2260855" y="295906"/>
                                <a:pt x="2286000" y="277047"/>
                              </a:cubicBezTo>
                              <a:cubicBezTo>
                                <a:pt x="2298700" y="267522"/>
                                <a:pt x="2312875" y="259697"/>
                                <a:pt x="2324100" y="248472"/>
                              </a:cubicBezTo>
                              <a:cubicBezTo>
                                <a:pt x="2332195" y="240377"/>
                                <a:pt x="2334356" y="227226"/>
                                <a:pt x="2343150" y="219897"/>
                              </a:cubicBezTo>
                              <a:cubicBezTo>
                                <a:pt x="2354058" y="210807"/>
                                <a:pt x="2369696" y="209100"/>
                                <a:pt x="2381250" y="200847"/>
                              </a:cubicBezTo>
                              <a:cubicBezTo>
                                <a:pt x="2392211" y="193017"/>
                                <a:pt x="2398617" y="179744"/>
                                <a:pt x="2409825" y="172272"/>
                              </a:cubicBezTo>
                              <a:cubicBezTo>
                                <a:pt x="2418179" y="166703"/>
                                <a:pt x="2429172" y="166702"/>
                                <a:pt x="2438400" y="162747"/>
                              </a:cubicBezTo>
                              <a:cubicBezTo>
                                <a:pt x="2451451" y="157154"/>
                                <a:pt x="2463800" y="150047"/>
                                <a:pt x="2476500" y="143697"/>
                              </a:cubicBezTo>
                              <a:cubicBezTo>
                                <a:pt x="2511425" y="91310"/>
                                <a:pt x="2476500" y="135759"/>
                                <a:pt x="2524125" y="96072"/>
                              </a:cubicBezTo>
                              <a:cubicBezTo>
                                <a:pt x="2556967" y="68704"/>
                                <a:pt x="2546737" y="61666"/>
                                <a:pt x="2590800" y="48447"/>
                              </a:cubicBezTo>
                              <a:cubicBezTo>
                                <a:pt x="2615950" y="40902"/>
                                <a:pt x="2718613" y="31071"/>
                                <a:pt x="2733675" y="29397"/>
                              </a:cubicBezTo>
                              <a:cubicBezTo>
                                <a:pt x="2798001" y="7955"/>
                                <a:pt x="2718820" y="32698"/>
                                <a:pt x="2819400" y="10347"/>
                              </a:cubicBezTo>
                              <a:cubicBezTo>
                                <a:pt x="2829201" y="8169"/>
                                <a:pt x="2838450" y="3997"/>
                                <a:pt x="2847975" y="822"/>
                              </a:cubicBezTo>
                              <a:cubicBezTo>
                                <a:pt x="2914650" y="3997"/>
                                <a:pt x="2983722" y="-7651"/>
                                <a:pt x="3048000" y="10347"/>
                              </a:cubicBezTo>
                              <a:lnTo>
                                <a:pt x="3105150" y="96072"/>
                              </a:lnTo>
                              <a:cubicBezTo>
                                <a:pt x="3111500" y="105597"/>
                                <a:pt x="3120580" y="113787"/>
                                <a:pt x="3124200" y="124647"/>
                              </a:cubicBezTo>
                              <a:lnTo>
                                <a:pt x="3143250" y="181797"/>
                              </a:lnTo>
                              <a:cubicBezTo>
                                <a:pt x="3146425" y="191322"/>
                                <a:pt x="3150340" y="200632"/>
                                <a:pt x="3152775" y="210372"/>
                              </a:cubicBezTo>
                              <a:cubicBezTo>
                                <a:pt x="3155950" y="223072"/>
                                <a:pt x="3158450" y="235960"/>
                                <a:pt x="3162300" y="248472"/>
                              </a:cubicBezTo>
                              <a:cubicBezTo>
                                <a:pt x="3200135" y="371436"/>
                                <a:pt x="3183902" y="292357"/>
                                <a:pt x="3200400" y="391347"/>
                              </a:cubicBezTo>
                              <a:cubicBezTo>
                                <a:pt x="3213556" y="615000"/>
                                <a:pt x="3202921" y="481972"/>
                                <a:pt x="3219450" y="638997"/>
                              </a:cubicBezTo>
                              <a:cubicBezTo>
                                <a:pt x="3222790" y="670730"/>
                                <a:pt x="3224123" y="702710"/>
                                <a:pt x="3228975" y="734247"/>
                              </a:cubicBezTo>
                              <a:cubicBezTo>
                                <a:pt x="3230502" y="744170"/>
                                <a:pt x="3236322" y="753021"/>
                                <a:pt x="3238500" y="762822"/>
                              </a:cubicBezTo>
                              <a:cubicBezTo>
                                <a:pt x="3242690" y="781675"/>
                                <a:pt x="3244570" y="800971"/>
                                <a:pt x="3248025" y="819972"/>
                              </a:cubicBezTo>
                              <a:cubicBezTo>
                                <a:pt x="3250921" y="835900"/>
                                <a:pt x="3254375" y="851722"/>
                                <a:pt x="3257550" y="867597"/>
                              </a:cubicBezTo>
                              <a:cubicBezTo>
                                <a:pt x="3248019" y="943842"/>
                                <a:pt x="3271756" y="1007351"/>
                                <a:pt x="3209925" y="1048572"/>
                              </a:cubicBezTo>
                              <a:cubicBezTo>
                                <a:pt x="3201571" y="1054141"/>
                                <a:pt x="3190875" y="1054922"/>
                                <a:pt x="3181350" y="1058097"/>
                              </a:cubicBezTo>
                              <a:cubicBezTo>
                                <a:pt x="3168650" y="1070797"/>
                                <a:pt x="3157275" y="1084977"/>
                                <a:pt x="3143250" y="1096197"/>
                              </a:cubicBezTo>
                              <a:cubicBezTo>
                                <a:pt x="3125372" y="1110500"/>
                                <a:pt x="3099837" y="1115981"/>
                                <a:pt x="3086100" y="1134297"/>
                              </a:cubicBezTo>
                              <a:cubicBezTo>
                                <a:pt x="3075827" y="1147994"/>
                                <a:pt x="3046363" y="1191022"/>
                                <a:pt x="3028950" y="1200972"/>
                              </a:cubicBezTo>
                              <a:cubicBezTo>
                                <a:pt x="3017584" y="1207467"/>
                                <a:pt x="3003437" y="1206901"/>
                                <a:pt x="2990850" y="1210497"/>
                              </a:cubicBezTo>
                              <a:cubicBezTo>
                                <a:pt x="2981196" y="1213255"/>
                                <a:pt x="2971800" y="1216847"/>
                                <a:pt x="2962275" y="1220022"/>
                              </a:cubicBezTo>
                              <a:cubicBezTo>
                                <a:pt x="2952354" y="1227463"/>
                                <a:pt x="2896152" y="1257101"/>
                                <a:pt x="2914650" y="1286697"/>
                              </a:cubicBezTo>
                              <a:cubicBezTo>
                                <a:pt x="2926784" y="1306112"/>
                                <a:pt x="2971800" y="1324797"/>
                                <a:pt x="2971800" y="1324797"/>
                              </a:cubicBezTo>
                              <a:cubicBezTo>
                                <a:pt x="2974975" y="1340672"/>
                                <a:pt x="2977685" y="1356647"/>
                                <a:pt x="2981325" y="1372422"/>
                              </a:cubicBezTo>
                              <a:cubicBezTo>
                                <a:pt x="2987212" y="1397933"/>
                                <a:pt x="3000375" y="1448622"/>
                                <a:pt x="3000375" y="1448622"/>
                              </a:cubicBezTo>
                              <a:cubicBezTo>
                                <a:pt x="2997200" y="1461322"/>
                                <a:pt x="2993690" y="1473943"/>
                                <a:pt x="2990850" y="1486722"/>
                              </a:cubicBezTo>
                              <a:cubicBezTo>
                                <a:pt x="2987338" y="1502526"/>
                                <a:pt x="2988565" y="1519867"/>
                                <a:pt x="2981325" y="1534347"/>
                              </a:cubicBezTo>
                              <a:cubicBezTo>
                                <a:pt x="2975301" y="1546395"/>
                                <a:pt x="2962275" y="1553397"/>
                                <a:pt x="2952750" y="1562922"/>
                              </a:cubicBezTo>
                              <a:cubicBezTo>
                                <a:pt x="2949575" y="1572447"/>
                                <a:pt x="2947715" y="1582517"/>
                                <a:pt x="2943225" y="1591497"/>
                              </a:cubicBezTo>
                              <a:cubicBezTo>
                                <a:pt x="2934946" y="1608056"/>
                                <a:pt x="2918666" y="1621050"/>
                                <a:pt x="2914650" y="1639122"/>
                              </a:cubicBezTo>
                              <a:cubicBezTo>
                                <a:pt x="2911810" y="1651901"/>
                                <a:pt x="2920579" y="1664635"/>
                                <a:pt x="2924175" y="1677222"/>
                              </a:cubicBezTo>
                              <a:cubicBezTo>
                                <a:pt x="2926933" y="1686876"/>
                                <a:pt x="2925346" y="1700228"/>
                                <a:pt x="2933700" y="1705797"/>
                              </a:cubicBezTo>
                              <a:cubicBezTo>
                                <a:pt x="2947170" y="1714777"/>
                                <a:pt x="2965450" y="1712147"/>
                                <a:pt x="2981325" y="1715322"/>
                              </a:cubicBezTo>
                              <a:cubicBezTo>
                                <a:pt x="2990850" y="1721672"/>
                                <a:pt x="3001805" y="1726277"/>
                                <a:pt x="3009900" y="1734372"/>
                              </a:cubicBezTo>
                              <a:cubicBezTo>
                                <a:pt x="3017995" y="1742467"/>
                                <a:pt x="3019425" y="1756597"/>
                                <a:pt x="3028950" y="1762947"/>
                              </a:cubicBezTo>
                              <a:cubicBezTo>
                                <a:pt x="3039842" y="1770209"/>
                                <a:pt x="3054350" y="1769297"/>
                                <a:pt x="3067050" y="1772472"/>
                              </a:cubicBezTo>
                              <a:cubicBezTo>
                                <a:pt x="3079750" y="1785172"/>
                                <a:pt x="3094711" y="1795957"/>
                                <a:pt x="3105150" y="1810572"/>
                              </a:cubicBezTo>
                              <a:cubicBezTo>
                                <a:pt x="3125831" y="1839525"/>
                                <a:pt x="3108116" y="1890133"/>
                                <a:pt x="3105150" y="1915347"/>
                              </a:cubicBezTo>
                              <a:cubicBezTo>
                                <a:pt x="3101791" y="1943901"/>
                                <a:pt x="3100352" y="1972712"/>
                                <a:pt x="3095625" y="2001072"/>
                              </a:cubicBezTo>
                              <a:cubicBezTo>
                                <a:pt x="3093492" y="2013871"/>
                                <a:pt x="3068033" y="2074813"/>
                                <a:pt x="3067050" y="2077272"/>
                              </a:cubicBezTo>
                              <a:cubicBezTo>
                                <a:pt x="3070225" y="2093147"/>
                                <a:pt x="3060672" y="2121868"/>
                                <a:pt x="3076575" y="2124897"/>
                              </a:cubicBezTo>
                              <a:cubicBezTo>
                                <a:pt x="3221855" y="2152569"/>
                                <a:pt x="3224374" y="2143839"/>
                                <a:pt x="3295650" y="2096322"/>
                              </a:cubicBezTo>
                              <a:cubicBezTo>
                                <a:pt x="3308619" y="1798036"/>
                                <a:pt x="3235419" y="1909864"/>
                                <a:pt x="3333750" y="1867722"/>
                              </a:cubicBezTo>
                              <a:cubicBezTo>
                                <a:pt x="3346801" y="1862129"/>
                                <a:pt x="3359150" y="1855022"/>
                                <a:pt x="3371850" y="1848672"/>
                              </a:cubicBezTo>
                              <a:cubicBezTo>
                                <a:pt x="3381375" y="1855022"/>
                                <a:pt x="3394657" y="1857834"/>
                                <a:pt x="3400425" y="1867722"/>
                              </a:cubicBezTo>
                              <a:cubicBezTo>
                                <a:pt x="3409848" y="1883875"/>
                                <a:pt x="3437329" y="1970704"/>
                                <a:pt x="3457575" y="2001072"/>
                              </a:cubicBezTo>
                              <a:cubicBezTo>
                                <a:pt x="3494220" y="2056039"/>
                                <a:pt x="3489244" y="2032681"/>
                                <a:pt x="3514725" y="2077272"/>
                              </a:cubicBezTo>
                              <a:cubicBezTo>
                                <a:pt x="3546625" y="2133097"/>
                                <a:pt x="3521689" y="2107997"/>
                                <a:pt x="3571875" y="2172522"/>
                              </a:cubicBezTo>
                              <a:cubicBezTo>
                                <a:pt x="3580145" y="2183155"/>
                                <a:pt x="3590925" y="2191572"/>
                                <a:pt x="3600450" y="2201097"/>
                              </a:cubicBezTo>
                              <a:cubicBezTo>
                                <a:pt x="3608469" y="2225153"/>
                                <a:pt x="3614270" y="2252597"/>
                                <a:pt x="3638550" y="2267772"/>
                              </a:cubicBezTo>
                              <a:cubicBezTo>
                                <a:pt x="3652279" y="2276352"/>
                                <a:pt x="3670300" y="2274122"/>
                                <a:pt x="3686175" y="2277297"/>
                              </a:cubicBezTo>
                              <a:cubicBezTo>
                                <a:pt x="3689350" y="2248722"/>
                                <a:pt x="3688727" y="2219464"/>
                                <a:pt x="3695700" y="2191572"/>
                              </a:cubicBezTo>
                              <a:cubicBezTo>
                                <a:pt x="3698476" y="2180466"/>
                                <a:pt x="3711738" y="2174041"/>
                                <a:pt x="3714750" y="2162997"/>
                              </a:cubicBezTo>
                              <a:cubicBezTo>
                                <a:pt x="3721485" y="2138301"/>
                                <a:pt x="3721595" y="2112254"/>
                                <a:pt x="3724275" y="2086797"/>
                              </a:cubicBezTo>
                              <a:cubicBezTo>
                                <a:pt x="3727946" y="2051921"/>
                                <a:pt x="3723905" y="2015666"/>
                                <a:pt x="3733800" y="1982022"/>
                              </a:cubicBezTo>
                              <a:cubicBezTo>
                                <a:pt x="3740260" y="1960057"/>
                                <a:pt x="3749688" y="1930425"/>
                                <a:pt x="3771900" y="1924872"/>
                              </a:cubicBezTo>
                              <a:lnTo>
                                <a:pt x="3810000" y="1915347"/>
                              </a:lnTo>
                              <a:cubicBezTo>
                                <a:pt x="3829050" y="1918522"/>
                                <a:pt x="3850382" y="1915290"/>
                                <a:pt x="3867150" y="1924872"/>
                              </a:cubicBezTo>
                              <a:cubicBezTo>
                                <a:pt x="3875867" y="1929853"/>
                                <a:pt x="3871106" y="1945093"/>
                                <a:pt x="3876675" y="1953447"/>
                              </a:cubicBezTo>
                              <a:cubicBezTo>
                                <a:pt x="3884147" y="1964655"/>
                                <a:pt x="3895725" y="1972497"/>
                                <a:pt x="3905250" y="1982022"/>
                              </a:cubicBezTo>
                              <a:cubicBezTo>
                                <a:pt x="3911600" y="2001072"/>
                                <a:pt x="3918530" y="2019938"/>
                                <a:pt x="3924300" y="2039172"/>
                              </a:cubicBezTo>
                              <a:cubicBezTo>
                                <a:pt x="3928062" y="2051711"/>
                                <a:pt x="3927971" y="2065563"/>
                                <a:pt x="3933825" y="2077272"/>
                              </a:cubicBezTo>
                              <a:cubicBezTo>
                                <a:pt x="3940925" y="2091471"/>
                                <a:pt x="3952875" y="2102672"/>
                                <a:pt x="3962400" y="2115372"/>
                              </a:cubicBezTo>
                              <a:cubicBezTo>
                                <a:pt x="3965575" y="2128072"/>
                                <a:pt x="3970684" y="2140440"/>
                                <a:pt x="3971925" y="2153472"/>
                              </a:cubicBezTo>
                              <a:cubicBezTo>
                                <a:pt x="3977051" y="2207297"/>
                                <a:pt x="3959778" y="2265862"/>
                                <a:pt x="3981450" y="2315397"/>
                              </a:cubicBezTo>
                              <a:cubicBezTo>
                                <a:pt x="3989191" y="2333091"/>
                                <a:pt x="4019550" y="2309047"/>
                                <a:pt x="4038600" y="2305872"/>
                              </a:cubicBezTo>
                              <a:cubicBezTo>
                                <a:pt x="4041775" y="2296347"/>
                                <a:pt x="4045690" y="2287037"/>
                                <a:pt x="4048125" y="2277297"/>
                              </a:cubicBezTo>
                              <a:cubicBezTo>
                                <a:pt x="4052052" y="2261591"/>
                                <a:pt x="4051075" y="2244466"/>
                                <a:pt x="4057650" y="2229672"/>
                              </a:cubicBezTo>
                              <a:cubicBezTo>
                                <a:pt x="4064097" y="2215165"/>
                                <a:pt x="4076700" y="2204272"/>
                                <a:pt x="4086225" y="2191572"/>
                              </a:cubicBezTo>
                              <a:cubicBezTo>
                                <a:pt x="4104602" y="2099688"/>
                                <a:pt x="4082098" y="2180776"/>
                                <a:pt x="4114800" y="2115372"/>
                              </a:cubicBezTo>
                              <a:cubicBezTo>
                                <a:pt x="4119290" y="2106392"/>
                                <a:pt x="4115971" y="2092366"/>
                                <a:pt x="4124325" y="2086797"/>
                              </a:cubicBezTo>
                              <a:cubicBezTo>
                                <a:pt x="4137795" y="2077817"/>
                                <a:pt x="4156075" y="2080447"/>
                                <a:pt x="4171950" y="2077272"/>
                              </a:cubicBezTo>
                              <a:cubicBezTo>
                                <a:pt x="4178207" y="2102300"/>
                                <a:pt x="4200638" y="2215441"/>
                                <a:pt x="4229100" y="2229672"/>
                              </a:cubicBezTo>
                              <a:cubicBezTo>
                                <a:pt x="4241800" y="2236022"/>
                                <a:pt x="4255159" y="2241197"/>
                                <a:pt x="4267200" y="2248722"/>
                              </a:cubicBezTo>
                              <a:cubicBezTo>
                                <a:pt x="4280662" y="2257136"/>
                                <a:pt x="4291423" y="2269587"/>
                                <a:pt x="4305300" y="2277297"/>
                              </a:cubicBezTo>
                              <a:cubicBezTo>
                                <a:pt x="4375319" y="2316197"/>
                                <a:pt x="4357765" y="2272612"/>
                                <a:pt x="4438650" y="2353497"/>
                              </a:cubicBezTo>
                              <a:cubicBezTo>
                                <a:pt x="4448175" y="2363022"/>
                                <a:pt x="4456449" y="2373990"/>
                                <a:pt x="4467225" y="2382072"/>
                              </a:cubicBezTo>
                              <a:cubicBezTo>
                                <a:pt x="4482036" y="2393180"/>
                                <a:pt x="4498597" y="2401782"/>
                                <a:pt x="4514850" y="2410647"/>
                              </a:cubicBezTo>
                              <a:cubicBezTo>
                                <a:pt x="4580803" y="2446621"/>
                                <a:pt x="4566983" y="2434708"/>
                                <a:pt x="4638675" y="2467797"/>
                              </a:cubicBezTo>
                              <a:cubicBezTo>
                                <a:pt x="4658013" y="2476722"/>
                                <a:pt x="4676775" y="2486847"/>
                                <a:pt x="4695825" y="2496372"/>
                              </a:cubicBezTo>
                              <a:cubicBezTo>
                                <a:pt x="4723713" y="2384818"/>
                                <a:pt x="4690440" y="2445297"/>
                                <a:pt x="4743450" y="2401122"/>
                              </a:cubicBezTo>
                              <a:cubicBezTo>
                                <a:pt x="4753798" y="2392498"/>
                                <a:pt x="4759762" y="2378121"/>
                                <a:pt x="4772025" y="2372547"/>
                              </a:cubicBezTo>
                              <a:cubicBezTo>
                                <a:pt x="4795860" y="2361713"/>
                                <a:pt x="4848225" y="2353497"/>
                                <a:pt x="4848225" y="2353497"/>
                              </a:cubicBezTo>
                              <a:cubicBezTo>
                                <a:pt x="4908550" y="2356672"/>
                                <a:pt x="4969299" y="2355209"/>
                                <a:pt x="5029200" y="2363022"/>
                              </a:cubicBezTo>
                              <a:cubicBezTo>
                                <a:pt x="5043280" y="2364858"/>
                                <a:pt x="5054325" y="2376305"/>
                                <a:pt x="5067300" y="2382072"/>
                              </a:cubicBezTo>
                              <a:cubicBezTo>
                                <a:pt x="5082924" y="2389016"/>
                                <a:pt x="5099301" y="2394178"/>
                                <a:pt x="5114925" y="2401122"/>
                              </a:cubicBezTo>
                              <a:cubicBezTo>
                                <a:pt x="5127900" y="2406889"/>
                                <a:pt x="5139425" y="2416092"/>
                                <a:pt x="5153025" y="2420172"/>
                              </a:cubicBezTo>
                              <a:cubicBezTo>
                                <a:pt x="5171523" y="2425721"/>
                                <a:pt x="5191125" y="2426522"/>
                                <a:pt x="5210175" y="2429697"/>
                              </a:cubicBezTo>
                              <a:cubicBezTo>
                                <a:pt x="5260748" y="2409468"/>
                                <a:pt x="5257800" y="2427745"/>
                                <a:pt x="5257800" y="2401122"/>
                              </a:cubicBezTo>
                            </a:path>
                          </a:pathLst>
                        </a:custGeom>
                        <a:noFill/>
                        <a:ln w="57150">
                          <a:solidFill>
                            <a:srgbClr val="00B05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任意多边形: 形状 10" o:spid="_x0000_s1026" o:spt="100" style="position:absolute;left:0pt;margin-left:4.65pt;margin-top:419.9pt;height:196.55pt;width:414pt;z-index:251687936;v-text-anchor:middle;mso-width-relative:page;mso-height-relative:page;" filled="f" stroked="t" coordsize="5257832,2496372" o:gfxdata="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" path="m0,48447c19050,54797,40122,56854,57150,67497c75995,79275,92478,143983,95250,153222c103592,181029,109294,237278,142875,248472c207720,270087,161444,257163,285750,267522c292100,280222,297755,293294,304800,305622c313415,320699,343664,362075,352425,372297c432026,465164,326013,327556,409575,438972c418670,475352,420216,488829,438150,524697c446429,541256,450166,564043,466725,572322c492441,585180,523875,578672,552450,581847c561975,585022,572045,586882,581025,591372c623690,612705,594837,613339,647700,619947c685637,624689,723978,625470,762000,629472c784327,631822,806450,635822,828675,638997c876568,654961,870058,657226,942975,638997c954081,636221,961311,625067,971550,619947c986151,612647,1024797,604559,1038225,600897c1060525,594815,1082041,585276,1104900,581847c1145839,575706,1187515,576247,1228725,572322c1266096,568763,1314542,562774,1352550,553272c1399856,541446,1364705,545142,1419225,524697c1505647,492289,1400615,549853,1514475,486597c1556540,463228,1533521,464084,1590675,448497c1609307,443415,1628887,442760,1647825,438972c1760787,416380,1565196,438070,1819275,419922c1838325,416747,1857927,415946,1876425,410397c1890025,406317,1900420,392975,1914525,391347c1983986,383332,2054225,384997,2124075,381822c2136775,375472,2148992,368045,2162175,362772c2180819,355314,2219325,343722,2219325,343722c2241550,321497,2260855,295906,2286000,277047c2298700,267522,2312875,259697,2324100,248472c2332195,240377,2334356,227226,2343150,219897c2354058,210807,2369696,209100,2381250,200847c2392211,193017,2398617,179744,2409825,172272c2418179,166703,2429172,166702,2438400,162747c2451451,157154,2463800,150047,2476500,143697c2511425,91310,2476500,135759,2524125,96072c2556967,68704,2546737,61666,2590800,48447c2615950,40902,2718613,31071,2733675,29397c2798001,7955,2718820,32698,2819400,10347c2829201,8169,2838450,3997,2847975,822c2914650,3997,2983722,-7651,3048000,10347l3105150,96072c3111500,105597,3120580,113787,3124200,124647l3143250,181797c3146425,191322,3150340,200632,3152775,210372c3155950,223072,3158450,235960,3162300,248472c3200135,371436,3183902,292357,3200400,391347c3213556,615000,3202921,481972,3219450,638997c3222790,670730,3224123,702710,3228975,734247c3230502,744170,3236322,753021,3238500,762822c3242690,781675,3244570,800971,3248025,819972c3250921,835900,3254375,851722,3257550,867597c3248019,943842,3271756,1007351,3209925,1048572c3201571,1054141,3190875,1054922,3181350,1058097c3168650,1070797,3157275,1084977,3143250,1096197c3125372,1110500,3099837,1115981,3086100,1134297c3075827,1147994,3046363,1191022,3028950,1200972c3017584,1207467,3003437,1206901,2990850,1210497c2981196,1213255,2971800,1216847,2962275,1220022c2952354,1227463,2896152,1257101,2914650,1286697c2926784,1306112,2971800,1324797,2971800,1324797c2974975,1340672,2977685,1356647,2981325,1372422c2987212,1397933,3000375,1448622,3000375,1448622c2997200,1461322,2993690,1473943,2990850,1486722c2987338,1502526,2988565,1519867,2981325,1534347c2975301,1546395,2962275,1553397,2952750,1562922c2949575,1572447,2947715,1582517,2943225,1591497c2934946,1608056,2918666,1621050,2914650,1639122c2911810,1651901,2920579,1664635,2924175,1677222c2926933,1686876,2925346,1700228,2933700,1705797c2947170,1714777,2965450,1712147,2981325,1715322c2990850,1721672,3001805,1726277,3009900,1734372c3017995,1742467,3019425,1756597,3028950,1762947c3039842,1770209,3054350,1769297,3067050,1772472c3079750,1785172,3094711,1795957,3105150,1810572c3125831,1839525,3108116,1890133,3105150,1915347c3101791,1943901,3100352,1972712,3095625,2001072c3093492,2013871,3068033,2074813,3067050,2077272c3070225,2093147,3060672,2121868,3076575,2124897c3221855,2152569,3224374,2143839,3295650,2096322c3308619,1798036,3235419,1909864,3333750,1867722c3346801,1862129,3359150,1855022,3371850,1848672c3381375,1855022,3394657,1857834,3400425,1867722c3409848,1883875,3437329,1970704,3457575,2001072c3494220,2056039,3489244,2032681,3514725,2077272c3546625,2133097,3521689,2107997,3571875,2172522c3580145,2183155,3590925,2191572,3600450,2201097c3608469,2225153,3614270,2252597,3638550,2267772c3652279,2276352,3670300,2274122,3686175,2277297c3689350,2248722,3688727,2219464,3695700,2191572c3698476,2180466,3711738,2174041,3714750,2162997c3721485,2138301,3721595,2112254,3724275,2086797c3727946,2051921,3723905,2015666,3733800,1982022c3740260,1960057,3749688,1930425,3771900,1924872l3810000,1915347c3829050,1918522,3850382,1915290,3867150,1924872c3875867,1929853,3871106,1945093,3876675,1953447c3884147,1964655,3895725,1972497,3905250,1982022c3911600,2001072,3918530,2019938,3924300,2039172c3928062,2051711,3927971,2065563,3933825,2077272c3940925,2091471,3952875,2102672,3962400,2115372c3965575,2128072,3970684,2140440,3971925,2153472c3977051,2207297,3959778,2265862,3981450,2315397c3989191,2333091,4019550,2309047,4038600,2305872c4041775,2296347,4045690,2287037,4048125,2277297c4052052,2261591,4051075,2244466,4057650,2229672c4064097,2215165,4076700,2204272,4086225,2191572c4104602,2099688,4082098,2180776,4114800,2115372c4119290,2106392,4115971,2092366,4124325,2086797c4137795,2077817,4156075,2080447,4171950,2077272c4178207,2102300,4200638,2215441,4229100,2229672c4241800,2236022,4255159,2241197,4267200,2248722c4280662,2257136,4291423,2269587,4305300,2277297c4375319,2316197,4357765,2272612,4438650,2353497c4448175,2363022,4456449,2373990,4467225,2382072c4482036,2393180,4498597,2401782,4514850,2410647c4580803,2446621,4566983,2434708,4638675,2467797c4658013,2476722,4676775,2486847,4695825,2496372c4723713,2384818,4690440,2445297,4743450,2401122c4753798,2392498,4759762,2378121,4772025,2372547c4795860,2361713,4848225,2353497,4848225,2353497c4908550,2356672,4969299,2355209,5029200,2363022c5043280,2364858,5054325,2376305,5067300,2382072c5082924,2389016,5099301,2394178,5114925,2401122c5127900,2406889,5139425,2416092,5153025,2420172c5171523,2425721,5191125,2426522,5210175,2429697c5260748,2409468,5257800,2427745,5257800,2401122e">
                <v:path o:connectlocs="0,48443;57149,67491;95249,153210;142874,248453;285748,267501;304798,305599;352422,372269;409572,438939;438147,524657;466722,572279;552446,581803;581021,591327;647696,619900;761995,629424;828669,638949;942969,638949;971544,619900;1038218,600851;1104893,581803;1228717,572279;1352541,553230;1419216,524657;1514465,486560;1590665,448463;1647814,438939;1819263,419890;1876413,410366;1914513,391317;2124062,381793;2162161,362744;2219311,343696;2285986,277026;2324085,248453;2343135,219880;2381235,200831;2409810,172259;2438385,162734;2476484,143686;2524109,96064;2590784,48443;2733658,29394;2819382,10346;2847957,821;3047981,10346;3105131,96064;3124180,124637;3143230,181783;3152755,210356;3162280,248453;3200380,391317;3219430,638949;3228955,734191;3238480,762764;3248005,819910;3257530,867532;3209905,1048493;3181330,1058017;3143230,1096114;3086081,1134212;3028931,1200882;2990831,1210406;2962256,1219930;2914632,1286600;2971781,1324697;2981306,1372319;3000356,1448513;2990831,1486610;2981306,1534232;2952732,1562804;2943207,1591377;2914632,1638999;2924157,1677096;2933682,1705669;2981306,1715193;3009881,1734242;3028931,1762814;3067031,1772339;3105131,1810436;3105131,1915203;3095606,2000922;3067031,2077116;3076556,2124737;3295629,2096164;3333729,1867582;3371829,1848533;3400404,1867582;3457553,2000922;3514703,2077116;3571853,2172359;3600428,2200932;3638527,2267602;3686152,2277126;3695677,2191407;3714727,2162834;3724252,2086640;3733777,1981873;3771877,1924727;3809976,1915203;3867126,1924727;3876651,1953300;3905226,1981873;3924276,2039019;3933801,2077116;3962375,2115213;3971900,2153310;3981425,2315223;4038575,2305699;4048100,2277126;4057625,2229504;4086200,2191407;4114774,2115213;4124299,2086640;4171924,2077116;4229074,2229504;4267174,2248553;4305273,2277126;4438622,2353320;4467197,2381893;4514822,2410466;4638646,2467612;4695796,2496185;4743421,2400942;4771995,2372369;4848195,2353320;5029169,2362844;5067269,2381893;5114893,2400942;5152993,2419990;5210143,2429514;5257768,2400942" o:connectangles="0,0,0,0,0,0,0,0,0,0,0,0,0,0,0,0,0,0,0,0,0,0,0,0,0,0,0,0,0,0,0,0,0,0,0,0,0,0,0,0,0,0,0,0,0,0,0,0,0,0,0,0,0,0,0,0,0,0,0,0,0,0,0,0,0,0,0,0,0,0,0,0,0,0,0,0,0,0,0,0,0,0,0,0,0,0,0,0,0,0,0,0,0,0,0,0,0,0,0,0,0,0,0,0,0,0,0,0,0,0,0,0,0,0,0,0,0,0,0,0,0,0,0,0,0,0,0,0,0,0"/>
                <v:fill on="f" focussize="0,0"/>
                <v:stroke weight="4.5pt" color="#00B05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62336" behindDoc="0" locked="0" layoutInCell="1" allowOverlap="1">
                <wp:simplePos x="0" y="0"/>
                <wp:positionH relativeFrom="column">
                  <wp:posOffset>17780</wp:posOffset>
                </wp:positionH>
                <wp:positionV relativeFrom="paragraph">
                  <wp:posOffset>927100</wp:posOffset>
                </wp:positionV>
                <wp:extent cx="1484630" cy="255905"/>
                <wp:effectExtent l="0" t="0" r="1029970" b="67945"/>
                <wp:wrapNone/>
                <wp:docPr id="1099650787" name="对话气泡: 矩形 15"/>
                <wp:cNvGraphicFramePr/>
                <a:graphic xmlns:a="http://schemas.openxmlformats.org/drawingml/2006/main">
                  <a:graphicData uri="http://schemas.microsoft.com/office/word/2010/wordprocessingShape">
                    <wps:wsp>
                      <wps:cNvSpPr/>
                      <wps:spPr>
                        <a:xfrm>
                          <a:off x="0" y="0"/>
                          <a:ext cx="1484630" cy="255905"/>
                        </a:xfrm>
                        <a:prstGeom prst="wedgeRectCallout">
                          <a:avLst>
                            <a:gd name="adj1" fmla="val 113800"/>
                            <a:gd name="adj2" fmla="val 69425"/>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1.4pt;margin-top:73pt;height:20.15pt;width:116.9pt;z-index:251662336;v-text-anchor:middle;mso-width-relative:page;mso-height-relative:page;" fillcolor="#FFFFFF [3201]" filled="t" stroked="t" coordsize="21600,21600" o:gfxdata="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K/WEjnWAAAACQEAAA8AAAAA&#10;AAAAAQAgAAAAIgAAAGRycy9kb3ducmV2LnhtbFBLAQIUABQAAAAIAIdO4kAe6CEuwQIAAHUFAAAO&#10;AAAAAAAAAAEAIAAAACUBAABkcnMvZTJvRG9jLnhtbFBLBQYAAAAABgAGAFkBAABYBgAAAAA=&#10;" adj="35381,25796">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w:rPr>
          <w14:ligatures w14:val="standardContextual"/>
        </w:rPr>
        <w:t xml:space="preserve"> </w:t>
      </w:r>
      <w:r>
        <w:rPr>
          <w14:ligatures w14:val="standardContextual"/>
        </w:rPr>
        <mc:AlternateContent>
          <mc:Choice Requires="wps">
            <w:drawing>
              <wp:anchor distT="0" distB="0" distL="114300" distR="114300" simplePos="0" relativeHeight="251688960" behindDoc="0" locked="0" layoutInCell="1" allowOverlap="1">
                <wp:simplePos x="0" y="0"/>
                <wp:positionH relativeFrom="column">
                  <wp:posOffset>3848100</wp:posOffset>
                </wp:positionH>
                <wp:positionV relativeFrom="paragraph">
                  <wp:posOffset>4686300</wp:posOffset>
                </wp:positionV>
                <wp:extent cx="1484630" cy="255905"/>
                <wp:effectExtent l="876300" t="0" r="20320" b="67945"/>
                <wp:wrapNone/>
                <wp:docPr id="1413986344" name="对话气泡: 矩形 15"/>
                <wp:cNvGraphicFramePr/>
                <a:graphic xmlns:a="http://schemas.openxmlformats.org/drawingml/2006/main">
                  <a:graphicData uri="http://schemas.microsoft.com/office/word/2010/wordprocessingShape">
                    <wps:wsp>
                      <wps:cNvSpPr/>
                      <wps:spPr>
                        <a:xfrm>
                          <a:off x="0" y="0"/>
                          <a:ext cx="1484630" cy="255905"/>
                        </a:xfrm>
                        <a:prstGeom prst="wedgeRectCallout">
                          <a:avLst>
                            <a:gd name="adj1" fmla="val -105982"/>
                            <a:gd name="adj2" fmla="val 67920"/>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汇入祁水位置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303pt;margin-top:369pt;height:20.15pt;width:116.9pt;z-index:251688960;v-text-anchor:middle;mso-width-relative:page;mso-height-relative:page;" fillcolor="#FFFFFF [3201]" filled="t" stroked="t" coordsize="21600,21600" o:gfxdata="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CBDjNY2wAAAAsB&#10;AAAPAAAAAAAAAAEAIAAAACIAAABkcnMvZG93bnJldi54bWxQSwECFAAUAAAACACHTuJApoidl8MC&#10;AAB2BQAADgAAAAAAAAABACAAAAAqAQAAZHJzL2Uyb0RvYy54bWxQSwUGAAAAAAYABgBZAQAAXwYA&#10;AAAA&#10;" adj="-12092,25471">
                <v:fill on="t" focussize="0,0"/>
                <v:stroke weight="1pt" color="#000000 [3200]" miterlimit="8" joinstyle="miter"/>
                <v:imagedata o:title=""/>
                <o:lock v:ext="edit" aspectratio="f"/>
                <v:textbox>
                  <w:txbxContent>
                    <w:p>
                      <w:pPr>
                        <w:jc w:val="center"/>
                      </w:pPr>
                      <w:r>
                        <w:rPr>
                          <w:rFonts w:hint="eastAsia"/>
                        </w:rPr>
                        <w:t>汇入祁水位置</w:t>
                      </w:r>
                    </w:p>
                  </w:txbxContent>
                </v:textbox>
              </v:shape>
            </w:pict>
          </mc:Fallback>
        </mc:AlternateContent>
      </w:r>
      <w:r>
        <w:rPr>
          <w14:ligatures w14:val="standardContextual"/>
        </w:rPr>
        <mc:AlternateContent>
          <mc:Choice Requires="wps">
            <w:drawing>
              <wp:anchor distT="0" distB="0" distL="114300" distR="114300" simplePos="0" relativeHeight="251663360" behindDoc="0" locked="0" layoutInCell="1" allowOverlap="1">
                <wp:simplePos x="0" y="0"/>
                <wp:positionH relativeFrom="column">
                  <wp:posOffset>3963670</wp:posOffset>
                </wp:positionH>
                <wp:positionV relativeFrom="paragraph">
                  <wp:posOffset>5331460</wp:posOffset>
                </wp:positionV>
                <wp:extent cx="1484630" cy="255905"/>
                <wp:effectExtent l="819150" t="152400" r="20320" b="10795"/>
                <wp:wrapNone/>
                <wp:docPr id="905851288" name="对话气泡: 矩形 15"/>
                <wp:cNvGraphicFramePr/>
                <a:graphic xmlns:a="http://schemas.openxmlformats.org/drawingml/2006/main">
                  <a:graphicData uri="http://schemas.microsoft.com/office/word/2010/wordprocessingShape">
                    <wps:wsp>
                      <wps:cNvSpPr/>
                      <wps:spPr>
                        <a:xfrm>
                          <a:off x="0" y="0"/>
                          <a:ext cx="1484630" cy="255905"/>
                        </a:xfrm>
                        <a:prstGeom prst="wedgeRectCallout">
                          <a:avLst>
                            <a:gd name="adj1" fmla="val -102133"/>
                            <a:gd name="adj2" fmla="val -10329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312.1pt;margin-top:419.8pt;height:20.15pt;width:116.9pt;z-index:251663360;v-text-anchor:middle;mso-width-relative:page;mso-height-relative:page;" fillcolor="#FFFFFF [3201]" filled="t" stroked="t" coordsize="21600,21600" o:gfxdata="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Av6KOW2gAAAAsBAAAPAAAA&#10;AAAAAAEAIAAAACIAAABkcnMvZG93bnJldi54bWxQSwECFAAUAAAACACHTuJA7p6nXr4CAAB3BQAA&#10;DgAAAAAAAAABACAAAAApAQAAZHJzL2Uyb0RvYy54bWxQSwUGAAAAAAYABgBZAQAAWQYAAAAA&#10;" adj="-11261,-11512">
                <v:fill on="t" focussize="0,0"/>
                <v:stroke weight="1pt" color="#000000 [3200]" miterlimit="8" joinstyle="miter"/>
                <v:imagedata o:title=""/>
                <o:lock v:ext="edit" aspectratio="f"/>
                <v:textbox>
                  <w:txbxContent>
                    <w:p>
                      <w:pPr>
                        <w:jc w:val="center"/>
                      </w:pPr>
                      <w:r>
                        <w:rPr>
                          <w:rFonts w:hint="eastAsia"/>
                        </w:rPr>
                        <w:t>祁水</w:t>
                      </w:r>
                    </w:p>
                  </w:txbxContent>
                </v:textbox>
              </v:shape>
            </w:pict>
          </mc:Fallback>
        </mc:AlternateContent>
      </w:r>
      <w:r>
        <w:rPr>
          <w14:ligatures w14:val="standardContextual"/>
        </w:rPr>
        <mc:AlternateContent>
          <mc:Choice Requires="wps">
            <w:drawing>
              <wp:anchor distT="0" distB="0" distL="114300" distR="114300" simplePos="0" relativeHeight="251686912" behindDoc="0" locked="0" layoutInCell="1" allowOverlap="1">
                <wp:simplePos x="0" y="0"/>
                <wp:positionH relativeFrom="column">
                  <wp:posOffset>3068320</wp:posOffset>
                </wp:positionH>
                <wp:positionV relativeFrom="paragraph">
                  <wp:posOffset>2673985</wp:posOffset>
                </wp:positionV>
                <wp:extent cx="1484630" cy="255905"/>
                <wp:effectExtent l="819150" t="152400" r="20320" b="10795"/>
                <wp:wrapNone/>
                <wp:docPr id="201555200" name="对话气泡: 矩形 15"/>
                <wp:cNvGraphicFramePr/>
                <a:graphic xmlns:a="http://schemas.openxmlformats.org/drawingml/2006/main">
                  <a:graphicData uri="http://schemas.microsoft.com/office/word/2010/wordprocessingShape">
                    <wps:wsp>
                      <wps:cNvSpPr/>
                      <wps:spPr>
                        <a:xfrm>
                          <a:off x="0" y="0"/>
                          <a:ext cx="1484630" cy="255905"/>
                        </a:xfrm>
                        <a:prstGeom prst="wedgeRectCallout">
                          <a:avLst>
                            <a:gd name="adj1" fmla="val -102133"/>
                            <a:gd name="adj2" fmla="val -10329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灌溉渠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5" o:spid="_x0000_s1026" o:spt="61" type="#_x0000_t61" style="position:absolute;left:0pt;margin-left:241.6pt;margin-top:210.55pt;height:20.15pt;width:116.9pt;z-index:251686912;v-text-anchor:middle;mso-width-relative:page;mso-height-relative:page;" fillcolor="#FFFFFF [3201]" filled="t" stroked="t" coordsize="21600,21600" o:gfxdata="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HiJsJ7aAAAACwEAAA8AAAAA&#10;AAAAAQAgAAAAIgAAAGRycy9kb3ducmV2LnhtbFBLAQIUABQAAAAIAIdO4kB1IU2fvQIAAHcFAAAO&#10;AAAAAAAAAAEAIAAAACkBAABkcnMvZTJvRG9jLnhtbFBLBQYAAAAABgAGAFkBAABYBgAAAAA=&#10;" adj="-11261,-11512">
                <v:fill on="t" focussize="0,0"/>
                <v:stroke weight="1pt" color="#000000 [3200]" miterlimit="8" joinstyle="miter"/>
                <v:imagedata o:title=""/>
                <o:lock v:ext="edit" aspectratio="f"/>
                <v:textbox>
                  <w:txbxContent>
                    <w:p>
                      <w:pPr>
                        <w:jc w:val="center"/>
                      </w:pPr>
                      <w:r>
                        <w:rPr>
                          <w:rFonts w:hint="eastAsia"/>
                        </w:rPr>
                        <w:t>灌溉渠</w:t>
                      </w:r>
                    </w:p>
                  </w:txbxContent>
                </v:textbox>
              </v:shape>
            </w:pict>
          </mc:Fallback>
        </mc:AlternateContent>
      </w:r>
      <w:r>
        <w:rPr>
          <w14:ligatures w14:val="standardContextual"/>
        </w:rPr>
        <w:drawing>
          <wp:inline distT="0" distB="0" distL="0" distR="0">
            <wp:extent cx="5274310" cy="7428230"/>
            <wp:effectExtent l="19050" t="19050" r="21590" b="20320"/>
            <wp:docPr id="1347452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45225" name="图片 1"/>
                    <pic:cNvPicPr>
                      <a:picLocks noChangeAspect="1"/>
                    </pic:cNvPicPr>
                  </pic:nvPicPr>
                  <pic:blipFill>
                    <a:blip r:embed="rId16"/>
                    <a:stretch>
                      <a:fillRect/>
                    </a:stretch>
                  </pic:blipFill>
                  <pic:spPr>
                    <a:xfrm>
                      <a:off x="0" y="0"/>
                      <a:ext cx="5274310" cy="7428230"/>
                    </a:xfrm>
                    <a:prstGeom prst="rect">
                      <a:avLst/>
                    </a:prstGeom>
                    <a:ln>
                      <a:solidFill>
                        <a:schemeClr val="tx1"/>
                      </a:solidFill>
                    </a:ln>
                  </pic:spPr>
                </pic:pic>
              </a:graphicData>
            </a:graphic>
          </wp:inline>
        </w:drawing>
      </w:r>
      <w:r>
        <w:rPr>
          <w14:ligatures w14:val="standardContextual"/>
        </w:rPr>
        <w:t xml:space="preserve"> </w:t>
      </w:r>
    </w:p>
    <w:p>
      <w:pPr>
        <w:pStyle w:val="38"/>
      </w:pPr>
      <w:r>
        <w:rPr>
          <w:rFonts w:hint="eastAsia"/>
        </w:rPr>
        <w:t>图2</w:t>
      </w:r>
      <w:r>
        <w:t xml:space="preserve">.2-2  </w:t>
      </w:r>
      <w:r>
        <w:rPr>
          <w:rFonts w:hint="eastAsia"/>
        </w:rPr>
        <w:t>项目区域水系图</w:t>
      </w:r>
    </w:p>
    <w:p>
      <w:pPr>
        <w:pStyle w:val="35"/>
      </w:pPr>
      <w:bookmarkStart w:id="31" w:name="_Toc161250455"/>
      <w:r>
        <w:rPr>
          <w:rFonts w:hint="eastAsia"/>
        </w:rPr>
        <w:t>2</w:t>
      </w:r>
      <w:r>
        <w:t>.2.5</w:t>
      </w:r>
      <w:r>
        <w:rPr>
          <w:rFonts w:hint="eastAsia"/>
        </w:rPr>
        <w:t>区域水资源开发利用情况</w:t>
      </w:r>
      <w:bookmarkEnd w:id="31"/>
    </w:p>
    <w:p>
      <w:pPr>
        <w:pStyle w:val="27"/>
        <w:ind w:firstLine="480"/>
      </w:pPr>
      <w:r>
        <w:rPr>
          <w:rFonts w:hint="eastAsia"/>
        </w:rPr>
        <w:t>（1）</w:t>
      </w:r>
      <w:r>
        <w:t>降水</w:t>
      </w:r>
    </w:p>
    <w:p>
      <w:pPr>
        <w:pStyle w:val="27"/>
        <w:ind w:firstLine="480"/>
      </w:pPr>
      <w:r>
        <w:t>20</w:t>
      </w:r>
      <w:r>
        <w:rPr>
          <w:rFonts w:hint="eastAsia"/>
        </w:rPr>
        <w:t>2</w:t>
      </w:r>
      <w:r>
        <w:t>2年衡阳市平均降水量达1390.4mm，因受季节环流和地形影响，降水在季节和地域分布上不均匀，一年中春夏两季的降雨量占全年的降雨量的70.1﹪。耒阳市、常宁市、南岳区降雨量分别位居前3位。</w:t>
      </w:r>
    </w:p>
    <w:p>
      <w:pPr>
        <w:pStyle w:val="27"/>
        <w:ind w:firstLine="480"/>
      </w:pPr>
      <w:r>
        <w:t>（2）水资源</w:t>
      </w:r>
    </w:p>
    <w:p>
      <w:pPr>
        <w:pStyle w:val="27"/>
        <w:ind w:firstLine="480"/>
      </w:pPr>
      <w:r>
        <w:t>据湖南省水利厅发布的水资源公报初步统计，衡阳市地表水资源量（当地天然河川径流量）83.87亿立方米，年降水量累计186.2亿立方米，产水系数0.45，较多年平均水资源量109.4亿立方米明显偏少。衡阳市大中型水库蓄水量10.73亿立方米。</w:t>
      </w:r>
    </w:p>
    <w:p>
      <w:pPr>
        <w:pStyle w:val="27"/>
        <w:ind w:firstLine="480"/>
      </w:pPr>
      <w:r>
        <w:t>衡阳市总用水量34.26亿立方米（其中地表供水32.02亿立方米，地下供水2.24亿立方米），较上年度上升7.9%。其中农业用水20.76亿立方米，工业用水8.79亿立方米，居民生活用水3.19亿立方米，城镇公共用水1.37亿立方米，生态环境用水0.15亿立方米。衡阳市人均综合用水量473立方米/年（城镇居民140.34升/年，农村居民97.74升/年）；万元GDP、万元用水工业增加值分别为111.32立方米、81.91立方米（当年价）、534.4立方米，农田灌溉有效利用系数0.5148。</w:t>
      </w:r>
      <w:r>
        <w:rPr>
          <w:rFonts w:hint="eastAsia"/>
        </w:rPr>
        <w:t>衡阳市主要河流流域特征见表2.2-2。</w:t>
      </w:r>
    </w:p>
    <w:p>
      <w:pPr>
        <w:pStyle w:val="38"/>
      </w:pPr>
      <w:r>
        <w:t>表</w:t>
      </w:r>
      <w:r>
        <w:rPr>
          <w:rFonts w:hint="eastAsia"/>
        </w:rPr>
        <w:t>2.2-2</w:t>
      </w:r>
      <w:r>
        <w:t xml:space="preserve">  衡阳市主要河流流域特征</w:t>
      </w:r>
    </w:p>
    <w:tbl>
      <w:tblPr>
        <w:tblStyle w:val="20"/>
        <w:tblW w:w="83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3"/>
        <w:gridCol w:w="720"/>
        <w:gridCol w:w="1260"/>
        <w:gridCol w:w="1440"/>
        <w:gridCol w:w="1558"/>
        <w:gridCol w:w="1260"/>
        <w:gridCol w:w="12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Merge w:val="restart"/>
            <w:vAlign w:val="center"/>
          </w:tcPr>
          <w:p>
            <w:pPr>
              <w:rPr>
                <w:sz w:val="21"/>
                <w:szCs w:val="21"/>
              </w:rPr>
            </w:pPr>
            <w:r>
              <w:rPr>
                <w:b/>
                <w:sz w:val="21"/>
                <w:szCs w:val="21"/>
              </w:rPr>
              <w:t>名  称</w:t>
            </w:r>
          </w:p>
        </w:tc>
        <w:tc>
          <w:tcPr>
            <w:tcW w:w="1980" w:type="dxa"/>
            <w:gridSpan w:val="2"/>
            <w:vAlign w:val="center"/>
          </w:tcPr>
          <w:p>
            <w:pPr>
              <w:jc w:val="center"/>
              <w:rPr>
                <w:sz w:val="21"/>
                <w:szCs w:val="21"/>
              </w:rPr>
            </w:pPr>
            <w:r>
              <w:rPr>
                <w:b/>
                <w:sz w:val="21"/>
                <w:szCs w:val="21"/>
              </w:rPr>
              <w:t>河长（公里）</w:t>
            </w:r>
          </w:p>
        </w:tc>
        <w:tc>
          <w:tcPr>
            <w:tcW w:w="1440" w:type="dxa"/>
            <w:vMerge w:val="restart"/>
            <w:vAlign w:val="center"/>
          </w:tcPr>
          <w:p>
            <w:pPr>
              <w:jc w:val="center"/>
              <w:rPr>
                <w:b/>
                <w:sz w:val="21"/>
                <w:szCs w:val="21"/>
              </w:rPr>
            </w:pPr>
            <w:r>
              <w:rPr>
                <w:b/>
                <w:sz w:val="21"/>
                <w:szCs w:val="21"/>
              </w:rPr>
              <w:t>流域面积</w:t>
            </w:r>
          </w:p>
          <w:p>
            <w:pPr>
              <w:jc w:val="center"/>
              <w:rPr>
                <w:b/>
                <w:sz w:val="21"/>
                <w:szCs w:val="21"/>
              </w:rPr>
            </w:pPr>
            <w:r>
              <w:rPr>
                <w:b/>
                <w:sz w:val="21"/>
                <w:szCs w:val="21"/>
              </w:rPr>
              <w:t>（平方公里）</w:t>
            </w:r>
          </w:p>
        </w:tc>
        <w:tc>
          <w:tcPr>
            <w:tcW w:w="1558" w:type="dxa"/>
            <w:vMerge w:val="restart"/>
            <w:vAlign w:val="center"/>
          </w:tcPr>
          <w:p>
            <w:pPr>
              <w:jc w:val="center"/>
              <w:rPr>
                <w:b/>
                <w:sz w:val="21"/>
                <w:szCs w:val="21"/>
              </w:rPr>
            </w:pPr>
            <w:r>
              <w:rPr>
                <w:b/>
                <w:sz w:val="21"/>
                <w:szCs w:val="21"/>
              </w:rPr>
              <w:t>水能理论蕴藏量（万千瓦）</w:t>
            </w:r>
          </w:p>
        </w:tc>
        <w:tc>
          <w:tcPr>
            <w:tcW w:w="1260" w:type="dxa"/>
            <w:vMerge w:val="restart"/>
            <w:vAlign w:val="center"/>
          </w:tcPr>
          <w:p>
            <w:pPr>
              <w:jc w:val="center"/>
              <w:rPr>
                <w:b/>
                <w:sz w:val="21"/>
                <w:szCs w:val="21"/>
              </w:rPr>
            </w:pPr>
            <w:r>
              <w:rPr>
                <w:b/>
                <w:sz w:val="21"/>
                <w:szCs w:val="21"/>
              </w:rPr>
              <w:t>可开发量（万千瓦）</w:t>
            </w:r>
          </w:p>
        </w:tc>
        <w:tc>
          <w:tcPr>
            <w:tcW w:w="1221" w:type="dxa"/>
            <w:vMerge w:val="restart"/>
            <w:vAlign w:val="center"/>
          </w:tcPr>
          <w:p>
            <w:pPr>
              <w:jc w:val="center"/>
              <w:rPr>
                <w:b/>
                <w:sz w:val="21"/>
                <w:szCs w:val="21"/>
              </w:rPr>
            </w:pPr>
            <w:r>
              <w:rPr>
                <w:b/>
                <w:sz w:val="21"/>
                <w:szCs w:val="21"/>
              </w:rPr>
              <w:t>已开发量（万千瓦）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exact"/>
          <w:jc w:val="center"/>
        </w:trPr>
        <w:tc>
          <w:tcPr>
            <w:tcW w:w="883" w:type="dxa"/>
            <w:vMerge w:val="continue"/>
            <w:vAlign w:val="center"/>
          </w:tcPr>
          <w:p>
            <w:pPr>
              <w:jc w:val="center"/>
              <w:rPr>
                <w:sz w:val="21"/>
                <w:szCs w:val="21"/>
              </w:rPr>
            </w:pPr>
          </w:p>
        </w:tc>
        <w:tc>
          <w:tcPr>
            <w:tcW w:w="720" w:type="dxa"/>
            <w:vAlign w:val="center"/>
          </w:tcPr>
          <w:p>
            <w:pPr>
              <w:rPr>
                <w:b/>
                <w:sz w:val="21"/>
                <w:szCs w:val="21"/>
              </w:rPr>
            </w:pPr>
            <w:r>
              <w:rPr>
                <w:b/>
                <w:sz w:val="21"/>
                <w:szCs w:val="21"/>
              </w:rPr>
              <w:t>总长</w:t>
            </w:r>
          </w:p>
        </w:tc>
        <w:tc>
          <w:tcPr>
            <w:tcW w:w="1260" w:type="dxa"/>
            <w:vAlign w:val="center"/>
          </w:tcPr>
          <w:p>
            <w:pPr>
              <w:jc w:val="center"/>
              <w:rPr>
                <w:b/>
                <w:sz w:val="21"/>
                <w:szCs w:val="21"/>
              </w:rPr>
            </w:pPr>
            <w:r>
              <w:rPr>
                <w:b/>
                <w:sz w:val="21"/>
                <w:szCs w:val="21"/>
              </w:rPr>
              <w:t>境内河长</w:t>
            </w:r>
          </w:p>
        </w:tc>
        <w:tc>
          <w:tcPr>
            <w:tcW w:w="1440" w:type="dxa"/>
            <w:vMerge w:val="continue"/>
            <w:vAlign w:val="center"/>
          </w:tcPr>
          <w:p>
            <w:pPr>
              <w:jc w:val="center"/>
              <w:rPr>
                <w:sz w:val="21"/>
                <w:szCs w:val="21"/>
              </w:rPr>
            </w:pPr>
          </w:p>
        </w:tc>
        <w:tc>
          <w:tcPr>
            <w:tcW w:w="1558" w:type="dxa"/>
            <w:vMerge w:val="continue"/>
            <w:vAlign w:val="center"/>
          </w:tcPr>
          <w:p>
            <w:pPr>
              <w:jc w:val="center"/>
              <w:rPr>
                <w:sz w:val="21"/>
                <w:szCs w:val="21"/>
              </w:rPr>
            </w:pPr>
          </w:p>
        </w:tc>
        <w:tc>
          <w:tcPr>
            <w:tcW w:w="1260" w:type="dxa"/>
            <w:vMerge w:val="continue"/>
            <w:vAlign w:val="center"/>
          </w:tcPr>
          <w:p>
            <w:pPr>
              <w:jc w:val="center"/>
              <w:rPr>
                <w:sz w:val="21"/>
                <w:szCs w:val="21"/>
              </w:rPr>
            </w:pPr>
          </w:p>
        </w:tc>
        <w:tc>
          <w:tcPr>
            <w:tcW w:w="1221" w:type="dxa"/>
            <w:vMerge w:val="continue"/>
            <w:vAlign w:val="center"/>
          </w:tcPr>
          <w:p>
            <w:pPr>
              <w:jc w:val="center"/>
              <w:rPr>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湘  江</w:t>
            </w:r>
          </w:p>
        </w:tc>
        <w:tc>
          <w:tcPr>
            <w:tcW w:w="720" w:type="dxa"/>
            <w:vAlign w:val="center"/>
          </w:tcPr>
          <w:p>
            <w:pPr>
              <w:rPr>
                <w:sz w:val="21"/>
                <w:szCs w:val="21"/>
              </w:rPr>
            </w:pPr>
            <w:r>
              <w:rPr>
                <w:rFonts w:hint="eastAsia"/>
                <w:sz w:val="21"/>
                <w:szCs w:val="21"/>
              </w:rPr>
              <w:t>948</w:t>
            </w:r>
          </w:p>
        </w:tc>
        <w:tc>
          <w:tcPr>
            <w:tcW w:w="1260" w:type="dxa"/>
            <w:vAlign w:val="center"/>
          </w:tcPr>
          <w:p>
            <w:pPr>
              <w:jc w:val="center"/>
              <w:rPr>
                <w:sz w:val="21"/>
                <w:szCs w:val="21"/>
              </w:rPr>
            </w:pPr>
            <w:r>
              <w:rPr>
                <w:sz w:val="21"/>
                <w:szCs w:val="21"/>
              </w:rPr>
              <w:t>226</w:t>
            </w:r>
          </w:p>
        </w:tc>
        <w:tc>
          <w:tcPr>
            <w:tcW w:w="1440" w:type="dxa"/>
            <w:vAlign w:val="center"/>
          </w:tcPr>
          <w:p>
            <w:pPr>
              <w:jc w:val="center"/>
              <w:rPr>
                <w:sz w:val="21"/>
                <w:szCs w:val="21"/>
              </w:rPr>
            </w:pPr>
            <w:r>
              <w:rPr>
                <w:sz w:val="21"/>
                <w:szCs w:val="21"/>
              </w:rPr>
              <w:t>94660</w:t>
            </w:r>
          </w:p>
        </w:tc>
        <w:tc>
          <w:tcPr>
            <w:tcW w:w="1558" w:type="dxa"/>
            <w:vAlign w:val="center"/>
          </w:tcPr>
          <w:p>
            <w:pPr>
              <w:jc w:val="center"/>
              <w:rPr>
                <w:sz w:val="21"/>
                <w:szCs w:val="21"/>
              </w:rPr>
            </w:pPr>
            <w:r>
              <w:rPr>
                <w:sz w:val="21"/>
                <w:szCs w:val="21"/>
              </w:rPr>
              <w:t>41.5</w:t>
            </w:r>
          </w:p>
        </w:tc>
        <w:tc>
          <w:tcPr>
            <w:tcW w:w="1260" w:type="dxa"/>
            <w:vAlign w:val="center"/>
          </w:tcPr>
          <w:p>
            <w:pPr>
              <w:jc w:val="center"/>
              <w:rPr>
                <w:sz w:val="21"/>
                <w:szCs w:val="21"/>
              </w:rPr>
            </w:pPr>
            <w:r>
              <w:rPr>
                <w:sz w:val="21"/>
                <w:szCs w:val="21"/>
              </w:rPr>
              <w:t>37.50</w:t>
            </w:r>
          </w:p>
        </w:tc>
        <w:tc>
          <w:tcPr>
            <w:tcW w:w="1221" w:type="dxa"/>
            <w:vAlign w:val="center"/>
          </w:tcPr>
          <w:p>
            <w:pPr>
              <w:jc w:val="center"/>
              <w:rPr>
                <w:sz w:val="21"/>
                <w:szCs w:val="21"/>
              </w:rPr>
            </w:pPr>
            <w:r>
              <w:rPr>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祁  水</w:t>
            </w:r>
          </w:p>
        </w:tc>
        <w:tc>
          <w:tcPr>
            <w:tcW w:w="720" w:type="dxa"/>
            <w:vAlign w:val="center"/>
          </w:tcPr>
          <w:p>
            <w:pPr>
              <w:rPr>
                <w:sz w:val="21"/>
                <w:szCs w:val="21"/>
              </w:rPr>
            </w:pPr>
            <w:r>
              <w:rPr>
                <w:sz w:val="21"/>
                <w:szCs w:val="21"/>
              </w:rPr>
              <w:t>114</w:t>
            </w:r>
          </w:p>
        </w:tc>
        <w:tc>
          <w:tcPr>
            <w:tcW w:w="1260" w:type="dxa"/>
            <w:vAlign w:val="center"/>
          </w:tcPr>
          <w:p>
            <w:pPr>
              <w:jc w:val="center"/>
              <w:rPr>
                <w:sz w:val="21"/>
                <w:szCs w:val="21"/>
              </w:rPr>
            </w:pPr>
            <w:r>
              <w:rPr>
                <w:sz w:val="21"/>
                <w:szCs w:val="21"/>
              </w:rPr>
              <w:t>55</w:t>
            </w:r>
          </w:p>
        </w:tc>
        <w:tc>
          <w:tcPr>
            <w:tcW w:w="1440" w:type="dxa"/>
            <w:vAlign w:val="center"/>
          </w:tcPr>
          <w:p>
            <w:pPr>
              <w:jc w:val="center"/>
              <w:rPr>
                <w:sz w:val="21"/>
                <w:szCs w:val="21"/>
              </w:rPr>
            </w:pPr>
            <w:r>
              <w:rPr>
                <w:sz w:val="21"/>
                <w:szCs w:val="21"/>
              </w:rPr>
              <w:t>1685</w:t>
            </w:r>
          </w:p>
        </w:tc>
        <w:tc>
          <w:tcPr>
            <w:tcW w:w="1558" w:type="dxa"/>
            <w:vAlign w:val="center"/>
          </w:tcPr>
          <w:p>
            <w:pPr>
              <w:jc w:val="center"/>
              <w:rPr>
                <w:sz w:val="21"/>
                <w:szCs w:val="21"/>
              </w:rPr>
            </w:pPr>
            <w:r>
              <w:rPr>
                <w:sz w:val="21"/>
                <w:szCs w:val="21"/>
              </w:rPr>
              <w:t>2.00</w:t>
            </w:r>
          </w:p>
        </w:tc>
        <w:tc>
          <w:tcPr>
            <w:tcW w:w="1260" w:type="dxa"/>
            <w:vAlign w:val="center"/>
          </w:tcPr>
          <w:p>
            <w:pPr>
              <w:jc w:val="center"/>
              <w:rPr>
                <w:sz w:val="21"/>
                <w:szCs w:val="21"/>
              </w:rPr>
            </w:pPr>
            <w:r>
              <w:rPr>
                <w:sz w:val="21"/>
                <w:szCs w:val="21"/>
              </w:rPr>
              <w:t>0.41</w:t>
            </w:r>
          </w:p>
        </w:tc>
        <w:tc>
          <w:tcPr>
            <w:tcW w:w="1221" w:type="dxa"/>
            <w:vAlign w:val="center"/>
          </w:tcPr>
          <w:p>
            <w:pPr>
              <w:jc w:val="center"/>
              <w:rPr>
                <w:sz w:val="21"/>
                <w:szCs w:val="21"/>
              </w:rPr>
            </w:pPr>
            <w:r>
              <w:rPr>
                <w:sz w:val="21"/>
                <w:szCs w:val="21"/>
              </w:rPr>
              <w:t>0.19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耒  水</w:t>
            </w:r>
          </w:p>
        </w:tc>
        <w:tc>
          <w:tcPr>
            <w:tcW w:w="720" w:type="dxa"/>
            <w:vAlign w:val="center"/>
          </w:tcPr>
          <w:p>
            <w:pPr>
              <w:rPr>
                <w:sz w:val="21"/>
                <w:szCs w:val="21"/>
              </w:rPr>
            </w:pPr>
            <w:r>
              <w:rPr>
                <w:sz w:val="21"/>
                <w:szCs w:val="21"/>
              </w:rPr>
              <w:t>453</w:t>
            </w:r>
          </w:p>
        </w:tc>
        <w:tc>
          <w:tcPr>
            <w:tcW w:w="1260" w:type="dxa"/>
            <w:vAlign w:val="center"/>
          </w:tcPr>
          <w:p>
            <w:pPr>
              <w:jc w:val="center"/>
              <w:rPr>
                <w:sz w:val="21"/>
                <w:szCs w:val="21"/>
              </w:rPr>
            </w:pPr>
            <w:r>
              <w:rPr>
                <w:sz w:val="21"/>
                <w:szCs w:val="21"/>
              </w:rPr>
              <w:t>179</w:t>
            </w:r>
          </w:p>
        </w:tc>
        <w:tc>
          <w:tcPr>
            <w:tcW w:w="1440" w:type="dxa"/>
            <w:vAlign w:val="center"/>
          </w:tcPr>
          <w:p>
            <w:pPr>
              <w:jc w:val="center"/>
              <w:rPr>
                <w:sz w:val="21"/>
                <w:szCs w:val="21"/>
              </w:rPr>
            </w:pPr>
            <w:r>
              <w:rPr>
                <w:sz w:val="21"/>
                <w:szCs w:val="21"/>
              </w:rPr>
              <w:t>11783</w:t>
            </w:r>
          </w:p>
        </w:tc>
        <w:tc>
          <w:tcPr>
            <w:tcW w:w="1558" w:type="dxa"/>
            <w:vAlign w:val="center"/>
          </w:tcPr>
          <w:p>
            <w:pPr>
              <w:jc w:val="center"/>
              <w:rPr>
                <w:sz w:val="21"/>
                <w:szCs w:val="21"/>
              </w:rPr>
            </w:pPr>
            <w:r>
              <w:rPr>
                <w:sz w:val="21"/>
                <w:szCs w:val="21"/>
              </w:rPr>
              <w:t>18.29</w:t>
            </w:r>
          </w:p>
        </w:tc>
        <w:tc>
          <w:tcPr>
            <w:tcW w:w="1260" w:type="dxa"/>
            <w:vAlign w:val="center"/>
          </w:tcPr>
          <w:p>
            <w:pPr>
              <w:jc w:val="center"/>
              <w:rPr>
                <w:sz w:val="21"/>
                <w:szCs w:val="21"/>
              </w:rPr>
            </w:pPr>
            <w:r>
              <w:rPr>
                <w:sz w:val="21"/>
                <w:szCs w:val="21"/>
              </w:rPr>
              <w:t>14.97</w:t>
            </w:r>
          </w:p>
        </w:tc>
        <w:tc>
          <w:tcPr>
            <w:tcW w:w="1221" w:type="dxa"/>
            <w:vAlign w:val="center"/>
          </w:tcPr>
          <w:p>
            <w:pPr>
              <w:jc w:val="center"/>
              <w:rPr>
                <w:sz w:val="21"/>
                <w:szCs w:val="21"/>
              </w:rPr>
            </w:pPr>
            <w:r>
              <w:rPr>
                <w:sz w:val="21"/>
                <w:szCs w:val="21"/>
              </w:rPr>
              <w:t>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蒸  水</w:t>
            </w:r>
          </w:p>
        </w:tc>
        <w:tc>
          <w:tcPr>
            <w:tcW w:w="720" w:type="dxa"/>
            <w:vAlign w:val="center"/>
          </w:tcPr>
          <w:p>
            <w:pPr>
              <w:rPr>
                <w:sz w:val="21"/>
                <w:szCs w:val="21"/>
              </w:rPr>
            </w:pPr>
            <w:r>
              <w:rPr>
                <w:sz w:val="21"/>
                <w:szCs w:val="21"/>
              </w:rPr>
              <w:t>194</w:t>
            </w:r>
          </w:p>
        </w:tc>
        <w:tc>
          <w:tcPr>
            <w:tcW w:w="1260" w:type="dxa"/>
            <w:vAlign w:val="center"/>
          </w:tcPr>
          <w:p>
            <w:pPr>
              <w:jc w:val="center"/>
              <w:rPr>
                <w:sz w:val="21"/>
                <w:szCs w:val="21"/>
              </w:rPr>
            </w:pPr>
            <w:r>
              <w:rPr>
                <w:sz w:val="21"/>
                <w:szCs w:val="21"/>
              </w:rPr>
              <w:t>152.4</w:t>
            </w:r>
          </w:p>
        </w:tc>
        <w:tc>
          <w:tcPr>
            <w:tcW w:w="1440" w:type="dxa"/>
            <w:vAlign w:val="center"/>
          </w:tcPr>
          <w:p>
            <w:pPr>
              <w:jc w:val="center"/>
              <w:rPr>
                <w:sz w:val="21"/>
                <w:szCs w:val="21"/>
              </w:rPr>
            </w:pPr>
            <w:r>
              <w:rPr>
                <w:sz w:val="21"/>
                <w:szCs w:val="21"/>
              </w:rPr>
              <w:t>3470</w:t>
            </w:r>
          </w:p>
        </w:tc>
        <w:tc>
          <w:tcPr>
            <w:tcW w:w="1558" w:type="dxa"/>
            <w:vAlign w:val="center"/>
          </w:tcPr>
          <w:p>
            <w:pPr>
              <w:jc w:val="center"/>
              <w:rPr>
                <w:sz w:val="21"/>
                <w:szCs w:val="21"/>
              </w:rPr>
            </w:pPr>
            <w:r>
              <w:rPr>
                <w:sz w:val="21"/>
                <w:szCs w:val="21"/>
              </w:rPr>
              <w:t>4.39</w:t>
            </w:r>
          </w:p>
        </w:tc>
        <w:tc>
          <w:tcPr>
            <w:tcW w:w="1260" w:type="dxa"/>
            <w:vAlign w:val="center"/>
          </w:tcPr>
          <w:p>
            <w:pPr>
              <w:jc w:val="center"/>
              <w:rPr>
                <w:sz w:val="21"/>
                <w:szCs w:val="21"/>
              </w:rPr>
            </w:pPr>
            <w:r>
              <w:rPr>
                <w:sz w:val="21"/>
                <w:szCs w:val="21"/>
              </w:rPr>
              <w:t>1.45</w:t>
            </w:r>
          </w:p>
        </w:tc>
        <w:tc>
          <w:tcPr>
            <w:tcW w:w="1221" w:type="dxa"/>
            <w:vAlign w:val="center"/>
          </w:tcPr>
          <w:p>
            <w:pPr>
              <w:jc w:val="center"/>
              <w:rPr>
                <w:sz w:val="21"/>
                <w:szCs w:val="21"/>
              </w:rPr>
            </w:pPr>
            <w:r>
              <w:rPr>
                <w:sz w:val="21"/>
                <w:szCs w:val="21"/>
              </w:rPr>
              <w:t>1.11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舂陵水</w:t>
            </w:r>
          </w:p>
        </w:tc>
        <w:tc>
          <w:tcPr>
            <w:tcW w:w="720" w:type="dxa"/>
            <w:vAlign w:val="center"/>
          </w:tcPr>
          <w:p>
            <w:pPr>
              <w:rPr>
                <w:sz w:val="21"/>
                <w:szCs w:val="21"/>
              </w:rPr>
            </w:pPr>
            <w:r>
              <w:rPr>
                <w:sz w:val="21"/>
                <w:szCs w:val="21"/>
              </w:rPr>
              <w:t>223</w:t>
            </w:r>
          </w:p>
        </w:tc>
        <w:tc>
          <w:tcPr>
            <w:tcW w:w="1260" w:type="dxa"/>
            <w:vAlign w:val="center"/>
          </w:tcPr>
          <w:p>
            <w:pPr>
              <w:jc w:val="center"/>
              <w:rPr>
                <w:sz w:val="21"/>
                <w:szCs w:val="21"/>
              </w:rPr>
            </w:pPr>
            <w:r>
              <w:rPr>
                <w:sz w:val="21"/>
                <w:szCs w:val="21"/>
              </w:rPr>
              <w:t>69</w:t>
            </w:r>
          </w:p>
        </w:tc>
        <w:tc>
          <w:tcPr>
            <w:tcW w:w="1440" w:type="dxa"/>
            <w:vAlign w:val="center"/>
          </w:tcPr>
          <w:p>
            <w:pPr>
              <w:jc w:val="center"/>
              <w:rPr>
                <w:sz w:val="21"/>
                <w:szCs w:val="21"/>
              </w:rPr>
            </w:pPr>
            <w:r>
              <w:rPr>
                <w:sz w:val="21"/>
                <w:szCs w:val="21"/>
              </w:rPr>
              <w:t>6623</w:t>
            </w:r>
          </w:p>
        </w:tc>
        <w:tc>
          <w:tcPr>
            <w:tcW w:w="1558" w:type="dxa"/>
            <w:vAlign w:val="center"/>
          </w:tcPr>
          <w:p>
            <w:pPr>
              <w:jc w:val="center"/>
              <w:rPr>
                <w:sz w:val="21"/>
                <w:szCs w:val="21"/>
              </w:rPr>
            </w:pPr>
            <w:r>
              <w:rPr>
                <w:sz w:val="21"/>
                <w:szCs w:val="21"/>
              </w:rPr>
              <w:t>4.67</w:t>
            </w:r>
          </w:p>
        </w:tc>
        <w:tc>
          <w:tcPr>
            <w:tcW w:w="1260" w:type="dxa"/>
            <w:vAlign w:val="center"/>
          </w:tcPr>
          <w:p>
            <w:pPr>
              <w:jc w:val="center"/>
              <w:rPr>
                <w:sz w:val="21"/>
                <w:szCs w:val="21"/>
              </w:rPr>
            </w:pPr>
            <w:r>
              <w:rPr>
                <w:sz w:val="21"/>
                <w:szCs w:val="21"/>
              </w:rPr>
              <w:t>1.75</w:t>
            </w:r>
          </w:p>
        </w:tc>
        <w:tc>
          <w:tcPr>
            <w:tcW w:w="1221" w:type="dxa"/>
            <w:vAlign w:val="center"/>
          </w:tcPr>
          <w:p>
            <w:pPr>
              <w:jc w:val="center"/>
              <w:rPr>
                <w:sz w:val="21"/>
                <w:szCs w:val="21"/>
              </w:rPr>
            </w:pPr>
            <w:r>
              <w:rPr>
                <w:sz w:val="21"/>
                <w:szCs w:val="21"/>
              </w:rPr>
              <w:t>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exact"/>
          <w:jc w:val="center"/>
        </w:trPr>
        <w:tc>
          <w:tcPr>
            <w:tcW w:w="883" w:type="dxa"/>
            <w:vAlign w:val="center"/>
          </w:tcPr>
          <w:p>
            <w:pPr>
              <w:rPr>
                <w:sz w:val="21"/>
                <w:szCs w:val="21"/>
              </w:rPr>
            </w:pPr>
            <w:r>
              <w:rPr>
                <w:sz w:val="21"/>
                <w:szCs w:val="21"/>
              </w:rPr>
              <w:t>洣  水</w:t>
            </w:r>
          </w:p>
        </w:tc>
        <w:tc>
          <w:tcPr>
            <w:tcW w:w="720" w:type="dxa"/>
            <w:vAlign w:val="center"/>
          </w:tcPr>
          <w:p>
            <w:pPr>
              <w:rPr>
                <w:sz w:val="21"/>
                <w:szCs w:val="21"/>
              </w:rPr>
            </w:pPr>
            <w:r>
              <w:rPr>
                <w:sz w:val="21"/>
                <w:szCs w:val="21"/>
              </w:rPr>
              <w:t>296</w:t>
            </w:r>
          </w:p>
        </w:tc>
        <w:tc>
          <w:tcPr>
            <w:tcW w:w="1260" w:type="dxa"/>
            <w:vAlign w:val="center"/>
          </w:tcPr>
          <w:p>
            <w:pPr>
              <w:jc w:val="center"/>
              <w:rPr>
                <w:sz w:val="21"/>
                <w:szCs w:val="21"/>
              </w:rPr>
            </w:pPr>
            <w:r>
              <w:rPr>
                <w:sz w:val="21"/>
                <w:szCs w:val="21"/>
              </w:rPr>
              <w:t>72.5</w:t>
            </w:r>
          </w:p>
        </w:tc>
        <w:tc>
          <w:tcPr>
            <w:tcW w:w="1440" w:type="dxa"/>
            <w:vAlign w:val="center"/>
          </w:tcPr>
          <w:p>
            <w:pPr>
              <w:jc w:val="center"/>
              <w:rPr>
                <w:sz w:val="21"/>
                <w:szCs w:val="21"/>
              </w:rPr>
            </w:pPr>
            <w:r>
              <w:rPr>
                <w:sz w:val="21"/>
                <w:szCs w:val="21"/>
              </w:rPr>
              <w:t>10305</w:t>
            </w:r>
          </w:p>
        </w:tc>
        <w:tc>
          <w:tcPr>
            <w:tcW w:w="1558" w:type="dxa"/>
            <w:vAlign w:val="center"/>
          </w:tcPr>
          <w:p>
            <w:pPr>
              <w:jc w:val="center"/>
              <w:rPr>
                <w:sz w:val="21"/>
                <w:szCs w:val="21"/>
              </w:rPr>
            </w:pPr>
            <w:r>
              <w:rPr>
                <w:sz w:val="21"/>
                <w:szCs w:val="21"/>
              </w:rPr>
              <w:t>5.74</w:t>
            </w:r>
          </w:p>
        </w:tc>
        <w:tc>
          <w:tcPr>
            <w:tcW w:w="1260" w:type="dxa"/>
            <w:vAlign w:val="center"/>
          </w:tcPr>
          <w:p>
            <w:pPr>
              <w:jc w:val="center"/>
              <w:rPr>
                <w:sz w:val="21"/>
                <w:szCs w:val="21"/>
              </w:rPr>
            </w:pPr>
            <w:r>
              <w:rPr>
                <w:sz w:val="21"/>
                <w:szCs w:val="21"/>
              </w:rPr>
              <w:t>3.24</w:t>
            </w:r>
          </w:p>
        </w:tc>
        <w:tc>
          <w:tcPr>
            <w:tcW w:w="1221" w:type="dxa"/>
            <w:vAlign w:val="center"/>
          </w:tcPr>
          <w:p>
            <w:pPr>
              <w:jc w:val="center"/>
              <w:rPr>
                <w:sz w:val="21"/>
                <w:szCs w:val="21"/>
              </w:rPr>
            </w:pPr>
            <w:r>
              <w:rPr>
                <w:sz w:val="21"/>
                <w:szCs w:val="21"/>
              </w:rPr>
              <w:t>2.41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exact"/>
          <w:jc w:val="center"/>
        </w:trPr>
        <w:tc>
          <w:tcPr>
            <w:tcW w:w="883" w:type="dxa"/>
            <w:vAlign w:val="center"/>
          </w:tcPr>
          <w:p>
            <w:pPr>
              <w:rPr>
                <w:sz w:val="21"/>
                <w:szCs w:val="21"/>
              </w:rPr>
            </w:pPr>
            <w:r>
              <w:rPr>
                <w:sz w:val="21"/>
                <w:szCs w:val="21"/>
              </w:rPr>
              <w:t>宜  水</w:t>
            </w:r>
          </w:p>
        </w:tc>
        <w:tc>
          <w:tcPr>
            <w:tcW w:w="720" w:type="dxa"/>
            <w:vAlign w:val="center"/>
          </w:tcPr>
          <w:p>
            <w:pPr>
              <w:rPr>
                <w:sz w:val="21"/>
                <w:szCs w:val="21"/>
              </w:rPr>
            </w:pPr>
            <w:r>
              <w:rPr>
                <w:sz w:val="21"/>
                <w:szCs w:val="21"/>
              </w:rPr>
              <w:t>86</w:t>
            </w:r>
          </w:p>
        </w:tc>
        <w:tc>
          <w:tcPr>
            <w:tcW w:w="1260" w:type="dxa"/>
            <w:vAlign w:val="center"/>
          </w:tcPr>
          <w:p>
            <w:pPr>
              <w:jc w:val="center"/>
              <w:rPr>
                <w:sz w:val="21"/>
                <w:szCs w:val="21"/>
              </w:rPr>
            </w:pPr>
            <w:r>
              <w:rPr>
                <w:sz w:val="21"/>
                <w:szCs w:val="21"/>
              </w:rPr>
              <w:t>78</w:t>
            </w:r>
          </w:p>
        </w:tc>
        <w:tc>
          <w:tcPr>
            <w:tcW w:w="1440" w:type="dxa"/>
            <w:vAlign w:val="center"/>
          </w:tcPr>
          <w:p>
            <w:pPr>
              <w:jc w:val="center"/>
              <w:rPr>
                <w:sz w:val="21"/>
                <w:szCs w:val="21"/>
              </w:rPr>
            </w:pPr>
            <w:r>
              <w:rPr>
                <w:sz w:val="21"/>
                <w:szCs w:val="21"/>
              </w:rPr>
              <w:t>1056</w:t>
            </w:r>
          </w:p>
        </w:tc>
        <w:tc>
          <w:tcPr>
            <w:tcW w:w="1558" w:type="dxa"/>
            <w:vAlign w:val="center"/>
          </w:tcPr>
          <w:p>
            <w:pPr>
              <w:jc w:val="center"/>
              <w:rPr>
                <w:sz w:val="21"/>
                <w:szCs w:val="21"/>
              </w:rPr>
            </w:pPr>
            <w:r>
              <w:rPr>
                <w:sz w:val="21"/>
                <w:szCs w:val="21"/>
              </w:rPr>
              <w:t>3.21</w:t>
            </w:r>
          </w:p>
        </w:tc>
        <w:tc>
          <w:tcPr>
            <w:tcW w:w="1260" w:type="dxa"/>
            <w:vAlign w:val="center"/>
          </w:tcPr>
          <w:p>
            <w:pPr>
              <w:jc w:val="center"/>
              <w:rPr>
                <w:sz w:val="21"/>
                <w:szCs w:val="21"/>
              </w:rPr>
            </w:pPr>
            <w:r>
              <w:rPr>
                <w:sz w:val="21"/>
                <w:szCs w:val="21"/>
              </w:rPr>
              <w:t>1.48</w:t>
            </w:r>
          </w:p>
        </w:tc>
        <w:tc>
          <w:tcPr>
            <w:tcW w:w="1221" w:type="dxa"/>
            <w:vAlign w:val="center"/>
          </w:tcPr>
          <w:p>
            <w:pPr>
              <w:jc w:val="center"/>
              <w:rPr>
                <w:sz w:val="21"/>
                <w:szCs w:val="21"/>
              </w:rPr>
            </w:pPr>
            <w:r>
              <w:rPr>
                <w:sz w:val="21"/>
                <w:szCs w:val="21"/>
              </w:rPr>
              <w:t>0.57</w:t>
            </w:r>
          </w:p>
        </w:tc>
      </w:tr>
    </w:tbl>
    <w:p>
      <w:pPr>
        <w:pStyle w:val="35"/>
      </w:pPr>
      <w:bookmarkStart w:id="32" w:name="_Toc161250456"/>
      <w:r>
        <w:rPr>
          <w:rFonts w:hint="eastAsia"/>
        </w:rPr>
        <w:t>2</w:t>
      </w:r>
      <w:r>
        <w:t>.2.6</w:t>
      </w:r>
      <w:r>
        <w:rPr>
          <w:rFonts w:hint="eastAsia"/>
        </w:rPr>
        <w:t>生物多样性</w:t>
      </w:r>
      <w:bookmarkEnd w:id="32"/>
    </w:p>
    <w:p>
      <w:pPr>
        <w:pStyle w:val="27"/>
        <w:ind w:firstLine="480"/>
      </w:pPr>
      <w:r>
        <w:rPr>
          <w:rFonts w:hint="eastAsia"/>
        </w:rPr>
        <w:t>1、植物资源</w:t>
      </w:r>
    </w:p>
    <w:p>
      <w:pPr>
        <w:pStyle w:val="27"/>
        <w:ind w:firstLine="480"/>
      </w:pPr>
      <w:r>
        <w:t>祁东县区域山地森林植被优良，属亚热带常绿阔叶林区，多为次生植被。乔木主要有杉木、马尾松和国外松以及毛竹；灌木主要有金刚刺、冬青、胡枝子、盐肤木、栀子等；地被植物主要为苔藓、冬茅草等，植被覆盖率高。</w:t>
      </w:r>
    </w:p>
    <w:p>
      <w:pPr>
        <w:pStyle w:val="27"/>
        <w:ind w:firstLine="480"/>
      </w:pPr>
      <w:r>
        <w:t>祁东县内树种资源计85科，231属，488种。用材林树种有杉木、松树、樟树、</w:t>
      </w:r>
      <w:r>
        <w:rPr>
          <w:rFonts w:hint="eastAsia"/>
        </w:rPr>
        <w:t>桐树</w:t>
      </w:r>
      <w:r>
        <w:t>、枫香、泡桐等292种；经济林树种有白栋、抢木、枣、桃、李、梨、女贞、山苍子、柑桔、板栗、油桐、油茶、乌</w:t>
      </w:r>
      <w:r>
        <w:rPr>
          <w:rFonts w:hint="eastAsia"/>
        </w:rPr>
        <w:t>香</w:t>
      </w:r>
      <w:r>
        <w:t>、茶叶、</w:t>
      </w:r>
      <w:r>
        <w:rPr>
          <w:rFonts w:hint="eastAsia"/>
        </w:rPr>
        <w:t>棕树</w:t>
      </w:r>
      <w:r>
        <w:t>等140种；薪炭林有刺槐、</w:t>
      </w:r>
      <w:r>
        <w:rPr>
          <w:rFonts w:hint="eastAsia"/>
        </w:rPr>
        <w:t>杜鹃</w:t>
      </w:r>
      <w:r>
        <w:t>等42种；稀有珍贵树种有白玉兰、银杏、香果、青钱柳、白乐、兰果木、紫穗槐等14种。</w:t>
      </w:r>
    </w:p>
    <w:p>
      <w:pPr>
        <w:pStyle w:val="27"/>
        <w:ind w:firstLine="480"/>
      </w:pPr>
      <w:r>
        <w:t>祁东县成片草场94处，山地草丛类和丘陵草丛类的植被结构以多年生禾本科牧草为主，间杂山竹及</w:t>
      </w:r>
      <w:r>
        <w:rPr>
          <w:rFonts w:hint="eastAsia"/>
        </w:rPr>
        <w:t>少量</w:t>
      </w:r>
      <w:r>
        <w:t>灌木植物。其主要品种有五节芒、白茅、野古草、鹅观草、葛藤、紫藤等。农地杂草有探麦粮、水草、灯芯草、三棱草、游草、鸭舌草、稗、鱼腥草、狗尾草、浮萍、水浮莲、水葫芦、菱、四叶草、水花生、马鞭草、蒿、夏姑草、车前草等。境内还有蜜源植物43种，大部分分布在东南部岗丘地带。</w:t>
      </w:r>
    </w:p>
    <w:p>
      <w:pPr>
        <w:pStyle w:val="27"/>
        <w:ind w:firstLine="480"/>
      </w:pPr>
      <w:r>
        <w:rPr>
          <w:rFonts w:hint="eastAsia"/>
        </w:rPr>
        <w:t>2、动物资源</w:t>
      </w:r>
    </w:p>
    <w:p>
      <w:pPr>
        <w:pStyle w:val="27"/>
        <w:ind w:firstLine="480"/>
      </w:pPr>
      <w:r>
        <w:t>祁东县野生动物资源生态分类属中亚热带林灌草地农田动物群，种类繁多，其中：哺乳类有7目18科33种，鸟类有12目29科66种，爬行类有3目10科84种，两栖类有2目7科，鱼类有7目16科89种；节肢动物中：昆虫有13目74科206种，蛛形类有16科2种，还有虾、蟹等甲壳类，蜈蚣、百足虫等多足类动物；环节动物中常见有蚯蚓、水蝗、山蝗等；软体动物有4目10科，主要有</w:t>
      </w:r>
      <w:r>
        <w:rPr>
          <w:rFonts w:hint="eastAsia"/>
        </w:rPr>
        <w:t>圆田螺</w:t>
      </w:r>
      <w:r>
        <w:t>等10余种螺，</w:t>
      </w:r>
      <w:r>
        <w:rPr>
          <w:rFonts w:hint="eastAsia"/>
        </w:rPr>
        <w:t>圆顶</w:t>
      </w:r>
      <w:r>
        <w:t>蚌、背瘤蛎蚌、背角无齿蚌、河蚬、湖蛛蚬、蜗牛、大蜗、蛞蝓等。县域现存的野生陆生动物主要为一些小型的两栖动物、爬行动物、哺乳动物及鸟类等；家畜家禽主要有猪、狗、牛、鸡、鸭等；飞禽主要为常见鸟类，如麻雀、乌鸦等。区域鸟类种类繁多，有白鹭、斑鸠、麻雀、山鹰、画眉等20个多种类以及鸳鸯、鸬鹚等水禽类。</w:t>
      </w:r>
    </w:p>
    <w:p>
      <w:pPr>
        <w:pStyle w:val="27"/>
        <w:ind w:firstLine="480"/>
      </w:pPr>
      <w:r>
        <w:rPr>
          <w:rFonts w:hint="eastAsia"/>
        </w:rPr>
        <w:t>3、</w:t>
      </w:r>
      <w:r>
        <w:t>项目所在地生态环境特征</w:t>
      </w:r>
    </w:p>
    <w:p>
      <w:pPr>
        <w:pStyle w:val="27"/>
        <w:ind w:firstLine="480"/>
      </w:pPr>
      <w:r>
        <w:rPr>
          <w:rFonts w:hint="eastAsia"/>
        </w:rPr>
        <w:t>本项目位于祁东县凤歧坪乡集镇区南侧，占地范围为空地，周边多为灌木丛，植被较少，植被类型以原生草本植物、灌木、自然景物为主。现场调查及走访未在项目区域范围内发现珍稀保护动植物。</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33" w:name="_Toc161250457"/>
      <w:r>
        <w:rPr>
          <w:rFonts w:hint="eastAsia"/>
        </w:rPr>
        <w:t>3水功能区（水域）管理要求和现有取排水状况</w:t>
      </w:r>
      <w:bookmarkEnd w:id="33"/>
    </w:p>
    <w:p>
      <w:pPr>
        <w:pStyle w:val="32"/>
      </w:pPr>
      <w:bookmarkStart w:id="34" w:name="_Toc161250458"/>
      <w:r>
        <w:rPr>
          <w:rFonts w:hint="eastAsia"/>
        </w:rPr>
        <w:t>3</w:t>
      </w:r>
      <w:r>
        <w:t>.1</w:t>
      </w:r>
      <w:r>
        <w:rPr>
          <w:rFonts w:hint="eastAsia"/>
        </w:rPr>
        <w:t>水功能区（水域）保护水质管理目标与要求</w:t>
      </w:r>
      <w:bookmarkEnd w:id="34"/>
    </w:p>
    <w:p>
      <w:pPr>
        <w:pStyle w:val="27"/>
        <w:ind w:firstLine="480"/>
      </w:pPr>
      <w:r>
        <w:rPr>
          <w:rFonts w:hint="eastAsia"/>
        </w:rPr>
        <w:t>水功能区，是指为满足水资源合理开发和有效保护的需求，根据水资源的自然条件、功能要求、开发利用现状，按照流域综合规划、水资源保护规划和经济社会发展要求，在相应水域按其主导功能划定并执行相应质量标准的特定区域。水功能区分为水功能一级区和水功能二级区。</w:t>
      </w:r>
    </w:p>
    <w:p>
      <w:pPr>
        <w:pStyle w:val="40"/>
      </w:pPr>
      <w:r>
        <w:drawing>
          <wp:inline distT="0" distB="0" distL="0" distR="0">
            <wp:extent cx="5274310" cy="2933700"/>
            <wp:effectExtent l="0" t="0" r="2540" b="0"/>
            <wp:docPr id="104635045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350451" name="图片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5274310" cy="2933700"/>
                    </a:xfrm>
                    <a:prstGeom prst="rect">
                      <a:avLst/>
                    </a:prstGeom>
                    <a:noFill/>
                    <a:ln>
                      <a:noFill/>
                    </a:ln>
                  </pic:spPr>
                </pic:pic>
              </a:graphicData>
            </a:graphic>
          </wp:inline>
        </w:drawing>
      </w:r>
    </w:p>
    <w:p>
      <w:pPr>
        <w:pStyle w:val="38"/>
      </w:pPr>
      <w:r>
        <w:t>图3.1-1 水功能区分级分类系统</w:t>
      </w:r>
    </w:p>
    <w:p>
      <w:pPr>
        <w:pStyle w:val="27"/>
        <w:ind w:firstLine="480"/>
      </w:pPr>
      <w:r>
        <w:rPr>
          <w:rFonts w:hint="eastAsia"/>
        </w:rPr>
        <w:t>水功能一级区分为保护区、缓冲区、开发利用区和保留区四类。</w:t>
      </w:r>
    </w:p>
    <w:p>
      <w:pPr>
        <w:pStyle w:val="27"/>
        <w:ind w:firstLine="480"/>
      </w:pPr>
      <w:r>
        <w:rPr>
          <w:rFonts w:hint="eastAsia"/>
        </w:rPr>
        <w:t>水功能二级区在开发利用区中划分，分为饮用水源区、工业用水区、农业用水区、渔业用水区、景观娱乐用水区、过渡区和排污控制区七类。</w:t>
      </w:r>
    </w:p>
    <w:p>
      <w:pPr>
        <w:pStyle w:val="27"/>
        <w:ind w:firstLine="480"/>
      </w:pPr>
      <w:r>
        <w:rPr>
          <w:rFonts w:hint="eastAsia"/>
        </w:rPr>
        <w:t>对照《水功能区划标准》（GB/T50594-2010），水功能区水质标准要求如下表。</w:t>
      </w:r>
    </w:p>
    <w:p>
      <w:pPr>
        <w:pStyle w:val="38"/>
      </w:pPr>
      <w:r>
        <w:t>表3.1-1 水功能区水质标准要求</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575"/>
        <w:gridCol w:w="56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tcPr>
          <w:p>
            <w:pPr>
              <w:pStyle w:val="40"/>
              <w:rPr>
                <w:kern w:val="0"/>
              </w:rPr>
            </w:pPr>
            <w:r>
              <w:rPr>
                <w:kern w:val="0"/>
              </w:rPr>
              <w:t>类别</w:t>
            </w:r>
          </w:p>
        </w:tc>
        <w:tc>
          <w:tcPr>
            <w:tcW w:w="1575" w:type="dxa"/>
          </w:tcPr>
          <w:p>
            <w:pPr>
              <w:pStyle w:val="40"/>
              <w:rPr>
                <w:kern w:val="0"/>
              </w:rPr>
            </w:pPr>
            <w:r>
              <w:rPr>
                <w:kern w:val="0"/>
              </w:rPr>
              <w:t>水功能区</w:t>
            </w:r>
          </w:p>
        </w:tc>
        <w:tc>
          <w:tcPr>
            <w:tcW w:w="5682" w:type="dxa"/>
          </w:tcPr>
          <w:p>
            <w:pPr>
              <w:pStyle w:val="40"/>
              <w:rPr>
                <w:kern w:val="0"/>
              </w:rPr>
            </w:pPr>
            <w:r>
              <w:rPr>
                <w:kern w:val="0"/>
              </w:rPr>
              <w:t>水质标准要求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restart"/>
            <w:vAlign w:val="center"/>
          </w:tcPr>
          <w:p>
            <w:pPr>
              <w:pStyle w:val="40"/>
              <w:rPr>
                <w:kern w:val="0"/>
              </w:rPr>
            </w:pPr>
            <w:r>
              <w:rPr>
                <w:kern w:val="0"/>
              </w:rPr>
              <w:t>一级水功能区</w:t>
            </w:r>
          </w:p>
        </w:tc>
        <w:tc>
          <w:tcPr>
            <w:tcW w:w="1575" w:type="dxa"/>
            <w:vAlign w:val="center"/>
          </w:tcPr>
          <w:p>
            <w:pPr>
              <w:pStyle w:val="40"/>
              <w:rPr>
                <w:kern w:val="0"/>
              </w:rPr>
            </w:pPr>
            <w:r>
              <w:rPr>
                <w:kern w:val="0"/>
              </w:rPr>
              <w:t>保护区</w:t>
            </w:r>
          </w:p>
        </w:tc>
        <w:tc>
          <w:tcPr>
            <w:tcW w:w="5682" w:type="dxa"/>
          </w:tcPr>
          <w:p>
            <w:pPr>
              <w:pStyle w:val="40"/>
              <w:rPr>
                <w:kern w:val="0"/>
              </w:rPr>
            </w:pPr>
            <w:r>
              <w:rPr>
                <w:kern w:val="0"/>
              </w:rPr>
              <w:t>保护区水质标准应符合现行国家标准《地表水环境质量标准》（GB3838-2002）中Ⅰ类或Ⅱ类水质标准；当由于自然、地质原因不满足Ⅰ类或Ⅱ类水质标准时，应维持现状水质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保留区</w:t>
            </w:r>
          </w:p>
        </w:tc>
        <w:tc>
          <w:tcPr>
            <w:tcW w:w="5682" w:type="dxa"/>
          </w:tcPr>
          <w:p>
            <w:pPr>
              <w:pStyle w:val="40"/>
              <w:rPr>
                <w:kern w:val="0"/>
              </w:rPr>
            </w:pPr>
            <w:r>
              <w:rPr>
                <w:kern w:val="0"/>
              </w:rPr>
              <w:t>保留区水质标准应不低于现行国家标准《地表水环境质量标准》（GB3838-2002）规定的Ⅲ类水质标准或应按现状水质类别控制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开发利用区</w:t>
            </w:r>
          </w:p>
        </w:tc>
        <w:tc>
          <w:tcPr>
            <w:tcW w:w="5682" w:type="dxa"/>
          </w:tcPr>
          <w:p>
            <w:pPr>
              <w:pStyle w:val="40"/>
              <w:rPr>
                <w:kern w:val="0"/>
              </w:rPr>
            </w:pPr>
            <w:r>
              <w:rPr>
                <w:kern w:val="0"/>
              </w:rPr>
              <w:t>开发利用区水质标准由二级水功能区划相应类别的水质标准确定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缓冲区</w:t>
            </w:r>
          </w:p>
        </w:tc>
        <w:tc>
          <w:tcPr>
            <w:tcW w:w="5682" w:type="dxa"/>
          </w:tcPr>
          <w:p>
            <w:pPr>
              <w:pStyle w:val="40"/>
              <w:rPr>
                <w:kern w:val="0"/>
              </w:rPr>
            </w:pPr>
            <w:r>
              <w:rPr>
                <w:kern w:val="0"/>
              </w:rPr>
              <w:t>缓冲区水质标准应根据实际需要执行相关水质标准或按现状水质控制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restart"/>
            <w:vAlign w:val="center"/>
          </w:tcPr>
          <w:p>
            <w:pPr>
              <w:pStyle w:val="40"/>
              <w:rPr>
                <w:kern w:val="0"/>
              </w:rPr>
            </w:pPr>
            <w:r>
              <w:rPr>
                <w:kern w:val="0"/>
              </w:rPr>
              <w:t>二级水功能区</w:t>
            </w:r>
          </w:p>
        </w:tc>
        <w:tc>
          <w:tcPr>
            <w:tcW w:w="1575" w:type="dxa"/>
            <w:vAlign w:val="center"/>
          </w:tcPr>
          <w:p>
            <w:pPr>
              <w:pStyle w:val="40"/>
              <w:rPr>
                <w:kern w:val="0"/>
              </w:rPr>
            </w:pPr>
            <w:r>
              <w:rPr>
                <w:kern w:val="0"/>
              </w:rPr>
              <w:t>饮用水源区</w:t>
            </w:r>
          </w:p>
        </w:tc>
        <w:tc>
          <w:tcPr>
            <w:tcW w:w="5682" w:type="dxa"/>
          </w:tcPr>
          <w:p>
            <w:pPr>
              <w:pStyle w:val="40"/>
              <w:rPr>
                <w:kern w:val="0"/>
              </w:rPr>
            </w:pPr>
            <w:r>
              <w:rPr>
                <w:kern w:val="0"/>
              </w:rPr>
              <w:t>饮用水源区水质标准应符合现行国家标准《地表水环境质量标准》（GB3838-2002）中Ⅱ类或Ⅲ类水质标准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工业用水区</w:t>
            </w:r>
          </w:p>
        </w:tc>
        <w:tc>
          <w:tcPr>
            <w:tcW w:w="5682" w:type="dxa"/>
          </w:tcPr>
          <w:p>
            <w:pPr>
              <w:pStyle w:val="40"/>
              <w:rPr>
                <w:kern w:val="0"/>
              </w:rPr>
            </w:pPr>
            <w:r>
              <w:rPr>
                <w:kern w:val="0"/>
              </w:rPr>
              <w:t>工业用水区水质标准应符合现行国家标准《地表水环境质量标准》（GB3838-2002）中Ⅳ类水质标准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农业用水区</w:t>
            </w:r>
          </w:p>
        </w:tc>
        <w:tc>
          <w:tcPr>
            <w:tcW w:w="5682" w:type="dxa"/>
          </w:tcPr>
          <w:p>
            <w:pPr>
              <w:pStyle w:val="40"/>
              <w:rPr>
                <w:kern w:val="0"/>
              </w:rPr>
            </w:pPr>
            <w:r>
              <w:rPr>
                <w:kern w:val="0"/>
              </w:rPr>
              <w:t>农业用水区水质标准应符合现行国家标准《农田灌溉水质标准》（GB5084）的规定，也可按现行国家标准《地表水环境质量标准》（GB3838-2002）中Ⅴ类标准确定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渔业用水区</w:t>
            </w:r>
          </w:p>
        </w:tc>
        <w:tc>
          <w:tcPr>
            <w:tcW w:w="5682" w:type="dxa"/>
          </w:tcPr>
          <w:p>
            <w:pPr>
              <w:pStyle w:val="40"/>
              <w:rPr>
                <w:kern w:val="0"/>
              </w:rPr>
            </w:pPr>
            <w:r>
              <w:rPr>
                <w:kern w:val="0"/>
              </w:rPr>
              <w:t>渔业用水区水质标准应符合现行国家标准《渔业水质标准》</w:t>
            </w:r>
          </w:p>
          <w:p>
            <w:pPr>
              <w:pStyle w:val="40"/>
              <w:rPr>
                <w:kern w:val="0"/>
              </w:rPr>
            </w:pPr>
            <w:r>
              <w:rPr>
                <w:kern w:val="0"/>
              </w:rPr>
              <w:t>（GB11607）的有关规定，也可按现行国家标准《地表水环境质量标准》（GB3838-2002）中Ⅱ类或Ⅲ类水质标准确定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景观娱乐用水区</w:t>
            </w:r>
          </w:p>
        </w:tc>
        <w:tc>
          <w:tcPr>
            <w:tcW w:w="5682" w:type="dxa"/>
          </w:tcPr>
          <w:p>
            <w:pPr>
              <w:pStyle w:val="40"/>
              <w:rPr>
                <w:kern w:val="0"/>
              </w:rPr>
            </w:pPr>
            <w:r>
              <w:rPr>
                <w:kern w:val="0"/>
              </w:rPr>
              <w:t>景观娱乐用水区水质标准应符合现行国家标准《地表水环境质量标准》（GB3838-2002）中Ⅲ类或Ⅳ类水质标准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过渡区</w:t>
            </w:r>
          </w:p>
        </w:tc>
        <w:tc>
          <w:tcPr>
            <w:tcW w:w="5682" w:type="dxa"/>
          </w:tcPr>
          <w:p>
            <w:pPr>
              <w:pStyle w:val="40"/>
              <w:rPr>
                <w:kern w:val="0"/>
              </w:rPr>
            </w:pPr>
            <w:r>
              <w:rPr>
                <w:kern w:val="0"/>
              </w:rPr>
              <w:t>过渡区水质标准应按出流断面水质达到相邻功能区的水质目标要求选择相应的控制标准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65" w:type="dxa"/>
            <w:vMerge w:val="continue"/>
            <w:vAlign w:val="center"/>
          </w:tcPr>
          <w:p>
            <w:pPr>
              <w:pStyle w:val="40"/>
              <w:rPr>
                <w:kern w:val="0"/>
              </w:rPr>
            </w:pPr>
          </w:p>
        </w:tc>
        <w:tc>
          <w:tcPr>
            <w:tcW w:w="1575" w:type="dxa"/>
            <w:vAlign w:val="center"/>
          </w:tcPr>
          <w:p>
            <w:pPr>
              <w:pStyle w:val="40"/>
              <w:rPr>
                <w:kern w:val="0"/>
              </w:rPr>
            </w:pPr>
            <w:r>
              <w:rPr>
                <w:kern w:val="0"/>
              </w:rPr>
              <w:t>排污控制区</w:t>
            </w:r>
          </w:p>
        </w:tc>
        <w:tc>
          <w:tcPr>
            <w:tcW w:w="5682" w:type="dxa"/>
          </w:tcPr>
          <w:p>
            <w:pPr>
              <w:pStyle w:val="40"/>
              <w:rPr>
                <w:kern w:val="0"/>
              </w:rPr>
            </w:pPr>
            <w:r>
              <w:rPr>
                <w:kern w:val="0"/>
              </w:rPr>
              <w:t>污染控制区水质标准应按其出流断面的水质状况达到相邻水功能区的水质控制标准确定</w:t>
            </w:r>
          </w:p>
        </w:tc>
      </w:tr>
    </w:tbl>
    <w:p>
      <w:pPr>
        <w:pStyle w:val="27"/>
        <w:ind w:firstLine="480"/>
        <w:rPr>
          <w:u w:val="single"/>
        </w:rPr>
      </w:pPr>
      <w:r>
        <w:rPr>
          <w:rFonts w:hint="eastAsia"/>
          <w:u w:val="single"/>
        </w:rPr>
        <w:t>本项目尾水通过管道排入东侧灌溉渠，之后经15km灌溉渠排入祁水，污水入祁水口位于祁东县蒋家桥镇</w:t>
      </w:r>
      <w:r>
        <w:rPr>
          <w:u w:val="single"/>
        </w:rPr>
        <w:t>，</w:t>
      </w:r>
      <w:r>
        <w:rPr>
          <w:rFonts w:hint="eastAsia"/>
          <w:u w:val="single"/>
        </w:rPr>
        <w:t>根据《衡阳市水功能区划》（2010~2020），祁水项目纳污河段为</w:t>
      </w:r>
      <w:r>
        <w:rPr>
          <w:u w:val="single"/>
        </w:rPr>
        <w:t>二级水功能区</w:t>
      </w:r>
      <w:r>
        <w:rPr>
          <w:rFonts w:hint="eastAsia"/>
          <w:u w:val="single"/>
        </w:rPr>
        <w:t>中渔业用水区，即按照</w:t>
      </w:r>
      <w:r>
        <w:rPr>
          <w:u w:val="single"/>
        </w:rPr>
        <w:t>《地表水环境质量标准》（GB3838-2002）规定的Ⅲ类水质标准或应按现状水质类别控制</w:t>
      </w:r>
      <w:r>
        <w:rPr>
          <w:rFonts w:hint="eastAsia"/>
          <w:u w:val="single"/>
        </w:rPr>
        <w:t>。</w:t>
      </w:r>
    </w:p>
    <w:p>
      <w:pPr>
        <w:pStyle w:val="32"/>
      </w:pPr>
      <w:bookmarkStart w:id="35" w:name="_Toc161250459"/>
      <w:r>
        <w:rPr>
          <w:rFonts w:hint="eastAsia"/>
        </w:rPr>
        <w:t>3</w:t>
      </w:r>
      <w:r>
        <w:t>.2</w:t>
      </w:r>
      <w:r>
        <w:rPr>
          <w:rFonts w:hint="eastAsia"/>
        </w:rPr>
        <w:t>水功能区（水域）纳污能力及限制排放总量</w:t>
      </w:r>
      <w:bookmarkEnd w:id="35"/>
    </w:p>
    <w:p>
      <w:pPr>
        <w:pStyle w:val="27"/>
        <w:ind w:firstLine="480"/>
        <w:rPr>
          <w:u w:val="single"/>
        </w:rPr>
      </w:pPr>
      <w:r>
        <w:rPr>
          <w:u w:val="single"/>
        </w:rPr>
        <w:t>根据《入河排污口管理技术导则》（SL532-2011）5.3.6条“水域纳污能力应采纳各级水行政主管部门或流域管理机构核定的数据，未核定纳污能力的水域，应按</w:t>
      </w:r>
      <w:r>
        <w:rPr>
          <w:rFonts w:hint="eastAsia"/>
          <w:u w:val="single"/>
        </w:rPr>
        <w:t>GB/T25173</w:t>
      </w:r>
      <w:r>
        <w:rPr>
          <w:u w:val="single"/>
        </w:rPr>
        <w:t>的规定和水功能区管理要求核算纳污能力”。</w:t>
      </w:r>
      <w:r>
        <w:rPr>
          <w:rFonts w:hint="eastAsia"/>
          <w:u w:val="single"/>
        </w:rPr>
        <w:t>由于东侧渠道为区域农田退水渠道，枯水期渠道内无水，因此本次以祁水作为纳污水体计算纳污能力。</w:t>
      </w:r>
    </w:p>
    <w:p>
      <w:pPr>
        <w:pStyle w:val="35"/>
      </w:pPr>
      <w:bookmarkStart w:id="36" w:name="_Toc161250460"/>
      <w:r>
        <w:rPr>
          <w:rFonts w:hint="eastAsia"/>
        </w:rPr>
        <w:t>3</w:t>
      </w:r>
      <w:r>
        <w:t>.2.1</w:t>
      </w:r>
      <w:r>
        <w:rPr>
          <w:rFonts w:hint="eastAsia"/>
        </w:rPr>
        <w:t>计算方法及模型选定</w:t>
      </w:r>
      <w:bookmarkEnd w:id="36"/>
    </w:p>
    <w:p>
      <w:pPr>
        <w:pStyle w:val="27"/>
        <w:ind w:firstLine="480"/>
      </w:pPr>
      <w:r>
        <w:rPr>
          <w:rFonts w:hint="eastAsia"/>
        </w:rPr>
        <w:t>祁水多年平均流量23.9m</w:t>
      </w:r>
      <w:r>
        <w:rPr>
          <w:vertAlign w:val="superscript"/>
        </w:rPr>
        <w:t>3</w:t>
      </w:r>
      <w:r>
        <w:t>/</w:t>
      </w:r>
      <w:r>
        <w:rPr>
          <w:rFonts w:hint="eastAsia"/>
        </w:rPr>
        <w:t>s，多年平均径流量7.55亿立方米，流域面积1685平方公里。</w:t>
      </w:r>
    </w:p>
    <w:p>
      <w:pPr>
        <w:pStyle w:val="27"/>
        <w:ind w:firstLine="480"/>
        <w:rPr>
          <w:rFonts w:ascii="宋体" w:hAnsi="宋体" w:cs="宋体"/>
        </w:rPr>
      </w:pPr>
      <w:r>
        <w:t>根据《水域纳污能力计算规程》（GBT25173-2010）</w:t>
      </w:r>
      <w:r>
        <w:rPr>
          <w:rFonts w:hint="eastAsia"/>
        </w:rPr>
        <w:t>，河段多年平均流量15&lt;Q&lt;150m</w:t>
      </w:r>
      <w:r>
        <w:rPr>
          <w:rFonts w:hint="eastAsia"/>
          <w:vertAlign w:val="superscript"/>
        </w:rPr>
        <w:t>3</w:t>
      </w:r>
      <w:r>
        <w:rPr>
          <w:rFonts w:hint="eastAsia"/>
        </w:rPr>
        <w:t>/s的为中型河段，祁水</w:t>
      </w:r>
      <w:r>
        <w:rPr>
          <w:szCs w:val="24"/>
        </w:rPr>
        <w:t>多年平均流量为</w:t>
      </w:r>
      <w:r>
        <w:rPr>
          <w:rFonts w:hint="eastAsia"/>
          <w:szCs w:val="24"/>
        </w:rPr>
        <w:t>23.9</w:t>
      </w:r>
      <w:r>
        <w:rPr>
          <w:rFonts w:hint="eastAsia"/>
        </w:rPr>
        <w:t>m</w:t>
      </w:r>
      <w:r>
        <w:rPr>
          <w:rFonts w:hint="eastAsia"/>
          <w:vertAlign w:val="superscript"/>
        </w:rPr>
        <w:t>3</w:t>
      </w:r>
      <w:r>
        <w:rPr>
          <w:szCs w:val="24"/>
        </w:rPr>
        <w:t>/</w:t>
      </w:r>
      <w:r>
        <w:rPr>
          <w:rFonts w:hint="eastAsia"/>
          <w:szCs w:val="24"/>
        </w:rPr>
        <w:t>s，属于中型河流，</w:t>
      </w:r>
      <w:r>
        <w:rPr>
          <w:rFonts w:ascii="宋体" w:hAnsi="宋体" w:cs="宋体"/>
        </w:rPr>
        <w:t>其水域纳污能力采用</w:t>
      </w:r>
      <w:r>
        <w:rPr>
          <w:rFonts w:hint="eastAsia" w:ascii="宋体" w:hAnsi="宋体" w:cs="宋体"/>
        </w:rPr>
        <w:t>河流一维模型</w:t>
      </w:r>
      <w:r>
        <w:rPr>
          <w:rFonts w:ascii="宋体" w:hAnsi="宋体" w:cs="宋体"/>
        </w:rPr>
        <w:t>公式计算：</w:t>
      </w:r>
    </w:p>
    <w:p>
      <w:pPr>
        <w:pStyle w:val="27"/>
        <w:ind w:firstLine="480"/>
        <w:rPr>
          <w:rFonts w:ascii="宋体" w:hAnsi="宋体" w:cs="宋体"/>
        </w:rPr>
      </w:pPr>
      <w:r>
        <w:t>1）</w:t>
      </w:r>
      <w:r>
        <w:rPr>
          <w:rFonts w:hint="eastAsia" w:ascii="宋体" w:hAnsi="宋体" w:cs="宋体"/>
        </w:rPr>
        <w:t>河段污染物浓度：</w:t>
      </w:r>
      <w:r>
        <w:rPr>
          <w:rFonts w:ascii="宋体" w:hAnsi="宋体" w:cs="宋体"/>
        </w:rPr>
        <w:pict>
          <v:shape id="_x0000_i1025" o:spt="75" type="#_x0000_t75" style="height:30.55pt;width:101.2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sSub&gt;&lt;m:sSubPr&gt;&lt;m:ctrlPr&gt;&lt;w:rPr&gt;&lt;w:rFonts w:ascii=&quot;Cambria Math&quot; w:h-ansi=&quot;Cambria Math&quot; w:hint=&quot;default&quot;/&gt;&lt;w:i/&gt;&lt;w:lang w:val=&quot;EN-US&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gt;&lt;/w:rPr&gt;&lt;/m:ctrlPr&gt;&lt;/m:e&gt;&lt;m:sub&gt;&lt;m:r&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gt;&lt;/w:rPr&gt;&lt;/m:ctrlPr&gt;&lt;/m:sub&gt;&lt;/m:sSub&gt;&lt;m:r&gt;&lt;m:rPr&gt;&lt;m:scr m:val=&quot;roman&quot;/&gt;&lt;/m:rPr&gt;&lt;w:rPr&gt;&lt;w:rFonts w:ascii=&quot;Cambria Math&quot; w:h-ansi=&quot;Cambria Math&quot; w:hint=&quot;default&quot;/&gt;&lt;w:lang w:val=&quot;EN-US&quot; w:fareast=&quot;ZH-CN&quot;/&gt;&lt;/w:rPr&gt;&lt;m:t&gt;=&lt;/m:t&gt;&lt;/m:r&gt;&lt;m:sSub&gt;&lt;m:sSubPr&gt;&lt;m:ctrlPr&gt;&lt;w:rPr&gt;&lt;w:rFonts w:ascii=&quot;Cambria Math&quot; w:h-ansi=&quot;Cambria Math&quot; w:hint=&quot;default&quot;/&gt;&lt;w:i/&gt;&lt;w:lang w:val=&quot;EN-US&quot; w:fareast=&quot;ZH-CN&quot;/&gt;&lt;/w:rPr&gt;&lt;/m:ctrlPr&gt;&lt;/m:sSubPr&gt;&lt;m:e&gt;&lt;m:r&gt;&lt;m:rPr&gt;&lt;m:scr m:val=&quot;roman&quot;/&gt;&lt;/m:rPr&gt;&lt;w:rPr&gt;&lt;w:rFonts w:ascii=&quot;Cambria Math&quot; w:h-ansi=&quot;Cambria Math&quot; w:hint=&quot;default&quot;/&gt;&lt;w:lang w:val=&quot;EN-US&quot; w:fareast=&quot;ZH-CN&quot;/&gt;&lt;/w:rPr&gt;&lt;m:t&gt;C&lt;/m:t&gt;&lt;/m:r&gt;&lt;m:ctrlPr&gt;&lt;w:rPr&gt;&lt;w:rFonts w:ascii=&quot;Cambria Math&quot; w:h-ansi=&quot;Cambria Math&quot; w:hint=&quot;default&quot;/&gt;&lt;w:i/&gt;&lt;w:lang w:val=&quot;EN-US&quot; w:fareast=&quot;ZH-CN&quot;/&gt;&lt;/w:rPr&gt;&lt;/m:ctrlPr&gt;&lt;/m:e&gt;&lt;m:sub&gt;&lt;m:r&gt;&lt;m:rPr&gt;&lt;m:scr m:val=&quot;roman&quot;/&gt;&lt;/m:rPr&gt;&lt;w:rPr&gt;&lt;w:rFonts w:ascii=&quot;Cambria Math&quot; w:h-ansi=&quot;Cambria Math&quot; w:hint=&quot;default&quot;/&gt;&lt;w:lang w:val=&quot;EN-US&quot; w:fareast=&quot;ZH-CN&quot;/&gt;&lt;/w:rPr&gt;&lt;m:t&gt;0&lt;/m:t&gt;&lt;/m:r&gt;&lt;m:ctrlPr&gt;&lt;w:rPr&gt;&lt;w:rFonts w:ascii=&quot;Cambria Math&quot; w:h-ansi=&quot;Cambria Math&quot; w:hint=&quot;default&quot;/&gt;&lt;w:i/&gt;&lt;w:lang w:val=&quot;EN-US&quot; w:fareast=&quot;ZH-CN&quot;/&gt;&lt;/w:rPr&gt;&lt;/m:ctrlPr&gt;&lt;/m:sub&gt;&lt;/m:sSub&gt;&lt;m:r&gt;&lt;m:rPr&gt;&lt;m:scr m:val=&quot;roman&quot;/&gt;&lt;/m:rPr&gt;&lt;w:rPr&gt;&lt;w:rFonts w:ascii=&quot;Cambria Math&quot; w:h-ansi=&quot;Cambria Math&quot; w:hint=&quot;default&quot;/&gt;&lt;w:lang w:val=&quot;EN-US&quot; w:fareast=&quot;ZH-CN&quot;/&gt;&lt;/w:rPr&gt;&lt;m:t&gt;exp(鈭扠&lt;/m:t&gt;&lt;/m:r&gt;&lt;m:f&gt;&lt;m:fPr&gt;&lt;m:ctrlPr&gt;&lt;w:rPr&gt;&lt;w:rFonts w:ascii=&quot;Cambria Math&quot; w:h-ansi=&quot;Cambria Math&quot; w:hint=&quot;default&quot;/&gt;&lt;w:i/&gt;&lt;w:lang w:val=&quot;EN-US&quot; w:fareast=&quot;ZH-CN&quot;/&gt;&lt;/w:rPr&gt;&lt;/m:ctrlPr&gt;&lt;/m:fPr&gt;&lt;m:num&gt;&lt;m:rg g g g g g g g g g g g g g g g g &gt;&lt;m:rPr&gt;&lt;m:scr m:val=&quot;roman&quot;/&gt;&lt;/m:rPr&gt;&lt;w:rPr&gt;&lt;w:rFonts w:ascii=&quot;Cambria Math&quot; w:h-ansi=&quot;Cambria Math&quot; w:hint=&quot;default&quot;/&gt;&lt;w:lang w:val=&quot;EN-US&quot; w:fareast=&quot;ZH-CN&quot;/&gt;&lt;/w:rPr&gt;&lt;m:t&gt;x&lt;/m:t&gt;&lt;/m:r&gt;&lt;m:ctrlPr&gt;&lt;w:rPr&gt;&lt;w:rFonts w:ascii=&quot;Cambria Math&quot; w:h-ansi=&quot;Cambria Math&quot; w:hint=&quot;default&quot;/&gt;&lt;w:i/&gt;&lt;w:lang w:val=&quot;EN-US&quot; w:fareast=&quot;ZH-CN&quot;/&gt;&lt;/w:rPr&gt;&lt;/m:ctrlPr&gt;&lt;/m:num&gt;&lt;m:den&gt;&lt;m:r&gt;&lt;m:rPr&gt;&lt;m:scr m:val=&quot;roman&quot;/&gt;&lt;/m:rPr&gt;&lt;w:rPr&gt;&lt;w:rFonts w:ascii=&quot;Cambria Math&quot; w:h-ansi=&quot;Cambria Math&quot; w:hint=&quot;default&quot;/&gt;&lt;w:lang w:val=&quot;EN-US&quot; w:fareast=&quot;ZH-CN&quot;/&gt;&lt;/w:rPr&gt;&lt;m:t&gt;u&lt;/m:t&gt;&lt;/m:r&gt;&lt;m:ctrlPr&gt;&lt;w:rPr&gt;&lt;w:rFonts w:ascii=&quot;Cambria Math&quot; w:h-ansi=&quot;Cambria Math&quot; w:hint=&quot;default&quot;/&gt;&lt;w:i/&gt;&lt;w:lang w:val=&quot;EN-US&quot; w:fareast=&quot;ZH-CN&quot;/&gt;&lt;/w:rPr&gt;&lt;/m:ctrlPr&gt;&lt;/m:den&gt;&lt;/m:f&gt;&lt;m:r&gt;&lt;m:rPr&gt;&lt;m:scr m:val=&quot;roman&quot;/&gt;&lt;/m:rPr&gt;&lt;w:rPr&gt;&lt;w:rFonts w:ascii=&quot;Cambria Math&quot; w:h-ansi=&quot;Cambria Math&quot; w:hint=&quot;default&quot;/&gt;&lt;w:lang w:val=&quot;EN-US&quot; w:fareast=&quot;ZH-CN&quot;/&gt;&lt;/w:rPr&gt;&lt;m:t&gt;)&lt;/m:t&gt;&lt;/m:r&gt;&lt;/m:oMath&gt;&lt;/m:oMathPara&gt;&lt;/w:p&gt;&lt;/wx:sect&gt;&lt;/w:body&gt;&lt;/w:wordDocument">
            <v:path/>
            <v:fill on="f" focussize="0,0"/>
            <v:stroke on="f" joinstyle="miter"/>
            <v:imagedata r:id="rId18" o:title=""/>
            <o:lock v:ext="edit" aspectratio="f"/>
            <w10:wrap type="none"/>
            <w10:anchorlock/>
          </v:shape>
        </w:pict>
      </w:r>
    </w:p>
    <w:p>
      <w:pPr>
        <w:pStyle w:val="27"/>
        <w:ind w:firstLine="480"/>
      </w:pPr>
      <w:r>
        <w:rPr>
          <w:rFonts w:hint="eastAsia" w:cs="宋体"/>
        </w:rPr>
        <w:t>式中：C</w:t>
      </w:r>
      <w:r>
        <w:rPr>
          <w:rFonts w:hint="eastAsia" w:cs="宋体"/>
          <w:vertAlign w:val="subscript"/>
        </w:rPr>
        <w:t>x</w:t>
      </w:r>
      <w:r>
        <w:t>—</w:t>
      </w:r>
      <w:r>
        <w:rPr>
          <w:rFonts w:hint="eastAsia"/>
        </w:rPr>
        <w:t>流经x距离后的污染物浓度，mg/L</w:t>
      </w:r>
    </w:p>
    <w:p>
      <w:pPr>
        <w:pStyle w:val="27"/>
        <w:ind w:firstLine="480"/>
        <w:rPr>
          <w:rFonts w:ascii="宋体" w:hAnsi="宋体" w:cs="宋体"/>
          <w:color w:val="000000"/>
          <w:szCs w:val="24"/>
        </w:rPr>
      </w:pPr>
      <w:r>
        <w:rPr>
          <w:rFonts w:hint="eastAsia"/>
          <w:color w:val="000000"/>
          <w:szCs w:val="24"/>
        </w:rPr>
        <w:t>C</w:t>
      </w:r>
      <w:r>
        <w:rPr>
          <w:rFonts w:hint="eastAsia"/>
          <w:color w:val="000000"/>
          <w:szCs w:val="24"/>
          <w:vertAlign w:val="subscript"/>
        </w:rPr>
        <w:t>0</w:t>
      </w:r>
      <w:r>
        <w:rPr>
          <w:rFonts w:eastAsia="Sim Sun+ 2"/>
          <w:color w:val="000000"/>
          <w:szCs w:val="24"/>
        </w:rPr>
        <w:t>—</w:t>
      </w:r>
      <w:r>
        <w:rPr>
          <w:rFonts w:hint="eastAsia" w:ascii="宋体" w:hAnsi="宋体" w:cs="宋体"/>
          <w:color w:val="000000"/>
          <w:szCs w:val="24"/>
        </w:rPr>
        <w:t>初始断面的污染物浓度，</w:t>
      </w:r>
      <w:r>
        <w:rPr>
          <w:color w:val="000000"/>
          <w:szCs w:val="24"/>
        </w:rPr>
        <w:t>mg/L</w:t>
      </w:r>
    </w:p>
    <w:p>
      <w:pPr>
        <w:pStyle w:val="27"/>
        <w:ind w:firstLine="480"/>
        <w:rPr>
          <w:rFonts w:cs="宋体"/>
          <w:color w:val="000000"/>
          <w:szCs w:val="24"/>
        </w:rPr>
      </w:pPr>
      <w:r>
        <w:rPr>
          <w:rFonts w:hint="eastAsia"/>
          <w:color w:val="000000"/>
          <w:szCs w:val="24"/>
        </w:rPr>
        <w:t>x</w:t>
      </w:r>
      <w:r>
        <w:rPr>
          <w:color w:val="000000"/>
          <w:szCs w:val="24"/>
        </w:rPr>
        <w:t>—</w:t>
      </w:r>
      <w:r>
        <w:rPr>
          <w:rFonts w:hint="eastAsia" w:cs="宋体"/>
          <w:color w:val="000000"/>
          <w:szCs w:val="24"/>
        </w:rPr>
        <w:t>沿河段的纵向距离，</w:t>
      </w:r>
      <w:r>
        <w:rPr>
          <w:color w:val="000000"/>
          <w:szCs w:val="24"/>
        </w:rPr>
        <w:t>m</w:t>
      </w:r>
    </w:p>
    <w:p>
      <w:pPr>
        <w:pStyle w:val="27"/>
        <w:ind w:firstLine="480"/>
        <w:rPr>
          <w:rFonts w:cs="宋体"/>
          <w:color w:val="000000"/>
          <w:szCs w:val="24"/>
        </w:rPr>
      </w:pPr>
      <w:r>
        <w:rPr>
          <w:color w:val="000000"/>
          <w:szCs w:val="24"/>
        </w:rPr>
        <w:t>u—</w:t>
      </w:r>
      <w:r>
        <w:rPr>
          <w:rFonts w:hint="eastAsia" w:cs="宋体"/>
          <w:color w:val="000000"/>
          <w:szCs w:val="24"/>
        </w:rPr>
        <w:t>设计流量下河道断面的平均流速，</w:t>
      </w:r>
      <w:r>
        <w:rPr>
          <w:color w:val="000000"/>
          <w:szCs w:val="24"/>
        </w:rPr>
        <w:t>m/s</w:t>
      </w:r>
    </w:p>
    <w:p>
      <w:pPr>
        <w:pStyle w:val="27"/>
        <w:ind w:firstLine="480"/>
        <w:rPr>
          <w:rFonts w:cs="宋体"/>
        </w:rPr>
      </w:pPr>
      <w:r>
        <w:rPr>
          <w:rFonts w:hint="eastAsia" w:cs="宋体"/>
        </w:rPr>
        <w:t>K</w:t>
      </w:r>
      <w:r>
        <w:t>—</w:t>
      </w:r>
      <w:r>
        <w:rPr>
          <w:rFonts w:hint="eastAsia"/>
        </w:rPr>
        <w:t>污染物综合衰减系数，1/s</w:t>
      </w:r>
    </w:p>
    <w:p>
      <w:pPr>
        <w:pStyle w:val="27"/>
        <w:ind w:firstLine="480"/>
        <w:rPr>
          <w:rFonts w:eastAsia="Sim Sun+ 2" w:cs="宋体"/>
          <w:color w:val="000000"/>
          <w:szCs w:val="24"/>
        </w:rPr>
      </w:pPr>
      <w:r>
        <w:rPr>
          <w:rFonts w:hint="eastAsia" w:cs="宋体"/>
          <w:color w:val="000000"/>
          <w:szCs w:val="24"/>
        </w:rPr>
        <w:t>2）相应的水域纳污能力：</w:t>
      </w:r>
      <w:r>
        <w:rPr>
          <w:rFonts w:eastAsia="Sim Sun+ 2" w:cs="宋体"/>
          <w:color w:val="000000"/>
          <w:szCs w:val="24"/>
        </w:rPr>
        <w:pict>
          <v:shape id="_x0000_i1026" o:spt="75" type="#_x0000_t75" style="height:30.55pt;width:116.85pt;" filled="f" o:preferrelative="t" stroked="f" coordsize="21600,21600" equationxml="&lt;?xml version=&quot;1.0&quot; encoding=&quot;UTF-8&quot; standalone=&quot;yes&quot;?&gt;&#10;&lt;?mso-application progid=&quot;Word.Document&quot;?&gt;&#10;&lt;w:wordDocument xmlns:w=&quot;http://schemas.microsoft.com/office/word/2003/wordml&quot; xmlns:v=&quot;urn:schemas-microsoft-com:vml&quot; xmlns:w10=&quot;urn:schemas-microsoft-com:office:word&quot; xmlns:sl=&quot;http://schemas.microsoft.com/schemaLibrary/2003/core&quot; xmlns:aml=&quot;http://schemas.microsoft.com/aml/2001/core&quot; xmlns:wx=&quot;http://schemas.microsoft.com/office/word/2003/auxHint&quot; xmlns:o=&quot;urn:schemas-microsoft-com:office:office&quot; xmlns:dt=&quot;uuid:C2F41010-65B3-11d1-A29F-00AA00C14882&quot; xmlns:mc=&quot;http://schemas.openxmlformats.org/markup-compatibility/2006&quot; xmlns:m=&quot;http://schemas.openxmlformats.org/officeDocument/2006/math&quot; w:macrosPresent=&quot;no&quot; w:embeddedObjPresent=&quot;no&quot; w:ocxPresent=&quot;no&quot; xml:space=&quot;preserve&quot;&gt;&lt;o:DocumentProperties&gt;&lt;o:Version&gt;14&lt;/o:Version&gt;&lt;/o:DocumentProperties&gt;&lt;w:docPr&gt;&lt;w:view w:val=&quot;print&quot;/&gt;&lt;w:zoom w:percent=&quot;150&quot;/&gt;&lt;w:characterSpacingControl w:val=&quot;CompressPunctuation&quot;/&gt;&lt;w:documentProtection w:enforcement=&quot;off&quot;/&gt;&lt;w:doNotEmbedSystemFonts/&gt;&lt;w:defaultTabStop w:val=&quot;420&quot;/&gt;&lt;w:drawingGridVerticalSpacing w:val=&quot;166&quot;/&gt;&lt;w:displayHorizontalDrawingGridEvery w:val=&quot;1&quot;/&gt;&lt;w:displayVerticalDrawingGridEvery w:val=&quot;2&quot;/&gt;&lt;w:compat&gt;&lt;w:adjustLineHeightInTable/&gt;&lt;w:ulTrailSpace/&gt;&lt;w:doNotExpandShiftReturn/&gt;&lt;w:balanceSingleByteDoubleByteWidth/&gt;&lt;w:spaceForUL/&gt;&lt;w:breakWrappedTables/&gt;&lt;w:dontGrowAutofit/&gt;&lt;w:useFELayout/&gt;&lt;/w:compat&gt;&lt;/w:docPr&gt;&lt;w:body&gt;&lt;wx:sect&gt;&lt;w:p&gt;&lt;m:oMathPara&gt;&lt;m:oMath&gt;&lt;m:r&gt;&lt;m:rPr&gt;&lt;m:sty m:val=&quot;p&quot;/&gt;&lt;m:scr m:val=&quot;roman&quot;/&gt;&lt;/m:rPr&gt;&lt;w:rPr&gt;&lt;w:rFonts w:ascii=&quot;Cambria Math&quot; w:h-ansi=&quot;Cambria Math&quot; w:fareast=&quot;瀹嬩綋&quot; w:cs=&quot;瀹嬩綋&quot; w:hint=&quot;default&quot;/&gt;&lt;w:color w:val=&quot;000000&quot;/&gt;&lt;w:sz w:val=&quot;24&quot;/&gt;&lt;w:sz-cs w:val=&quot;24&quot;/&gt;&lt;w:lang w:val=&quot;EN-US&quot; w:fareast=&quot;ZH-CN&quot; w:bidi=&quot;AR-SA&quot;/&gt;&lt;/w:rPr&gt;&lt;m:t&gt;M=(&lt;/m:t&gt;&lt;/m:r&gt;&lt;rPr&gt;&lt;wrPr&gt;&lt;wrPr&gt;&lt;wrPr&gt;&lt;wrPr&gt;&lt;wrPr&gt;&lt;wrPr&gt;&lt;wrPr&gt;&lt;wrPr&gt;&lt;wrPr&gt;&lt;wrPr&gt;&lt;wrPr&gt;&lt;wrPr&gt;&lt;wrPr&gt;&lt;wrPr&gt;&lt;wrPr&gt;&lt;wrPr&gt;&lt;wm:sSub&gt;&lt;m:sSubPr&gt;&lt;m:ctrlPr&gt;&lt;w:rPr&gt;&lt;w:rFonts w:ascii=&quot;Cambria Math&quot; w:h-ansi=&quot;Cambria Math&quot; w:fareast=&quot;瀹嬩綋&quot; w:cs=&quot;瀹嬩綋&quot; w:hint=&quot;default&quot;/&gt;&lt;w:color w:val=&quot;0rPr&gt;&lt;w00000&quot;rPr&gt;&lt;w/&gt;&lt;w:srPr&gt;&lt;wz w:varPr&gt;&lt;wl=&quot;24&quot;rPr&gt;&lt;w/&gt;&lt;w:srPr&gt;&lt;wz-cs wrPr&gt;&lt;w:val=&quot;rPr&gt;&lt;w24&quot;/&gt;&lt;rPr&gt;&lt;ww:langrPr&gt;&lt;w w:valrPr&gt;&lt;w=&quot;EN-UrPr&gt;&lt;wS&quot; w:frPr&gt;&lt;wareastrPr&gt;&lt;w=&quot;ZH-CrPr&gt;&lt;wN&quot; w:brPr&gt;&lt;widi=&quot;ArPr&gt;&lt;wR-SA&quot;/&gt;&lt;/w:rPr&gt;&lt;/m:ctrlPr&gt;&lt;/m:sSubPr&gt;&lt;m:e&gt;&lt;m:r&gt;&lt;m:rPr&gt;&lt;m:sty m:val=&quot;p&quot;/&gt;&lt;m:scr m:val=&quot;roman&quot;/&gt;&lt;/m:rPr&gt;&lt;w:rPr&gt;&lt;w:rFonts w:ascii=&quot;Cambria Math&quot; w:h-ansi=&quot;Cambria Math&quot; w:fareast=&quot;瀹嬩綋&gt;&lt;w&quot; w:cs=&quot;瀹嬩Pr&gt;&lt;w綋&quot; w:hint=&quot;rPr&gt;&lt;wdefault&quot;/&gt;&lt;wrPr&gt;&lt;w:color w:valrPr&gt;&lt;w=&quot;000000&quot;/&gt;&lt;rPr&gt;&lt;ww:sz w:val=&quot;rPr&gt;&lt;w24&quot;/&gt;&lt;w:sz-cs w:val=&quot;24&quot;/sty m:&gt;&lt;w:lang w:v&quot;/&gt;&lt;m:al=&quot;EN-US&quot; wval=&quot;r:fareast=&quot;ZH&gt;&lt;/m:r-CN&quot; w:bidi=rPr&gt;&lt;w&quot;AR-SA&quot;/&gt;&lt;/ws w:as:rPr&gt;&lt;m:t&gt;C&lt;ambria/m:t&gt;&lt;/m:r&gt;&lt; w:h-am:ctrlPr&gt;&lt;w:ambriarPr&gt;&lt;w:rFont w:fars w:ascii=&quot;Camb&gt;&lt;wria Math&quot; w:h-answi=&quot;Cambria Math&quot; w:fareast=&quot;瀹嬩綋&quot; &gt;&lt;ww:cs=&quot;瀹嬩綋&quot; w:histy m:rPr&gt;&lt;wnt=&quot;default&quot;&quot;/&gt;&lt;m:/&gt;&lt;w:crPr&gt;&lt;wolor wval=&quot;r:val=&quot;000000rPr&gt;&lt;w&gt;&lt;/m:r&quot;/&gt;&lt;w:sz w:val=&quot;24rPr&gt;&lt;w&quot;/&gt;&lt;w:sz-cs w:val=s w:as&quot;24&quot;/&gt;&lt;w:lang w:vaambrial=&quot;EN-US&quot; w:fareas w:h-at=&quot;ZH-CN&quot; w:bidi=&quot;ambriaAR-SA&quot;/&gt;&lt;/w:rPr&gt;&lt;/ w:farm:ctrlPr&gt;&lt;/m:e&gt;&lt;m:amb&gt;&lt;wsub&gt;&lt;m:r&gt;&lt;m:rPr&gt;&lt;mh-answ:sty m:val=&quot;p&quot;/&gt;&lt;math&quot; w:scr m:val=&quot;roman&quot;/&gt;&lt;&gt;&lt;w/m:rPr&gt;&lt;w:rPr&gt;&lt;w:rFonts w:ascii=&quot;Cambria Math&quot; w:h-ansi=&quot;Cambria Math&quot; w:fareast=&quot;瀹嬩?ia? w:cs=&quot;瀹嬩綋&quot; w:hint= w:h-a&quot;default&quot;/&gt;&lt;w:color w:vaambrial=&quot;000000&quot;/&gt;&lt;w:sz w:val= w:far&quot;24&quot;/&gt;&lt;w:sz-cs w:valm:rPr=&quot;24amb&gt;&lt;w&quot;/&gt;&lt;w:lang w:v=&quot;p&quot;/al=&quot;EN-US&quot;h-answ w:farea=&quot;romst=&quot;ZH-CN&quot; w:bidath&quot; wi=rPr&gt;&lt;&quot;AR-SA&quot;/&gt;&lt;/w:rPr&gt;&lt;m:t&gt;/&gt;ambri&lt;&gt;&lt;ws&lt;/m:t&gt;&lt;/m:r&gt;&lt;m:ctrlambriPr&gt;&lt;Fonts w:rPr&gt;&lt;w:rFonts嬩?ia w:ascii=ath&quot; w&quot;Cambria Math&quot; w:h-ansi=ath&quot; w&quot;Cambria Math&quot; w:fareast=&quot;瀹嬩綋&quot; w:rPr:cs=&quot;瀹嬩?w:far? w:hint=&quot;defav=&quot;p&quot;/ult&quot;/&gt;&lt;w:color amb&gt;&lt;ww:val=&quot;0a=&quot;rom00000&quot;/&gt;&lt;w:sz w:val=&quot;2h-answ4=rPr&gt;&lt;&quot;/&gt;&lt;w:sz-cs w:val=&quot;24&quot;/&gt;&lt;w:la&gt;ambriath&quot; wng w:val=&quot;EN-US&quot; w:farelambriast=&quot;ZH/&gt;&lt;&gt;&lt;w-CN&quot; w:bidi=&quot;AR-Ss嬩?iaA&quot;/&gt;&lt;/w:rPr&gt;&lt;Fonts /m:ctrlPr&gt;&lt;ath&quot; /m:sub&gt;&lt;/rPrm:sSub&gt;&lt;m:ath&quot; wr&gt;&lt;m:ath&quot; rPr&gt;&lt;m:st/y m:val=&quot;p&quot;/&gt;&lt;m:ath&quot; wscrr m:val=&quot;rmoman&quot;/&gt;&lt;/m:rPr&gt;&lt;w:rPr&gt;&lt;w:rFonts w:a&lt;scii=&quot;Cambria Math&quot; w:h-ansi=&quot;Cambriia Math&quot; w:fareast=&quot;瀹嬩綋&quot; w&quot; w:csmbri=&quot;瀹嬩綋&quot; w:hint=&quot;default&quot;/&gt;&lt;w:co/&gt;&lt;Ss嬩?ia&gt;&lt;wlor w:val=&quot;000000&quot;/&gt;&lt;w:sz b&gt;&lt;/rPrw:val=&lt;ath&quot; &quot;24&quot;Fonts /&gt;&lt;w:sz-cs w:v&gt;&lt;m:st/al=&quot;24&quot;/&gt;&lt;w:ath&quot; :lang w:valath&quot; w=&quot;val=&quot;rmEN-US&quot; w:fareast wscrr=&quot;ZH-CN&quot; w:bidts w:a&lt;i=&quot;Aath&quot; wR-SA&quot;/&gt;&lt;/w:r&gt;&lt;w:rFPr&gt;&lt;m:t&gt;&quot;Cambri鈭?/m:t&gt;&lt;/m:r&gt;&lt;m:sSub&gt;&lt;m:sSu:h-ansibPr&gt;smbri&lt;m:ctrlPr&gt;&lt;w:rPr&gt;&lt;w:rFonts w:ascii=w&quot; wr&quot;Camabria Math&quot; w:h-ansi=&quot;Cambria Math&quot; w:f/war east=&quot;瀹嬩綋&quot; w:cs=&quot;瀹嬩綋&quot; w:hint=&quot;defval=&quot;rma&quot;w:ath&quot; Fonts ult&quot;/&gt;&lt;w:color w:val=&quot;000000ts w:a&lt;&quot;/&gt;&lt;w:st wscrrz w:vallath&quot; w=&quot;24&quot;/&gt;&lt;w:sz-cs&quot;Cambri w:val=&quot;24&quot;/&gt;r&gt;&lt;w:rF&lt;w:lang w:val&quot;Aath&quot; w=&quot;E&gt;smbriN-US&quot; w:far=w&quot; wreast=&quot;ZHh-ansi-CN&quot; w:bidi=&quot;AR-SA&quot;w&quot;Cama/&gt;&lt;/w&quot; w:f/:rPr&gt;&lt;/m:ctrlPr&gt;&lt;/mi=w&quot; w:sSubPr&gt;&lt;m:e:fwar &gt;&lt;m:r&gt;&lt;m:rPr&gt;&lt;m:sty m:val=&quot;p&quot;/&gt;&quot; w:fw&lt;m:scr m:val=&quot;roman&quot;/&gt;&lt;/m:rPr&gt;&lt;w:rPr&gt;&lt;w:rFonts w:ascii=&quot;Cambria Math&quot; w:h-ansi=&quot;Cambria Math&quot; w:fareast=&quot;瀹?F浣? w:cs=&quot;?ri畫? wr? w:hint=&quot;default&quot;/&gt;&lt;wath&quot; w:colh-ansior w:va&quot;Camw:f/al=&quot;000000&quot;/&gt;&lt;w:sz w:val=&quot;24&quot;/&gt;&lt;w:sz-cs w:vi=w&quot; wf:r&gt;&lt;war al=&quot;24&quot;/&gt;&lt;w:lang w:val=&quot;EN-US&quot; w:fareast=&quot;ZH-Cman&quot;N&quot; m:va &quot; w:fww:bidi=&quot;AR-SA&quot;/&gt;&lt;/w:rPr&gt;&lt;m:t&gt;C&lt;/m:t&gt;th&quot; &lt;/m:r=&quot;Cam&gt;&lt;m:ctrlnts w:Pr&gt;&lt;w:rPr&gt;&lt;w:rFronts w:ascii?ri=&quot;Cambri=&quot;瀹?Fa Math&quot; w:h-an&quot; w:fasi=&quot;C/ambria Math&quot; w:faareast=&quot;瀹嬩綋nsi&quot; w:cs=&quot;瀹嬩綋&quot; w:hi wf:r&gt;&lt;ath&quot; wnt=&quot;defaul wfwar t&quot;/&gt;&lt;w:color w:val=i=w&quot; w&quot;00000H-Cman&quot;0&quot;/&gt;&lt;w:sz w:val=&quot;24&quot;/&gt;N&quot; m:va&lt;w:sz-cs w:val=&quot;24&quot;/&gt;&lt;w:l:t&gt;th&quot; an&quot; w:fwg w:val=&quot;&gt;&lt;w:rFrEN-US&quot; w:fa:r=&quot;Camreast=&quot;ZH-CN&quot; w:bidscii?rii=&quot;AR-SA&quot;/&gt;si=&quot;C/&lt;/w:rnts w:Pr&gt;&lt;/m:ctrlPr&gt;i=&quot;瀹?F&lt;/m:e&gt;&lt;m:sub&gt;h&quot; w:fa&lt;m:r&gt;&lt;m:r&lt;Pr&gt;&lt;m:sty m:val=&quot;p&quot;&quot; w:fa/&gt;&lt;m:scr m:nsival=&quot;roman&quot;/ &gt;&lt;/m:rPr&gt;&quot;&lt;w:rPr&gt;&lt;w:rFonts w:ascii=&quot;Cambria Math&quot; w:h-ansi=&quot;Caambria Ma th&quot; w:farreast=&quot;瀹嬩綋&quot; w:cs=&quot;瀹嬩綋&quot; w:hi&quot; w:fwnt=&quot;:r=&quot;Camdefscii?ria&gt;si=&quot;C/ult&quot;/&gt;&lt;w:color w:val=&quot;000000&quot;/&gt;&lt;w:sz w:val=&quot;24&quot;/&gt;&lt;w:snts wi=&quot;?&gt;&lt;m:r&lt;&quot; w:fa?F:z-cs w:val=&quot;24&quot;/&gt;&lt;w:lang w:val=&quot;EN-US&quot; w:fareast=&quot;ZH-:rPr&gt;&quot;CN&quot; oman&quot;/ w:b m:nsii&quot; w:fadi=&quot;AR-SA&quot;/&gt;&lt;/w:rPr&gt;&lt;m:t w:far&gt;x&lt;/m:t&gt;&lt;/mia Ma :r&gt;&lt;m:ctrlnsi=&quot;CaPr&gt;&lt;w:rPrMath&quot; &gt;&lt;w:rFoi=&quot;Camnts w:ascii=&quot;Cambria Math&quot; w:h-ansi=&quot;Cammbria Math&quot; w:fareast=&quot;瀹嬩綋&quot; w:c:r&lt;s=&quot;瀹嬩綋&quot; w:hint?&quot; w:fa=&quot;default&quot;/&gt;&lt;w:coli=&quot;瀹?For w:val=&quot;000nts w:-:rPr&gt;&quot;000&quot;/&gt;&lt;w:sz w:val=&quot;24&quot;/&gt;oman&quot;/ &lt;w:sz-cs wt w:far:val=&quot;24&quot;/&gt;&lt;w: m:nsilang w:mia Ma val=&quot;EN-US&quot; &quot; w:faw:fareast=&quot;ZHnsimnts w:=&quot;Ca-CN&quot; w:bidi=&quot;AR-SA&quot;/&gt;&lt;/w:rPr&gt;Mbria Maath&quot; &lt;/m:ctrlPr&gt;&lt;/m:sub&gt;&lt;/m:sSc:r&lt;i=&quot;Camubsi=&quot;Cam&gt;&lt;m:r&gt;&lt;m:rPr&gt;&lt;m:sty m:val=&quot;p&quot;/a&gt;&lt;m:h&quot; w:fscr m:val=&quot;roman&quot;/&gt;&lt;/m:rPr&gt;&lt;w:rPr&gt;&lt;w:rFonts w:ascii=&quot;Cambria Math&quot; w:h-ansi=&quot;Cambria Math&quot; w:fareast=&quot;瀹嬩綋&quot;nsi w:cs=&quot;瀹嬩?ts w:? w:hint=&quot;defausi=&quot;Calt&quot;/&gt;&lt;w:c&quot; w:faolor w:vria Maal=&quot;000000&quot;/&gt;&lt;w:sz w:vMasSc:r&lt;th&quot; al=&quot;24&quot;/&gt;&lt;w:sz-cs w:val=i=&quot;Cam&quot;24&quot;/&gt;&lt;w:lang w:va=&quot;p&quot;/ali=&quot;Cam=&quot;EN-US&quot; wman&quot;/&gt;:fareast=&quot;ZH-Cw:asch&quot; w:fN&quot; w:bidi=&quot;AR-SA&quot;/&gt;&lt;/rPr&gt;&lt;ww:rPr&gt;&lt;m:t&gt;a Math)(Q+&lt;/m:t&gt;&lt;h&quot; w:f/m:r&gt;&lt;m:sSub:&gt;&lt;m:sSubPr&gt;&lt;m:ctrlw:h-anPr&gt;&lt;w:rPr&gt;&lt;w:rFontnsis w:ascii=&quot;Cambria Math&quot; w:h-ansi=&quot;Cambria Math&quot; w:fareast=&quot;?畫浣? w:cs=&quot;瀹嬩綋ath&quot; &quot; w:hint=&quot;=&quot;Camdefault&quot;p&quot;/a&quot;/&gt;&lt;w:an&quot;/&gt;color w:w:ascval=&quot;000000&quot;/&gt;&lt;w:sz w:val=&quot;24i=&quot;Cam&quot;/&gt;&lt;w:sz-cs w&quot; w:f:val=&quot;24Pr&gt;&lt;w&quot; Math/&quot; w:f&gt;&lt;sSub:w:lang w:val=&quot;EN-US&quot; w:fareast=&quot;ZH-CN&quot; w:bidi=&quot;AR-SA&quot;/&gt;&lt;/w:rPr&gt;&lt;/m::h-anctrntniMasi=&quot;Cth&quot;=&quot;CasilPr&gt;&lt;/m:sSubPr&gt;&lt;m:e&gt;&lt;m:r&gt;&lt;m:rPr&gt;&lt;m:sty m:val=&quot;p&quot;/&gt;&lt;m:scr m:val=&quot;roman&quot;/&gt;&lt;/mast=&quot;?:rPr&gt;&lt;w:rPr&gt;&lt;w:rFonts w:ascii=&quot;Cambria Math&quot; w:h-ansi=&quot;Cambria Math&quot; w:fareast=&quot;瀹f嬩?athm:f?&lt;w w:cs=&quot;瀹嬩綋&quot; w:hint=&quot;default&quot;/&gt;&lt;w:color w:val=&quot;000000&quot;/&gt;&lt;w:sz w:val=si=&quot;C&quot;24&quot;Math&quot;/&gt;&lt;w:si=&quot;Caz-c:ntnsih-ans w:val=&quot;24&quot;/&gt;&lt;w:lang w:val=&quot;EN-US&quot; w:fareast=/&gt;&lt;/m&quot;ZH-CN&quot;&lt;/mas w:bidi=&quot;Ast=&quot;?R-SA&quot;/&gt;&lt;/w&quot;?:rP:rPr&gt;&lt;m&quot;?:rP:t&gt;Qst=&quot;?&lt;/m:t&gt;&lt;/m:r&gt;&lt;m:ctrlPr&gt;east=&lt;w:rPr&gt;&lt;w:rFon=&quot;瀹fts w:ascii=&quot;Cambathria Math&quot; w:h-an?&lt;wsi=&quot;Cambrm:fia Math&quot; 嬩?amw:fareas&quot;Ct=&quot;瀹嬩綋&quot; w:cs=&quot;瀹Math&quot;嬩綋&quot; w:hint=&quot;defau:si=&quot;Calt&quot;/&gt;&lt;w:color w:vc:ntnst=/&gt;&lt;/msial=&quot;000000&quot;/-c:h-CN&quot;&lt;/masan&gt;&lt;w:sz w:val=&quot;24&quot;/&gt;&lt;w:s&quot;Ast=&quot;?z-cs w:val=&quot;24&quot;/&gt;&lt;w:lang /w&quot;?:rPr&gt;east=Pw:val=&quot;EN-US&quot; w:fareas&lt;m&quot;?:rFon=&quot;瀹fPt=&quot;ZH-CN&quot; w:bidi=&quot;A&gt;Qst=&quot;?R-SACambath&quot;/&gt;&lt;/w:rPr&gt;&lt;/m:ctrareas&quot;ClPr&gt;&lt;/m:e&gt;&lt;m:suh-an?&lt;wb&gt;&lt;m:r&gt;&lt;m:rPr&gt;&lt;m:sh&quot;ty m:valambrm:fm=&quot;p&quot;/&gt;&lt;m:scr m:val=&quot;roman&quot;/&gt;&quot; 嬩?am&lt;/m:rPras&gt;&lt;w:rPr&gt;&lt;w:rFonts w:aiscii=&quot;Cambria Math&quot; ?w:h-ansi=&quot;Ct=amnbria Math&quot; w:fareast=&quot;瀹?rP浣? w:cs=&quot;瀹嬩綋on=&quot;瀹f&quot; w:hint=&quot;default&quot;/&gt;&lt;m&quot;?:rP&lt;w:color w:valambathareas&quot;C=&quot;000000&quot;/&gt;&lt;w:sz w:v&gt;Qst=&quot;?al=&quot;24&quot;/&gt;&lt;w:szh-an?&lt;wmbrm:fm-cs&lt;m:sh&quot; w:val=&quot;24&quot;/&gt;&lt;w:lang w:val=&quot;EN-US&quot; w:fambrm::rPrasfar&quot;romaneast=&quot;ZH-CN&quot; w:bidi=&quot;AR-SA&quot;/&gt;&lt;/wi=&quot;Ct=:rPr&gt;&lt;m:t&quot; 嬩?aath&quot; ?ts w:aim&gt;p&lt;/m:t&gt;&lt;/m:r&gt;&lt;m:ctrlPr&gt;&lt;w:rPr&gt;&lt;w:rFofnts w:a=&quot;瀹?rPscii=&quot;Camni=&quot;Cambria Math&quot;&quot;C w:h-ansi=&quot;Cambria thMath&quot; w:fareaPst=&quot;?fm畫浣? w:cs=&quot;瀹嬩綋&quot; w:hcs&lt;m:sh&quot;int=&quot;default&quot;/&gt;&lt;w:h-an?&lt;wcolor w:&gt;Qm::rPrasst=&quot;?val=&quot;000000&quot;/&gt;&lt;w:sz war&quot;ro/wi=&quot;Ct=man:val=&quot;24&quot;/&gt;&lt;w:sz-cs ambrm:fw:val=&quot;24&quot;aath&quot; ?/&gt;&lt;w:lang w:val=&quot;EN-US&quot; w:fare&lt;w:rFofas w:aist=&quot;ZH-CN&quot; w:bidi=ath&quot;&quot;C&quot;AR-S&quot; 嬩?amA&quot;a=&quot;瀹?rP/&gt;&lt;/Pst=&quot;?fmw:rPr&gt;&lt;/m:ctrlPr&gt;&lt;/m:sub&gt;mbria th&lt;/i=&quot;Camnm:sSub&gt;&lt;m:r&gt;&lt;m:rPr&gt;h&quot;&lt;m:sty m:val=&quot;p:fareaP&quot;/&gt;&lt;asm:scr m:val=&quot;roman&quot;/&gt;&lt;/t=m:rPr&gt;&lt;ww:rPr&gt;&lt;w:rFonts w:ascii=&quot;Caanmbria Math&quot; w:h?-ansi=&quot;Camb ?ria Math&quot; w:fareast=&quot;?f畫?Fof? w:cs=&quot;瀹嬩綋&quot; w:hiath&quot;&quot;Cnt=&quot;defaus w:ailt&quot;&quot;?fm/&gt;&lt;w:color w:val=&quot;0000&quot;瀹?rP00&quot;/&gt;&lt;w:sz w:val=&quot;24&quot;ria th 嬩?am&quot;/&gt;&lt;w:sz-cs w::rPr&gt;h&quot;val=&quot;24&quot;/&gt;&lt;i=&quot;Cam&quot;/&gt;&lt;asnw:lang w:v/&gt;&lt;/t=al=&quot;EN-US&quot; w:farefareaPast=&quot;ZH-CN&quot; w:bidi=&quot;ARrPr&gt;&lt;w-SA&quot;/&gt;&lt;/w:rPr&gt;&lt;i=&quot;Caanm:t&gt;)&lt;/m:t&gt;&lt;/m&quot;Camb ?:r&gt;&lt;/m:oMathf畫?Fof&gt;&lt;/m:oMa&quot;&quot;CthPara&gt;&lt;/?fmw:p&gt;h&quot; w:h?&lt;/wx:sect&gt;&lt;/w:body&gt;ast=&quot;?f&lt;/w:wordDocumentsw&quot;&quot; ">
            <v:path/>
            <v:fill on="f" focussize="0,0"/>
            <v:stroke on="f" joinstyle="miter"/>
            <v:imagedata r:id="rId19" o:title=""/>
            <o:lock v:ext="edit" aspectratio="f"/>
            <w10:wrap type="none"/>
            <w10:anchorlock/>
          </v:shape>
        </w:pict>
      </w:r>
    </w:p>
    <w:p>
      <w:pPr>
        <w:pStyle w:val="27"/>
        <w:ind w:firstLine="480"/>
        <w:rPr>
          <w:rFonts w:ascii="宋体" w:hAnsi="宋体" w:cs="宋体"/>
        </w:rPr>
      </w:pPr>
      <w:r>
        <w:rPr>
          <w:rFonts w:hint="eastAsia" w:cs="宋体"/>
        </w:rPr>
        <w:t>式中：M</w:t>
      </w:r>
      <w:r>
        <w:t>—</w:t>
      </w:r>
      <w:r>
        <w:rPr>
          <w:rFonts w:hint="eastAsia"/>
        </w:rPr>
        <w:t>水域纳污能力，g/s</w:t>
      </w:r>
    </w:p>
    <w:p>
      <w:pPr>
        <w:pStyle w:val="27"/>
        <w:ind w:firstLine="480"/>
        <w:rPr>
          <w:rFonts w:eastAsia="Sim Sun+ 2"/>
          <w:color w:val="000000"/>
          <w:szCs w:val="24"/>
        </w:rPr>
      </w:pPr>
      <w:r>
        <w:rPr>
          <w:rFonts w:hint="eastAsia" w:cs="宋体"/>
          <w:color w:val="000000"/>
          <w:szCs w:val="24"/>
        </w:rPr>
        <w:t>C</w:t>
      </w:r>
      <w:r>
        <w:rPr>
          <w:rFonts w:hint="eastAsia" w:cs="宋体"/>
          <w:color w:val="000000"/>
          <w:szCs w:val="24"/>
          <w:vertAlign w:val="subscript"/>
        </w:rPr>
        <w:t>s</w:t>
      </w:r>
      <w:r>
        <w:rPr>
          <w:rFonts w:eastAsia="Sim Sun+ 2"/>
          <w:color w:val="000000"/>
          <w:szCs w:val="24"/>
        </w:rPr>
        <w:t>—</w:t>
      </w:r>
      <w:r>
        <w:rPr>
          <w:rFonts w:hint="eastAsia" w:ascii="宋体" w:hAnsi="宋体" w:cs="宋体"/>
          <w:color w:val="000000"/>
          <w:szCs w:val="24"/>
        </w:rPr>
        <w:t>水质目标浓度值，</w:t>
      </w:r>
      <w:r>
        <w:rPr>
          <w:rFonts w:hint="eastAsia" w:eastAsia="Sim Sun+ 2"/>
          <w:color w:val="000000"/>
          <w:szCs w:val="24"/>
        </w:rPr>
        <w:t>mg/L</w:t>
      </w:r>
    </w:p>
    <w:p>
      <w:pPr>
        <w:pStyle w:val="27"/>
        <w:ind w:firstLine="480"/>
        <w:rPr>
          <w:rFonts w:cs="宋体"/>
        </w:rPr>
      </w:pPr>
      <w:r>
        <w:rPr>
          <w:rFonts w:hint="eastAsia" w:cs="宋体"/>
        </w:rPr>
        <w:t>Q</w:t>
      </w:r>
      <w:r>
        <w:t>—</w:t>
      </w:r>
      <w:r>
        <w:rPr>
          <w:rFonts w:hint="eastAsia"/>
        </w:rPr>
        <w:t>初始断面的入流流量，m</w:t>
      </w:r>
      <w:r>
        <w:rPr>
          <w:rFonts w:hint="eastAsia"/>
          <w:vertAlign w:val="superscript"/>
        </w:rPr>
        <w:t>3</w:t>
      </w:r>
      <w:r>
        <w:rPr>
          <w:rFonts w:hint="eastAsia"/>
        </w:rPr>
        <w:t>/s</w:t>
      </w:r>
    </w:p>
    <w:p>
      <w:pPr>
        <w:pStyle w:val="27"/>
        <w:ind w:firstLine="480"/>
      </w:pPr>
      <w:r>
        <w:rPr>
          <w:rFonts w:hint="eastAsia" w:cs="宋体"/>
        </w:rPr>
        <w:t>Q</w:t>
      </w:r>
      <w:r>
        <w:rPr>
          <w:rFonts w:hint="eastAsia" w:cs="宋体"/>
          <w:vertAlign w:val="subscript"/>
        </w:rPr>
        <w:t>p</w:t>
      </w:r>
      <w:r>
        <w:t>—</w:t>
      </w:r>
      <w:r>
        <w:rPr>
          <w:rFonts w:hint="eastAsia"/>
        </w:rPr>
        <w:t>废污水排放流量，m</w:t>
      </w:r>
      <w:r>
        <w:rPr>
          <w:rFonts w:hint="eastAsia"/>
          <w:vertAlign w:val="superscript"/>
        </w:rPr>
        <w:t>3</w:t>
      </w:r>
      <w:r>
        <w:rPr>
          <w:rFonts w:hint="eastAsia"/>
        </w:rPr>
        <w:t>/s</w:t>
      </w:r>
    </w:p>
    <w:p>
      <w:pPr>
        <w:pStyle w:val="35"/>
      </w:pPr>
      <w:bookmarkStart w:id="37" w:name="_Toc161250461"/>
      <w:r>
        <w:rPr>
          <w:rFonts w:hint="eastAsia"/>
        </w:rPr>
        <w:t>3</w:t>
      </w:r>
      <w:r>
        <w:t>.2.2</w:t>
      </w:r>
      <w:r>
        <w:rPr>
          <w:rFonts w:hint="eastAsia"/>
        </w:rPr>
        <w:t>各计算参数的确定</w:t>
      </w:r>
      <w:bookmarkEnd w:id="37"/>
    </w:p>
    <w:p>
      <w:pPr>
        <w:pStyle w:val="27"/>
        <w:ind w:firstLine="480"/>
      </w:pPr>
      <w:r>
        <w:rPr>
          <w:rFonts w:hint="eastAsia"/>
        </w:rPr>
        <w:t>（1）水质目标Cs的确定</w:t>
      </w:r>
    </w:p>
    <w:p>
      <w:pPr>
        <w:pStyle w:val="27"/>
        <w:ind w:firstLine="480"/>
        <w:rPr>
          <w:color w:val="4F81BD"/>
          <w:u w:val="single"/>
        </w:rPr>
      </w:pPr>
      <w:r>
        <w:rPr>
          <w:u w:val="single"/>
        </w:rPr>
        <w:t>本入河排污口</w:t>
      </w:r>
      <w:r>
        <w:rPr>
          <w:rFonts w:hint="eastAsia"/>
          <w:u w:val="single"/>
        </w:rPr>
        <w:t>所在河段为渔业用水区</w:t>
      </w:r>
      <w:r>
        <w:rPr>
          <w:u w:val="single"/>
        </w:rPr>
        <w:t>，水质目标值按《地表水环境质量标准》（GB3838—2002）</w:t>
      </w:r>
      <w:r>
        <w:rPr>
          <w:rFonts w:hint="eastAsia"/>
          <w:u w:val="single"/>
        </w:rPr>
        <w:t>Ⅲ类</w:t>
      </w:r>
      <w:r>
        <w:rPr>
          <w:u w:val="single"/>
        </w:rPr>
        <w:t>水质标准执行，即污染物CODcr的Cs值为</w:t>
      </w:r>
      <w:r>
        <w:rPr>
          <w:rFonts w:hint="eastAsia"/>
          <w:u w:val="single"/>
        </w:rPr>
        <w:t>20</w:t>
      </w:r>
      <w:r>
        <w:rPr>
          <w:u w:val="single"/>
        </w:rPr>
        <w:t>mg/L；NH</w:t>
      </w:r>
      <w:r>
        <w:rPr>
          <w:u w:val="single"/>
          <w:vertAlign w:val="subscript"/>
        </w:rPr>
        <w:t>3</w:t>
      </w:r>
      <w:r>
        <w:rPr>
          <w:u w:val="single"/>
        </w:rPr>
        <w:t>-N的Cs值为</w:t>
      </w:r>
      <w:r>
        <w:rPr>
          <w:rFonts w:hint="eastAsia"/>
          <w:u w:val="single"/>
        </w:rPr>
        <w:t>1.0</w:t>
      </w:r>
      <w:r>
        <w:rPr>
          <w:u w:val="single"/>
        </w:rPr>
        <w:t>mg/L</w:t>
      </w:r>
      <w:bookmarkStart w:id="38" w:name="_Hlk162215310"/>
      <w:r>
        <w:rPr>
          <w:rFonts w:hint="eastAsia"/>
          <w:u w:val="single"/>
        </w:rPr>
        <w:t>，总磷的Cs值为0.2mg/L</w:t>
      </w:r>
      <w:r>
        <w:rPr>
          <w:u w:val="single"/>
        </w:rPr>
        <w:t>。</w:t>
      </w:r>
      <w:bookmarkEnd w:id="38"/>
    </w:p>
    <w:p>
      <w:pPr>
        <w:pStyle w:val="27"/>
        <w:ind w:firstLine="480"/>
      </w:pPr>
      <w:r>
        <w:rPr>
          <w:rFonts w:hint="eastAsia"/>
        </w:rPr>
        <w:t>（2）初始断面入流流量Q的确定</w:t>
      </w:r>
    </w:p>
    <w:p>
      <w:pPr>
        <w:pStyle w:val="27"/>
        <w:ind w:firstLine="480"/>
        <w:rPr>
          <w:highlight w:val="yellow"/>
        </w:rPr>
      </w:pPr>
      <w:r>
        <w:rPr>
          <w:rFonts w:hint="eastAsia"/>
        </w:rPr>
        <w:t>祁水近年来枯水期平均流量为1</w:t>
      </w:r>
      <w:r>
        <w:t>8.25</w:t>
      </w:r>
      <w:r>
        <w:rPr>
          <w:rFonts w:hint="eastAsia"/>
        </w:rPr>
        <w:t>m</w:t>
      </w:r>
      <w:r>
        <w:rPr>
          <w:vertAlign w:val="superscript"/>
        </w:rPr>
        <w:t>3</w:t>
      </w:r>
      <w:r>
        <w:t>/s</w:t>
      </w:r>
      <w:r>
        <w:rPr>
          <w:rFonts w:hint="eastAsia"/>
        </w:rPr>
        <w:t>。</w:t>
      </w:r>
    </w:p>
    <w:p>
      <w:pPr>
        <w:pStyle w:val="27"/>
        <w:ind w:firstLine="480"/>
      </w:pPr>
      <w:r>
        <w:rPr>
          <w:rFonts w:hint="eastAsia"/>
        </w:rPr>
        <w:t>（3）</w:t>
      </w:r>
      <w:r>
        <w:t>初始断面</w:t>
      </w:r>
      <w:r>
        <w:rPr>
          <w:rFonts w:hint="eastAsia"/>
        </w:rPr>
        <w:t>的</w:t>
      </w:r>
      <w:r>
        <w:t>污染物浓度</w:t>
      </w:r>
    </w:p>
    <w:p>
      <w:pPr>
        <w:pStyle w:val="27"/>
        <w:ind w:firstLine="480"/>
      </w:pPr>
      <w:r>
        <w:rPr>
          <w:rFonts w:hint="eastAsia"/>
        </w:rPr>
        <w:t>根据本次补充监测数据，祁水排污口上游5</w:t>
      </w:r>
      <w:r>
        <w:t>00</w:t>
      </w:r>
      <w:r>
        <w:rPr>
          <w:rFonts w:hint="eastAsia"/>
        </w:rPr>
        <w:t>m处断面水质浓度作为初始浓度，则COD浓度为10mg</w:t>
      </w:r>
      <w:r>
        <w:t>/L</w:t>
      </w:r>
      <w:r>
        <w:rPr>
          <w:rFonts w:hint="eastAsia"/>
        </w:rPr>
        <w:t>，氨氮初始浓度为0.336mg</w:t>
      </w:r>
      <w:r>
        <w:t>/L</w:t>
      </w:r>
      <w:bookmarkStart w:id="39" w:name="_Hlk162215316"/>
      <w:r>
        <w:rPr>
          <w:rFonts w:hint="eastAsia"/>
        </w:rPr>
        <w:t>，</w:t>
      </w:r>
      <w:r>
        <w:rPr>
          <w:rFonts w:hint="eastAsia"/>
          <w:u w:val="single"/>
        </w:rPr>
        <w:t>总磷初始浓度为0.06mg/L。</w:t>
      </w:r>
      <w:bookmarkEnd w:id="39"/>
    </w:p>
    <w:p>
      <w:pPr>
        <w:pStyle w:val="35"/>
      </w:pPr>
      <w:bookmarkStart w:id="40" w:name="_Toc161250462"/>
      <w:r>
        <w:rPr>
          <w:rFonts w:hint="eastAsia"/>
        </w:rPr>
        <w:t>3</w:t>
      </w:r>
      <w:r>
        <w:t>.2.3</w:t>
      </w:r>
      <w:r>
        <w:rPr>
          <w:rFonts w:hint="eastAsia"/>
        </w:rPr>
        <w:t>河段纳污能力结果分析</w:t>
      </w:r>
      <w:bookmarkEnd w:id="40"/>
    </w:p>
    <w:p>
      <w:pPr>
        <w:pStyle w:val="27"/>
        <w:ind w:firstLine="480"/>
        <w:rPr>
          <w:u w:val="single"/>
        </w:rPr>
      </w:pPr>
      <w:r>
        <w:rPr>
          <w:u w:val="single"/>
        </w:rPr>
        <w:t>经计算，在设计水文条件下，</w:t>
      </w:r>
      <w:r>
        <w:rPr>
          <w:rFonts w:hint="eastAsia"/>
          <w:u w:val="single"/>
        </w:rPr>
        <w:t>祁水论证河段</w:t>
      </w:r>
      <w:r>
        <w:rPr>
          <w:u w:val="single"/>
        </w:rPr>
        <w:t>CODcr的纳污能力为</w:t>
      </w:r>
      <w:r>
        <w:rPr>
          <w:rFonts w:hint="eastAsia"/>
          <w:u w:val="single"/>
        </w:rPr>
        <w:t>5757.51</w:t>
      </w:r>
      <w:r>
        <w:rPr>
          <w:u w:val="single"/>
        </w:rPr>
        <w:t>t/a，NH</w:t>
      </w:r>
      <w:r>
        <w:rPr>
          <w:u w:val="single"/>
          <w:vertAlign w:val="subscript"/>
        </w:rPr>
        <w:t>3</w:t>
      </w:r>
      <w:r>
        <w:rPr>
          <w:u w:val="single"/>
        </w:rPr>
        <w:t>-N的纳污能力为</w:t>
      </w:r>
      <w:r>
        <w:rPr>
          <w:rFonts w:hint="eastAsia"/>
          <w:u w:val="single"/>
        </w:rPr>
        <w:t>382.30</w:t>
      </w:r>
      <w:r>
        <w:rPr>
          <w:u w:val="single"/>
        </w:rPr>
        <w:t>t/a</w:t>
      </w:r>
      <w:r>
        <w:rPr>
          <w:rFonts w:hint="eastAsia"/>
          <w:u w:val="single"/>
        </w:rPr>
        <w:t>，</w:t>
      </w:r>
      <w:bookmarkStart w:id="41" w:name="_Hlk162215378"/>
      <w:r>
        <w:rPr>
          <w:rFonts w:hint="eastAsia"/>
          <w:u w:val="single"/>
        </w:rPr>
        <w:t>总磷的纳污能力为80.57t/a，</w:t>
      </w:r>
      <w:bookmarkEnd w:id="41"/>
      <w:r>
        <w:rPr>
          <w:u w:val="single"/>
        </w:rPr>
        <w:t>计算结果见表3.2-</w:t>
      </w:r>
      <w:r>
        <w:rPr>
          <w:rFonts w:hint="eastAsia"/>
          <w:u w:val="single"/>
        </w:rPr>
        <w:t>1</w:t>
      </w:r>
      <w:r>
        <w:rPr>
          <w:u w:val="single"/>
        </w:rPr>
        <w:t>。</w:t>
      </w:r>
    </w:p>
    <w:p>
      <w:pPr>
        <w:pStyle w:val="38"/>
        <w:rPr>
          <w:u w:val="single"/>
          <w:lang w:val="zh-CN"/>
        </w:rPr>
      </w:pPr>
      <w:r>
        <w:rPr>
          <w:u w:val="single"/>
        </w:rPr>
        <w:t>表3.2-</w:t>
      </w:r>
      <w:r>
        <w:rPr>
          <w:rFonts w:hint="eastAsia"/>
          <w:u w:val="single"/>
        </w:rPr>
        <w:t>1</w:t>
      </w:r>
      <w:r>
        <w:rPr>
          <w:u w:val="single"/>
        </w:rPr>
        <w:t>本项目排污口所在水功能区规划纳污能力</w:t>
      </w:r>
      <w:r>
        <w:rPr>
          <w:u w:val="single"/>
          <w:lang w:val="zh-CN"/>
        </w:rPr>
        <w:t>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05"/>
        <w:gridCol w:w="1706"/>
        <w:gridCol w:w="1706"/>
        <w:gridCol w:w="17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8" w:type="pct"/>
            <w:vMerge w:val="restart"/>
            <w:vAlign w:val="center"/>
          </w:tcPr>
          <w:p>
            <w:pPr>
              <w:pStyle w:val="40"/>
              <w:rPr>
                <w:u w:val="single"/>
              </w:rPr>
            </w:pPr>
            <w:r>
              <w:rPr>
                <w:u w:val="single"/>
              </w:rPr>
              <w:t>河流</w:t>
            </w:r>
          </w:p>
        </w:tc>
        <w:tc>
          <w:tcPr>
            <w:tcW w:w="1001" w:type="pct"/>
            <w:vAlign w:val="center"/>
          </w:tcPr>
          <w:p>
            <w:pPr>
              <w:pStyle w:val="40"/>
              <w:rPr>
                <w:u w:val="single"/>
              </w:rPr>
            </w:pPr>
            <w:r>
              <w:rPr>
                <w:u w:val="single"/>
              </w:rPr>
              <w:t>COD（t/a）</w:t>
            </w:r>
          </w:p>
        </w:tc>
        <w:tc>
          <w:tcPr>
            <w:tcW w:w="1001" w:type="pct"/>
            <w:vAlign w:val="center"/>
          </w:tcPr>
          <w:p>
            <w:pPr>
              <w:pStyle w:val="40"/>
              <w:rPr>
                <w:u w:val="single"/>
              </w:rPr>
            </w:pPr>
            <w:r>
              <w:rPr>
                <w:u w:val="single"/>
              </w:rPr>
              <w:t>氨氮（t/a）</w:t>
            </w:r>
          </w:p>
        </w:tc>
        <w:tc>
          <w:tcPr>
            <w:tcW w:w="1001" w:type="pct"/>
            <w:vAlign w:val="center"/>
          </w:tcPr>
          <w:p>
            <w:pPr>
              <w:pStyle w:val="40"/>
              <w:rPr>
                <w:u w:val="single"/>
              </w:rPr>
            </w:pPr>
            <w:r>
              <w:rPr>
                <w:rFonts w:hint="eastAsia"/>
                <w:u w:val="single"/>
              </w:rPr>
              <w:t>总磷</w:t>
            </w:r>
            <w:r>
              <w:rPr>
                <w:u w:val="singl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8" w:type="pct"/>
            <w:vMerge w:val="continue"/>
            <w:vAlign w:val="center"/>
          </w:tcPr>
          <w:p>
            <w:pPr>
              <w:pStyle w:val="40"/>
              <w:rPr>
                <w:u w:val="single"/>
              </w:rPr>
            </w:pPr>
          </w:p>
        </w:tc>
        <w:tc>
          <w:tcPr>
            <w:tcW w:w="1001" w:type="pct"/>
            <w:vAlign w:val="center"/>
          </w:tcPr>
          <w:p>
            <w:pPr>
              <w:pStyle w:val="40"/>
              <w:rPr>
                <w:u w:val="single"/>
              </w:rPr>
            </w:pPr>
            <w:r>
              <w:rPr>
                <w:rFonts w:hint="eastAsia"/>
                <w:u w:val="single"/>
              </w:rPr>
              <w:t>祁水</w:t>
            </w:r>
            <w:r>
              <w:rPr>
                <w:u w:val="single"/>
              </w:rPr>
              <w:t>纳污能力</w:t>
            </w:r>
          </w:p>
        </w:tc>
        <w:tc>
          <w:tcPr>
            <w:tcW w:w="1001" w:type="pct"/>
            <w:vAlign w:val="center"/>
          </w:tcPr>
          <w:p>
            <w:pPr>
              <w:pStyle w:val="40"/>
              <w:rPr>
                <w:u w:val="single"/>
              </w:rPr>
            </w:pPr>
            <w:r>
              <w:rPr>
                <w:rFonts w:hint="eastAsia"/>
                <w:u w:val="single"/>
              </w:rPr>
              <w:t>祁水</w:t>
            </w:r>
            <w:r>
              <w:rPr>
                <w:u w:val="single"/>
              </w:rPr>
              <w:t>纳污能力</w:t>
            </w:r>
          </w:p>
        </w:tc>
        <w:tc>
          <w:tcPr>
            <w:tcW w:w="1001" w:type="pct"/>
            <w:vAlign w:val="center"/>
          </w:tcPr>
          <w:p>
            <w:pPr>
              <w:pStyle w:val="40"/>
              <w:rPr>
                <w:u w:val="single"/>
              </w:rPr>
            </w:pPr>
            <w:r>
              <w:rPr>
                <w:rFonts w:hint="eastAsia"/>
                <w:u w:val="single"/>
              </w:rPr>
              <w:t>祁水</w:t>
            </w:r>
            <w:r>
              <w:rPr>
                <w:u w:val="single"/>
              </w:rPr>
              <w:t>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8" w:type="pct"/>
            <w:vAlign w:val="center"/>
          </w:tcPr>
          <w:p>
            <w:pPr>
              <w:pStyle w:val="40"/>
              <w:rPr>
                <w:u w:val="single"/>
              </w:rPr>
            </w:pPr>
            <w:r>
              <w:rPr>
                <w:rFonts w:hint="eastAsia"/>
                <w:u w:val="single"/>
              </w:rPr>
              <w:t>祁水</w:t>
            </w:r>
          </w:p>
        </w:tc>
        <w:tc>
          <w:tcPr>
            <w:tcW w:w="1001" w:type="pct"/>
            <w:vAlign w:val="center"/>
          </w:tcPr>
          <w:p>
            <w:pPr>
              <w:pStyle w:val="40"/>
              <w:rPr>
                <w:u w:val="single"/>
              </w:rPr>
            </w:pPr>
            <w:r>
              <w:rPr>
                <w:rFonts w:hint="eastAsia"/>
                <w:u w:val="single"/>
              </w:rPr>
              <w:t>5757.51</w:t>
            </w:r>
          </w:p>
        </w:tc>
        <w:tc>
          <w:tcPr>
            <w:tcW w:w="1001" w:type="pct"/>
            <w:vAlign w:val="center"/>
          </w:tcPr>
          <w:p>
            <w:pPr>
              <w:pStyle w:val="40"/>
              <w:rPr>
                <w:u w:val="single"/>
              </w:rPr>
            </w:pPr>
            <w:r>
              <w:rPr>
                <w:rFonts w:hint="eastAsia"/>
                <w:u w:val="single"/>
              </w:rPr>
              <w:t>382.30</w:t>
            </w:r>
          </w:p>
        </w:tc>
        <w:tc>
          <w:tcPr>
            <w:tcW w:w="1001" w:type="pct"/>
          </w:tcPr>
          <w:p>
            <w:pPr>
              <w:pStyle w:val="40"/>
              <w:rPr>
                <w:u w:val="single"/>
              </w:rPr>
            </w:pPr>
            <w:r>
              <w:rPr>
                <w:rFonts w:hint="eastAsia"/>
                <w:u w:val="single"/>
              </w:rPr>
              <w:t>80.57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8" w:type="pct"/>
            <w:vAlign w:val="center"/>
          </w:tcPr>
          <w:p>
            <w:pPr>
              <w:pStyle w:val="40"/>
              <w:rPr>
                <w:u w:val="single"/>
              </w:rPr>
            </w:pPr>
            <w:r>
              <w:rPr>
                <w:u w:val="single"/>
              </w:rPr>
              <w:t>本项目排入河流的量</w:t>
            </w:r>
            <w:r>
              <w:rPr>
                <w:rFonts w:hint="eastAsia"/>
                <w:u w:val="single"/>
              </w:rPr>
              <w:t>（近期）</w:t>
            </w:r>
          </w:p>
        </w:tc>
        <w:tc>
          <w:tcPr>
            <w:tcW w:w="1001" w:type="pct"/>
            <w:vAlign w:val="center"/>
          </w:tcPr>
          <w:p>
            <w:pPr>
              <w:pStyle w:val="40"/>
              <w:rPr>
                <w:u w:val="single"/>
              </w:rPr>
            </w:pPr>
            <w:r>
              <w:rPr>
                <w:rFonts w:hint="eastAsia"/>
                <w:u w:val="single"/>
              </w:rPr>
              <w:t>2.19</w:t>
            </w:r>
          </w:p>
        </w:tc>
        <w:tc>
          <w:tcPr>
            <w:tcW w:w="1001" w:type="pct"/>
            <w:vAlign w:val="center"/>
          </w:tcPr>
          <w:p>
            <w:pPr>
              <w:pStyle w:val="40"/>
              <w:rPr>
                <w:u w:val="single"/>
              </w:rPr>
            </w:pPr>
            <w:r>
              <w:rPr>
                <w:rFonts w:hint="eastAsia"/>
                <w:u w:val="single"/>
              </w:rPr>
              <w:t>0.29</w:t>
            </w:r>
          </w:p>
        </w:tc>
        <w:tc>
          <w:tcPr>
            <w:tcW w:w="1001" w:type="pct"/>
          </w:tcPr>
          <w:p>
            <w:pPr>
              <w:pStyle w:val="40"/>
              <w:rPr>
                <w:u w:val="single"/>
              </w:rPr>
            </w:pPr>
            <w:r>
              <w:rPr>
                <w:rFonts w:hint="eastAsia"/>
                <w:u w:val="single"/>
              </w:rPr>
              <w:t>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98" w:type="pct"/>
            <w:vAlign w:val="center"/>
          </w:tcPr>
          <w:p>
            <w:pPr>
              <w:pStyle w:val="40"/>
              <w:rPr>
                <w:u w:val="single"/>
              </w:rPr>
            </w:pPr>
            <w:r>
              <w:rPr>
                <w:u w:val="single"/>
              </w:rPr>
              <w:t>本项目排入河流的量</w:t>
            </w:r>
            <w:r>
              <w:rPr>
                <w:rFonts w:hint="eastAsia"/>
                <w:u w:val="single"/>
              </w:rPr>
              <w:t>（远期）</w:t>
            </w:r>
          </w:p>
        </w:tc>
        <w:tc>
          <w:tcPr>
            <w:tcW w:w="1001" w:type="pct"/>
            <w:vAlign w:val="center"/>
          </w:tcPr>
          <w:p>
            <w:pPr>
              <w:pStyle w:val="40"/>
              <w:rPr>
                <w:u w:val="single"/>
              </w:rPr>
            </w:pPr>
            <w:r>
              <w:rPr>
                <w:rFonts w:hint="eastAsia"/>
                <w:u w:val="single"/>
              </w:rPr>
              <w:t>13.14</w:t>
            </w:r>
          </w:p>
        </w:tc>
        <w:tc>
          <w:tcPr>
            <w:tcW w:w="1001" w:type="pct"/>
            <w:vAlign w:val="center"/>
          </w:tcPr>
          <w:p>
            <w:pPr>
              <w:pStyle w:val="40"/>
              <w:rPr>
                <w:u w:val="single"/>
              </w:rPr>
            </w:pPr>
            <w:r>
              <w:rPr>
                <w:rFonts w:hint="eastAsia"/>
                <w:u w:val="single"/>
              </w:rPr>
              <w:t>1.75</w:t>
            </w:r>
          </w:p>
        </w:tc>
        <w:tc>
          <w:tcPr>
            <w:tcW w:w="1001" w:type="pct"/>
          </w:tcPr>
          <w:p>
            <w:pPr>
              <w:pStyle w:val="40"/>
              <w:rPr>
                <w:u w:val="single"/>
              </w:rPr>
            </w:pPr>
            <w:r>
              <w:rPr>
                <w:rFonts w:hint="eastAsia"/>
                <w:u w:val="single"/>
              </w:rPr>
              <w:t>0.22</w:t>
            </w:r>
          </w:p>
        </w:tc>
      </w:tr>
    </w:tbl>
    <w:p>
      <w:pPr>
        <w:pStyle w:val="27"/>
        <w:ind w:firstLine="480"/>
        <w:rPr>
          <w:u w:val="single"/>
        </w:rPr>
      </w:pPr>
      <w:r>
        <w:rPr>
          <w:szCs w:val="21"/>
          <w:u w:val="single"/>
        </w:rPr>
        <w:t>由表3.2-</w:t>
      </w:r>
      <w:r>
        <w:rPr>
          <w:rFonts w:hint="eastAsia"/>
          <w:szCs w:val="21"/>
          <w:u w:val="single"/>
        </w:rPr>
        <w:t>1</w:t>
      </w:r>
      <w:r>
        <w:rPr>
          <w:szCs w:val="21"/>
          <w:u w:val="single"/>
        </w:rPr>
        <w:t>可看出</w:t>
      </w:r>
      <w:r>
        <w:rPr>
          <w:u w:val="single"/>
        </w:rPr>
        <w:t>COD、NH</w:t>
      </w:r>
      <w:r>
        <w:rPr>
          <w:u w:val="single"/>
          <w:vertAlign w:val="subscript"/>
        </w:rPr>
        <w:t>3</w:t>
      </w:r>
      <w:r>
        <w:rPr>
          <w:u w:val="single"/>
        </w:rPr>
        <w:t>-N</w:t>
      </w:r>
      <w:r>
        <w:rPr>
          <w:rFonts w:hint="eastAsia"/>
          <w:u w:val="single"/>
        </w:rPr>
        <w:t>、总磷的</w:t>
      </w:r>
      <w:r>
        <w:rPr>
          <w:u w:val="single"/>
        </w:rPr>
        <w:t>排放量占环境容量的</w:t>
      </w:r>
      <w:r>
        <w:rPr>
          <w:rFonts w:hint="eastAsia"/>
          <w:u w:val="single"/>
        </w:rPr>
        <w:t>0.04~0.23</w:t>
      </w:r>
      <w:r>
        <w:rPr>
          <w:u w:val="single"/>
        </w:rPr>
        <w:t>%、</w:t>
      </w:r>
      <w:r>
        <w:rPr>
          <w:rFonts w:hint="eastAsia"/>
          <w:u w:val="single"/>
        </w:rPr>
        <w:t>0.08~0.46</w:t>
      </w:r>
      <w:r>
        <w:rPr>
          <w:u w:val="single"/>
        </w:rPr>
        <w:t>%</w:t>
      </w:r>
      <w:r>
        <w:rPr>
          <w:rFonts w:hint="eastAsia"/>
          <w:u w:val="single"/>
        </w:rPr>
        <w:t>、0.05~0.27%，远</w:t>
      </w:r>
      <w:r>
        <w:rPr>
          <w:u w:val="single"/>
        </w:rPr>
        <w:t>小于环境容量控制要求</w:t>
      </w:r>
      <w:r>
        <w:rPr>
          <w:szCs w:val="21"/>
          <w:u w:val="single"/>
        </w:rPr>
        <w:t>。</w:t>
      </w:r>
    </w:p>
    <w:p>
      <w:pPr>
        <w:pStyle w:val="32"/>
      </w:pPr>
      <w:bookmarkStart w:id="42" w:name="_Toc161250463"/>
      <w:r>
        <w:rPr>
          <w:rFonts w:hint="eastAsia"/>
        </w:rPr>
        <w:t>3</w:t>
      </w:r>
      <w:r>
        <w:t>.3</w:t>
      </w:r>
      <w:r>
        <w:rPr>
          <w:rFonts w:hint="eastAsia"/>
        </w:rPr>
        <w:t>论证水功能区（水域）现有取排水状况</w:t>
      </w:r>
      <w:bookmarkEnd w:id="42"/>
    </w:p>
    <w:p>
      <w:pPr>
        <w:pStyle w:val="27"/>
        <w:ind w:firstLine="480"/>
      </w:pPr>
      <w:r>
        <w:rPr>
          <w:szCs w:val="24"/>
        </w:rPr>
        <w:t>（1）</w:t>
      </w:r>
      <w:r>
        <w:rPr>
          <w:rFonts w:hint="eastAsia"/>
        </w:rPr>
        <w:t>论证范围内的取水现状</w:t>
      </w:r>
    </w:p>
    <w:p>
      <w:pPr>
        <w:pStyle w:val="27"/>
        <w:ind w:firstLine="480"/>
        <w:rPr>
          <w:color w:val="000000"/>
        </w:rPr>
      </w:pPr>
      <w:bookmarkStart w:id="43" w:name="_Hlk162215856"/>
      <w:r>
        <w:rPr>
          <w:color w:val="000000"/>
          <w:u w:val="single"/>
        </w:rPr>
        <w:t>根据调查，论证范围河段内</w:t>
      </w:r>
      <w:r>
        <w:rPr>
          <w:rFonts w:hint="eastAsia"/>
          <w:color w:val="000000"/>
          <w:u w:val="single"/>
        </w:rPr>
        <w:t>分布农田，以水稻和经济作物为主，沿线农田取水以临时水泵或灌溉水渠取水的方式进行；论证范围河段内无工业企业，不存在经批准获得取水许可的工业企业取水口，无产业园取水口；论证范围河段内无饮用水水源保护区，周边村民饮水以自备水井或乡镇自来水管网供水为主；论证范围河段不涉及利用天然水体养殖的企业单位。综上所述，论证范围河段内只存在零散的农田灌溉取水</w:t>
      </w:r>
      <w:r>
        <w:rPr>
          <w:color w:val="000000"/>
          <w:u w:val="single"/>
        </w:rPr>
        <w:t>。</w:t>
      </w:r>
      <w:bookmarkEnd w:id="43"/>
    </w:p>
    <w:p>
      <w:pPr>
        <w:pStyle w:val="27"/>
        <w:ind w:firstLine="480"/>
        <w:rPr>
          <w:color w:val="000000"/>
        </w:rPr>
      </w:pPr>
      <w:r>
        <w:rPr>
          <w:color w:val="000000"/>
          <w:szCs w:val="24"/>
        </w:rPr>
        <w:t>（2）</w:t>
      </w:r>
      <w:r>
        <w:rPr>
          <w:color w:val="000000"/>
        </w:rPr>
        <w:t>论证范围的排水现状</w:t>
      </w:r>
    </w:p>
    <w:p>
      <w:pPr>
        <w:pStyle w:val="27"/>
        <w:ind w:firstLine="480"/>
        <w:rPr>
          <w:color w:val="000000"/>
          <w:u w:val="single"/>
        </w:rPr>
      </w:pPr>
      <w:r>
        <w:rPr>
          <w:rFonts w:hint="eastAsia"/>
          <w:color w:val="000000"/>
          <w:u w:val="single"/>
        </w:rPr>
        <w:t>根据调查，论证范围内河道沿岸主要为农田，灌溉渠下游至汇入祁水口位于蒋家桥镇集镇区，蒋家桥镇部分生活污水未经收集处理在集镇区设置分散排污口排入灌溉渠之后进入祁水，蒋家桥镇设置的生活污水处理厂位于集镇区南侧约1.4km处，蒋家桥镇污水处理厂入河排污口位于本项目入河排污口位置下游1.6km处，此外，本项目论证范围内无其他污水排放口。</w:t>
      </w:r>
    </w:p>
    <w:p>
      <w:pPr>
        <w:pStyle w:val="27"/>
        <w:ind w:firstLine="480"/>
        <w:rPr>
          <w:u w:val="single"/>
        </w:rPr>
      </w:pPr>
      <w:r>
        <w:rPr>
          <w:rFonts w:hint="eastAsia"/>
          <w:color w:val="000000"/>
          <w:u w:val="single"/>
        </w:rPr>
        <w:t>蒋家桥镇污水处理厂目前已经完成建设，但尚未投入运营，其设计污水处理量为700m</w:t>
      </w:r>
      <w:r>
        <w:rPr>
          <w:rFonts w:hint="eastAsia"/>
          <w:color w:val="000000"/>
          <w:u w:val="single"/>
          <w:vertAlign w:val="superscript"/>
        </w:rPr>
        <w:t>3</w:t>
      </w:r>
      <w:r>
        <w:rPr>
          <w:rFonts w:hint="eastAsia"/>
          <w:color w:val="000000"/>
          <w:u w:val="single"/>
        </w:rPr>
        <w:t>/d，设计排水标准为</w:t>
      </w:r>
      <w:r>
        <w:rPr>
          <w:u w:val="single"/>
        </w:rPr>
        <w:t>《城镇污水处理厂污染物排放标准》（GB18918-2002）中一级</w:t>
      </w:r>
      <w:r>
        <w:rPr>
          <w:rFonts w:hint="eastAsia"/>
          <w:u w:val="single"/>
        </w:rPr>
        <w:t>B</w:t>
      </w:r>
      <w:r>
        <w:rPr>
          <w:u w:val="single"/>
        </w:rPr>
        <w:t>标准</w:t>
      </w:r>
      <w:r>
        <w:rPr>
          <w:rFonts w:hint="eastAsia"/>
          <w:u w:val="single"/>
        </w:rPr>
        <w:t>。</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44" w:name="_Toc161250464"/>
      <w:r>
        <w:rPr>
          <w:rFonts w:hint="eastAsia"/>
        </w:rPr>
        <w:t>4入河排污口所在水功能区（水域）水质现状及纳污状况</w:t>
      </w:r>
      <w:bookmarkEnd w:id="44"/>
    </w:p>
    <w:p>
      <w:pPr>
        <w:pStyle w:val="32"/>
      </w:pPr>
      <w:bookmarkStart w:id="45" w:name="_Toc161250465"/>
      <w:r>
        <w:rPr>
          <w:rFonts w:hint="eastAsia"/>
        </w:rPr>
        <w:t>4</w:t>
      </w:r>
      <w:r>
        <w:t>.1</w:t>
      </w:r>
      <w:r>
        <w:rPr>
          <w:rFonts w:hint="eastAsia"/>
        </w:rPr>
        <w:t>水功能区（水域）管理要求</w:t>
      </w:r>
      <w:bookmarkEnd w:id="45"/>
    </w:p>
    <w:p>
      <w:pPr>
        <w:pStyle w:val="27"/>
        <w:ind w:firstLine="480"/>
      </w:pPr>
      <w:r>
        <w:rPr>
          <w:rFonts w:hint="eastAsia"/>
        </w:rPr>
        <w:t>本项目尾水通过管道排入污水处理站东侧160m处灌溉渠，之后经灌溉渠约15km排入祁水，</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，入河排污口位置为祁东县蒋家桥镇集镇区，根据</w:t>
      </w:r>
      <w:r>
        <w:rPr>
          <w:rFonts w:hint="eastAsia"/>
        </w:rPr>
        <w:t>《衡阳市水功能区划》（2010~2020），</w:t>
      </w:r>
      <w:r>
        <w:rPr>
          <w:rFonts w:hint="eastAsia"/>
          <w:szCs w:val="24"/>
        </w:rPr>
        <w:t>祁水纳污河段属于二级</w:t>
      </w:r>
      <w:r>
        <w:t>水功能区</w:t>
      </w:r>
      <w:r>
        <w:rPr>
          <w:rFonts w:hint="eastAsia"/>
        </w:rPr>
        <w:t>中渔业用水区，即按照</w:t>
      </w:r>
      <w:r>
        <w:t>《地表水环境质量标准》（GB3838-2002）规定的Ⅲ类水质标准或应按现状水质类别控制</w:t>
      </w:r>
      <w:r>
        <w:rPr>
          <w:rFonts w:hint="eastAsia"/>
        </w:rPr>
        <w:t>。本次论证范围内不涉及饮用水水源保护区。</w:t>
      </w:r>
    </w:p>
    <w:p>
      <w:pPr>
        <w:pStyle w:val="32"/>
      </w:pPr>
      <w:bookmarkStart w:id="46" w:name="_Toc161250466"/>
      <w:r>
        <w:rPr>
          <w:rFonts w:hint="eastAsia"/>
        </w:rPr>
        <w:t>4</w:t>
      </w:r>
      <w:r>
        <w:t>.2</w:t>
      </w:r>
      <w:r>
        <w:rPr>
          <w:rFonts w:hint="eastAsia"/>
        </w:rPr>
        <w:t>水功能区（水域）水质现状</w:t>
      </w:r>
      <w:bookmarkEnd w:id="46"/>
    </w:p>
    <w:p>
      <w:pPr>
        <w:pStyle w:val="27"/>
        <w:ind w:firstLine="480"/>
      </w:pPr>
      <w:r>
        <w:rPr>
          <w:rFonts w:hint="eastAsia"/>
        </w:rPr>
        <w:t>为进一步了解本项目受纳水体灌溉渠及祁水的水环境质量现状，于202</w:t>
      </w:r>
      <w:r>
        <w:t>4</w:t>
      </w:r>
      <w:r>
        <w:rPr>
          <w:rFonts w:hint="eastAsia"/>
        </w:rPr>
        <w:t>年</w:t>
      </w:r>
      <w:r>
        <w:t>3</w:t>
      </w:r>
      <w:r>
        <w:rPr>
          <w:rFonts w:hint="eastAsia"/>
        </w:rPr>
        <w:t>月对灌溉渠和祁水进行一期监测。</w:t>
      </w:r>
    </w:p>
    <w:p>
      <w:pPr>
        <w:pStyle w:val="27"/>
        <w:ind w:firstLine="480"/>
        <w:rPr>
          <w:szCs w:val="24"/>
        </w:rPr>
      </w:pPr>
      <w:r>
        <w:rPr>
          <w:szCs w:val="24"/>
        </w:rPr>
        <w:t>（1）</w:t>
      </w:r>
      <w:bookmarkStart w:id="47" w:name="监测断面"/>
      <w:bookmarkEnd w:id="47"/>
      <w:r>
        <w:rPr>
          <w:szCs w:val="24"/>
        </w:rPr>
        <w:t>监测断面设置：</w:t>
      </w:r>
    </w:p>
    <w:p>
      <w:pPr>
        <w:pStyle w:val="27"/>
        <w:ind w:firstLine="480"/>
        <w:rPr>
          <w:szCs w:val="24"/>
        </w:rPr>
      </w:pPr>
      <w:r>
        <w:rPr>
          <w:bCs/>
          <w:szCs w:val="24"/>
        </w:rPr>
        <w:t>W</w:t>
      </w:r>
      <w:r>
        <w:rPr>
          <w:rFonts w:hint="eastAsia"/>
          <w:bCs/>
          <w:szCs w:val="24"/>
        </w:rPr>
        <w:t>26</w:t>
      </w:r>
      <w:r>
        <w:rPr>
          <w:bCs/>
          <w:szCs w:val="24"/>
        </w:rPr>
        <w:t>：</w:t>
      </w:r>
      <w:r>
        <w:rPr>
          <w:rFonts w:hint="eastAsia"/>
          <w:bCs/>
          <w:szCs w:val="24"/>
        </w:rPr>
        <w:t>祁水入河排污口上游500m</w:t>
      </w:r>
      <w:r>
        <w:rPr>
          <w:szCs w:val="24"/>
        </w:rPr>
        <w:t>；</w:t>
      </w:r>
    </w:p>
    <w:p>
      <w:pPr>
        <w:pStyle w:val="27"/>
        <w:ind w:firstLine="480"/>
        <w:rPr>
          <w:szCs w:val="24"/>
        </w:rPr>
      </w:pPr>
      <w:r>
        <w:rPr>
          <w:szCs w:val="24"/>
        </w:rPr>
        <w:t>W</w:t>
      </w:r>
      <w:r>
        <w:rPr>
          <w:rFonts w:hint="eastAsia"/>
          <w:szCs w:val="24"/>
        </w:rPr>
        <w:t>27</w:t>
      </w:r>
      <w:r>
        <w:rPr>
          <w:szCs w:val="24"/>
        </w:rPr>
        <w:t>：</w:t>
      </w:r>
      <w:r>
        <w:rPr>
          <w:rFonts w:hint="eastAsia"/>
          <w:bCs/>
          <w:szCs w:val="24"/>
        </w:rPr>
        <w:t>祁水入河排污口下游1000m</w:t>
      </w:r>
      <w:r>
        <w:rPr>
          <w:rFonts w:hint="eastAsia"/>
          <w:szCs w:val="24"/>
        </w:rPr>
        <w:t>；</w:t>
      </w:r>
    </w:p>
    <w:p>
      <w:pPr>
        <w:pStyle w:val="27"/>
        <w:ind w:firstLine="480"/>
        <w:rPr>
          <w:szCs w:val="24"/>
        </w:rPr>
      </w:pPr>
      <w:r>
        <w:rPr>
          <w:rFonts w:hint="eastAsia"/>
          <w:szCs w:val="24"/>
        </w:rPr>
        <w:t>W28：本项目南侧紧邻的水塘；</w:t>
      </w:r>
    </w:p>
    <w:p>
      <w:pPr>
        <w:pStyle w:val="27"/>
        <w:ind w:firstLine="480"/>
        <w:rPr>
          <w:szCs w:val="24"/>
        </w:rPr>
      </w:pPr>
      <w:r>
        <w:rPr>
          <w:rFonts w:hint="eastAsia"/>
          <w:szCs w:val="24"/>
        </w:rPr>
        <w:t>W29：灌溉渠本项目尾水排口下游1.7km处（注：尾水排口至下游1.6km区段现状为干涸状态，无水）；</w:t>
      </w:r>
    </w:p>
    <w:p>
      <w:pPr>
        <w:pStyle w:val="27"/>
        <w:ind w:firstLine="480"/>
        <w:rPr>
          <w:szCs w:val="24"/>
        </w:rPr>
      </w:pPr>
      <w:r>
        <w:rPr>
          <w:rFonts w:hint="eastAsia"/>
          <w:szCs w:val="24"/>
        </w:rPr>
        <w:t>W30：灌溉渠入祁水口，灌溉渠上游500m处。</w:t>
      </w:r>
    </w:p>
    <w:p>
      <w:pPr>
        <w:pStyle w:val="27"/>
        <w:ind w:firstLine="480"/>
        <w:rPr>
          <w:szCs w:val="24"/>
        </w:rPr>
      </w:pPr>
      <w:r>
        <w:rPr>
          <w:szCs w:val="24"/>
        </w:rPr>
        <w:t>（2）监测时间及频率：连续监测</w:t>
      </w:r>
      <w:r>
        <w:rPr>
          <w:rFonts w:hint="eastAsia"/>
          <w:szCs w:val="24"/>
        </w:rPr>
        <w:t>3</w:t>
      </w:r>
      <w:r>
        <w:rPr>
          <w:szCs w:val="24"/>
        </w:rPr>
        <w:t>天，20</w:t>
      </w:r>
      <w:r>
        <w:rPr>
          <w:rFonts w:hint="eastAsia"/>
          <w:szCs w:val="24"/>
        </w:rPr>
        <w:t>2</w:t>
      </w:r>
      <w:r>
        <w:rPr>
          <w:szCs w:val="24"/>
        </w:rPr>
        <w:t>4年3月3日</w:t>
      </w:r>
      <w:r>
        <w:rPr>
          <w:rFonts w:hint="eastAsia"/>
          <w:szCs w:val="24"/>
        </w:rPr>
        <w:t>～5</w:t>
      </w:r>
      <w:r>
        <w:rPr>
          <w:szCs w:val="24"/>
        </w:rPr>
        <w:t>日，监测频次为每天1次。</w:t>
      </w:r>
    </w:p>
    <w:p>
      <w:pPr>
        <w:pStyle w:val="27"/>
        <w:ind w:firstLine="480"/>
      </w:pPr>
      <w:r>
        <w:t>（3）监测项目：pH、CODCr、SS、BOD</w:t>
      </w:r>
      <w:r>
        <w:rPr>
          <w:vertAlign w:val="subscript"/>
        </w:rPr>
        <w:t>5</w:t>
      </w:r>
      <w:r>
        <w:t>、</w:t>
      </w:r>
      <w:r>
        <w:rPr>
          <w:rFonts w:hint="eastAsia"/>
        </w:rPr>
        <w:t>高锰酸盐指数、总磷、总氮、</w:t>
      </w:r>
      <w:r>
        <w:t>氨氮、石油类、粪大肠菌群。</w:t>
      </w:r>
    </w:p>
    <w:p>
      <w:pPr>
        <w:pStyle w:val="27"/>
        <w:ind w:firstLine="480"/>
      </w:pPr>
      <w:r>
        <w:t>（4）采样和分析方法：样品的采集和保存、分析均按《地表水和污水监测技术规范》（HJ/T91-2002）《水质监测质量保证手册》和《环境监测标准分析方法》中的有关规定进行。</w:t>
      </w:r>
      <w:bookmarkStart w:id="48" w:name="_Toc314042903"/>
      <w:bookmarkStart w:id="49" w:name="_Toc338401938"/>
    </w:p>
    <w:bookmarkEnd w:id="48"/>
    <w:bookmarkEnd w:id="49"/>
    <w:p>
      <w:pPr>
        <w:pStyle w:val="27"/>
        <w:ind w:firstLine="480"/>
      </w:pPr>
      <w:r>
        <w:t>（5）评价标准：执行《地表水环境质量标准》（GB3838-2002）</w:t>
      </w:r>
      <w:r>
        <w:rPr>
          <w:rFonts w:hint="eastAsia"/>
        </w:rPr>
        <w:t>Ⅲ类</w:t>
      </w:r>
      <w:r>
        <w:t>标准。</w:t>
      </w:r>
    </w:p>
    <w:p>
      <w:pPr>
        <w:pStyle w:val="27"/>
        <w:ind w:firstLine="480"/>
      </w:pPr>
      <w:r>
        <w:t>（6）评价方法：采用超标率和最大超标倍数等数理统计法进行评价。</w:t>
      </w:r>
    </w:p>
    <w:p>
      <w:pPr>
        <w:pStyle w:val="27"/>
        <w:ind w:firstLine="480"/>
      </w:pPr>
      <w:r>
        <w:t>（7）监测结果：监测及评价结果见表4.2-1。</w:t>
      </w:r>
    </w:p>
    <w:p>
      <w:pPr>
        <w:pStyle w:val="27"/>
        <w:ind w:firstLine="480"/>
      </w:pPr>
    </w:p>
    <w:p>
      <w:pPr>
        <w:pStyle w:val="38"/>
      </w:pPr>
      <w:r>
        <w:rPr>
          <w:rFonts w:hint="eastAsia"/>
        </w:rPr>
        <w:t>表4</w:t>
      </w:r>
      <w:r>
        <w:t>.2-1  地表水水质现状监测及评价结果</w:t>
      </w:r>
    </w:p>
    <w:tbl>
      <w:tblPr>
        <w:tblStyle w:val="2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3"/>
        <w:gridCol w:w="1585"/>
        <w:gridCol w:w="922"/>
        <w:gridCol w:w="1133"/>
        <w:gridCol w:w="1133"/>
        <w:gridCol w:w="1135"/>
        <w:gridCol w:w="797"/>
        <w:gridCol w:w="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rPr>
            </w:pPr>
            <w:r>
              <w:rPr>
                <w:rFonts w:hint="eastAsia"/>
                <w:kern w:val="0"/>
              </w:rPr>
              <w:t>监测点位</w:t>
            </w:r>
          </w:p>
        </w:tc>
        <w:tc>
          <w:tcPr>
            <w:tcW w:w="930" w:type="pct"/>
            <w:vMerge w:val="restart"/>
            <w:vAlign w:val="center"/>
          </w:tcPr>
          <w:p>
            <w:pPr>
              <w:pStyle w:val="40"/>
              <w:rPr>
                <w:kern w:val="0"/>
              </w:rPr>
            </w:pPr>
            <w:r>
              <w:rPr>
                <w:rFonts w:hint="eastAsia"/>
                <w:kern w:val="0"/>
              </w:rPr>
              <w:t>监测项目</w:t>
            </w:r>
          </w:p>
        </w:tc>
        <w:tc>
          <w:tcPr>
            <w:tcW w:w="541" w:type="pct"/>
            <w:vMerge w:val="restart"/>
            <w:vAlign w:val="center"/>
          </w:tcPr>
          <w:p>
            <w:pPr>
              <w:pStyle w:val="40"/>
              <w:rPr>
                <w:kern w:val="0"/>
              </w:rPr>
            </w:pPr>
            <w:r>
              <w:rPr>
                <w:rFonts w:hint="eastAsia"/>
                <w:kern w:val="0"/>
              </w:rPr>
              <w:t>单位</w:t>
            </w:r>
          </w:p>
        </w:tc>
        <w:tc>
          <w:tcPr>
            <w:tcW w:w="1996" w:type="pct"/>
            <w:gridSpan w:val="3"/>
            <w:vAlign w:val="center"/>
          </w:tcPr>
          <w:p>
            <w:pPr>
              <w:pStyle w:val="40"/>
              <w:rPr>
                <w:kern w:val="0"/>
              </w:rPr>
            </w:pPr>
            <w:r>
              <w:rPr>
                <w:rFonts w:hint="eastAsia"/>
                <w:kern w:val="0"/>
              </w:rPr>
              <w:t>监测结果</w:t>
            </w:r>
          </w:p>
        </w:tc>
        <w:tc>
          <w:tcPr>
            <w:tcW w:w="467" w:type="pct"/>
            <w:vMerge w:val="restart"/>
            <w:vAlign w:val="center"/>
          </w:tcPr>
          <w:p>
            <w:pPr>
              <w:pStyle w:val="40"/>
              <w:rPr>
                <w:kern w:val="0"/>
              </w:rPr>
            </w:pPr>
            <w:r>
              <w:rPr>
                <w:rFonts w:hint="eastAsia"/>
                <w:kern w:val="0"/>
              </w:rPr>
              <w:t>标准</w:t>
            </w:r>
          </w:p>
          <w:p>
            <w:pPr>
              <w:pStyle w:val="40"/>
              <w:rPr>
                <w:kern w:val="0"/>
              </w:rPr>
            </w:pPr>
            <w:r>
              <w:rPr>
                <w:rFonts w:hint="eastAsia"/>
                <w:kern w:val="0"/>
              </w:rPr>
              <w:t>限值</w:t>
            </w:r>
          </w:p>
        </w:tc>
        <w:tc>
          <w:tcPr>
            <w:tcW w:w="401" w:type="pct"/>
            <w:vMerge w:val="restart"/>
            <w:vAlign w:val="center"/>
          </w:tcPr>
          <w:p>
            <w:pPr>
              <w:pStyle w:val="40"/>
              <w:rPr>
                <w:kern w:val="0"/>
              </w:rPr>
            </w:pPr>
            <w:r>
              <w:rPr>
                <w:rFonts w:hint="eastAsia"/>
                <w:kern w:val="0"/>
              </w:rPr>
              <w:t>达标</w:t>
            </w:r>
          </w:p>
          <w:p>
            <w:pPr>
              <w:pStyle w:val="40"/>
              <w:rPr>
                <w:kern w:val="0"/>
              </w:rPr>
            </w:pPr>
            <w:r>
              <w:rPr>
                <w:rFonts w:hint="eastAsia"/>
                <w:kern w:val="0"/>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Merge w:val="continue"/>
            <w:vAlign w:val="center"/>
          </w:tcPr>
          <w:p>
            <w:pPr>
              <w:pStyle w:val="40"/>
              <w:rPr>
                <w:kern w:val="0"/>
              </w:rPr>
            </w:pPr>
          </w:p>
        </w:tc>
        <w:tc>
          <w:tcPr>
            <w:tcW w:w="541" w:type="pct"/>
            <w:vMerge w:val="continue"/>
            <w:vAlign w:val="center"/>
          </w:tcPr>
          <w:p>
            <w:pPr>
              <w:pStyle w:val="40"/>
              <w:rPr>
                <w:kern w:val="0"/>
              </w:rPr>
            </w:pPr>
          </w:p>
        </w:tc>
        <w:tc>
          <w:tcPr>
            <w:tcW w:w="665" w:type="pct"/>
            <w:vAlign w:val="center"/>
          </w:tcPr>
          <w:p>
            <w:pPr>
              <w:pStyle w:val="40"/>
              <w:rPr>
                <w:kern w:val="0"/>
              </w:rPr>
            </w:pPr>
            <w:r>
              <w:rPr>
                <w:rFonts w:hint="eastAsia"/>
                <w:kern w:val="0"/>
              </w:rPr>
              <w:t>2</w:t>
            </w:r>
            <w:r>
              <w:rPr>
                <w:kern w:val="0"/>
              </w:rPr>
              <w:t>0240303</w:t>
            </w:r>
          </w:p>
        </w:tc>
        <w:tc>
          <w:tcPr>
            <w:tcW w:w="665" w:type="pct"/>
            <w:vAlign w:val="center"/>
          </w:tcPr>
          <w:p>
            <w:pPr>
              <w:pStyle w:val="40"/>
              <w:rPr>
                <w:kern w:val="0"/>
              </w:rPr>
            </w:pPr>
            <w:r>
              <w:rPr>
                <w:rFonts w:hint="eastAsia"/>
                <w:kern w:val="0"/>
              </w:rPr>
              <w:t>2</w:t>
            </w:r>
            <w:r>
              <w:rPr>
                <w:kern w:val="0"/>
              </w:rPr>
              <w:t>0240304</w:t>
            </w:r>
          </w:p>
        </w:tc>
        <w:tc>
          <w:tcPr>
            <w:tcW w:w="666" w:type="pct"/>
            <w:vAlign w:val="center"/>
          </w:tcPr>
          <w:p>
            <w:pPr>
              <w:pStyle w:val="40"/>
              <w:rPr>
                <w:kern w:val="0"/>
              </w:rPr>
            </w:pPr>
            <w:r>
              <w:rPr>
                <w:rFonts w:hint="eastAsia"/>
                <w:kern w:val="0"/>
              </w:rPr>
              <w:t>2</w:t>
            </w:r>
            <w:r>
              <w:rPr>
                <w:kern w:val="0"/>
              </w:rPr>
              <w:t>0240305</w:t>
            </w:r>
          </w:p>
        </w:tc>
        <w:tc>
          <w:tcPr>
            <w:tcW w:w="467" w:type="pct"/>
            <w:vMerge w:val="continue"/>
            <w:vAlign w:val="center"/>
          </w:tcPr>
          <w:p>
            <w:pPr>
              <w:pStyle w:val="40"/>
              <w:rPr>
                <w:kern w:val="0"/>
              </w:rPr>
            </w:pPr>
          </w:p>
        </w:tc>
        <w:tc>
          <w:tcPr>
            <w:tcW w:w="401" w:type="pct"/>
            <w:vMerge w:val="continue"/>
            <w:vAlign w:val="center"/>
          </w:tcPr>
          <w:p>
            <w:pPr>
              <w:pStyle w:val="40"/>
              <w:rPr>
                <w:kern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rPr>
            </w:pPr>
            <w:r>
              <w:rPr>
                <w:bCs/>
                <w:kern w:val="0"/>
                <w:szCs w:val="24"/>
              </w:rPr>
              <w:t>W</w:t>
            </w:r>
            <w:r>
              <w:rPr>
                <w:rFonts w:hint="eastAsia"/>
                <w:bCs/>
                <w:kern w:val="0"/>
                <w:szCs w:val="24"/>
              </w:rPr>
              <w:t>26</w:t>
            </w:r>
            <w:r>
              <w:rPr>
                <w:bCs/>
                <w:kern w:val="0"/>
                <w:szCs w:val="24"/>
              </w:rPr>
              <w:t>：</w:t>
            </w:r>
            <w:r>
              <w:rPr>
                <w:rFonts w:hint="eastAsia"/>
                <w:bCs/>
                <w:kern w:val="0"/>
                <w:szCs w:val="24"/>
              </w:rPr>
              <w:t>祁水入河排污口上游500m</w:t>
            </w:r>
            <w:r>
              <w:rPr>
                <w:kern w:val="0"/>
                <w:szCs w:val="24"/>
              </w:rPr>
              <w:t>；</w:t>
            </w:r>
          </w:p>
        </w:tc>
        <w:tc>
          <w:tcPr>
            <w:tcW w:w="930" w:type="pct"/>
            <w:vAlign w:val="center"/>
          </w:tcPr>
          <w:p>
            <w:pPr>
              <w:pStyle w:val="40"/>
              <w:rPr>
                <w:kern w:val="0"/>
              </w:rPr>
            </w:pPr>
            <w:r>
              <w:rPr>
                <w:rFonts w:hint="eastAsia"/>
                <w:kern w:val="0"/>
              </w:rPr>
              <w:t>p</w:t>
            </w:r>
            <w:r>
              <w:rPr>
                <w:kern w:val="0"/>
              </w:rPr>
              <w:t>H</w:t>
            </w:r>
            <w:r>
              <w:rPr>
                <w:rFonts w:hint="eastAsia"/>
                <w:kern w:val="0"/>
              </w:rPr>
              <w:t>值</w:t>
            </w:r>
          </w:p>
        </w:tc>
        <w:tc>
          <w:tcPr>
            <w:tcW w:w="541" w:type="pct"/>
            <w:vAlign w:val="center"/>
          </w:tcPr>
          <w:p>
            <w:pPr>
              <w:pStyle w:val="40"/>
              <w:rPr>
                <w:kern w:val="0"/>
              </w:rPr>
            </w:pPr>
            <w:r>
              <w:rPr>
                <w:rFonts w:hint="eastAsia"/>
                <w:kern w:val="0"/>
              </w:rPr>
              <w:t>无量纲</w:t>
            </w:r>
          </w:p>
        </w:tc>
        <w:tc>
          <w:tcPr>
            <w:tcW w:w="665" w:type="pct"/>
            <w:vAlign w:val="center"/>
          </w:tcPr>
          <w:p>
            <w:pPr>
              <w:pStyle w:val="40"/>
              <w:rPr>
                <w:kern w:val="0"/>
              </w:rPr>
            </w:pPr>
            <w:r>
              <w:rPr>
                <w:rFonts w:hint="eastAsia"/>
                <w:kern w:val="0"/>
              </w:rPr>
              <w:t>7.3</w:t>
            </w:r>
          </w:p>
        </w:tc>
        <w:tc>
          <w:tcPr>
            <w:tcW w:w="665" w:type="pct"/>
            <w:vAlign w:val="center"/>
          </w:tcPr>
          <w:p>
            <w:pPr>
              <w:pStyle w:val="40"/>
              <w:rPr>
                <w:kern w:val="0"/>
              </w:rPr>
            </w:pPr>
            <w:r>
              <w:rPr>
                <w:rFonts w:hint="eastAsia"/>
                <w:kern w:val="0"/>
              </w:rPr>
              <w:t>7.3</w:t>
            </w:r>
          </w:p>
        </w:tc>
        <w:tc>
          <w:tcPr>
            <w:tcW w:w="666" w:type="pct"/>
            <w:vAlign w:val="center"/>
          </w:tcPr>
          <w:p>
            <w:pPr>
              <w:pStyle w:val="40"/>
              <w:rPr>
                <w:kern w:val="0"/>
              </w:rPr>
            </w:pPr>
            <w:r>
              <w:rPr>
                <w:rFonts w:hint="eastAsia"/>
                <w:kern w:val="0"/>
              </w:rPr>
              <w:t>7.4</w:t>
            </w:r>
          </w:p>
        </w:tc>
        <w:tc>
          <w:tcPr>
            <w:tcW w:w="467" w:type="pct"/>
            <w:vAlign w:val="center"/>
          </w:tcPr>
          <w:p>
            <w:pPr>
              <w:pStyle w:val="40"/>
              <w:rPr>
                <w:kern w:val="0"/>
              </w:rPr>
            </w:pPr>
            <w:r>
              <w:rPr>
                <w:rFonts w:hint="eastAsia"/>
                <w:kern w:val="0"/>
              </w:rPr>
              <w:t>6</w:t>
            </w:r>
            <w:r>
              <w:rPr>
                <w:kern w:val="0"/>
              </w:rPr>
              <w:t>~9</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BOD</w:t>
            </w:r>
            <w:r>
              <w:rPr>
                <w:kern w:val="0"/>
                <w:vertAlign w:val="subscript"/>
              </w:rPr>
              <w:t>5</w:t>
            </w:r>
          </w:p>
        </w:tc>
        <w:tc>
          <w:tcPr>
            <w:tcW w:w="541" w:type="pct"/>
            <w:vAlign w:val="center"/>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1.7</w:t>
            </w:r>
          </w:p>
        </w:tc>
        <w:tc>
          <w:tcPr>
            <w:tcW w:w="665" w:type="pct"/>
            <w:vAlign w:val="center"/>
          </w:tcPr>
          <w:p>
            <w:pPr>
              <w:pStyle w:val="40"/>
              <w:rPr>
                <w:kern w:val="0"/>
              </w:rPr>
            </w:pPr>
            <w:r>
              <w:rPr>
                <w:rFonts w:hint="eastAsia"/>
                <w:kern w:val="0"/>
              </w:rPr>
              <w:t>2.4</w:t>
            </w:r>
          </w:p>
        </w:tc>
        <w:tc>
          <w:tcPr>
            <w:tcW w:w="666" w:type="pct"/>
            <w:vAlign w:val="center"/>
          </w:tcPr>
          <w:p>
            <w:pPr>
              <w:pStyle w:val="40"/>
              <w:rPr>
                <w:kern w:val="0"/>
              </w:rPr>
            </w:pPr>
            <w:r>
              <w:rPr>
                <w:rFonts w:hint="eastAsia"/>
                <w:kern w:val="0"/>
              </w:rPr>
              <w:t>2.2</w:t>
            </w:r>
          </w:p>
        </w:tc>
        <w:tc>
          <w:tcPr>
            <w:tcW w:w="467" w:type="pct"/>
            <w:vAlign w:val="center"/>
          </w:tcPr>
          <w:p>
            <w:pPr>
              <w:pStyle w:val="40"/>
              <w:rPr>
                <w:kern w:val="0"/>
              </w:rPr>
            </w:pPr>
            <w:r>
              <w:rPr>
                <w:rFonts w:hint="eastAsia"/>
                <w:kern w:val="0"/>
              </w:rPr>
              <w:t>4</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COD</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7</w:t>
            </w:r>
          </w:p>
        </w:tc>
        <w:tc>
          <w:tcPr>
            <w:tcW w:w="665" w:type="pct"/>
            <w:vAlign w:val="center"/>
          </w:tcPr>
          <w:p>
            <w:pPr>
              <w:pStyle w:val="40"/>
              <w:rPr>
                <w:kern w:val="0"/>
              </w:rPr>
            </w:pPr>
            <w:r>
              <w:rPr>
                <w:rFonts w:hint="eastAsia"/>
                <w:kern w:val="0"/>
              </w:rPr>
              <w:t>10</w:t>
            </w:r>
          </w:p>
        </w:tc>
        <w:tc>
          <w:tcPr>
            <w:tcW w:w="666" w:type="pct"/>
            <w:vAlign w:val="center"/>
          </w:tcPr>
          <w:p>
            <w:pPr>
              <w:pStyle w:val="40"/>
              <w:rPr>
                <w:kern w:val="0"/>
              </w:rPr>
            </w:pPr>
            <w:r>
              <w:rPr>
                <w:rFonts w:hint="eastAsia"/>
                <w:kern w:val="0"/>
              </w:rPr>
              <w:t>9</w:t>
            </w:r>
          </w:p>
        </w:tc>
        <w:tc>
          <w:tcPr>
            <w:tcW w:w="467" w:type="pct"/>
            <w:vAlign w:val="center"/>
          </w:tcPr>
          <w:p>
            <w:pPr>
              <w:pStyle w:val="40"/>
              <w:rPr>
                <w:kern w:val="0"/>
              </w:rPr>
            </w:pPr>
            <w:r>
              <w:rPr>
                <w:rFonts w:hint="eastAsia"/>
                <w:kern w:val="0"/>
              </w:rPr>
              <w:t>2</w:t>
            </w:r>
            <w:r>
              <w:rPr>
                <w:kern w:val="0"/>
              </w:rPr>
              <w:t>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高锰酸盐指数</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2.5</w:t>
            </w:r>
          </w:p>
        </w:tc>
        <w:tc>
          <w:tcPr>
            <w:tcW w:w="665" w:type="pct"/>
            <w:vAlign w:val="center"/>
          </w:tcPr>
          <w:p>
            <w:pPr>
              <w:pStyle w:val="40"/>
              <w:rPr>
                <w:kern w:val="0"/>
              </w:rPr>
            </w:pPr>
            <w:r>
              <w:rPr>
                <w:rFonts w:hint="eastAsia"/>
                <w:kern w:val="0"/>
              </w:rPr>
              <w:t>2.5</w:t>
            </w:r>
          </w:p>
        </w:tc>
        <w:tc>
          <w:tcPr>
            <w:tcW w:w="666" w:type="pct"/>
            <w:vAlign w:val="center"/>
          </w:tcPr>
          <w:p>
            <w:pPr>
              <w:pStyle w:val="40"/>
              <w:rPr>
                <w:kern w:val="0"/>
              </w:rPr>
            </w:pPr>
            <w:r>
              <w:rPr>
                <w:rFonts w:hint="eastAsia"/>
                <w:kern w:val="0"/>
              </w:rPr>
              <w:t>2.4</w:t>
            </w:r>
          </w:p>
        </w:tc>
        <w:tc>
          <w:tcPr>
            <w:tcW w:w="467" w:type="pct"/>
            <w:vAlign w:val="center"/>
          </w:tcPr>
          <w:p>
            <w:pPr>
              <w:pStyle w:val="40"/>
              <w:rPr>
                <w:kern w:val="0"/>
              </w:rPr>
            </w:pPr>
            <w:r>
              <w:rPr>
                <w:rFonts w:hint="eastAsia"/>
                <w:kern w:val="0"/>
              </w:rPr>
              <w:t>6</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氨氮</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0.255</w:t>
            </w:r>
          </w:p>
        </w:tc>
        <w:tc>
          <w:tcPr>
            <w:tcW w:w="665" w:type="pct"/>
            <w:vAlign w:val="center"/>
          </w:tcPr>
          <w:p>
            <w:pPr>
              <w:pStyle w:val="40"/>
              <w:rPr>
                <w:kern w:val="0"/>
              </w:rPr>
            </w:pPr>
            <w:r>
              <w:rPr>
                <w:rFonts w:hint="eastAsia"/>
                <w:kern w:val="0"/>
              </w:rPr>
              <w:t>0.336</w:t>
            </w:r>
          </w:p>
        </w:tc>
        <w:tc>
          <w:tcPr>
            <w:tcW w:w="666" w:type="pct"/>
            <w:vAlign w:val="center"/>
          </w:tcPr>
          <w:p>
            <w:pPr>
              <w:pStyle w:val="40"/>
              <w:rPr>
                <w:kern w:val="0"/>
              </w:rPr>
            </w:pPr>
            <w:r>
              <w:rPr>
                <w:rFonts w:hint="eastAsia"/>
                <w:kern w:val="0"/>
              </w:rPr>
              <w:t>0.408</w:t>
            </w:r>
          </w:p>
        </w:tc>
        <w:tc>
          <w:tcPr>
            <w:tcW w:w="467" w:type="pct"/>
            <w:vAlign w:val="center"/>
          </w:tcPr>
          <w:p>
            <w:pPr>
              <w:pStyle w:val="40"/>
              <w:rPr>
                <w:kern w:val="0"/>
              </w:rPr>
            </w:pPr>
            <w:r>
              <w:rPr>
                <w:rFonts w:hint="eastAsia"/>
                <w:kern w:val="0"/>
              </w:rPr>
              <w:t>1</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TP</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0.06</w:t>
            </w:r>
          </w:p>
        </w:tc>
        <w:tc>
          <w:tcPr>
            <w:tcW w:w="665" w:type="pct"/>
            <w:vAlign w:val="center"/>
          </w:tcPr>
          <w:p>
            <w:pPr>
              <w:pStyle w:val="40"/>
              <w:rPr>
                <w:kern w:val="0"/>
              </w:rPr>
            </w:pPr>
            <w:r>
              <w:rPr>
                <w:rFonts w:hint="eastAsia"/>
                <w:kern w:val="0"/>
              </w:rPr>
              <w:t>0.06</w:t>
            </w:r>
          </w:p>
        </w:tc>
        <w:tc>
          <w:tcPr>
            <w:tcW w:w="666" w:type="pct"/>
            <w:vAlign w:val="center"/>
          </w:tcPr>
          <w:p>
            <w:pPr>
              <w:pStyle w:val="40"/>
              <w:rPr>
                <w:kern w:val="0"/>
              </w:rPr>
            </w:pPr>
            <w:r>
              <w:rPr>
                <w:rFonts w:hint="eastAsia"/>
                <w:kern w:val="0"/>
              </w:rPr>
              <w:t>0.06</w:t>
            </w:r>
          </w:p>
        </w:tc>
        <w:tc>
          <w:tcPr>
            <w:tcW w:w="467" w:type="pct"/>
            <w:vAlign w:val="center"/>
          </w:tcPr>
          <w:p>
            <w:pPr>
              <w:pStyle w:val="40"/>
              <w:rPr>
                <w:kern w:val="0"/>
              </w:rPr>
            </w:pPr>
            <w:r>
              <w:rPr>
                <w:rFonts w:hint="eastAsia"/>
                <w:kern w:val="0"/>
              </w:rPr>
              <w:t>0</w:t>
            </w:r>
            <w:r>
              <w:rPr>
                <w:kern w:val="0"/>
              </w:rPr>
              <w:t>.2</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TN</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1.51</w:t>
            </w:r>
          </w:p>
        </w:tc>
        <w:tc>
          <w:tcPr>
            <w:tcW w:w="665" w:type="pct"/>
            <w:vAlign w:val="center"/>
          </w:tcPr>
          <w:p>
            <w:pPr>
              <w:pStyle w:val="40"/>
              <w:rPr>
                <w:kern w:val="0"/>
              </w:rPr>
            </w:pPr>
            <w:r>
              <w:rPr>
                <w:rFonts w:hint="eastAsia"/>
                <w:kern w:val="0"/>
              </w:rPr>
              <w:t>1.74</w:t>
            </w:r>
          </w:p>
        </w:tc>
        <w:tc>
          <w:tcPr>
            <w:tcW w:w="666" w:type="pct"/>
            <w:vAlign w:val="center"/>
          </w:tcPr>
          <w:p>
            <w:pPr>
              <w:pStyle w:val="40"/>
              <w:rPr>
                <w:kern w:val="0"/>
              </w:rPr>
            </w:pPr>
            <w:r>
              <w:rPr>
                <w:rFonts w:hint="eastAsia"/>
                <w:kern w:val="0"/>
              </w:rPr>
              <w:t>1.73</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石油类</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0.01L</w:t>
            </w:r>
          </w:p>
        </w:tc>
        <w:tc>
          <w:tcPr>
            <w:tcW w:w="665" w:type="pct"/>
            <w:vAlign w:val="center"/>
          </w:tcPr>
          <w:p>
            <w:pPr>
              <w:pStyle w:val="40"/>
              <w:rPr>
                <w:kern w:val="0"/>
              </w:rPr>
            </w:pPr>
            <w:r>
              <w:rPr>
                <w:rFonts w:hint="eastAsia"/>
                <w:kern w:val="0"/>
              </w:rPr>
              <w:t>0.01L</w:t>
            </w:r>
          </w:p>
        </w:tc>
        <w:tc>
          <w:tcPr>
            <w:tcW w:w="666" w:type="pct"/>
            <w:vAlign w:val="center"/>
          </w:tcPr>
          <w:p>
            <w:pPr>
              <w:pStyle w:val="40"/>
              <w:rPr>
                <w:kern w:val="0"/>
              </w:rPr>
            </w:pPr>
            <w:r>
              <w:rPr>
                <w:rFonts w:hint="eastAsia"/>
                <w:kern w:val="0"/>
              </w:rPr>
              <w:t>0.01L</w:t>
            </w:r>
          </w:p>
        </w:tc>
        <w:tc>
          <w:tcPr>
            <w:tcW w:w="467" w:type="pct"/>
            <w:vAlign w:val="center"/>
          </w:tcPr>
          <w:p>
            <w:pPr>
              <w:pStyle w:val="40"/>
              <w:rPr>
                <w:kern w:val="0"/>
              </w:rPr>
            </w:pPr>
            <w:r>
              <w:rPr>
                <w:rFonts w:hint="eastAsia"/>
                <w:kern w:val="0"/>
              </w:rPr>
              <w:t>0</w:t>
            </w:r>
            <w:r>
              <w:rPr>
                <w:kern w:val="0"/>
              </w:rPr>
              <w:t>.05</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粪大肠菌群</w:t>
            </w:r>
          </w:p>
        </w:tc>
        <w:tc>
          <w:tcPr>
            <w:tcW w:w="541" w:type="pct"/>
          </w:tcPr>
          <w:p>
            <w:pPr>
              <w:pStyle w:val="40"/>
              <w:rPr>
                <w:kern w:val="0"/>
              </w:rPr>
            </w:pPr>
            <w:r>
              <w:rPr>
                <w:kern w:val="0"/>
              </w:rPr>
              <w:t xml:space="preserve">MPN/L </w:t>
            </w:r>
          </w:p>
        </w:tc>
        <w:tc>
          <w:tcPr>
            <w:tcW w:w="665" w:type="pct"/>
            <w:vAlign w:val="center"/>
          </w:tcPr>
          <w:p>
            <w:pPr>
              <w:pStyle w:val="40"/>
              <w:rPr>
                <w:kern w:val="0"/>
              </w:rPr>
            </w:pPr>
            <w:r>
              <w:rPr>
                <w:rFonts w:hint="eastAsia"/>
                <w:kern w:val="0"/>
              </w:rPr>
              <w:t>3300</w:t>
            </w:r>
          </w:p>
        </w:tc>
        <w:tc>
          <w:tcPr>
            <w:tcW w:w="665" w:type="pct"/>
            <w:vAlign w:val="center"/>
          </w:tcPr>
          <w:p>
            <w:pPr>
              <w:pStyle w:val="40"/>
              <w:rPr>
                <w:kern w:val="0"/>
              </w:rPr>
            </w:pPr>
            <w:r>
              <w:rPr>
                <w:rFonts w:hint="eastAsia"/>
                <w:kern w:val="0"/>
              </w:rPr>
              <w:t>6400</w:t>
            </w:r>
          </w:p>
        </w:tc>
        <w:tc>
          <w:tcPr>
            <w:tcW w:w="666" w:type="pct"/>
            <w:vAlign w:val="center"/>
          </w:tcPr>
          <w:p>
            <w:pPr>
              <w:pStyle w:val="40"/>
              <w:rPr>
                <w:kern w:val="0"/>
              </w:rPr>
            </w:pPr>
            <w:r>
              <w:rPr>
                <w:rFonts w:hint="eastAsia"/>
                <w:kern w:val="0"/>
              </w:rPr>
              <w:t>8100</w:t>
            </w:r>
          </w:p>
        </w:tc>
        <w:tc>
          <w:tcPr>
            <w:tcW w:w="467" w:type="pct"/>
            <w:vAlign w:val="center"/>
          </w:tcPr>
          <w:p>
            <w:pPr>
              <w:pStyle w:val="40"/>
              <w:rPr>
                <w:kern w:val="0"/>
              </w:rPr>
            </w:pPr>
            <w:r>
              <w:rPr>
                <w:rFonts w:hint="eastAsia"/>
                <w:kern w:val="0"/>
              </w:rPr>
              <w:t>1</w:t>
            </w:r>
            <w:r>
              <w:rPr>
                <w:kern w:val="0"/>
              </w:rPr>
              <w:t>0000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SS</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18</w:t>
            </w:r>
          </w:p>
        </w:tc>
        <w:tc>
          <w:tcPr>
            <w:tcW w:w="665" w:type="pct"/>
            <w:vAlign w:val="center"/>
          </w:tcPr>
          <w:p>
            <w:pPr>
              <w:pStyle w:val="40"/>
              <w:rPr>
                <w:kern w:val="0"/>
              </w:rPr>
            </w:pPr>
            <w:r>
              <w:rPr>
                <w:rFonts w:hint="eastAsia"/>
                <w:kern w:val="0"/>
              </w:rPr>
              <w:t>12</w:t>
            </w:r>
          </w:p>
        </w:tc>
        <w:tc>
          <w:tcPr>
            <w:tcW w:w="666" w:type="pct"/>
            <w:vAlign w:val="center"/>
          </w:tcPr>
          <w:p>
            <w:pPr>
              <w:pStyle w:val="40"/>
              <w:rPr>
                <w:kern w:val="0"/>
              </w:rPr>
            </w:pPr>
            <w:r>
              <w:rPr>
                <w:rFonts w:hint="eastAsia"/>
                <w:kern w:val="0"/>
              </w:rPr>
              <w:t>28</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rPr>
            </w:pPr>
            <w:r>
              <w:rPr>
                <w:kern w:val="0"/>
                <w:szCs w:val="24"/>
              </w:rPr>
              <w:t>W</w:t>
            </w:r>
            <w:r>
              <w:rPr>
                <w:rFonts w:hint="eastAsia"/>
                <w:kern w:val="0"/>
                <w:szCs w:val="24"/>
              </w:rPr>
              <w:t>27</w:t>
            </w:r>
            <w:r>
              <w:rPr>
                <w:kern w:val="0"/>
                <w:szCs w:val="24"/>
              </w:rPr>
              <w:t>：</w:t>
            </w:r>
            <w:r>
              <w:rPr>
                <w:rFonts w:hint="eastAsia"/>
                <w:bCs/>
                <w:kern w:val="0"/>
                <w:szCs w:val="24"/>
              </w:rPr>
              <w:t>祁水入河排污口下游1000m</w:t>
            </w:r>
            <w:r>
              <w:rPr>
                <w:rFonts w:hint="eastAsia"/>
                <w:kern w:val="0"/>
                <w:szCs w:val="24"/>
              </w:rPr>
              <w:t>；</w:t>
            </w:r>
          </w:p>
        </w:tc>
        <w:tc>
          <w:tcPr>
            <w:tcW w:w="930" w:type="pct"/>
            <w:vAlign w:val="center"/>
          </w:tcPr>
          <w:p>
            <w:pPr>
              <w:pStyle w:val="40"/>
              <w:rPr>
                <w:kern w:val="0"/>
              </w:rPr>
            </w:pPr>
            <w:r>
              <w:rPr>
                <w:rFonts w:hint="eastAsia"/>
                <w:kern w:val="0"/>
              </w:rPr>
              <w:t>p</w:t>
            </w:r>
            <w:r>
              <w:rPr>
                <w:kern w:val="0"/>
              </w:rPr>
              <w:t>H</w:t>
            </w:r>
            <w:r>
              <w:rPr>
                <w:rFonts w:hint="eastAsia"/>
                <w:kern w:val="0"/>
              </w:rPr>
              <w:t>值</w:t>
            </w:r>
          </w:p>
        </w:tc>
        <w:tc>
          <w:tcPr>
            <w:tcW w:w="541" w:type="pct"/>
            <w:vAlign w:val="center"/>
          </w:tcPr>
          <w:p>
            <w:pPr>
              <w:pStyle w:val="40"/>
              <w:rPr>
                <w:kern w:val="0"/>
              </w:rPr>
            </w:pPr>
            <w:r>
              <w:rPr>
                <w:rFonts w:hint="eastAsia"/>
                <w:kern w:val="0"/>
              </w:rPr>
              <w:t>无量纲</w:t>
            </w:r>
          </w:p>
        </w:tc>
        <w:tc>
          <w:tcPr>
            <w:tcW w:w="665" w:type="pct"/>
            <w:vAlign w:val="center"/>
          </w:tcPr>
          <w:p>
            <w:pPr>
              <w:pStyle w:val="40"/>
              <w:rPr>
                <w:kern w:val="0"/>
              </w:rPr>
            </w:pPr>
            <w:r>
              <w:rPr>
                <w:rFonts w:hint="eastAsia"/>
                <w:kern w:val="0"/>
              </w:rPr>
              <w:t>7.4</w:t>
            </w:r>
          </w:p>
        </w:tc>
        <w:tc>
          <w:tcPr>
            <w:tcW w:w="665" w:type="pct"/>
            <w:vAlign w:val="center"/>
          </w:tcPr>
          <w:p>
            <w:pPr>
              <w:pStyle w:val="40"/>
              <w:rPr>
                <w:kern w:val="0"/>
              </w:rPr>
            </w:pPr>
            <w:r>
              <w:rPr>
                <w:rFonts w:hint="eastAsia"/>
                <w:kern w:val="0"/>
              </w:rPr>
              <w:t>7.4</w:t>
            </w:r>
          </w:p>
        </w:tc>
        <w:tc>
          <w:tcPr>
            <w:tcW w:w="666" w:type="pct"/>
            <w:vAlign w:val="center"/>
          </w:tcPr>
          <w:p>
            <w:pPr>
              <w:pStyle w:val="40"/>
              <w:rPr>
                <w:kern w:val="0"/>
              </w:rPr>
            </w:pPr>
            <w:r>
              <w:rPr>
                <w:rFonts w:hint="eastAsia"/>
                <w:kern w:val="0"/>
              </w:rPr>
              <w:t>7.3</w:t>
            </w:r>
          </w:p>
        </w:tc>
        <w:tc>
          <w:tcPr>
            <w:tcW w:w="467" w:type="pct"/>
            <w:vAlign w:val="center"/>
          </w:tcPr>
          <w:p>
            <w:pPr>
              <w:pStyle w:val="40"/>
              <w:rPr>
                <w:kern w:val="0"/>
              </w:rPr>
            </w:pPr>
            <w:r>
              <w:rPr>
                <w:rFonts w:hint="eastAsia"/>
                <w:kern w:val="0"/>
              </w:rPr>
              <w:t>6</w:t>
            </w:r>
            <w:r>
              <w:rPr>
                <w:kern w:val="0"/>
              </w:rPr>
              <w:t>~9</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BOD</w:t>
            </w:r>
            <w:r>
              <w:rPr>
                <w:kern w:val="0"/>
                <w:vertAlign w:val="subscript"/>
              </w:rPr>
              <w:t>5</w:t>
            </w:r>
          </w:p>
        </w:tc>
        <w:tc>
          <w:tcPr>
            <w:tcW w:w="541" w:type="pct"/>
            <w:vAlign w:val="center"/>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1.4</w:t>
            </w:r>
          </w:p>
        </w:tc>
        <w:tc>
          <w:tcPr>
            <w:tcW w:w="665" w:type="pct"/>
            <w:vAlign w:val="center"/>
          </w:tcPr>
          <w:p>
            <w:pPr>
              <w:pStyle w:val="40"/>
              <w:rPr>
                <w:kern w:val="0"/>
              </w:rPr>
            </w:pPr>
            <w:r>
              <w:rPr>
                <w:rFonts w:hint="eastAsia"/>
                <w:kern w:val="0"/>
              </w:rPr>
              <w:t>1.6</w:t>
            </w:r>
          </w:p>
        </w:tc>
        <w:tc>
          <w:tcPr>
            <w:tcW w:w="666" w:type="pct"/>
            <w:vAlign w:val="center"/>
          </w:tcPr>
          <w:p>
            <w:pPr>
              <w:pStyle w:val="40"/>
              <w:rPr>
                <w:kern w:val="0"/>
              </w:rPr>
            </w:pPr>
            <w:r>
              <w:rPr>
                <w:rFonts w:hint="eastAsia"/>
                <w:kern w:val="0"/>
              </w:rPr>
              <w:t>2.2</w:t>
            </w:r>
          </w:p>
        </w:tc>
        <w:tc>
          <w:tcPr>
            <w:tcW w:w="467" w:type="pct"/>
            <w:vAlign w:val="center"/>
          </w:tcPr>
          <w:p>
            <w:pPr>
              <w:pStyle w:val="40"/>
              <w:rPr>
                <w:kern w:val="0"/>
              </w:rPr>
            </w:pPr>
            <w:r>
              <w:rPr>
                <w:rFonts w:hint="eastAsia"/>
                <w:kern w:val="0"/>
              </w:rPr>
              <w:t>4</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COD</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6</w:t>
            </w:r>
          </w:p>
        </w:tc>
        <w:tc>
          <w:tcPr>
            <w:tcW w:w="665" w:type="pct"/>
            <w:vAlign w:val="center"/>
          </w:tcPr>
          <w:p>
            <w:pPr>
              <w:pStyle w:val="40"/>
              <w:rPr>
                <w:kern w:val="0"/>
              </w:rPr>
            </w:pPr>
            <w:r>
              <w:rPr>
                <w:rFonts w:hint="eastAsia"/>
                <w:kern w:val="0"/>
              </w:rPr>
              <w:t>8</w:t>
            </w:r>
          </w:p>
        </w:tc>
        <w:tc>
          <w:tcPr>
            <w:tcW w:w="666" w:type="pct"/>
            <w:vAlign w:val="center"/>
          </w:tcPr>
          <w:p>
            <w:pPr>
              <w:pStyle w:val="40"/>
              <w:rPr>
                <w:kern w:val="0"/>
              </w:rPr>
            </w:pPr>
            <w:r>
              <w:rPr>
                <w:rFonts w:hint="eastAsia"/>
                <w:kern w:val="0"/>
              </w:rPr>
              <w:t>9</w:t>
            </w:r>
          </w:p>
        </w:tc>
        <w:tc>
          <w:tcPr>
            <w:tcW w:w="467" w:type="pct"/>
            <w:vAlign w:val="center"/>
          </w:tcPr>
          <w:p>
            <w:pPr>
              <w:pStyle w:val="40"/>
              <w:rPr>
                <w:kern w:val="0"/>
              </w:rPr>
            </w:pPr>
            <w:r>
              <w:rPr>
                <w:rFonts w:hint="eastAsia"/>
                <w:kern w:val="0"/>
              </w:rPr>
              <w:t>2</w:t>
            </w:r>
            <w:r>
              <w:rPr>
                <w:kern w:val="0"/>
              </w:rPr>
              <w:t>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高锰酸盐指数</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2.3</w:t>
            </w:r>
          </w:p>
        </w:tc>
        <w:tc>
          <w:tcPr>
            <w:tcW w:w="665" w:type="pct"/>
            <w:vAlign w:val="center"/>
          </w:tcPr>
          <w:p>
            <w:pPr>
              <w:pStyle w:val="40"/>
              <w:rPr>
                <w:kern w:val="0"/>
              </w:rPr>
            </w:pPr>
            <w:r>
              <w:rPr>
                <w:rFonts w:hint="eastAsia"/>
                <w:kern w:val="0"/>
              </w:rPr>
              <w:t>2.3</w:t>
            </w:r>
          </w:p>
        </w:tc>
        <w:tc>
          <w:tcPr>
            <w:tcW w:w="666" w:type="pct"/>
            <w:vAlign w:val="center"/>
          </w:tcPr>
          <w:p>
            <w:pPr>
              <w:pStyle w:val="40"/>
              <w:rPr>
                <w:kern w:val="0"/>
              </w:rPr>
            </w:pPr>
            <w:r>
              <w:rPr>
                <w:rFonts w:hint="eastAsia"/>
                <w:kern w:val="0"/>
              </w:rPr>
              <w:t>2.4</w:t>
            </w:r>
          </w:p>
        </w:tc>
        <w:tc>
          <w:tcPr>
            <w:tcW w:w="467" w:type="pct"/>
            <w:vAlign w:val="center"/>
          </w:tcPr>
          <w:p>
            <w:pPr>
              <w:pStyle w:val="40"/>
              <w:rPr>
                <w:kern w:val="0"/>
              </w:rPr>
            </w:pPr>
            <w:r>
              <w:rPr>
                <w:rFonts w:hint="eastAsia"/>
                <w:kern w:val="0"/>
              </w:rPr>
              <w:t>6</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氨氮</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0.145</w:t>
            </w:r>
          </w:p>
        </w:tc>
        <w:tc>
          <w:tcPr>
            <w:tcW w:w="665" w:type="pct"/>
            <w:vAlign w:val="center"/>
          </w:tcPr>
          <w:p>
            <w:pPr>
              <w:pStyle w:val="40"/>
              <w:rPr>
                <w:kern w:val="0"/>
              </w:rPr>
            </w:pPr>
            <w:r>
              <w:rPr>
                <w:rFonts w:hint="eastAsia"/>
                <w:kern w:val="0"/>
              </w:rPr>
              <w:t>0.398</w:t>
            </w:r>
          </w:p>
        </w:tc>
        <w:tc>
          <w:tcPr>
            <w:tcW w:w="666" w:type="pct"/>
            <w:vAlign w:val="center"/>
          </w:tcPr>
          <w:p>
            <w:pPr>
              <w:pStyle w:val="40"/>
              <w:rPr>
                <w:kern w:val="0"/>
              </w:rPr>
            </w:pPr>
            <w:r>
              <w:rPr>
                <w:rFonts w:hint="eastAsia"/>
                <w:kern w:val="0"/>
              </w:rPr>
              <w:t>0.180</w:t>
            </w:r>
          </w:p>
        </w:tc>
        <w:tc>
          <w:tcPr>
            <w:tcW w:w="467" w:type="pct"/>
            <w:vAlign w:val="center"/>
          </w:tcPr>
          <w:p>
            <w:pPr>
              <w:pStyle w:val="40"/>
              <w:rPr>
                <w:kern w:val="0"/>
              </w:rPr>
            </w:pPr>
            <w:r>
              <w:rPr>
                <w:rFonts w:hint="eastAsia"/>
                <w:kern w:val="0"/>
              </w:rPr>
              <w:t>1</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TP</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0.05</w:t>
            </w:r>
          </w:p>
        </w:tc>
        <w:tc>
          <w:tcPr>
            <w:tcW w:w="665" w:type="pct"/>
            <w:vAlign w:val="center"/>
          </w:tcPr>
          <w:p>
            <w:pPr>
              <w:pStyle w:val="40"/>
              <w:rPr>
                <w:kern w:val="0"/>
              </w:rPr>
            </w:pPr>
            <w:r>
              <w:rPr>
                <w:rFonts w:hint="eastAsia"/>
                <w:kern w:val="0"/>
              </w:rPr>
              <w:t>0.05</w:t>
            </w:r>
          </w:p>
        </w:tc>
        <w:tc>
          <w:tcPr>
            <w:tcW w:w="666" w:type="pct"/>
            <w:vAlign w:val="center"/>
          </w:tcPr>
          <w:p>
            <w:pPr>
              <w:pStyle w:val="40"/>
              <w:rPr>
                <w:kern w:val="0"/>
              </w:rPr>
            </w:pPr>
            <w:r>
              <w:rPr>
                <w:rFonts w:hint="eastAsia"/>
                <w:kern w:val="0"/>
              </w:rPr>
              <w:t>0.05</w:t>
            </w:r>
          </w:p>
        </w:tc>
        <w:tc>
          <w:tcPr>
            <w:tcW w:w="467" w:type="pct"/>
            <w:vAlign w:val="center"/>
          </w:tcPr>
          <w:p>
            <w:pPr>
              <w:pStyle w:val="40"/>
              <w:rPr>
                <w:kern w:val="0"/>
              </w:rPr>
            </w:pPr>
            <w:r>
              <w:rPr>
                <w:rFonts w:hint="eastAsia"/>
                <w:kern w:val="0"/>
              </w:rPr>
              <w:t>0</w:t>
            </w:r>
            <w:r>
              <w:rPr>
                <w:kern w:val="0"/>
              </w:rPr>
              <w:t>.2</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TN</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2.26</w:t>
            </w:r>
          </w:p>
        </w:tc>
        <w:tc>
          <w:tcPr>
            <w:tcW w:w="665" w:type="pct"/>
            <w:vAlign w:val="center"/>
          </w:tcPr>
          <w:p>
            <w:pPr>
              <w:pStyle w:val="40"/>
              <w:rPr>
                <w:kern w:val="0"/>
              </w:rPr>
            </w:pPr>
            <w:r>
              <w:rPr>
                <w:rFonts w:hint="eastAsia"/>
                <w:kern w:val="0"/>
              </w:rPr>
              <w:t>1.69</w:t>
            </w:r>
          </w:p>
        </w:tc>
        <w:tc>
          <w:tcPr>
            <w:tcW w:w="666" w:type="pct"/>
            <w:vAlign w:val="center"/>
          </w:tcPr>
          <w:p>
            <w:pPr>
              <w:pStyle w:val="40"/>
              <w:rPr>
                <w:kern w:val="0"/>
              </w:rPr>
            </w:pPr>
            <w:r>
              <w:rPr>
                <w:rFonts w:hint="eastAsia"/>
                <w:kern w:val="0"/>
              </w:rPr>
              <w:t>1.72</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石油类</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0.01L</w:t>
            </w:r>
          </w:p>
        </w:tc>
        <w:tc>
          <w:tcPr>
            <w:tcW w:w="665" w:type="pct"/>
            <w:vAlign w:val="center"/>
          </w:tcPr>
          <w:p>
            <w:pPr>
              <w:pStyle w:val="40"/>
              <w:rPr>
                <w:kern w:val="0"/>
              </w:rPr>
            </w:pPr>
            <w:r>
              <w:rPr>
                <w:rFonts w:hint="eastAsia"/>
                <w:kern w:val="0"/>
              </w:rPr>
              <w:t>0.01L</w:t>
            </w:r>
          </w:p>
        </w:tc>
        <w:tc>
          <w:tcPr>
            <w:tcW w:w="666" w:type="pct"/>
            <w:vAlign w:val="center"/>
          </w:tcPr>
          <w:p>
            <w:pPr>
              <w:pStyle w:val="40"/>
              <w:rPr>
                <w:kern w:val="0"/>
              </w:rPr>
            </w:pPr>
            <w:r>
              <w:rPr>
                <w:rFonts w:hint="eastAsia"/>
                <w:kern w:val="0"/>
              </w:rPr>
              <w:t>0.01L</w:t>
            </w:r>
          </w:p>
        </w:tc>
        <w:tc>
          <w:tcPr>
            <w:tcW w:w="467" w:type="pct"/>
            <w:vAlign w:val="center"/>
          </w:tcPr>
          <w:p>
            <w:pPr>
              <w:pStyle w:val="40"/>
              <w:rPr>
                <w:kern w:val="0"/>
              </w:rPr>
            </w:pPr>
            <w:r>
              <w:rPr>
                <w:rFonts w:hint="eastAsia"/>
                <w:kern w:val="0"/>
              </w:rPr>
              <w:t>0</w:t>
            </w:r>
            <w:r>
              <w:rPr>
                <w:kern w:val="0"/>
              </w:rPr>
              <w:t>.05</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粪大肠菌群</w:t>
            </w:r>
          </w:p>
        </w:tc>
        <w:tc>
          <w:tcPr>
            <w:tcW w:w="541" w:type="pct"/>
          </w:tcPr>
          <w:p>
            <w:pPr>
              <w:pStyle w:val="40"/>
              <w:rPr>
                <w:kern w:val="0"/>
              </w:rPr>
            </w:pPr>
            <w:r>
              <w:rPr>
                <w:kern w:val="0"/>
              </w:rPr>
              <w:t xml:space="preserve">MPN/L </w:t>
            </w:r>
          </w:p>
        </w:tc>
        <w:tc>
          <w:tcPr>
            <w:tcW w:w="665" w:type="pct"/>
            <w:vAlign w:val="center"/>
          </w:tcPr>
          <w:p>
            <w:pPr>
              <w:pStyle w:val="40"/>
              <w:rPr>
                <w:kern w:val="0"/>
              </w:rPr>
            </w:pPr>
            <w:r>
              <w:rPr>
                <w:rFonts w:hint="eastAsia"/>
                <w:kern w:val="0"/>
              </w:rPr>
              <w:t>10L</w:t>
            </w:r>
          </w:p>
        </w:tc>
        <w:tc>
          <w:tcPr>
            <w:tcW w:w="665" w:type="pct"/>
            <w:vAlign w:val="center"/>
          </w:tcPr>
          <w:p>
            <w:pPr>
              <w:pStyle w:val="40"/>
              <w:rPr>
                <w:kern w:val="0"/>
              </w:rPr>
            </w:pPr>
            <w:r>
              <w:rPr>
                <w:rFonts w:hint="eastAsia"/>
                <w:kern w:val="0"/>
              </w:rPr>
              <w:t>1100</w:t>
            </w:r>
          </w:p>
        </w:tc>
        <w:tc>
          <w:tcPr>
            <w:tcW w:w="666" w:type="pct"/>
            <w:vAlign w:val="center"/>
          </w:tcPr>
          <w:p>
            <w:pPr>
              <w:pStyle w:val="40"/>
              <w:rPr>
                <w:kern w:val="0"/>
              </w:rPr>
            </w:pPr>
            <w:r>
              <w:rPr>
                <w:rFonts w:hint="eastAsia"/>
                <w:kern w:val="0"/>
              </w:rPr>
              <w:t>1200</w:t>
            </w:r>
          </w:p>
        </w:tc>
        <w:tc>
          <w:tcPr>
            <w:tcW w:w="467" w:type="pct"/>
            <w:vAlign w:val="center"/>
          </w:tcPr>
          <w:p>
            <w:pPr>
              <w:pStyle w:val="40"/>
              <w:rPr>
                <w:kern w:val="0"/>
              </w:rPr>
            </w:pPr>
            <w:r>
              <w:rPr>
                <w:rFonts w:hint="eastAsia"/>
                <w:kern w:val="0"/>
              </w:rPr>
              <w:t>1</w:t>
            </w:r>
            <w:r>
              <w:rPr>
                <w:kern w:val="0"/>
              </w:rPr>
              <w:t>0000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SS</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7</w:t>
            </w:r>
          </w:p>
        </w:tc>
        <w:tc>
          <w:tcPr>
            <w:tcW w:w="665" w:type="pct"/>
            <w:vAlign w:val="center"/>
          </w:tcPr>
          <w:p>
            <w:pPr>
              <w:pStyle w:val="40"/>
              <w:rPr>
                <w:kern w:val="0"/>
              </w:rPr>
            </w:pPr>
            <w:r>
              <w:rPr>
                <w:rFonts w:hint="eastAsia"/>
                <w:kern w:val="0"/>
              </w:rPr>
              <w:t>22</w:t>
            </w:r>
          </w:p>
        </w:tc>
        <w:tc>
          <w:tcPr>
            <w:tcW w:w="666" w:type="pct"/>
            <w:vAlign w:val="center"/>
          </w:tcPr>
          <w:p>
            <w:pPr>
              <w:pStyle w:val="40"/>
              <w:rPr>
                <w:kern w:val="0"/>
              </w:rPr>
            </w:pPr>
            <w:r>
              <w:rPr>
                <w:rFonts w:hint="eastAsia"/>
                <w:kern w:val="0"/>
              </w:rPr>
              <w:t>8</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rPr>
            </w:pPr>
            <w:r>
              <w:rPr>
                <w:rFonts w:hint="eastAsia"/>
                <w:kern w:val="0"/>
                <w:szCs w:val="24"/>
              </w:rPr>
              <w:t>W28：本项目南侧紧邻的水塘；</w:t>
            </w:r>
          </w:p>
        </w:tc>
        <w:tc>
          <w:tcPr>
            <w:tcW w:w="930" w:type="pct"/>
            <w:vAlign w:val="center"/>
          </w:tcPr>
          <w:p>
            <w:pPr>
              <w:pStyle w:val="40"/>
              <w:rPr>
                <w:kern w:val="0"/>
              </w:rPr>
            </w:pPr>
            <w:r>
              <w:rPr>
                <w:rFonts w:hint="eastAsia"/>
                <w:kern w:val="0"/>
              </w:rPr>
              <w:t>p</w:t>
            </w:r>
            <w:r>
              <w:rPr>
                <w:kern w:val="0"/>
              </w:rPr>
              <w:t>H</w:t>
            </w:r>
            <w:r>
              <w:rPr>
                <w:rFonts w:hint="eastAsia"/>
                <w:kern w:val="0"/>
              </w:rPr>
              <w:t>值</w:t>
            </w:r>
          </w:p>
        </w:tc>
        <w:tc>
          <w:tcPr>
            <w:tcW w:w="541" w:type="pct"/>
            <w:vAlign w:val="center"/>
          </w:tcPr>
          <w:p>
            <w:pPr>
              <w:pStyle w:val="40"/>
              <w:rPr>
                <w:kern w:val="0"/>
              </w:rPr>
            </w:pPr>
            <w:r>
              <w:rPr>
                <w:rFonts w:hint="eastAsia"/>
                <w:kern w:val="0"/>
              </w:rPr>
              <w:t>无量纲</w:t>
            </w:r>
          </w:p>
        </w:tc>
        <w:tc>
          <w:tcPr>
            <w:tcW w:w="665" w:type="pct"/>
            <w:vAlign w:val="center"/>
          </w:tcPr>
          <w:p>
            <w:pPr>
              <w:pStyle w:val="40"/>
              <w:rPr>
                <w:kern w:val="0"/>
              </w:rPr>
            </w:pPr>
            <w:r>
              <w:rPr>
                <w:rFonts w:hint="eastAsia"/>
                <w:kern w:val="0"/>
              </w:rPr>
              <w:t>7.8</w:t>
            </w:r>
          </w:p>
        </w:tc>
        <w:tc>
          <w:tcPr>
            <w:tcW w:w="665" w:type="pct"/>
            <w:vAlign w:val="center"/>
          </w:tcPr>
          <w:p>
            <w:pPr>
              <w:pStyle w:val="40"/>
              <w:rPr>
                <w:kern w:val="0"/>
              </w:rPr>
            </w:pPr>
            <w:r>
              <w:rPr>
                <w:rFonts w:hint="eastAsia"/>
                <w:kern w:val="0"/>
              </w:rPr>
              <w:t>7.6</w:t>
            </w:r>
          </w:p>
        </w:tc>
        <w:tc>
          <w:tcPr>
            <w:tcW w:w="666" w:type="pct"/>
            <w:vAlign w:val="center"/>
          </w:tcPr>
          <w:p>
            <w:pPr>
              <w:pStyle w:val="40"/>
              <w:rPr>
                <w:kern w:val="0"/>
              </w:rPr>
            </w:pPr>
            <w:r>
              <w:rPr>
                <w:rFonts w:hint="eastAsia"/>
                <w:kern w:val="0"/>
              </w:rPr>
              <w:t>7.7</w:t>
            </w:r>
          </w:p>
        </w:tc>
        <w:tc>
          <w:tcPr>
            <w:tcW w:w="467" w:type="pct"/>
            <w:vAlign w:val="center"/>
          </w:tcPr>
          <w:p>
            <w:pPr>
              <w:pStyle w:val="40"/>
              <w:rPr>
                <w:kern w:val="0"/>
              </w:rPr>
            </w:pPr>
            <w:r>
              <w:rPr>
                <w:rFonts w:hint="eastAsia"/>
                <w:kern w:val="0"/>
              </w:rPr>
              <w:t>6</w:t>
            </w:r>
            <w:r>
              <w:rPr>
                <w:kern w:val="0"/>
              </w:rPr>
              <w:t>~9</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b/>
                <w:bCs/>
                <w:kern w:val="0"/>
              </w:rPr>
            </w:pPr>
            <w:r>
              <w:rPr>
                <w:rFonts w:hint="eastAsia"/>
                <w:b/>
                <w:bCs/>
                <w:kern w:val="0"/>
              </w:rPr>
              <w:t>BOD</w:t>
            </w:r>
            <w:r>
              <w:rPr>
                <w:b/>
                <w:bCs/>
                <w:kern w:val="0"/>
                <w:vertAlign w:val="subscript"/>
              </w:rPr>
              <w:t>5</w:t>
            </w:r>
          </w:p>
        </w:tc>
        <w:tc>
          <w:tcPr>
            <w:tcW w:w="541" w:type="pct"/>
            <w:vAlign w:val="center"/>
          </w:tcPr>
          <w:p>
            <w:pPr>
              <w:pStyle w:val="40"/>
              <w:rPr>
                <w:b/>
                <w:bCs/>
                <w:kern w:val="0"/>
              </w:rPr>
            </w:pPr>
            <w:r>
              <w:rPr>
                <w:rFonts w:hint="eastAsia"/>
                <w:b/>
                <w:bCs/>
                <w:kern w:val="0"/>
              </w:rPr>
              <w:t>mg</w:t>
            </w:r>
            <w:r>
              <w:rPr>
                <w:b/>
                <w:bCs/>
                <w:kern w:val="0"/>
              </w:rPr>
              <w:t>/L</w:t>
            </w:r>
          </w:p>
        </w:tc>
        <w:tc>
          <w:tcPr>
            <w:tcW w:w="665" w:type="pct"/>
            <w:vAlign w:val="center"/>
          </w:tcPr>
          <w:p>
            <w:pPr>
              <w:pStyle w:val="40"/>
              <w:rPr>
                <w:b/>
                <w:bCs/>
                <w:kern w:val="0"/>
              </w:rPr>
            </w:pPr>
            <w:r>
              <w:rPr>
                <w:rFonts w:hint="eastAsia"/>
                <w:b/>
                <w:bCs/>
                <w:kern w:val="0"/>
              </w:rPr>
              <w:t>12.0</w:t>
            </w:r>
          </w:p>
        </w:tc>
        <w:tc>
          <w:tcPr>
            <w:tcW w:w="665" w:type="pct"/>
            <w:vAlign w:val="center"/>
          </w:tcPr>
          <w:p>
            <w:pPr>
              <w:pStyle w:val="40"/>
              <w:rPr>
                <w:b/>
                <w:bCs/>
                <w:kern w:val="0"/>
              </w:rPr>
            </w:pPr>
            <w:r>
              <w:rPr>
                <w:rFonts w:hint="eastAsia"/>
                <w:b/>
                <w:bCs/>
                <w:kern w:val="0"/>
              </w:rPr>
              <w:t>11.0</w:t>
            </w:r>
          </w:p>
        </w:tc>
        <w:tc>
          <w:tcPr>
            <w:tcW w:w="666" w:type="pct"/>
            <w:vAlign w:val="center"/>
          </w:tcPr>
          <w:p>
            <w:pPr>
              <w:pStyle w:val="40"/>
              <w:rPr>
                <w:b/>
                <w:bCs/>
                <w:kern w:val="0"/>
              </w:rPr>
            </w:pPr>
            <w:r>
              <w:rPr>
                <w:rFonts w:hint="eastAsia"/>
                <w:b/>
                <w:bCs/>
                <w:kern w:val="0"/>
              </w:rPr>
              <w:t>12.0</w:t>
            </w:r>
          </w:p>
        </w:tc>
        <w:tc>
          <w:tcPr>
            <w:tcW w:w="467" w:type="pct"/>
            <w:vAlign w:val="center"/>
          </w:tcPr>
          <w:p>
            <w:pPr>
              <w:pStyle w:val="40"/>
              <w:rPr>
                <w:b/>
                <w:bCs/>
                <w:kern w:val="0"/>
              </w:rPr>
            </w:pPr>
            <w:r>
              <w:rPr>
                <w:rFonts w:hint="eastAsia"/>
                <w:b/>
                <w:bCs/>
                <w:kern w:val="0"/>
              </w:rPr>
              <w:t>4</w:t>
            </w:r>
          </w:p>
        </w:tc>
        <w:tc>
          <w:tcPr>
            <w:tcW w:w="401" w:type="pct"/>
            <w:vAlign w:val="center"/>
          </w:tcPr>
          <w:p>
            <w:pPr>
              <w:pStyle w:val="40"/>
              <w:rPr>
                <w:b/>
                <w:bCs/>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b/>
                <w:bCs/>
                <w:kern w:val="0"/>
              </w:rPr>
            </w:pPr>
            <w:r>
              <w:rPr>
                <w:rFonts w:hint="eastAsia"/>
                <w:b/>
                <w:bCs/>
                <w:kern w:val="0"/>
              </w:rPr>
              <w:t>COD</w:t>
            </w:r>
          </w:p>
        </w:tc>
        <w:tc>
          <w:tcPr>
            <w:tcW w:w="541" w:type="pct"/>
          </w:tcPr>
          <w:p>
            <w:pPr>
              <w:pStyle w:val="40"/>
              <w:rPr>
                <w:b/>
                <w:bCs/>
                <w:kern w:val="0"/>
              </w:rPr>
            </w:pPr>
            <w:r>
              <w:rPr>
                <w:rFonts w:hint="eastAsia"/>
                <w:b/>
                <w:bCs/>
                <w:kern w:val="0"/>
              </w:rPr>
              <w:t>mg</w:t>
            </w:r>
            <w:r>
              <w:rPr>
                <w:b/>
                <w:bCs/>
                <w:kern w:val="0"/>
              </w:rPr>
              <w:t>/L</w:t>
            </w:r>
          </w:p>
        </w:tc>
        <w:tc>
          <w:tcPr>
            <w:tcW w:w="665" w:type="pct"/>
            <w:vAlign w:val="center"/>
          </w:tcPr>
          <w:p>
            <w:pPr>
              <w:pStyle w:val="40"/>
              <w:rPr>
                <w:b/>
                <w:bCs/>
                <w:kern w:val="0"/>
              </w:rPr>
            </w:pPr>
            <w:r>
              <w:rPr>
                <w:rFonts w:hint="eastAsia"/>
                <w:b/>
                <w:bCs/>
                <w:kern w:val="0"/>
              </w:rPr>
              <w:t>48</w:t>
            </w:r>
          </w:p>
        </w:tc>
        <w:tc>
          <w:tcPr>
            <w:tcW w:w="665" w:type="pct"/>
            <w:vAlign w:val="center"/>
          </w:tcPr>
          <w:p>
            <w:pPr>
              <w:pStyle w:val="40"/>
              <w:rPr>
                <w:b/>
                <w:bCs/>
                <w:kern w:val="0"/>
              </w:rPr>
            </w:pPr>
            <w:r>
              <w:rPr>
                <w:rFonts w:hint="eastAsia"/>
                <w:b/>
                <w:bCs/>
                <w:kern w:val="0"/>
              </w:rPr>
              <w:t>45</w:t>
            </w:r>
          </w:p>
        </w:tc>
        <w:tc>
          <w:tcPr>
            <w:tcW w:w="666" w:type="pct"/>
            <w:vAlign w:val="center"/>
          </w:tcPr>
          <w:p>
            <w:pPr>
              <w:pStyle w:val="40"/>
              <w:rPr>
                <w:b/>
                <w:bCs/>
                <w:kern w:val="0"/>
              </w:rPr>
            </w:pPr>
            <w:r>
              <w:rPr>
                <w:rFonts w:hint="eastAsia"/>
                <w:b/>
                <w:bCs/>
                <w:kern w:val="0"/>
              </w:rPr>
              <w:t>49</w:t>
            </w:r>
          </w:p>
        </w:tc>
        <w:tc>
          <w:tcPr>
            <w:tcW w:w="467" w:type="pct"/>
            <w:vAlign w:val="center"/>
          </w:tcPr>
          <w:p>
            <w:pPr>
              <w:pStyle w:val="40"/>
              <w:rPr>
                <w:b/>
                <w:bCs/>
                <w:kern w:val="0"/>
              </w:rPr>
            </w:pPr>
            <w:r>
              <w:rPr>
                <w:rFonts w:hint="eastAsia"/>
                <w:b/>
                <w:bCs/>
                <w:kern w:val="0"/>
              </w:rPr>
              <w:t>2</w:t>
            </w:r>
            <w:r>
              <w:rPr>
                <w:b/>
                <w:bCs/>
                <w:kern w:val="0"/>
              </w:rPr>
              <w:t>0</w:t>
            </w:r>
          </w:p>
        </w:tc>
        <w:tc>
          <w:tcPr>
            <w:tcW w:w="401" w:type="pct"/>
            <w:vAlign w:val="center"/>
          </w:tcPr>
          <w:p>
            <w:pPr>
              <w:pStyle w:val="40"/>
              <w:rPr>
                <w:b/>
                <w:bCs/>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b/>
                <w:bCs/>
                <w:kern w:val="0"/>
              </w:rPr>
            </w:pPr>
            <w:r>
              <w:rPr>
                <w:rFonts w:hint="eastAsia"/>
                <w:b/>
                <w:bCs/>
                <w:kern w:val="0"/>
              </w:rPr>
              <w:t>高锰酸盐指数</w:t>
            </w:r>
          </w:p>
        </w:tc>
        <w:tc>
          <w:tcPr>
            <w:tcW w:w="541" w:type="pct"/>
          </w:tcPr>
          <w:p>
            <w:pPr>
              <w:pStyle w:val="40"/>
              <w:rPr>
                <w:b/>
                <w:bCs/>
                <w:kern w:val="0"/>
              </w:rPr>
            </w:pPr>
            <w:r>
              <w:rPr>
                <w:rFonts w:hint="eastAsia"/>
                <w:b/>
                <w:bCs/>
                <w:kern w:val="0"/>
              </w:rPr>
              <w:t>mg</w:t>
            </w:r>
            <w:r>
              <w:rPr>
                <w:b/>
                <w:bCs/>
                <w:kern w:val="0"/>
              </w:rPr>
              <w:t>/L</w:t>
            </w:r>
          </w:p>
        </w:tc>
        <w:tc>
          <w:tcPr>
            <w:tcW w:w="665" w:type="pct"/>
            <w:vAlign w:val="center"/>
          </w:tcPr>
          <w:p>
            <w:pPr>
              <w:pStyle w:val="40"/>
              <w:rPr>
                <w:b/>
                <w:bCs/>
                <w:kern w:val="0"/>
              </w:rPr>
            </w:pPr>
            <w:r>
              <w:rPr>
                <w:rFonts w:hint="eastAsia"/>
                <w:b/>
                <w:bCs/>
                <w:kern w:val="0"/>
              </w:rPr>
              <w:t>12.6</w:t>
            </w:r>
          </w:p>
        </w:tc>
        <w:tc>
          <w:tcPr>
            <w:tcW w:w="665" w:type="pct"/>
            <w:vAlign w:val="center"/>
          </w:tcPr>
          <w:p>
            <w:pPr>
              <w:pStyle w:val="40"/>
              <w:rPr>
                <w:b/>
                <w:bCs/>
                <w:kern w:val="0"/>
              </w:rPr>
            </w:pPr>
            <w:r>
              <w:rPr>
                <w:rFonts w:hint="eastAsia"/>
                <w:b/>
                <w:bCs/>
                <w:kern w:val="0"/>
              </w:rPr>
              <w:t>12.2</w:t>
            </w:r>
          </w:p>
        </w:tc>
        <w:tc>
          <w:tcPr>
            <w:tcW w:w="666" w:type="pct"/>
            <w:vAlign w:val="center"/>
          </w:tcPr>
          <w:p>
            <w:pPr>
              <w:pStyle w:val="40"/>
              <w:rPr>
                <w:b/>
                <w:bCs/>
                <w:kern w:val="0"/>
              </w:rPr>
            </w:pPr>
            <w:r>
              <w:rPr>
                <w:rFonts w:hint="eastAsia"/>
                <w:b/>
                <w:bCs/>
                <w:kern w:val="0"/>
              </w:rPr>
              <w:t>14.2</w:t>
            </w:r>
          </w:p>
        </w:tc>
        <w:tc>
          <w:tcPr>
            <w:tcW w:w="467" w:type="pct"/>
            <w:vAlign w:val="center"/>
          </w:tcPr>
          <w:p>
            <w:pPr>
              <w:pStyle w:val="40"/>
              <w:rPr>
                <w:b/>
                <w:bCs/>
                <w:kern w:val="0"/>
              </w:rPr>
            </w:pPr>
            <w:r>
              <w:rPr>
                <w:rFonts w:hint="eastAsia"/>
                <w:b/>
                <w:bCs/>
                <w:kern w:val="0"/>
              </w:rPr>
              <w:t>6</w:t>
            </w:r>
          </w:p>
        </w:tc>
        <w:tc>
          <w:tcPr>
            <w:tcW w:w="401" w:type="pct"/>
            <w:vAlign w:val="center"/>
          </w:tcPr>
          <w:p>
            <w:pPr>
              <w:pStyle w:val="40"/>
              <w:rPr>
                <w:b/>
                <w:bCs/>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b/>
                <w:bCs/>
                <w:kern w:val="0"/>
              </w:rPr>
            </w:pPr>
            <w:r>
              <w:rPr>
                <w:rFonts w:hint="eastAsia"/>
                <w:b/>
                <w:bCs/>
                <w:kern w:val="0"/>
              </w:rPr>
              <w:t>氨氮</w:t>
            </w:r>
          </w:p>
        </w:tc>
        <w:tc>
          <w:tcPr>
            <w:tcW w:w="541" w:type="pct"/>
          </w:tcPr>
          <w:p>
            <w:pPr>
              <w:pStyle w:val="40"/>
              <w:rPr>
                <w:b/>
                <w:bCs/>
                <w:kern w:val="0"/>
              </w:rPr>
            </w:pPr>
            <w:r>
              <w:rPr>
                <w:rFonts w:hint="eastAsia"/>
                <w:b/>
                <w:bCs/>
                <w:kern w:val="0"/>
              </w:rPr>
              <w:t>mg</w:t>
            </w:r>
            <w:r>
              <w:rPr>
                <w:b/>
                <w:bCs/>
                <w:kern w:val="0"/>
              </w:rPr>
              <w:t>/L</w:t>
            </w:r>
          </w:p>
        </w:tc>
        <w:tc>
          <w:tcPr>
            <w:tcW w:w="665" w:type="pct"/>
            <w:vAlign w:val="center"/>
          </w:tcPr>
          <w:p>
            <w:pPr>
              <w:pStyle w:val="40"/>
              <w:rPr>
                <w:b/>
                <w:bCs/>
                <w:kern w:val="0"/>
              </w:rPr>
            </w:pPr>
            <w:r>
              <w:rPr>
                <w:rFonts w:hint="eastAsia"/>
                <w:b/>
                <w:bCs/>
                <w:kern w:val="0"/>
              </w:rPr>
              <w:t>3.85</w:t>
            </w:r>
          </w:p>
        </w:tc>
        <w:tc>
          <w:tcPr>
            <w:tcW w:w="665" w:type="pct"/>
            <w:vAlign w:val="center"/>
          </w:tcPr>
          <w:p>
            <w:pPr>
              <w:pStyle w:val="40"/>
              <w:rPr>
                <w:b/>
                <w:bCs/>
                <w:kern w:val="0"/>
              </w:rPr>
            </w:pPr>
            <w:r>
              <w:rPr>
                <w:rFonts w:hint="eastAsia"/>
                <w:b/>
                <w:bCs/>
                <w:kern w:val="0"/>
              </w:rPr>
              <w:t>3.50</w:t>
            </w:r>
          </w:p>
        </w:tc>
        <w:tc>
          <w:tcPr>
            <w:tcW w:w="666" w:type="pct"/>
            <w:vAlign w:val="center"/>
          </w:tcPr>
          <w:p>
            <w:pPr>
              <w:pStyle w:val="40"/>
              <w:rPr>
                <w:b/>
                <w:bCs/>
                <w:kern w:val="0"/>
              </w:rPr>
            </w:pPr>
            <w:r>
              <w:rPr>
                <w:rFonts w:hint="eastAsia"/>
                <w:b/>
                <w:bCs/>
                <w:kern w:val="0"/>
              </w:rPr>
              <w:t>3.58</w:t>
            </w:r>
          </w:p>
        </w:tc>
        <w:tc>
          <w:tcPr>
            <w:tcW w:w="467" w:type="pct"/>
            <w:vAlign w:val="center"/>
          </w:tcPr>
          <w:p>
            <w:pPr>
              <w:pStyle w:val="40"/>
              <w:rPr>
                <w:b/>
                <w:bCs/>
                <w:kern w:val="0"/>
              </w:rPr>
            </w:pPr>
            <w:r>
              <w:rPr>
                <w:rFonts w:hint="eastAsia"/>
                <w:b/>
                <w:bCs/>
                <w:kern w:val="0"/>
              </w:rPr>
              <w:t>1</w:t>
            </w:r>
          </w:p>
        </w:tc>
        <w:tc>
          <w:tcPr>
            <w:tcW w:w="401" w:type="pct"/>
            <w:vAlign w:val="center"/>
          </w:tcPr>
          <w:p>
            <w:pPr>
              <w:pStyle w:val="40"/>
              <w:rPr>
                <w:b/>
                <w:bCs/>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b/>
                <w:bCs/>
                <w:kern w:val="0"/>
              </w:rPr>
            </w:pPr>
            <w:r>
              <w:rPr>
                <w:rFonts w:hint="eastAsia"/>
                <w:b/>
                <w:bCs/>
                <w:kern w:val="0"/>
              </w:rPr>
              <w:t>TP</w:t>
            </w:r>
          </w:p>
        </w:tc>
        <w:tc>
          <w:tcPr>
            <w:tcW w:w="541" w:type="pct"/>
          </w:tcPr>
          <w:p>
            <w:pPr>
              <w:pStyle w:val="40"/>
              <w:rPr>
                <w:b/>
                <w:bCs/>
                <w:kern w:val="0"/>
              </w:rPr>
            </w:pPr>
            <w:r>
              <w:rPr>
                <w:rFonts w:hint="eastAsia"/>
                <w:b/>
                <w:bCs/>
                <w:kern w:val="0"/>
              </w:rPr>
              <w:t>mg</w:t>
            </w:r>
            <w:r>
              <w:rPr>
                <w:b/>
                <w:bCs/>
                <w:kern w:val="0"/>
              </w:rPr>
              <w:t>/L</w:t>
            </w:r>
          </w:p>
        </w:tc>
        <w:tc>
          <w:tcPr>
            <w:tcW w:w="665" w:type="pct"/>
            <w:vAlign w:val="center"/>
          </w:tcPr>
          <w:p>
            <w:pPr>
              <w:pStyle w:val="40"/>
              <w:rPr>
                <w:b/>
                <w:bCs/>
                <w:kern w:val="0"/>
              </w:rPr>
            </w:pPr>
            <w:r>
              <w:rPr>
                <w:rFonts w:hint="eastAsia"/>
                <w:b/>
                <w:bCs/>
                <w:kern w:val="0"/>
              </w:rPr>
              <w:t>0.72</w:t>
            </w:r>
          </w:p>
        </w:tc>
        <w:tc>
          <w:tcPr>
            <w:tcW w:w="665" w:type="pct"/>
            <w:vAlign w:val="center"/>
          </w:tcPr>
          <w:p>
            <w:pPr>
              <w:pStyle w:val="40"/>
              <w:rPr>
                <w:b/>
                <w:bCs/>
                <w:kern w:val="0"/>
              </w:rPr>
            </w:pPr>
            <w:r>
              <w:rPr>
                <w:rFonts w:hint="eastAsia"/>
                <w:b/>
                <w:bCs/>
                <w:kern w:val="0"/>
              </w:rPr>
              <w:t>0.66</w:t>
            </w:r>
          </w:p>
        </w:tc>
        <w:tc>
          <w:tcPr>
            <w:tcW w:w="666" w:type="pct"/>
            <w:vAlign w:val="center"/>
          </w:tcPr>
          <w:p>
            <w:pPr>
              <w:pStyle w:val="40"/>
              <w:rPr>
                <w:b/>
                <w:bCs/>
                <w:kern w:val="0"/>
              </w:rPr>
            </w:pPr>
            <w:r>
              <w:rPr>
                <w:rFonts w:hint="eastAsia"/>
                <w:b/>
                <w:bCs/>
                <w:kern w:val="0"/>
              </w:rPr>
              <w:t>0.61</w:t>
            </w:r>
          </w:p>
        </w:tc>
        <w:tc>
          <w:tcPr>
            <w:tcW w:w="467" w:type="pct"/>
            <w:vAlign w:val="center"/>
          </w:tcPr>
          <w:p>
            <w:pPr>
              <w:pStyle w:val="40"/>
              <w:rPr>
                <w:b/>
                <w:bCs/>
                <w:kern w:val="0"/>
              </w:rPr>
            </w:pPr>
            <w:r>
              <w:rPr>
                <w:rFonts w:hint="eastAsia"/>
                <w:b/>
                <w:bCs/>
                <w:kern w:val="0"/>
              </w:rPr>
              <w:t>0</w:t>
            </w:r>
            <w:r>
              <w:rPr>
                <w:b/>
                <w:bCs/>
                <w:kern w:val="0"/>
              </w:rPr>
              <w:t>.2</w:t>
            </w:r>
          </w:p>
        </w:tc>
        <w:tc>
          <w:tcPr>
            <w:tcW w:w="401" w:type="pct"/>
            <w:vAlign w:val="center"/>
          </w:tcPr>
          <w:p>
            <w:pPr>
              <w:pStyle w:val="40"/>
              <w:rPr>
                <w:b/>
                <w:bCs/>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TN</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8.61</w:t>
            </w:r>
          </w:p>
        </w:tc>
        <w:tc>
          <w:tcPr>
            <w:tcW w:w="665" w:type="pct"/>
            <w:vAlign w:val="center"/>
          </w:tcPr>
          <w:p>
            <w:pPr>
              <w:pStyle w:val="40"/>
              <w:rPr>
                <w:kern w:val="0"/>
              </w:rPr>
            </w:pPr>
            <w:r>
              <w:rPr>
                <w:rFonts w:hint="eastAsia"/>
                <w:kern w:val="0"/>
              </w:rPr>
              <w:t>7.40</w:t>
            </w:r>
          </w:p>
        </w:tc>
        <w:tc>
          <w:tcPr>
            <w:tcW w:w="666" w:type="pct"/>
            <w:vAlign w:val="center"/>
          </w:tcPr>
          <w:p>
            <w:pPr>
              <w:pStyle w:val="40"/>
              <w:rPr>
                <w:kern w:val="0"/>
              </w:rPr>
            </w:pPr>
            <w:r>
              <w:rPr>
                <w:rFonts w:hint="eastAsia"/>
                <w:kern w:val="0"/>
              </w:rPr>
              <w:t>8.96</w:t>
            </w:r>
          </w:p>
        </w:tc>
        <w:tc>
          <w:tcPr>
            <w:tcW w:w="467" w:type="pct"/>
            <w:vAlign w:val="center"/>
          </w:tcPr>
          <w:p>
            <w:pPr>
              <w:pStyle w:val="40"/>
              <w:rPr>
                <w:kern w:val="0"/>
              </w:rPr>
            </w:pPr>
            <w:r>
              <w:rPr>
                <w:rFonts w:hint="eastAsia"/>
                <w:b/>
                <w:bCs/>
                <w:kern w:val="0"/>
              </w:rPr>
              <w:t>1</w:t>
            </w:r>
          </w:p>
        </w:tc>
        <w:tc>
          <w:tcPr>
            <w:tcW w:w="401" w:type="pct"/>
            <w:vAlign w:val="center"/>
          </w:tcPr>
          <w:p>
            <w:pPr>
              <w:pStyle w:val="40"/>
              <w:rPr>
                <w:kern w:val="0"/>
              </w:rPr>
            </w:pPr>
            <w:r>
              <w:rPr>
                <w:rFonts w:hint="eastAsia"/>
                <w:b/>
                <w:bCs/>
                <w:kern w:val="0"/>
              </w:rPr>
              <w:t>超标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石油类</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0.01L</w:t>
            </w:r>
          </w:p>
        </w:tc>
        <w:tc>
          <w:tcPr>
            <w:tcW w:w="665" w:type="pct"/>
            <w:vAlign w:val="center"/>
          </w:tcPr>
          <w:p>
            <w:pPr>
              <w:pStyle w:val="40"/>
              <w:rPr>
                <w:kern w:val="0"/>
              </w:rPr>
            </w:pPr>
            <w:r>
              <w:rPr>
                <w:rFonts w:hint="eastAsia"/>
                <w:kern w:val="0"/>
              </w:rPr>
              <w:t>0.02</w:t>
            </w:r>
          </w:p>
        </w:tc>
        <w:tc>
          <w:tcPr>
            <w:tcW w:w="666" w:type="pct"/>
            <w:vAlign w:val="center"/>
          </w:tcPr>
          <w:p>
            <w:pPr>
              <w:pStyle w:val="40"/>
              <w:rPr>
                <w:kern w:val="0"/>
              </w:rPr>
            </w:pPr>
            <w:r>
              <w:rPr>
                <w:rFonts w:hint="eastAsia"/>
                <w:kern w:val="0"/>
              </w:rPr>
              <w:t>0.01</w:t>
            </w:r>
          </w:p>
        </w:tc>
        <w:tc>
          <w:tcPr>
            <w:tcW w:w="467" w:type="pct"/>
            <w:vAlign w:val="center"/>
          </w:tcPr>
          <w:p>
            <w:pPr>
              <w:pStyle w:val="40"/>
              <w:rPr>
                <w:kern w:val="0"/>
              </w:rPr>
            </w:pPr>
            <w:r>
              <w:rPr>
                <w:rFonts w:hint="eastAsia"/>
                <w:kern w:val="0"/>
              </w:rPr>
              <w:t>0</w:t>
            </w:r>
            <w:r>
              <w:rPr>
                <w:kern w:val="0"/>
              </w:rPr>
              <w:t>.05</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粪大肠菌群</w:t>
            </w:r>
          </w:p>
        </w:tc>
        <w:tc>
          <w:tcPr>
            <w:tcW w:w="541" w:type="pct"/>
          </w:tcPr>
          <w:p>
            <w:pPr>
              <w:pStyle w:val="40"/>
              <w:rPr>
                <w:kern w:val="0"/>
              </w:rPr>
            </w:pPr>
            <w:r>
              <w:rPr>
                <w:kern w:val="0"/>
              </w:rPr>
              <w:t xml:space="preserve">MPN/L </w:t>
            </w:r>
          </w:p>
        </w:tc>
        <w:tc>
          <w:tcPr>
            <w:tcW w:w="665" w:type="pct"/>
            <w:vAlign w:val="center"/>
          </w:tcPr>
          <w:p>
            <w:pPr>
              <w:pStyle w:val="40"/>
              <w:rPr>
                <w:kern w:val="0"/>
              </w:rPr>
            </w:pPr>
            <w:r>
              <w:rPr>
                <w:rFonts w:hint="eastAsia"/>
                <w:kern w:val="0"/>
              </w:rPr>
              <w:t>10L</w:t>
            </w:r>
          </w:p>
        </w:tc>
        <w:tc>
          <w:tcPr>
            <w:tcW w:w="665" w:type="pct"/>
            <w:vAlign w:val="center"/>
          </w:tcPr>
          <w:p>
            <w:pPr>
              <w:pStyle w:val="40"/>
              <w:rPr>
                <w:kern w:val="0"/>
              </w:rPr>
            </w:pPr>
            <w:r>
              <w:rPr>
                <w:rFonts w:hint="eastAsia"/>
                <w:kern w:val="0"/>
              </w:rPr>
              <w:t>1600</w:t>
            </w:r>
          </w:p>
        </w:tc>
        <w:tc>
          <w:tcPr>
            <w:tcW w:w="666" w:type="pct"/>
            <w:vAlign w:val="center"/>
          </w:tcPr>
          <w:p>
            <w:pPr>
              <w:pStyle w:val="40"/>
              <w:rPr>
                <w:kern w:val="0"/>
              </w:rPr>
            </w:pPr>
            <w:r>
              <w:rPr>
                <w:rFonts w:hint="eastAsia"/>
                <w:kern w:val="0"/>
              </w:rPr>
              <w:t>300</w:t>
            </w:r>
          </w:p>
        </w:tc>
        <w:tc>
          <w:tcPr>
            <w:tcW w:w="467" w:type="pct"/>
            <w:vAlign w:val="center"/>
          </w:tcPr>
          <w:p>
            <w:pPr>
              <w:pStyle w:val="40"/>
              <w:rPr>
                <w:kern w:val="0"/>
              </w:rPr>
            </w:pPr>
            <w:r>
              <w:rPr>
                <w:rFonts w:hint="eastAsia"/>
                <w:kern w:val="0"/>
              </w:rPr>
              <w:t>1</w:t>
            </w:r>
            <w:r>
              <w:rPr>
                <w:kern w:val="0"/>
              </w:rPr>
              <w:t>0000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rPr>
            </w:pPr>
          </w:p>
        </w:tc>
        <w:tc>
          <w:tcPr>
            <w:tcW w:w="930" w:type="pct"/>
            <w:vAlign w:val="center"/>
          </w:tcPr>
          <w:p>
            <w:pPr>
              <w:pStyle w:val="40"/>
              <w:rPr>
                <w:kern w:val="0"/>
              </w:rPr>
            </w:pPr>
            <w:r>
              <w:rPr>
                <w:rFonts w:hint="eastAsia"/>
                <w:kern w:val="0"/>
              </w:rPr>
              <w:t>SS</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116</w:t>
            </w:r>
          </w:p>
        </w:tc>
        <w:tc>
          <w:tcPr>
            <w:tcW w:w="665" w:type="pct"/>
            <w:vAlign w:val="center"/>
          </w:tcPr>
          <w:p>
            <w:pPr>
              <w:pStyle w:val="40"/>
              <w:rPr>
                <w:kern w:val="0"/>
              </w:rPr>
            </w:pPr>
            <w:r>
              <w:rPr>
                <w:rFonts w:hint="eastAsia"/>
                <w:kern w:val="0"/>
              </w:rPr>
              <w:t>113</w:t>
            </w:r>
          </w:p>
        </w:tc>
        <w:tc>
          <w:tcPr>
            <w:tcW w:w="666" w:type="pct"/>
            <w:vAlign w:val="center"/>
          </w:tcPr>
          <w:p>
            <w:pPr>
              <w:pStyle w:val="40"/>
              <w:rPr>
                <w:kern w:val="0"/>
              </w:rPr>
            </w:pPr>
            <w:r>
              <w:rPr>
                <w:rFonts w:hint="eastAsia"/>
                <w:kern w:val="0"/>
              </w:rPr>
              <w:t>98</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rPr>
            </w:pPr>
            <w:r>
              <w:rPr>
                <w:rFonts w:hint="eastAsia"/>
                <w:kern w:val="0"/>
                <w:szCs w:val="24"/>
              </w:rPr>
              <w:t>W29：灌溉渠本项目尾水排口下游1.7km处</w:t>
            </w:r>
          </w:p>
        </w:tc>
        <w:tc>
          <w:tcPr>
            <w:tcW w:w="930" w:type="pct"/>
            <w:vAlign w:val="center"/>
          </w:tcPr>
          <w:p>
            <w:pPr>
              <w:pStyle w:val="40"/>
              <w:rPr>
                <w:kern w:val="0"/>
              </w:rPr>
            </w:pPr>
            <w:r>
              <w:rPr>
                <w:rFonts w:hint="eastAsia"/>
                <w:kern w:val="0"/>
              </w:rPr>
              <w:t>p</w:t>
            </w:r>
            <w:r>
              <w:rPr>
                <w:kern w:val="0"/>
              </w:rPr>
              <w:t>H</w:t>
            </w:r>
            <w:r>
              <w:rPr>
                <w:rFonts w:hint="eastAsia"/>
                <w:kern w:val="0"/>
              </w:rPr>
              <w:t>值</w:t>
            </w:r>
          </w:p>
        </w:tc>
        <w:tc>
          <w:tcPr>
            <w:tcW w:w="541" w:type="pct"/>
            <w:vAlign w:val="center"/>
          </w:tcPr>
          <w:p>
            <w:pPr>
              <w:pStyle w:val="40"/>
              <w:rPr>
                <w:kern w:val="0"/>
              </w:rPr>
            </w:pPr>
            <w:r>
              <w:rPr>
                <w:rFonts w:hint="eastAsia"/>
                <w:kern w:val="0"/>
              </w:rPr>
              <w:t>无量纲</w:t>
            </w:r>
          </w:p>
        </w:tc>
        <w:tc>
          <w:tcPr>
            <w:tcW w:w="665" w:type="pct"/>
            <w:vAlign w:val="center"/>
          </w:tcPr>
          <w:p>
            <w:pPr>
              <w:pStyle w:val="40"/>
              <w:rPr>
                <w:kern w:val="0"/>
              </w:rPr>
            </w:pPr>
            <w:r>
              <w:rPr>
                <w:rFonts w:hint="eastAsia"/>
                <w:kern w:val="0"/>
              </w:rPr>
              <w:t>7.4</w:t>
            </w:r>
          </w:p>
        </w:tc>
        <w:tc>
          <w:tcPr>
            <w:tcW w:w="665" w:type="pct"/>
            <w:vAlign w:val="center"/>
          </w:tcPr>
          <w:p>
            <w:pPr>
              <w:pStyle w:val="40"/>
              <w:rPr>
                <w:kern w:val="0"/>
              </w:rPr>
            </w:pPr>
            <w:r>
              <w:rPr>
                <w:rFonts w:hint="eastAsia"/>
                <w:kern w:val="0"/>
              </w:rPr>
              <w:t>7.6</w:t>
            </w:r>
          </w:p>
        </w:tc>
        <w:tc>
          <w:tcPr>
            <w:tcW w:w="666" w:type="pct"/>
            <w:vAlign w:val="center"/>
          </w:tcPr>
          <w:p>
            <w:pPr>
              <w:pStyle w:val="40"/>
              <w:rPr>
                <w:kern w:val="0"/>
              </w:rPr>
            </w:pPr>
            <w:r>
              <w:rPr>
                <w:rFonts w:hint="eastAsia"/>
                <w:kern w:val="0"/>
              </w:rPr>
              <w:t>7.5</w:t>
            </w:r>
          </w:p>
        </w:tc>
        <w:tc>
          <w:tcPr>
            <w:tcW w:w="467" w:type="pct"/>
            <w:vAlign w:val="center"/>
          </w:tcPr>
          <w:p>
            <w:pPr>
              <w:pStyle w:val="40"/>
              <w:rPr>
                <w:kern w:val="0"/>
              </w:rPr>
            </w:pPr>
            <w:r>
              <w:rPr>
                <w:rFonts w:hint="eastAsia"/>
                <w:kern w:val="0"/>
              </w:rPr>
              <w:t>6</w:t>
            </w:r>
            <w:r>
              <w:rPr>
                <w:kern w:val="0"/>
              </w:rPr>
              <w:t>~9</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BOD</w:t>
            </w:r>
            <w:r>
              <w:rPr>
                <w:kern w:val="0"/>
                <w:vertAlign w:val="subscript"/>
              </w:rPr>
              <w:t>5</w:t>
            </w:r>
          </w:p>
        </w:tc>
        <w:tc>
          <w:tcPr>
            <w:tcW w:w="541" w:type="pct"/>
            <w:vAlign w:val="center"/>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1.7</w:t>
            </w:r>
          </w:p>
        </w:tc>
        <w:tc>
          <w:tcPr>
            <w:tcW w:w="665" w:type="pct"/>
            <w:vAlign w:val="center"/>
          </w:tcPr>
          <w:p>
            <w:pPr>
              <w:pStyle w:val="40"/>
              <w:rPr>
                <w:kern w:val="0"/>
              </w:rPr>
            </w:pPr>
            <w:r>
              <w:rPr>
                <w:rFonts w:hint="eastAsia"/>
                <w:kern w:val="0"/>
              </w:rPr>
              <w:t>1.7</w:t>
            </w:r>
          </w:p>
        </w:tc>
        <w:tc>
          <w:tcPr>
            <w:tcW w:w="666" w:type="pct"/>
            <w:vAlign w:val="center"/>
          </w:tcPr>
          <w:p>
            <w:pPr>
              <w:pStyle w:val="40"/>
              <w:rPr>
                <w:kern w:val="0"/>
              </w:rPr>
            </w:pPr>
            <w:r>
              <w:rPr>
                <w:rFonts w:hint="eastAsia"/>
                <w:kern w:val="0"/>
              </w:rPr>
              <w:t>2.3</w:t>
            </w:r>
          </w:p>
        </w:tc>
        <w:tc>
          <w:tcPr>
            <w:tcW w:w="467" w:type="pct"/>
            <w:vAlign w:val="center"/>
          </w:tcPr>
          <w:p>
            <w:pPr>
              <w:pStyle w:val="40"/>
              <w:rPr>
                <w:kern w:val="0"/>
              </w:rPr>
            </w:pPr>
            <w:r>
              <w:rPr>
                <w:rFonts w:hint="eastAsia"/>
                <w:kern w:val="0"/>
              </w:rPr>
              <w:t>4</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COD</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7</w:t>
            </w:r>
          </w:p>
        </w:tc>
        <w:tc>
          <w:tcPr>
            <w:tcW w:w="665" w:type="pct"/>
            <w:vAlign w:val="center"/>
          </w:tcPr>
          <w:p>
            <w:pPr>
              <w:pStyle w:val="40"/>
              <w:rPr>
                <w:kern w:val="0"/>
              </w:rPr>
            </w:pPr>
            <w:r>
              <w:rPr>
                <w:rFonts w:hint="eastAsia"/>
                <w:kern w:val="0"/>
              </w:rPr>
              <w:t>7</w:t>
            </w:r>
          </w:p>
        </w:tc>
        <w:tc>
          <w:tcPr>
            <w:tcW w:w="666" w:type="pct"/>
            <w:vAlign w:val="center"/>
          </w:tcPr>
          <w:p>
            <w:pPr>
              <w:pStyle w:val="40"/>
              <w:rPr>
                <w:kern w:val="0"/>
              </w:rPr>
            </w:pPr>
            <w:r>
              <w:rPr>
                <w:rFonts w:hint="eastAsia"/>
                <w:kern w:val="0"/>
              </w:rPr>
              <w:t>9</w:t>
            </w:r>
          </w:p>
        </w:tc>
        <w:tc>
          <w:tcPr>
            <w:tcW w:w="467" w:type="pct"/>
            <w:vAlign w:val="center"/>
          </w:tcPr>
          <w:p>
            <w:pPr>
              <w:pStyle w:val="40"/>
              <w:rPr>
                <w:kern w:val="0"/>
              </w:rPr>
            </w:pPr>
            <w:r>
              <w:rPr>
                <w:rFonts w:hint="eastAsia"/>
                <w:kern w:val="0"/>
              </w:rPr>
              <w:t>2</w:t>
            </w:r>
            <w:r>
              <w:rPr>
                <w:kern w:val="0"/>
              </w:rPr>
              <w:t>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高锰酸盐指数</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2.4</w:t>
            </w:r>
          </w:p>
        </w:tc>
        <w:tc>
          <w:tcPr>
            <w:tcW w:w="665" w:type="pct"/>
            <w:vAlign w:val="center"/>
          </w:tcPr>
          <w:p>
            <w:pPr>
              <w:pStyle w:val="40"/>
              <w:rPr>
                <w:kern w:val="0"/>
              </w:rPr>
            </w:pPr>
            <w:r>
              <w:rPr>
                <w:rFonts w:hint="eastAsia"/>
                <w:kern w:val="0"/>
              </w:rPr>
              <w:t>2.5</w:t>
            </w:r>
          </w:p>
        </w:tc>
        <w:tc>
          <w:tcPr>
            <w:tcW w:w="666" w:type="pct"/>
            <w:vAlign w:val="center"/>
          </w:tcPr>
          <w:p>
            <w:pPr>
              <w:pStyle w:val="40"/>
              <w:rPr>
                <w:kern w:val="0"/>
              </w:rPr>
            </w:pPr>
            <w:r>
              <w:rPr>
                <w:rFonts w:hint="eastAsia"/>
                <w:kern w:val="0"/>
              </w:rPr>
              <w:t>2.5</w:t>
            </w:r>
          </w:p>
        </w:tc>
        <w:tc>
          <w:tcPr>
            <w:tcW w:w="467" w:type="pct"/>
            <w:vAlign w:val="center"/>
          </w:tcPr>
          <w:p>
            <w:pPr>
              <w:pStyle w:val="40"/>
              <w:rPr>
                <w:kern w:val="0"/>
              </w:rPr>
            </w:pPr>
            <w:r>
              <w:rPr>
                <w:rFonts w:hint="eastAsia"/>
                <w:kern w:val="0"/>
              </w:rPr>
              <w:t>6</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氨氮</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0.158</w:t>
            </w:r>
          </w:p>
        </w:tc>
        <w:tc>
          <w:tcPr>
            <w:tcW w:w="665" w:type="pct"/>
            <w:vAlign w:val="center"/>
          </w:tcPr>
          <w:p>
            <w:pPr>
              <w:pStyle w:val="40"/>
              <w:rPr>
                <w:kern w:val="0"/>
              </w:rPr>
            </w:pPr>
            <w:r>
              <w:rPr>
                <w:rFonts w:hint="eastAsia"/>
                <w:kern w:val="0"/>
              </w:rPr>
              <w:t>0.111</w:t>
            </w:r>
          </w:p>
        </w:tc>
        <w:tc>
          <w:tcPr>
            <w:tcW w:w="666" w:type="pct"/>
            <w:vAlign w:val="center"/>
          </w:tcPr>
          <w:p>
            <w:pPr>
              <w:pStyle w:val="40"/>
              <w:rPr>
                <w:kern w:val="0"/>
              </w:rPr>
            </w:pPr>
            <w:r>
              <w:rPr>
                <w:rFonts w:hint="eastAsia"/>
                <w:kern w:val="0"/>
              </w:rPr>
              <w:t>0.464</w:t>
            </w:r>
          </w:p>
        </w:tc>
        <w:tc>
          <w:tcPr>
            <w:tcW w:w="467" w:type="pct"/>
            <w:vAlign w:val="center"/>
          </w:tcPr>
          <w:p>
            <w:pPr>
              <w:pStyle w:val="40"/>
              <w:rPr>
                <w:kern w:val="0"/>
              </w:rPr>
            </w:pPr>
            <w:r>
              <w:rPr>
                <w:rFonts w:hint="eastAsia"/>
                <w:kern w:val="0"/>
              </w:rPr>
              <w:t>1</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TP</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0.09</w:t>
            </w:r>
          </w:p>
        </w:tc>
        <w:tc>
          <w:tcPr>
            <w:tcW w:w="665" w:type="pct"/>
            <w:vAlign w:val="center"/>
          </w:tcPr>
          <w:p>
            <w:pPr>
              <w:pStyle w:val="40"/>
              <w:rPr>
                <w:kern w:val="0"/>
              </w:rPr>
            </w:pPr>
            <w:r>
              <w:rPr>
                <w:rFonts w:hint="eastAsia"/>
                <w:kern w:val="0"/>
              </w:rPr>
              <w:t>0.07</w:t>
            </w:r>
          </w:p>
        </w:tc>
        <w:tc>
          <w:tcPr>
            <w:tcW w:w="666" w:type="pct"/>
            <w:vAlign w:val="center"/>
          </w:tcPr>
          <w:p>
            <w:pPr>
              <w:pStyle w:val="40"/>
              <w:rPr>
                <w:kern w:val="0"/>
              </w:rPr>
            </w:pPr>
            <w:r>
              <w:rPr>
                <w:rFonts w:hint="eastAsia"/>
                <w:kern w:val="0"/>
              </w:rPr>
              <w:t>0.10</w:t>
            </w:r>
          </w:p>
        </w:tc>
        <w:tc>
          <w:tcPr>
            <w:tcW w:w="467" w:type="pct"/>
            <w:vAlign w:val="center"/>
          </w:tcPr>
          <w:p>
            <w:pPr>
              <w:pStyle w:val="40"/>
              <w:rPr>
                <w:kern w:val="0"/>
              </w:rPr>
            </w:pPr>
            <w:r>
              <w:rPr>
                <w:rFonts w:hint="eastAsia"/>
                <w:kern w:val="0"/>
              </w:rPr>
              <w:t>0</w:t>
            </w:r>
            <w:r>
              <w:rPr>
                <w:kern w:val="0"/>
              </w:rPr>
              <w:t>.2</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TN</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1.10</w:t>
            </w:r>
          </w:p>
        </w:tc>
        <w:tc>
          <w:tcPr>
            <w:tcW w:w="665" w:type="pct"/>
            <w:vAlign w:val="center"/>
          </w:tcPr>
          <w:p>
            <w:pPr>
              <w:pStyle w:val="40"/>
              <w:rPr>
                <w:kern w:val="0"/>
              </w:rPr>
            </w:pPr>
            <w:r>
              <w:rPr>
                <w:rFonts w:hint="eastAsia"/>
                <w:kern w:val="0"/>
              </w:rPr>
              <w:t>0.88</w:t>
            </w:r>
          </w:p>
        </w:tc>
        <w:tc>
          <w:tcPr>
            <w:tcW w:w="666" w:type="pct"/>
            <w:vAlign w:val="center"/>
          </w:tcPr>
          <w:p>
            <w:pPr>
              <w:pStyle w:val="40"/>
              <w:rPr>
                <w:kern w:val="0"/>
              </w:rPr>
            </w:pPr>
            <w:r>
              <w:rPr>
                <w:rFonts w:hint="eastAsia"/>
                <w:kern w:val="0"/>
              </w:rPr>
              <w:t>1.60</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石油类</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0.01L</w:t>
            </w:r>
          </w:p>
        </w:tc>
        <w:tc>
          <w:tcPr>
            <w:tcW w:w="665" w:type="pct"/>
            <w:vAlign w:val="center"/>
          </w:tcPr>
          <w:p>
            <w:pPr>
              <w:pStyle w:val="40"/>
              <w:rPr>
                <w:kern w:val="0"/>
              </w:rPr>
            </w:pPr>
            <w:r>
              <w:rPr>
                <w:rFonts w:hint="eastAsia"/>
                <w:kern w:val="0"/>
              </w:rPr>
              <w:t>0.01L</w:t>
            </w:r>
          </w:p>
        </w:tc>
        <w:tc>
          <w:tcPr>
            <w:tcW w:w="666" w:type="pct"/>
            <w:vAlign w:val="center"/>
          </w:tcPr>
          <w:p>
            <w:pPr>
              <w:pStyle w:val="40"/>
              <w:rPr>
                <w:kern w:val="0"/>
              </w:rPr>
            </w:pPr>
            <w:r>
              <w:rPr>
                <w:rFonts w:hint="eastAsia"/>
                <w:kern w:val="0"/>
              </w:rPr>
              <w:t>0.01L</w:t>
            </w:r>
          </w:p>
        </w:tc>
        <w:tc>
          <w:tcPr>
            <w:tcW w:w="467" w:type="pct"/>
            <w:vAlign w:val="center"/>
          </w:tcPr>
          <w:p>
            <w:pPr>
              <w:pStyle w:val="40"/>
              <w:rPr>
                <w:kern w:val="0"/>
              </w:rPr>
            </w:pPr>
            <w:r>
              <w:rPr>
                <w:rFonts w:hint="eastAsia"/>
                <w:kern w:val="0"/>
              </w:rPr>
              <w:t>0</w:t>
            </w:r>
            <w:r>
              <w:rPr>
                <w:kern w:val="0"/>
              </w:rPr>
              <w:t>.05</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粪大肠菌群</w:t>
            </w:r>
          </w:p>
        </w:tc>
        <w:tc>
          <w:tcPr>
            <w:tcW w:w="541" w:type="pct"/>
          </w:tcPr>
          <w:p>
            <w:pPr>
              <w:pStyle w:val="40"/>
              <w:rPr>
                <w:kern w:val="0"/>
              </w:rPr>
            </w:pPr>
            <w:r>
              <w:rPr>
                <w:kern w:val="0"/>
              </w:rPr>
              <w:t xml:space="preserve">MPN/L </w:t>
            </w:r>
          </w:p>
        </w:tc>
        <w:tc>
          <w:tcPr>
            <w:tcW w:w="665" w:type="pct"/>
            <w:vAlign w:val="center"/>
          </w:tcPr>
          <w:p>
            <w:pPr>
              <w:pStyle w:val="40"/>
              <w:rPr>
                <w:kern w:val="0"/>
              </w:rPr>
            </w:pPr>
            <w:r>
              <w:rPr>
                <w:rFonts w:hint="eastAsia"/>
                <w:kern w:val="0"/>
              </w:rPr>
              <w:t>8900</w:t>
            </w:r>
          </w:p>
        </w:tc>
        <w:tc>
          <w:tcPr>
            <w:tcW w:w="665" w:type="pct"/>
            <w:vAlign w:val="center"/>
          </w:tcPr>
          <w:p>
            <w:pPr>
              <w:pStyle w:val="40"/>
              <w:rPr>
                <w:kern w:val="0"/>
              </w:rPr>
            </w:pPr>
            <w:r>
              <w:rPr>
                <w:rFonts w:hint="eastAsia"/>
                <w:kern w:val="0"/>
              </w:rPr>
              <w:t>10L</w:t>
            </w:r>
          </w:p>
        </w:tc>
        <w:tc>
          <w:tcPr>
            <w:tcW w:w="666" w:type="pct"/>
            <w:vAlign w:val="center"/>
          </w:tcPr>
          <w:p>
            <w:pPr>
              <w:pStyle w:val="40"/>
              <w:rPr>
                <w:kern w:val="0"/>
              </w:rPr>
            </w:pPr>
            <w:r>
              <w:rPr>
                <w:rFonts w:hint="eastAsia"/>
                <w:kern w:val="0"/>
              </w:rPr>
              <w:t>10L</w:t>
            </w:r>
          </w:p>
        </w:tc>
        <w:tc>
          <w:tcPr>
            <w:tcW w:w="467" w:type="pct"/>
            <w:vAlign w:val="center"/>
          </w:tcPr>
          <w:p>
            <w:pPr>
              <w:pStyle w:val="40"/>
              <w:rPr>
                <w:kern w:val="0"/>
              </w:rPr>
            </w:pPr>
            <w:r>
              <w:rPr>
                <w:rFonts w:hint="eastAsia"/>
                <w:kern w:val="0"/>
              </w:rPr>
              <w:t>1</w:t>
            </w:r>
            <w:r>
              <w:rPr>
                <w:kern w:val="0"/>
              </w:rPr>
              <w:t>0000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SS</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19</w:t>
            </w:r>
          </w:p>
        </w:tc>
        <w:tc>
          <w:tcPr>
            <w:tcW w:w="665" w:type="pct"/>
            <w:vAlign w:val="center"/>
          </w:tcPr>
          <w:p>
            <w:pPr>
              <w:pStyle w:val="40"/>
              <w:rPr>
                <w:kern w:val="0"/>
              </w:rPr>
            </w:pPr>
            <w:r>
              <w:rPr>
                <w:rFonts w:hint="eastAsia"/>
                <w:kern w:val="0"/>
              </w:rPr>
              <w:t>23</w:t>
            </w:r>
          </w:p>
        </w:tc>
        <w:tc>
          <w:tcPr>
            <w:tcW w:w="666" w:type="pct"/>
            <w:vAlign w:val="center"/>
          </w:tcPr>
          <w:p>
            <w:pPr>
              <w:pStyle w:val="40"/>
              <w:rPr>
                <w:kern w:val="0"/>
              </w:rPr>
            </w:pPr>
            <w:r>
              <w:rPr>
                <w:rFonts w:hint="eastAsia"/>
                <w:kern w:val="0"/>
              </w:rPr>
              <w:t>24</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restart"/>
            <w:vAlign w:val="center"/>
          </w:tcPr>
          <w:p>
            <w:pPr>
              <w:pStyle w:val="40"/>
              <w:rPr>
                <w:kern w:val="0"/>
                <w:szCs w:val="24"/>
              </w:rPr>
            </w:pPr>
            <w:r>
              <w:rPr>
                <w:rFonts w:hint="eastAsia"/>
                <w:kern w:val="0"/>
                <w:szCs w:val="24"/>
              </w:rPr>
              <w:t>W30：灌溉渠入祁水口，灌溉渠上游500m处</w:t>
            </w:r>
          </w:p>
        </w:tc>
        <w:tc>
          <w:tcPr>
            <w:tcW w:w="930" w:type="pct"/>
            <w:vAlign w:val="center"/>
          </w:tcPr>
          <w:p>
            <w:pPr>
              <w:pStyle w:val="40"/>
              <w:rPr>
                <w:kern w:val="0"/>
              </w:rPr>
            </w:pPr>
            <w:r>
              <w:rPr>
                <w:rFonts w:hint="eastAsia"/>
                <w:kern w:val="0"/>
              </w:rPr>
              <w:t>p</w:t>
            </w:r>
            <w:r>
              <w:rPr>
                <w:kern w:val="0"/>
              </w:rPr>
              <w:t>H</w:t>
            </w:r>
            <w:r>
              <w:rPr>
                <w:rFonts w:hint="eastAsia"/>
                <w:kern w:val="0"/>
              </w:rPr>
              <w:t>值</w:t>
            </w:r>
          </w:p>
        </w:tc>
        <w:tc>
          <w:tcPr>
            <w:tcW w:w="541" w:type="pct"/>
            <w:vAlign w:val="center"/>
          </w:tcPr>
          <w:p>
            <w:pPr>
              <w:pStyle w:val="40"/>
              <w:rPr>
                <w:kern w:val="0"/>
              </w:rPr>
            </w:pPr>
            <w:r>
              <w:rPr>
                <w:rFonts w:hint="eastAsia"/>
                <w:kern w:val="0"/>
              </w:rPr>
              <w:t>无量纲</w:t>
            </w:r>
          </w:p>
        </w:tc>
        <w:tc>
          <w:tcPr>
            <w:tcW w:w="665" w:type="pct"/>
            <w:vAlign w:val="center"/>
          </w:tcPr>
          <w:p>
            <w:pPr>
              <w:pStyle w:val="40"/>
              <w:rPr>
                <w:kern w:val="0"/>
              </w:rPr>
            </w:pPr>
            <w:r>
              <w:rPr>
                <w:rFonts w:hint="eastAsia"/>
                <w:kern w:val="0"/>
              </w:rPr>
              <w:t>7.7</w:t>
            </w:r>
          </w:p>
        </w:tc>
        <w:tc>
          <w:tcPr>
            <w:tcW w:w="665" w:type="pct"/>
            <w:vAlign w:val="center"/>
          </w:tcPr>
          <w:p>
            <w:pPr>
              <w:pStyle w:val="40"/>
              <w:rPr>
                <w:kern w:val="0"/>
              </w:rPr>
            </w:pPr>
            <w:r>
              <w:rPr>
                <w:rFonts w:hint="eastAsia"/>
                <w:kern w:val="0"/>
              </w:rPr>
              <w:t>7.5</w:t>
            </w:r>
          </w:p>
        </w:tc>
        <w:tc>
          <w:tcPr>
            <w:tcW w:w="666" w:type="pct"/>
            <w:vAlign w:val="center"/>
          </w:tcPr>
          <w:p>
            <w:pPr>
              <w:pStyle w:val="40"/>
              <w:rPr>
                <w:kern w:val="0"/>
              </w:rPr>
            </w:pPr>
            <w:r>
              <w:rPr>
                <w:rFonts w:hint="eastAsia"/>
                <w:kern w:val="0"/>
              </w:rPr>
              <w:t>7.6</w:t>
            </w:r>
          </w:p>
        </w:tc>
        <w:tc>
          <w:tcPr>
            <w:tcW w:w="467" w:type="pct"/>
            <w:vAlign w:val="center"/>
          </w:tcPr>
          <w:p>
            <w:pPr>
              <w:pStyle w:val="40"/>
              <w:rPr>
                <w:kern w:val="0"/>
              </w:rPr>
            </w:pPr>
            <w:r>
              <w:rPr>
                <w:rFonts w:hint="eastAsia"/>
                <w:kern w:val="0"/>
              </w:rPr>
              <w:t>6</w:t>
            </w:r>
            <w:r>
              <w:rPr>
                <w:kern w:val="0"/>
              </w:rPr>
              <w:t>~9</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BOD</w:t>
            </w:r>
            <w:r>
              <w:rPr>
                <w:kern w:val="0"/>
                <w:vertAlign w:val="subscript"/>
              </w:rPr>
              <w:t>5</w:t>
            </w:r>
          </w:p>
        </w:tc>
        <w:tc>
          <w:tcPr>
            <w:tcW w:w="541" w:type="pct"/>
            <w:vAlign w:val="center"/>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2.2</w:t>
            </w:r>
          </w:p>
        </w:tc>
        <w:tc>
          <w:tcPr>
            <w:tcW w:w="665" w:type="pct"/>
            <w:vAlign w:val="center"/>
          </w:tcPr>
          <w:p>
            <w:pPr>
              <w:pStyle w:val="40"/>
              <w:rPr>
                <w:kern w:val="0"/>
              </w:rPr>
            </w:pPr>
            <w:r>
              <w:rPr>
                <w:rFonts w:hint="eastAsia"/>
                <w:kern w:val="0"/>
              </w:rPr>
              <w:t>1.7</w:t>
            </w:r>
          </w:p>
        </w:tc>
        <w:tc>
          <w:tcPr>
            <w:tcW w:w="666" w:type="pct"/>
            <w:vAlign w:val="center"/>
          </w:tcPr>
          <w:p>
            <w:pPr>
              <w:pStyle w:val="40"/>
              <w:rPr>
                <w:kern w:val="0"/>
              </w:rPr>
            </w:pPr>
            <w:r>
              <w:rPr>
                <w:rFonts w:hint="eastAsia"/>
                <w:kern w:val="0"/>
              </w:rPr>
              <w:t>1.7</w:t>
            </w:r>
          </w:p>
        </w:tc>
        <w:tc>
          <w:tcPr>
            <w:tcW w:w="467" w:type="pct"/>
            <w:vAlign w:val="center"/>
          </w:tcPr>
          <w:p>
            <w:pPr>
              <w:pStyle w:val="40"/>
              <w:rPr>
                <w:kern w:val="0"/>
              </w:rPr>
            </w:pPr>
            <w:r>
              <w:rPr>
                <w:rFonts w:hint="eastAsia"/>
                <w:kern w:val="0"/>
              </w:rPr>
              <w:t>4</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COD</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9</w:t>
            </w:r>
          </w:p>
        </w:tc>
        <w:tc>
          <w:tcPr>
            <w:tcW w:w="665" w:type="pct"/>
            <w:vAlign w:val="center"/>
          </w:tcPr>
          <w:p>
            <w:pPr>
              <w:pStyle w:val="40"/>
              <w:rPr>
                <w:kern w:val="0"/>
              </w:rPr>
            </w:pPr>
            <w:r>
              <w:rPr>
                <w:rFonts w:hint="eastAsia"/>
                <w:kern w:val="0"/>
              </w:rPr>
              <w:t>7</w:t>
            </w:r>
          </w:p>
        </w:tc>
        <w:tc>
          <w:tcPr>
            <w:tcW w:w="666" w:type="pct"/>
            <w:vAlign w:val="center"/>
          </w:tcPr>
          <w:p>
            <w:pPr>
              <w:pStyle w:val="40"/>
              <w:rPr>
                <w:kern w:val="0"/>
              </w:rPr>
            </w:pPr>
            <w:r>
              <w:rPr>
                <w:rFonts w:hint="eastAsia"/>
                <w:kern w:val="0"/>
              </w:rPr>
              <w:t>6</w:t>
            </w:r>
          </w:p>
        </w:tc>
        <w:tc>
          <w:tcPr>
            <w:tcW w:w="467" w:type="pct"/>
            <w:vAlign w:val="center"/>
          </w:tcPr>
          <w:p>
            <w:pPr>
              <w:pStyle w:val="40"/>
              <w:rPr>
                <w:kern w:val="0"/>
              </w:rPr>
            </w:pPr>
            <w:r>
              <w:rPr>
                <w:rFonts w:hint="eastAsia"/>
                <w:kern w:val="0"/>
              </w:rPr>
              <w:t>2</w:t>
            </w:r>
            <w:r>
              <w:rPr>
                <w:kern w:val="0"/>
              </w:rPr>
              <w:t>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高锰酸盐指数</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2.4</w:t>
            </w:r>
          </w:p>
        </w:tc>
        <w:tc>
          <w:tcPr>
            <w:tcW w:w="665" w:type="pct"/>
            <w:vAlign w:val="center"/>
          </w:tcPr>
          <w:p>
            <w:pPr>
              <w:pStyle w:val="40"/>
              <w:rPr>
                <w:kern w:val="0"/>
              </w:rPr>
            </w:pPr>
            <w:r>
              <w:rPr>
                <w:rFonts w:hint="eastAsia"/>
                <w:kern w:val="0"/>
              </w:rPr>
              <w:t>2.9</w:t>
            </w:r>
          </w:p>
        </w:tc>
        <w:tc>
          <w:tcPr>
            <w:tcW w:w="666" w:type="pct"/>
            <w:vAlign w:val="center"/>
          </w:tcPr>
          <w:p>
            <w:pPr>
              <w:pStyle w:val="40"/>
              <w:rPr>
                <w:kern w:val="0"/>
              </w:rPr>
            </w:pPr>
            <w:r>
              <w:rPr>
                <w:rFonts w:hint="eastAsia"/>
                <w:kern w:val="0"/>
              </w:rPr>
              <w:t>2.4</w:t>
            </w:r>
          </w:p>
        </w:tc>
        <w:tc>
          <w:tcPr>
            <w:tcW w:w="467" w:type="pct"/>
            <w:vAlign w:val="center"/>
          </w:tcPr>
          <w:p>
            <w:pPr>
              <w:pStyle w:val="40"/>
              <w:rPr>
                <w:kern w:val="0"/>
              </w:rPr>
            </w:pPr>
            <w:r>
              <w:rPr>
                <w:rFonts w:hint="eastAsia"/>
                <w:kern w:val="0"/>
              </w:rPr>
              <w:t>6</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氨氮</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0.102</w:t>
            </w:r>
          </w:p>
        </w:tc>
        <w:tc>
          <w:tcPr>
            <w:tcW w:w="665" w:type="pct"/>
            <w:vAlign w:val="center"/>
          </w:tcPr>
          <w:p>
            <w:pPr>
              <w:pStyle w:val="40"/>
              <w:rPr>
                <w:kern w:val="0"/>
              </w:rPr>
            </w:pPr>
            <w:r>
              <w:rPr>
                <w:rFonts w:hint="eastAsia"/>
                <w:kern w:val="0"/>
              </w:rPr>
              <w:t>0.430</w:t>
            </w:r>
          </w:p>
        </w:tc>
        <w:tc>
          <w:tcPr>
            <w:tcW w:w="666" w:type="pct"/>
            <w:vAlign w:val="center"/>
          </w:tcPr>
          <w:p>
            <w:pPr>
              <w:pStyle w:val="40"/>
              <w:rPr>
                <w:kern w:val="0"/>
              </w:rPr>
            </w:pPr>
            <w:r>
              <w:rPr>
                <w:rFonts w:hint="eastAsia"/>
                <w:kern w:val="0"/>
              </w:rPr>
              <w:t>0.239</w:t>
            </w:r>
          </w:p>
        </w:tc>
        <w:tc>
          <w:tcPr>
            <w:tcW w:w="467" w:type="pct"/>
            <w:vAlign w:val="center"/>
          </w:tcPr>
          <w:p>
            <w:pPr>
              <w:pStyle w:val="40"/>
              <w:rPr>
                <w:kern w:val="0"/>
              </w:rPr>
            </w:pPr>
            <w:r>
              <w:rPr>
                <w:rFonts w:hint="eastAsia"/>
                <w:kern w:val="0"/>
              </w:rPr>
              <w:t>1</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TP</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0.10</w:t>
            </w:r>
          </w:p>
        </w:tc>
        <w:tc>
          <w:tcPr>
            <w:tcW w:w="665" w:type="pct"/>
            <w:vAlign w:val="center"/>
          </w:tcPr>
          <w:p>
            <w:pPr>
              <w:pStyle w:val="40"/>
              <w:rPr>
                <w:kern w:val="0"/>
              </w:rPr>
            </w:pPr>
            <w:r>
              <w:rPr>
                <w:rFonts w:hint="eastAsia"/>
                <w:kern w:val="0"/>
              </w:rPr>
              <w:t>0.05</w:t>
            </w:r>
          </w:p>
        </w:tc>
        <w:tc>
          <w:tcPr>
            <w:tcW w:w="666" w:type="pct"/>
            <w:vAlign w:val="center"/>
          </w:tcPr>
          <w:p>
            <w:pPr>
              <w:pStyle w:val="40"/>
              <w:rPr>
                <w:kern w:val="0"/>
              </w:rPr>
            </w:pPr>
            <w:r>
              <w:rPr>
                <w:rFonts w:hint="eastAsia"/>
                <w:kern w:val="0"/>
              </w:rPr>
              <w:t>0.10</w:t>
            </w:r>
          </w:p>
        </w:tc>
        <w:tc>
          <w:tcPr>
            <w:tcW w:w="467" w:type="pct"/>
            <w:vAlign w:val="center"/>
          </w:tcPr>
          <w:p>
            <w:pPr>
              <w:pStyle w:val="40"/>
              <w:rPr>
                <w:kern w:val="0"/>
              </w:rPr>
            </w:pPr>
            <w:r>
              <w:rPr>
                <w:rFonts w:hint="eastAsia"/>
                <w:kern w:val="0"/>
              </w:rPr>
              <w:t>0</w:t>
            </w:r>
            <w:r>
              <w:rPr>
                <w:kern w:val="0"/>
              </w:rPr>
              <w:t>.2</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TN</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1.63</w:t>
            </w:r>
          </w:p>
        </w:tc>
        <w:tc>
          <w:tcPr>
            <w:tcW w:w="665" w:type="pct"/>
            <w:vAlign w:val="center"/>
          </w:tcPr>
          <w:p>
            <w:pPr>
              <w:pStyle w:val="40"/>
              <w:rPr>
                <w:kern w:val="0"/>
              </w:rPr>
            </w:pPr>
            <w:r>
              <w:rPr>
                <w:rFonts w:hint="eastAsia"/>
                <w:kern w:val="0"/>
              </w:rPr>
              <w:t>1.45</w:t>
            </w:r>
          </w:p>
        </w:tc>
        <w:tc>
          <w:tcPr>
            <w:tcW w:w="666" w:type="pct"/>
            <w:vAlign w:val="center"/>
          </w:tcPr>
          <w:p>
            <w:pPr>
              <w:pStyle w:val="40"/>
              <w:rPr>
                <w:kern w:val="0"/>
              </w:rPr>
            </w:pPr>
            <w:r>
              <w:rPr>
                <w:rFonts w:hint="eastAsia"/>
                <w:kern w:val="0"/>
              </w:rPr>
              <w:t>0.86</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石油类</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0.01L</w:t>
            </w:r>
          </w:p>
        </w:tc>
        <w:tc>
          <w:tcPr>
            <w:tcW w:w="665" w:type="pct"/>
            <w:vAlign w:val="center"/>
          </w:tcPr>
          <w:p>
            <w:pPr>
              <w:pStyle w:val="40"/>
              <w:rPr>
                <w:kern w:val="0"/>
              </w:rPr>
            </w:pPr>
            <w:r>
              <w:rPr>
                <w:rFonts w:hint="eastAsia"/>
                <w:kern w:val="0"/>
              </w:rPr>
              <w:t>0.01L</w:t>
            </w:r>
          </w:p>
        </w:tc>
        <w:tc>
          <w:tcPr>
            <w:tcW w:w="666" w:type="pct"/>
            <w:vAlign w:val="center"/>
          </w:tcPr>
          <w:p>
            <w:pPr>
              <w:pStyle w:val="40"/>
              <w:rPr>
                <w:kern w:val="0"/>
              </w:rPr>
            </w:pPr>
            <w:r>
              <w:rPr>
                <w:rFonts w:hint="eastAsia"/>
                <w:kern w:val="0"/>
              </w:rPr>
              <w:t>0.01L</w:t>
            </w:r>
          </w:p>
        </w:tc>
        <w:tc>
          <w:tcPr>
            <w:tcW w:w="467" w:type="pct"/>
            <w:vAlign w:val="center"/>
          </w:tcPr>
          <w:p>
            <w:pPr>
              <w:pStyle w:val="40"/>
              <w:rPr>
                <w:kern w:val="0"/>
              </w:rPr>
            </w:pPr>
            <w:r>
              <w:rPr>
                <w:rFonts w:hint="eastAsia"/>
                <w:kern w:val="0"/>
              </w:rPr>
              <w:t>0</w:t>
            </w:r>
            <w:r>
              <w:rPr>
                <w:kern w:val="0"/>
              </w:rPr>
              <w:t>.05</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粪大肠菌群</w:t>
            </w:r>
          </w:p>
        </w:tc>
        <w:tc>
          <w:tcPr>
            <w:tcW w:w="541" w:type="pct"/>
          </w:tcPr>
          <w:p>
            <w:pPr>
              <w:pStyle w:val="40"/>
              <w:rPr>
                <w:kern w:val="0"/>
              </w:rPr>
            </w:pPr>
            <w:r>
              <w:rPr>
                <w:kern w:val="0"/>
              </w:rPr>
              <w:t xml:space="preserve">MPN/L </w:t>
            </w:r>
          </w:p>
        </w:tc>
        <w:tc>
          <w:tcPr>
            <w:tcW w:w="665" w:type="pct"/>
            <w:vAlign w:val="center"/>
          </w:tcPr>
          <w:p>
            <w:pPr>
              <w:pStyle w:val="40"/>
              <w:rPr>
                <w:kern w:val="0"/>
              </w:rPr>
            </w:pPr>
            <w:r>
              <w:rPr>
                <w:rFonts w:hint="eastAsia"/>
                <w:kern w:val="0"/>
              </w:rPr>
              <w:t>1200</w:t>
            </w:r>
          </w:p>
        </w:tc>
        <w:tc>
          <w:tcPr>
            <w:tcW w:w="665" w:type="pct"/>
            <w:vAlign w:val="center"/>
          </w:tcPr>
          <w:p>
            <w:pPr>
              <w:pStyle w:val="40"/>
              <w:rPr>
                <w:kern w:val="0"/>
              </w:rPr>
            </w:pPr>
            <w:r>
              <w:rPr>
                <w:rFonts w:hint="eastAsia"/>
                <w:kern w:val="0"/>
              </w:rPr>
              <w:t>10L</w:t>
            </w:r>
          </w:p>
        </w:tc>
        <w:tc>
          <w:tcPr>
            <w:tcW w:w="666" w:type="pct"/>
            <w:vAlign w:val="center"/>
          </w:tcPr>
          <w:p>
            <w:pPr>
              <w:pStyle w:val="40"/>
              <w:rPr>
                <w:kern w:val="0"/>
              </w:rPr>
            </w:pPr>
            <w:r>
              <w:rPr>
                <w:rFonts w:hint="eastAsia"/>
                <w:kern w:val="0"/>
              </w:rPr>
              <w:t>1300</w:t>
            </w:r>
          </w:p>
        </w:tc>
        <w:tc>
          <w:tcPr>
            <w:tcW w:w="467" w:type="pct"/>
            <w:vAlign w:val="center"/>
          </w:tcPr>
          <w:p>
            <w:pPr>
              <w:pStyle w:val="40"/>
              <w:rPr>
                <w:kern w:val="0"/>
              </w:rPr>
            </w:pPr>
            <w:r>
              <w:rPr>
                <w:rFonts w:hint="eastAsia"/>
                <w:kern w:val="0"/>
              </w:rPr>
              <w:t>1</w:t>
            </w:r>
            <w:r>
              <w:rPr>
                <w:kern w:val="0"/>
              </w:rPr>
              <w:t>0000</w:t>
            </w:r>
          </w:p>
        </w:tc>
        <w:tc>
          <w:tcPr>
            <w:tcW w:w="401" w:type="pct"/>
            <w:vAlign w:val="center"/>
          </w:tcPr>
          <w:p>
            <w:pPr>
              <w:pStyle w:val="40"/>
              <w:rPr>
                <w:kern w:val="0"/>
              </w:rPr>
            </w:pPr>
            <w:r>
              <w:rPr>
                <w:rFonts w:hint="eastAsia"/>
                <w:kern w:val="0"/>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5" w:type="pct"/>
            <w:vMerge w:val="continue"/>
            <w:vAlign w:val="center"/>
          </w:tcPr>
          <w:p>
            <w:pPr>
              <w:pStyle w:val="40"/>
              <w:rPr>
                <w:kern w:val="0"/>
                <w:szCs w:val="24"/>
              </w:rPr>
            </w:pPr>
          </w:p>
        </w:tc>
        <w:tc>
          <w:tcPr>
            <w:tcW w:w="930" w:type="pct"/>
            <w:vAlign w:val="center"/>
          </w:tcPr>
          <w:p>
            <w:pPr>
              <w:pStyle w:val="40"/>
              <w:rPr>
                <w:kern w:val="0"/>
              </w:rPr>
            </w:pPr>
            <w:r>
              <w:rPr>
                <w:rFonts w:hint="eastAsia"/>
                <w:kern w:val="0"/>
              </w:rPr>
              <w:t>SS</w:t>
            </w:r>
          </w:p>
        </w:tc>
        <w:tc>
          <w:tcPr>
            <w:tcW w:w="541" w:type="pct"/>
          </w:tcPr>
          <w:p>
            <w:pPr>
              <w:pStyle w:val="40"/>
              <w:rPr>
                <w:kern w:val="0"/>
              </w:rPr>
            </w:pPr>
            <w:r>
              <w:rPr>
                <w:rFonts w:hint="eastAsia"/>
                <w:kern w:val="0"/>
              </w:rPr>
              <w:t>mg</w:t>
            </w:r>
            <w:r>
              <w:rPr>
                <w:kern w:val="0"/>
              </w:rPr>
              <w:t>/L</w:t>
            </w:r>
          </w:p>
        </w:tc>
        <w:tc>
          <w:tcPr>
            <w:tcW w:w="665" w:type="pct"/>
            <w:vAlign w:val="center"/>
          </w:tcPr>
          <w:p>
            <w:pPr>
              <w:pStyle w:val="40"/>
              <w:rPr>
                <w:kern w:val="0"/>
              </w:rPr>
            </w:pPr>
            <w:r>
              <w:rPr>
                <w:rFonts w:hint="eastAsia"/>
                <w:kern w:val="0"/>
              </w:rPr>
              <w:t>16</w:t>
            </w:r>
          </w:p>
        </w:tc>
        <w:tc>
          <w:tcPr>
            <w:tcW w:w="665" w:type="pct"/>
            <w:vAlign w:val="center"/>
          </w:tcPr>
          <w:p>
            <w:pPr>
              <w:pStyle w:val="40"/>
              <w:rPr>
                <w:kern w:val="0"/>
              </w:rPr>
            </w:pPr>
            <w:r>
              <w:rPr>
                <w:rFonts w:hint="eastAsia"/>
                <w:kern w:val="0"/>
              </w:rPr>
              <w:t>11</w:t>
            </w:r>
          </w:p>
        </w:tc>
        <w:tc>
          <w:tcPr>
            <w:tcW w:w="666" w:type="pct"/>
            <w:vAlign w:val="center"/>
          </w:tcPr>
          <w:p>
            <w:pPr>
              <w:pStyle w:val="40"/>
              <w:rPr>
                <w:kern w:val="0"/>
              </w:rPr>
            </w:pPr>
            <w:r>
              <w:rPr>
                <w:rFonts w:hint="eastAsia"/>
                <w:kern w:val="0"/>
              </w:rPr>
              <w:t>32</w:t>
            </w:r>
          </w:p>
        </w:tc>
        <w:tc>
          <w:tcPr>
            <w:tcW w:w="467" w:type="pct"/>
            <w:vAlign w:val="center"/>
          </w:tcPr>
          <w:p>
            <w:pPr>
              <w:pStyle w:val="40"/>
              <w:rPr>
                <w:kern w:val="0"/>
              </w:rPr>
            </w:pPr>
            <w:r>
              <w:rPr>
                <w:rFonts w:hint="eastAsia"/>
                <w:kern w:val="0"/>
              </w:rPr>
              <w:t>/</w:t>
            </w:r>
          </w:p>
        </w:tc>
        <w:tc>
          <w:tcPr>
            <w:tcW w:w="401" w:type="pct"/>
            <w:vAlign w:val="center"/>
          </w:tcPr>
          <w:p>
            <w:pPr>
              <w:pStyle w:val="40"/>
              <w:rPr>
                <w:kern w:val="0"/>
              </w:rPr>
            </w:pPr>
            <w:r>
              <w:rPr>
                <w:rFonts w:hint="eastAsia"/>
                <w:kern w:val="0"/>
              </w:rPr>
              <w:t>/</w:t>
            </w:r>
          </w:p>
        </w:tc>
      </w:tr>
    </w:tbl>
    <w:p>
      <w:pPr>
        <w:pStyle w:val="27"/>
        <w:ind w:firstLine="480"/>
        <w:rPr>
          <w:rFonts w:ascii="宋体" w:hAnsi="宋体" w:cs="宋体"/>
          <w:color w:val="000000"/>
        </w:rPr>
      </w:pPr>
      <w:r>
        <w:rPr>
          <w:rFonts w:hint="eastAsia" w:ascii="宋体" w:hAnsi="宋体" w:cs="宋体"/>
          <w:color w:val="000000"/>
        </w:rPr>
        <w:t>根据监测结果，祁水本次2个监测断面各监测因子均能满足《地表水环境质量标准》（GB3838-2002）中III类标准限值要求；项目纳污的灌溉渠2个监测断面各监测因子均能满足《地表水环境质量标准》（GB3838-2002）中III类标准限值要求；项目污水处理站紧邻的南侧水塘中COD、BOD</w:t>
      </w:r>
      <w:r>
        <w:rPr>
          <w:rFonts w:hint="eastAsia" w:ascii="宋体" w:hAnsi="宋体" w:cs="宋体"/>
          <w:color w:val="000000"/>
          <w:vertAlign w:val="subscript"/>
        </w:rPr>
        <w:t>5</w:t>
      </w:r>
      <w:r>
        <w:rPr>
          <w:rFonts w:hint="eastAsia" w:ascii="宋体" w:hAnsi="宋体" w:cs="宋体"/>
          <w:color w:val="000000"/>
        </w:rPr>
        <w:t>、高锰酸盐指数、氨氮、总磷等监测因子均不能满足《地表水环境质量标准》（GB3838-2002）中III类标准限值要求，其中COD、BOD</w:t>
      </w:r>
      <w:r>
        <w:rPr>
          <w:rFonts w:hint="eastAsia" w:ascii="宋体" w:hAnsi="宋体" w:cs="宋体"/>
          <w:color w:val="000000"/>
          <w:vertAlign w:val="subscript"/>
        </w:rPr>
        <w:t>5</w:t>
      </w:r>
      <w:r>
        <w:rPr>
          <w:rFonts w:hint="eastAsia" w:ascii="宋体" w:hAnsi="宋体" w:cs="宋体"/>
          <w:color w:val="000000"/>
        </w:rPr>
        <w:t>、氨氮、总磷等因子不能满足V类标准限值要求，属于劣V类水体，超标原因为该水塘属于凤歧坪乡集镇区纳污水塘，且监测期间属于枯水期、非灌溉季，水塘上游无自然来水，水塘内水基本为集镇区生活污水，因此各污染物浓度偏高。</w:t>
      </w:r>
    </w:p>
    <w:p>
      <w:pPr>
        <w:pStyle w:val="27"/>
        <w:ind w:firstLine="0" w:firstLineChars="0"/>
      </w:pPr>
      <w:r>
        <w:rPr>
          <w14:ligatures w14:val="standardContextual"/>
        </w:rPr>
        <mc:AlternateContent>
          <mc:Choice Requires="wps">
            <w:drawing>
              <wp:anchor distT="0" distB="0" distL="114300" distR="114300" simplePos="0" relativeHeight="251702272" behindDoc="0" locked="0" layoutInCell="1" allowOverlap="1">
                <wp:simplePos x="0" y="0"/>
                <wp:positionH relativeFrom="column">
                  <wp:posOffset>990600</wp:posOffset>
                </wp:positionH>
                <wp:positionV relativeFrom="paragraph">
                  <wp:posOffset>5067300</wp:posOffset>
                </wp:positionV>
                <wp:extent cx="1238250" cy="323850"/>
                <wp:effectExtent l="0" t="190500" r="952500" b="19050"/>
                <wp:wrapNone/>
                <wp:docPr id="2130664998" name="对话气泡: 矩形 12"/>
                <wp:cNvGraphicFramePr/>
                <a:graphic xmlns:a="http://schemas.openxmlformats.org/drawingml/2006/main">
                  <a:graphicData uri="http://schemas.microsoft.com/office/word/2010/wordprocessingShape">
                    <wps:wsp>
                      <wps:cNvSpPr/>
                      <wps:spPr>
                        <a:xfrm>
                          <a:off x="0" y="0"/>
                          <a:ext cx="1238250" cy="323850"/>
                        </a:xfrm>
                        <a:prstGeom prst="wedgeRectCallout">
                          <a:avLst>
                            <a:gd name="adj1" fmla="val 122763"/>
                            <a:gd name="adj2" fmla="val -99265"/>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祁水</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78pt;margin-top:399pt;height:25.5pt;width:97.5pt;z-index:251702272;v-text-anchor:middle;mso-width-relative:page;mso-height-relative:page;" fillcolor="#FFFFFF [3201]" filled="t" stroked="t" coordsize="21600,21600" o:gfxdata="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aabFo2gAAAAsBAAAPAAAA&#10;AAAAAAEAIAAAACIAAABkcnMvZG93bnJldi54bWxQSwECFAAUAAAACACHTuJAHCSttb4CAAB2BQAA&#10;DgAAAAAAAAABACAAAAApAQAAZHJzL2Uyb0RvYy54bWxQSwUGAAAAAAYABgBZAQAAWQYAAAAA&#10;" adj="37317,-10641">
                <v:fill on="t" focussize="0,0"/>
                <v:stroke weight="1pt" color="#000000 [3200]" miterlimit="8" joinstyle="miter"/>
                <v:imagedata o:title=""/>
                <o:lock v:ext="edit" aspectratio="f"/>
                <v:textbox>
                  <w:txbxContent>
                    <w:p>
                      <w:pPr>
                        <w:jc w:val="center"/>
                      </w:pPr>
                      <w:r>
                        <w:rPr>
                          <w:rFonts w:hint="eastAsia"/>
                        </w:rPr>
                        <w:t>祁水</w:t>
                      </w:r>
                    </w:p>
                  </w:txbxContent>
                </v:textbox>
              </v:shape>
            </w:pict>
          </mc:Fallback>
        </mc:AlternateContent>
      </w:r>
      <w:r>
        <w:rPr>
          <w14:ligatures w14:val="standardContextual"/>
        </w:rPr>
        <mc:AlternateContent>
          <mc:Choice Requires="wps">
            <w:drawing>
              <wp:anchor distT="0" distB="0" distL="114300" distR="114300" simplePos="0" relativeHeight="251701248" behindDoc="0" locked="0" layoutInCell="1" allowOverlap="1">
                <wp:simplePos x="0" y="0"/>
                <wp:positionH relativeFrom="column">
                  <wp:posOffset>133350</wp:posOffset>
                </wp:positionH>
                <wp:positionV relativeFrom="paragraph">
                  <wp:posOffset>2000250</wp:posOffset>
                </wp:positionV>
                <wp:extent cx="1238250" cy="323850"/>
                <wp:effectExtent l="0" t="209550" r="762000" b="19050"/>
                <wp:wrapNone/>
                <wp:docPr id="889827932" name="对话气泡: 矩形 12"/>
                <wp:cNvGraphicFramePr/>
                <a:graphic xmlns:a="http://schemas.openxmlformats.org/drawingml/2006/main">
                  <a:graphicData uri="http://schemas.microsoft.com/office/word/2010/wordprocessingShape">
                    <wps:wsp>
                      <wps:cNvSpPr/>
                      <wps:spPr>
                        <a:xfrm>
                          <a:off x="0" y="0"/>
                          <a:ext cx="1238250" cy="323850"/>
                        </a:xfrm>
                        <a:prstGeom prst="wedgeRectCallout">
                          <a:avLst>
                            <a:gd name="adj1" fmla="val 106609"/>
                            <a:gd name="adj2" fmla="val -10220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纳污灌溉渠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10.5pt;margin-top:157.5pt;height:25.5pt;width:97.5pt;z-index:251701248;v-text-anchor:middle;mso-width-relative:page;mso-height-relative:page;" fillcolor="#FFFFFF [3201]" filled="t" stroked="t" coordsize="21600,21600" o:gfxdata="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G/h6DtgAAAAKAQAADwAAAAAA&#10;AAABACAAAAAiAAAAZHJzL2Rvd25yZXYueG1sUEsBAhQAFAAAAAgAh07iQEn1g4a+AgAAdgUAAA4A&#10;AAAAAAAAAQAgAAAAJwEAAGRycy9lMm9Eb2MueG1sUEsFBgAAAAAGAAYAWQEAAFcGAAAAAA==&#10;" adj="33828,-11276">
                <v:fill on="t" focussize="0,0"/>
                <v:stroke weight="1pt" color="#000000 [3200]" miterlimit="8" joinstyle="miter"/>
                <v:imagedata o:title=""/>
                <o:lock v:ext="edit" aspectratio="f"/>
                <v:textbox>
                  <w:txbxContent>
                    <w:p>
                      <w:pPr>
                        <w:jc w:val="center"/>
                      </w:pPr>
                      <w:r>
                        <w:rPr>
                          <w:rFonts w:hint="eastAsia"/>
                        </w:rPr>
                        <w:t>纳污灌溉渠</w:t>
                      </w:r>
                    </w:p>
                  </w:txbxContent>
                </v:textbox>
              </v:shape>
            </w:pict>
          </mc:Fallback>
        </mc:AlternateContent>
      </w:r>
      <w:r>
        <w:rPr>
          <w14:ligatures w14:val="standardContextual"/>
        </w:rPr>
        <mc:AlternateContent>
          <mc:Choice Requires="wps">
            <w:drawing>
              <wp:anchor distT="0" distB="0" distL="114300" distR="114300" simplePos="0" relativeHeight="251700224" behindDoc="0" locked="0" layoutInCell="1" allowOverlap="1">
                <wp:simplePos x="0" y="0"/>
                <wp:positionH relativeFrom="column">
                  <wp:posOffset>133350</wp:posOffset>
                </wp:positionH>
                <wp:positionV relativeFrom="paragraph">
                  <wp:posOffset>342900</wp:posOffset>
                </wp:positionV>
                <wp:extent cx="1238250" cy="323850"/>
                <wp:effectExtent l="0" t="266700" r="971550" b="19050"/>
                <wp:wrapNone/>
                <wp:docPr id="1258145528" name="对话气泡: 矩形 12"/>
                <wp:cNvGraphicFramePr/>
                <a:graphic xmlns:a="http://schemas.openxmlformats.org/drawingml/2006/main">
                  <a:graphicData uri="http://schemas.microsoft.com/office/word/2010/wordprocessingShape">
                    <wps:wsp>
                      <wps:cNvSpPr/>
                      <wps:spPr>
                        <a:xfrm>
                          <a:off x="0" y="0"/>
                          <a:ext cx="1238250" cy="323850"/>
                        </a:xfrm>
                        <a:prstGeom prst="wedgeRectCallout">
                          <a:avLst>
                            <a:gd name="adj1" fmla="val 122763"/>
                            <a:gd name="adj2" fmla="val -119853"/>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szCs w:val="24"/>
                              </w:rPr>
                              <w:t>污水处理站位置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10.5pt;margin-top:27pt;height:25.5pt;width:97.5pt;z-index:251700224;v-text-anchor:middle;mso-width-relative:page;mso-height-relative:page;" fillcolor="#FFFFFF [3201]" filled="t" stroked="t" coordsize="21600,21600" o:gfxdata="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kTWp29cAAAAJAQAADwAAAAAA&#10;AAABACAAAAAiAAAAZHJzL2Rvd25yZXYueG1sUEsBAhQAFAAAAAgAh07iQM0gcEO/AgAAdwUAAA4A&#10;AAAAAAAAAQAgAAAAJgEAAGRycy9lMm9Eb2MueG1sUEsFBgAAAAAGAAYAWQEAAFcGAAAAAA==&#10;" adj="37317,-15088">
                <v:fill on="t" focussize="0,0"/>
                <v:stroke weight="1pt" color="#000000 [3200]" miterlimit="8" joinstyle="miter"/>
                <v:imagedata o:title=""/>
                <o:lock v:ext="edit" aspectratio="f"/>
                <v:textbox>
                  <w:txbxContent>
                    <w:p>
                      <w:pPr>
                        <w:jc w:val="center"/>
                      </w:pPr>
                      <w:r>
                        <w:rPr>
                          <w:rFonts w:hint="eastAsia"/>
                          <w:szCs w:val="24"/>
                        </w:rPr>
                        <w:t>污水处理站位置</w:t>
                      </w:r>
                    </w:p>
                  </w:txbxContent>
                </v:textbox>
              </v:shape>
            </w:pict>
          </mc:Fallback>
        </mc:AlternateContent>
      </w:r>
      <w:r>
        <w:rPr>
          <w14:ligatures w14:val="standardContextual"/>
        </w:rPr>
        <mc:AlternateContent>
          <mc:Choice Requires="wps">
            <w:drawing>
              <wp:anchor distT="0" distB="0" distL="114300" distR="114300" simplePos="0" relativeHeight="251699200" behindDoc="0" locked="0" layoutInCell="1" allowOverlap="1">
                <wp:simplePos x="0" y="0"/>
                <wp:positionH relativeFrom="column">
                  <wp:posOffset>3571875</wp:posOffset>
                </wp:positionH>
                <wp:positionV relativeFrom="paragraph">
                  <wp:posOffset>4257675</wp:posOffset>
                </wp:positionV>
                <wp:extent cx="1581150" cy="542925"/>
                <wp:effectExtent l="495300" t="0" r="19050" b="28575"/>
                <wp:wrapNone/>
                <wp:docPr id="1104018004" name="对话气泡: 矩形 12"/>
                <wp:cNvGraphicFramePr/>
                <a:graphic xmlns:a="http://schemas.openxmlformats.org/drawingml/2006/main">
                  <a:graphicData uri="http://schemas.microsoft.com/office/word/2010/wordprocessingShape">
                    <wps:wsp>
                      <wps:cNvSpPr/>
                      <wps:spPr>
                        <a:xfrm>
                          <a:off x="0" y="0"/>
                          <a:ext cx="1581150" cy="542925"/>
                        </a:xfrm>
                        <a:prstGeom prst="wedgeRectCallout">
                          <a:avLst>
                            <a:gd name="adj1" fmla="val -78665"/>
                            <a:gd name="adj2" fmla="val -3031"/>
                          </a:avLst>
                        </a:prstGeom>
                      </wps:spPr>
                      <wps:style>
                        <a:lnRef idx="2">
                          <a:schemeClr val="dk1"/>
                        </a:lnRef>
                        <a:fillRef idx="1">
                          <a:schemeClr val="lt1"/>
                        </a:fillRef>
                        <a:effectRef idx="0">
                          <a:schemeClr val="dk1"/>
                        </a:effectRef>
                        <a:fontRef idx="minor">
                          <a:schemeClr val="dk1"/>
                        </a:fontRef>
                      </wps:style>
                      <wps:txbx>
                        <w:txbxContent>
                          <w:p>
                            <w:pPr>
                              <w:jc w:val="center"/>
                            </w:pPr>
                            <w:r>
                              <w:rPr>
                                <w:szCs w:val="24"/>
                              </w:rPr>
                              <w:t>W</w:t>
                            </w:r>
                            <w:r>
                              <w:rPr>
                                <w:rFonts w:hint="eastAsia"/>
                                <w:szCs w:val="24"/>
                              </w:rPr>
                              <w:t>27</w:t>
                            </w:r>
                            <w:r>
                              <w:rPr>
                                <w:szCs w:val="24"/>
                              </w:rPr>
                              <w:t>：</w:t>
                            </w:r>
                            <w:r>
                              <w:rPr>
                                <w:rFonts w:hint="eastAsia"/>
                                <w:bCs/>
                                <w:szCs w:val="24"/>
                              </w:rPr>
                              <w:t>祁水入河排污口下游1000m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281.25pt;margin-top:335.25pt;height:42.75pt;width:124.5pt;z-index:251699200;v-text-anchor:middle;mso-width-relative:page;mso-height-relative:page;" fillcolor="#FFFFFF [3201]" filled="t" stroked="t" coordsize="21600,21600" o:gfxdata="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D+jlCI2QAAAAsBAAAP&#10;AAAAAAAAAAEAIAAAACIAAABkcnMvZG93bnJldi54bWxQSwECFAAUAAAACACHTuJA+rw28cICAAB1&#10;BQAADgAAAAAAAAABACAAAAAoAQAAZHJzL2Uyb0RvYy54bWxQSwUGAAAAAAYABgBZAQAAXAYAAAAA&#10;" adj="-6192,10145">
                <v:fill on="t" focussize="0,0"/>
                <v:stroke weight="1pt" color="#000000 [3200]" miterlimit="8" joinstyle="miter"/>
                <v:imagedata o:title=""/>
                <o:lock v:ext="edit" aspectratio="f"/>
                <v:textbox>
                  <w:txbxContent>
                    <w:p>
                      <w:pPr>
                        <w:jc w:val="center"/>
                      </w:pPr>
                      <w:r>
                        <w:rPr>
                          <w:szCs w:val="24"/>
                        </w:rPr>
                        <w:t>W</w:t>
                      </w:r>
                      <w:r>
                        <w:rPr>
                          <w:rFonts w:hint="eastAsia"/>
                          <w:szCs w:val="24"/>
                        </w:rPr>
                        <w:t>27</w:t>
                      </w:r>
                      <w:r>
                        <w:rPr>
                          <w:szCs w:val="24"/>
                        </w:rPr>
                        <w:t>：</w:t>
                      </w:r>
                      <w:r>
                        <w:rPr>
                          <w:rFonts w:hint="eastAsia"/>
                          <w:bCs/>
                          <w:szCs w:val="24"/>
                        </w:rPr>
                        <w:t>祁水入河排污口下游1000m</w:t>
                      </w:r>
                    </w:p>
                  </w:txbxContent>
                </v:textbox>
              </v:shape>
            </w:pict>
          </mc:Fallback>
        </mc:AlternateContent>
      </w:r>
      <w:r>
        <w:rPr>
          <w14:ligatures w14:val="standardContextual"/>
        </w:rPr>
        <mc:AlternateContent>
          <mc:Choice Requires="wps">
            <w:drawing>
              <wp:anchor distT="0" distB="0" distL="114300" distR="114300" simplePos="0" relativeHeight="251698176" behindDoc="0" locked="0" layoutInCell="1" allowOverlap="1">
                <wp:simplePos x="0" y="0"/>
                <wp:positionH relativeFrom="column">
                  <wp:posOffset>371475</wp:posOffset>
                </wp:positionH>
                <wp:positionV relativeFrom="paragraph">
                  <wp:posOffset>3200400</wp:posOffset>
                </wp:positionV>
                <wp:extent cx="1581150" cy="542925"/>
                <wp:effectExtent l="0" t="0" r="819150" b="600075"/>
                <wp:wrapNone/>
                <wp:docPr id="2538956" name="对话气泡: 矩形 12"/>
                <wp:cNvGraphicFramePr/>
                <a:graphic xmlns:a="http://schemas.openxmlformats.org/drawingml/2006/main">
                  <a:graphicData uri="http://schemas.microsoft.com/office/word/2010/wordprocessingShape">
                    <wps:wsp>
                      <wps:cNvSpPr/>
                      <wps:spPr>
                        <a:xfrm>
                          <a:off x="0" y="0"/>
                          <a:ext cx="1581150" cy="542925"/>
                        </a:xfrm>
                        <a:prstGeom prst="wedgeRectCallout">
                          <a:avLst>
                            <a:gd name="adj1" fmla="val 96636"/>
                            <a:gd name="adj2" fmla="val 147846"/>
                          </a:avLst>
                        </a:prstGeom>
                      </wps:spPr>
                      <wps:style>
                        <a:lnRef idx="2">
                          <a:schemeClr val="dk1"/>
                        </a:lnRef>
                        <a:fillRef idx="1">
                          <a:schemeClr val="lt1"/>
                        </a:fillRef>
                        <a:effectRef idx="0">
                          <a:schemeClr val="dk1"/>
                        </a:effectRef>
                        <a:fontRef idx="minor">
                          <a:schemeClr val="dk1"/>
                        </a:fontRef>
                      </wps:style>
                      <wps:txbx>
                        <w:txbxContent>
                          <w:p>
                            <w:pPr>
                              <w:jc w:val="center"/>
                            </w:pPr>
                            <w:r>
                              <w:rPr>
                                <w:bCs/>
                                <w:szCs w:val="24"/>
                              </w:rPr>
                              <w:t>W</w:t>
                            </w:r>
                            <w:r>
                              <w:rPr>
                                <w:rFonts w:hint="eastAsia"/>
                                <w:bCs/>
                                <w:szCs w:val="24"/>
                              </w:rPr>
                              <w:t>26</w:t>
                            </w:r>
                            <w:r>
                              <w:rPr>
                                <w:bCs/>
                                <w:szCs w:val="24"/>
                              </w:rPr>
                              <w:t>：</w:t>
                            </w:r>
                            <w:r>
                              <w:rPr>
                                <w:rFonts w:hint="eastAsia"/>
                                <w:bCs/>
                                <w:szCs w:val="24"/>
                              </w:rPr>
                              <w:t>祁水入河排污口上游500m</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29.25pt;margin-top:252pt;height:42.75pt;width:124.5pt;z-index:251698176;v-text-anchor:middle;mso-width-relative:page;mso-height-relative:page;" fillcolor="#FFFFFF [3201]" filled="t" stroked="t" coordsize="21600,21600" o:gfxdata="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N9w1G9sAAAAKAQAADwAA&#10;AAAAAAABACAAAAAiAAAAZHJzL2Rvd25yZXYueG1sUEsBAhQAFAAAAAgAh07iQAaYzx++AgAAcgUA&#10;AA4AAAAAAAAAAQAgAAAAKgEAAGRycy9lMm9Eb2MueG1sUEsFBgAAAAAGAAYAWQEAAFoGAAAAAA==&#10;" adj="31673,42735">
                <v:fill on="t" focussize="0,0"/>
                <v:stroke weight="1pt" color="#000000 [3200]" miterlimit="8" joinstyle="miter"/>
                <v:imagedata o:title=""/>
                <o:lock v:ext="edit" aspectratio="f"/>
                <v:textbox>
                  <w:txbxContent>
                    <w:p>
                      <w:pPr>
                        <w:jc w:val="center"/>
                      </w:pPr>
                      <w:r>
                        <w:rPr>
                          <w:bCs/>
                          <w:szCs w:val="24"/>
                        </w:rPr>
                        <w:t>W</w:t>
                      </w:r>
                      <w:r>
                        <w:rPr>
                          <w:rFonts w:hint="eastAsia"/>
                          <w:bCs/>
                          <w:szCs w:val="24"/>
                        </w:rPr>
                        <w:t>26</w:t>
                      </w:r>
                      <w:r>
                        <w:rPr>
                          <w:bCs/>
                          <w:szCs w:val="24"/>
                        </w:rPr>
                        <w:t>：</w:t>
                      </w:r>
                      <w:r>
                        <w:rPr>
                          <w:rFonts w:hint="eastAsia"/>
                          <w:bCs/>
                          <w:szCs w:val="24"/>
                        </w:rPr>
                        <w:t>祁水入河排污口上游500m</w:t>
                      </w:r>
                    </w:p>
                  </w:txbxContent>
                </v:textbox>
              </v:shape>
            </w:pict>
          </mc:Fallback>
        </mc:AlternateContent>
      </w:r>
      <w:r>
        <w:rPr>
          <w14:ligatures w14:val="standardContextual"/>
        </w:rPr>
        <mc:AlternateContent>
          <mc:Choice Requires="wps">
            <w:drawing>
              <wp:anchor distT="0" distB="0" distL="114300" distR="114300" simplePos="0" relativeHeight="251697152" behindDoc="0" locked="0" layoutInCell="1" allowOverlap="1">
                <wp:simplePos x="0" y="0"/>
                <wp:positionH relativeFrom="column">
                  <wp:posOffset>3552825</wp:posOffset>
                </wp:positionH>
                <wp:positionV relativeFrom="paragraph">
                  <wp:posOffset>2971800</wp:posOffset>
                </wp:positionV>
                <wp:extent cx="1581150" cy="542925"/>
                <wp:effectExtent l="857250" t="0" r="19050" b="600075"/>
                <wp:wrapNone/>
                <wp:docPr id="845843690" name="对话气泡: 矩形 12"/>
                <wp:cNvGraphicFramePr/>
                <a:graphic xmlns:a="http://schemas.openxmlformats.org/drawingml/2006/main">
                  <a:graphicData uri="http://schemas.microsoft.com/office/word/2010/wordprocessingShape">
                    <wps:wsp>
                      <wps:cNvSpPr/>
                      <wps:spPr>
                        <a:xfrm>
                          <a:off x="0" y="0"/>
                          <a:ext cx="1581150" cy="542925"/>
                        </a:xfrm>
                        <a:prstGeom prst="wedgeRectCallout">
                          <a:avLst>
                            <a:gd name="adj1" fmla="val -100954"/>
                            <a:gd name="adj2" fmla="val 146092"/>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szCs w:val="24"/>
                              </w:rPr>
                              <w:t>W30：灌溉渠入祁水口，灌溉渠上游500m处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279.75pt;margin-top:234pt;height:42.75pt;width:124.5pt;z-index:251697152;v-text-anchor:middle;mso-width-relative:page;mso-height-relative:page;" fillcolor="#FFFFFF [3201]" filled="t" stroked="t" coordsize="21600,21600" o:gfxdata="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J6otwtcAAAALAQAADwAAAAAA&#10;AAABACAAAAAiAAAAZHJzL2Rvd25yZXYueG1sUEsBAhQAFAAAAAgAh07iQOm4tD2/AgAAdgUAAA4A&#10;AAAAAAAAAQAgAAAAJgEAAGRycy9lMm9Eb2MueG1sUEsFBgAAAAAGAAYAWQEAAFcGAAAAAA==&#10;" adj="-11006,42356">
                <v:fill on="t" focussize="0,0"/>
                <v:stroke weight="1pt" color="#000000 [3200]" miterlimit="8" joinstyle="miter"/>
                <v:imagedata o:title=""/>
                <o:lock v:ext="edit" aspectratio="f"/>
                <v:textbox>
                  <w:txbxContent>
                    <w:p>
                      <w:pPr>
                        <w:jc w:val="center"/>
                      </w:pPr>
                      <w:r>
                        <w:rPr>
                          <w:rFonts w:hint="eastAsia"/>
                          <w:szCs w:val="24"/>
                        </w:rPr>
                        <w:t>W30：灌溉渠入祁水口，灌溉渠上游500m处</w:t>
                      </w:r>
                    </w:p>
                  </w:txbxContent>
                </v:textbox>
              </v:shape>
            </w:pict>
          </mc:Fallback>
        </mc:AlternateContent>
      </w:r>
      <w:r>
        <w:rPr>
          <w14:ligatures w14:val="standardContextual"/>
        </w:rPr>
        <mc:AlternateContent>
          <mc:Choice Requires="wps">
            <w:drawing>
              <wp:anchor distT="0" distB="0" distL="114300" distR="114300" simplePos="0" relativeHeight="251696128" behindDoc="0" locked="0" layoutInCell="1" allowOverlap="1">
                <wp:simplePos x="0" y="0"/>
                <wp:positionH relativeFrom="column">
                  <wp:posOffset>2800350</wp:posOffset>
                </wp:positionH>
                <wp:positionV relativeFrom="paragraph">
                  <wp:posOffset>1123950</wp:posOffset>
                </wp:positionV>
                <wp:extent cx="1581150" cy="542925"/>
                <wp:effectExtent l="857250" t="381000" r="19050" b="28575"/>
                <wp:wrapNone/>
                <wp:docPr id="1076131597" name="对话气泡: 矩形 12"/>
                <wp:cNvGraphicFramePr/>
                <a:graphic xmlns:a="http://schemas.openxmlformats.org/drawingml/2006/main">
                  <a:graphicData uri="http://schemas.microsoft.com/office/word/2010/wordprocessingShape">
                    <wps:wsp>
                      <wps:cNvSpPr/>
                      <wps:spPr>
                        <a:xfrm>
                          <a:off x="0" y="0"/>
                          <a:ext cx="1581150" cy="542925"/>
                        </a:xfrm>
                        <a:prstGeom prst="wedgeRectCallout">
                          <a:avLst>
                            <a:gd name="adj1" fmla="val -101556"/>
                            <a:gd name="adj2" fmla="val -115312"/>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szCs w:val="24"/>
                              </w:rPr>
                              <w:t>W29：灌溉渠本项目尾水排口下游1.7km处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220.5pt;margin-top:88.5pt;height:42.75pt;width:124.5pt;z-index:251696128;v-text-anchor:middle;mso-width-relative:page;mso-height-relative:page;" fillcolor="#FFFFFF [3201]" filled="t" stroked="t" coordsize="21600,21600" o:gfxdata="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" adj="-11136,-14107">
                <v:fill on="t" focussize="0,0"/>
                <v:stroke weight="1pt" color="#000000 [3200]" miterlimit="8" joinstyle="miter"/>
                <v:imagedata o:title=""/>
                <o:lock v:ext="edit" aspectratio="f"/>
                <v:textbox>
                  <w:txbxContent>
                    <w:p>
                      <w:pPr>
                        <w:jc w:val="center"/>
                      </w:pPr>
                      <w:r>
                        <w:rPr>
                          <w:rFonts w:hint="eastAsia"/>
                          <w:szCs w:val="24"/>
                        </w:rPr>
                        <w:t>W29：灌溉渠本项目尾水排口下游1.7km处</w:t>
                      </w:r>
                    </w:p>
                  </w:txbxContent>
                </v:textbox>
              </v:shape>
            </w:pict>
          </mc:Fallback>
        </mc:AlternateContent>
      </w:r>
      <w:r>
        <w:rPr>
          <w14:ligatures w14:val="standardContextual"/>
        </w:rPr>
        <mc:AlternateContent>
          <mc:Choice Requires="wps">
            <w:drawing>
              <wp:anchor distT="0" distB="0" distL="114300" distR="114300" simplePos="0" relativeHeight="251695104" behindDoc="0" locked="0" layoutInCell="1" allowOverlap="1">
                <wp:simplePos x="0" y="0"/>
                <wp:positionH relativeFrom="column">
                  <wp:posOffset>2990850</wp:posOffset>
                </wp:positionH>
                <wp:positionV relativeFrom="paragraph">
                  <wp:posOffset>342265</wp:posOffset>
                </wp:positionV>
                <wp:extent cx="1581150" cy="542925"/>
                <wp:effectExtent l="762000" t="0" r="19050" b="28575"/>
                <wp:wrapNone/>
                <wp:docPr id="1512209929" name="对话气泡: 矩形 12"/>
                <wp:cNvGraphicFramePr/>
                <a:graphic xmlns:a="http://schemas.openxmlformats.org/drawingml/2006/main">
                  <a:graphicData uri="http://schemas.microsoft.com/office/word/2010/wordprocessingShape">
                    <wps:wsp>
                      <wps:cNvSpPr/>
                      <wps:spPr>
                        <a:xfrm>
                          <a:off x="0" y="0"/>
                          <a:ext cx="1581150" cy="542925"/>
                        </a:xfrm>
                        <a:prstGeom prst="wedgeRectCallout">
                          <a:avLst>
                            <a:gd name="adj1" fmla="val -94929"/>
                            <a:gd name="adj2" fmla="val -43382"/>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szCs w:val="24"/>
                              </w:rPr>
                              <w:t>W28：本项目南侧紧邻的水塘；</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12" o:spid="_x0000_s1026" o:spt="61" type="#_x0000_t61" style="position:absolute;left:0pt;margin-left:235.5pt;margin-top:26.95pt;height:42.75pt;width:124.5pt;z-index:251695104;v-text-anchor:middle;mso-width-relative:page;mso-height-relative:page;" fillcolor="#FFFFFF [3201]" filled="t" stroked="t" coordsize="21600,21600" o:gfxdata="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UYy7V9oAAAAKAQAADwAA&#10;AAAAAAABACAAAAAiAAAAZHJzL2Rvd25yZXYueG1sUEsBAhQAFAAAAAgAh07iQGB5Wk6/AgAAdgUA&#10;AA4AAAAAAAAAAQAgAAAAKQEAAGRycy9lMm9Eb2MueG1sUEsFBgAAAAAGAAYAWQEAAFoGAAAAAA==&#10;" adj="-9705,1429">
                <v:fill on="t" focussize="0,0"/>
                <v:stroke weight="1pt" color="#000000 [3200]" miterlimit="8" joinstyle="miter"/>
                <v:imagedata o:title=""/>
                <o:lock v:ext="edit" aspectratio="f"/>
                <v:textbox>
                  <w:txbxContent>
                    <w:p>
                      <w:pPr>
                        <w:jc w:val="center"/>
                      </w:pPr>
                      <w:r>
                        <w:rPr>
                          <w:rFonts w:hint="eastAsia"/>
                          <w:szCs w:val="24"/>
                        </w:rPr>
                        <w:t>W28：本项目南侧紧邻的水塘；</w:t>
                      </w:r>
                    </w:p>
                  </w:txbxContent>
                </v:textbox>
              </v:shape>
            </w:pict>
          </mc:Fallback>
        </mc:AlternateContent>
      </w:r>
      <w:r>
        <w:rPr>
          <w14:ligatures w14:val="standardContextual"/>
        </w:rPr>
        <mc:AlternateContent>
          <mc:Choice Requires="wps">
            <w:drawing>
              <wp:anchor distT="0" distB="0" distL="114300" distR="114300" simplePos="0" relativeHeight="251694080" behindDoc="0" locked="0" layoutInCell="1" allowOverlap="1">
                <wp:simplePos x="0" y="0"/>
                <wp:positionH relativeFrom="column">
                  <wp:posOffset>2990850</wp:posOffset>
                </wp:positionH>
                <wp:positionV relativeFrom="paragraph">
                  <wp:posOffset>4400550</wp:posOffset>
                </wp:positionV>
                <wp:extent cx="219075" cy="219075"/>
                <wp:effectExtent l="38100" t="38100" r="9525" b="66675"/>
                <wp:wrapNone/>
                <wp:docPr id="705444598" name="星形: 四角 11"/>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11" o:spid="_x0000_s1026" o:spt="187" type="#_x0000_t187" style="position:absolute;left:0pt;margin-left:235.5pt;margin-top:346.5pt;height:17.25pt;width:17.25pt;z-index:251694080;v-text-anchor:middle;mso-width-relative:page;mso-height-relative:page;" fillcolor="#FF0000" filled="t" stroked="t" coordsize="21600,21600" o:gfxdata="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y+fW2tsAAAALAQAADwAAAAAA&#10;AAABACAAAAAiAAAAZHJzL2Rvd25yZXYueG1sUEsBAhQAFAAAAAgAh07iQCvZ7OOCAgAABQUAAA4A&#10;AAAAAAAAAQAgAAAAKgEAAGRycy9lMm9Eb2MueG1sUEsFBgAAAAAGAAYAWQEAAB4GAAAAAA==&#10;" adj="8100">
                <v:fill on="t" focussize="0,0"/>
                <v:stroke weight="1pt" color="#FFFF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93056" behindDoc="0" locked="0" layoutInCell="1" allowOverlap="1">
                <wp:simplePos x="0" y="0"/>
                <wp:positionH relativeFrom="column">
                  <wp:posOffset>2590800</wp:posOffset>
                </wp:positionH>
                <wp:positionV relativeFrom="paragraph">
                  <wp:posOffset>4152900</wp:posOffset>
                </wp:positionV>
                <wp:extent cx="219075" cy="219075"/>
                <wp:effectExtent l="38100" t="38100" r="9525" b="66675"/>
                <wp:wrapNone/>
                <wp:docPr id="832658198" name="星形: 四角 11"/>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11" o:spid="_x0000_s1026" o:spt="187" type="#_x0000_t187" style="position:absolute;left:0pt;margin-left:204pt;margin-top:327pt;height:17.25pt;width:17.25pt;z-index:251693056;v-text-anchor:middle;mso-width-relative:page;mso-height-relative:page;" fillcolor="#FF0000" filled="t" stroked="t" coordsize="21600,21600" o:gfxdata="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0zsW32wAAAAsBAAAPAAAAAAAA&#10;AAEAIAAAACIAAABkcnMvZG93bnJldi54bWxQSwECFAAUAAAACACHTuJAdFJhqIECAAAFBQAADgAA&#10;AAAAAAABACAAAAAqAQAAZHJzL2Uyb0RvYy54bWxQSwUGAAAAAAYABgBZAQAAHQYAAAAA&#10;" adj="8100">
                <v:fill on="t" focussize="0,0"/>
                <v:stroke weight="1pt" color="#FFFF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92032" behindDoc="0" locked="0" layoutInCell="1" allowOverlap="1">
                <wp:simplePos x="0" y="0"/>
                <wp:positionH relativeFrom="column">
                  <wp:posOffset>2628900</wp:posOffset>
                </wp:positionH>
                <wp:positionV relativeFrom="paragraph">
                  <wp:posOffset>3924300</wp:posOffset>
                </wp:positionV>
                <wp:extent cx="219075" cy="219075"/>
                <wp:effectExtent l="38100" t="38100" r="9525" b="66675"/>
                <wp:wrapNone/>
                <wp:docPr id="1279839944" name="星形: 四角 11"/>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11" o:spid="_x0000_s1026" o:spt="187" type="#_x0000_t187" style="position:absolute;left:0pt;margin-left:207pt;margin-top:309pt;height:17.25pt;width:17.25pt;z-index:251692032;v-text-anchor:middle;mso-width-relative:page;mso-height-relative:page;" fillcolor="#FF0000" filled="t" stroked="t" coordsize="21600,21600" o:gfxdata="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oKFiT2wAAAAsBAAAPAAAAAAAA&#10;AAEAIAAAACIAAABkcnMvZG93bnJldi54bWxQSwECFAAUAAAACACHTuJAWpiQUYECAAAGBQAADgAA&#10;AAAAAAABACAAAAAqAQAAZHJzL2Uyb0RvYy54bWxQSwUGAAAAAAYABgBZAQAAHQYAAAAA&#10;" adj="8100">
                <v:fill on="t" focussize="0,0"/>
                <v:stroke weight="1pt" color="#FFFF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91008" behindDoc="0" locked="0" layoutInCell="1" allowOverlap="1">
                <wp:simplePos x="0" y="0"/>
                <wp:positionH relativeFrom="column">
                  <wp:posOffset>1905000</wp:posOffset>
                </wp:positionH>
                <wp:positionV relativeFrom="paragraph">
                  <wp:posOffset>666750</wp:posOffset>
                </wp:positionV>
                <wp:extent cx="219075" cy="219075"/>
                <wp:effectExtent l="38100" t="38100" r="9525" b="66675"/>
                <wp:wrapNone/>
                <wp:docPr id="1414778999" name="星形: 四角 11"/>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11" o:spid="_x0000_s1026" o:spt="187" type="#_x0000_t187" style="position:absolute;left:0pt;margin-left:150pt;margin-top:52.5pt;height:17.25pt;width:17.25pt;z-index:251691008;v-text-anchor:middle;mso-width-relative:page;mso-height-relative:page;" fillcolor="#FF0000" filled="t" stroked="t" coordsize="21600,21600" o:gfxdata="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FkYStrZAAAACwEAAA8AAAAAAAAA&#10;AQAgAAAAIgAAAGRycy9kb3ducmV2LnhtbFBLAQIUABQAAAAIAIdO4kC+SzqhggIAAAYFAAAOAAAA&#10;AAAAAAEAIAAAACgBAABkcnMvZTJvRG9jLnhtbFBLBQYAAAAABgAGAFkBAAAcBgAAAAA=&#10;" adj="8100">
                <v:fill on="t" focussize="0,0"/>
                <v:stroke weight="1pt" color="#FFFF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89984" behindDoc="0" locked="0" layoutInCell="1" allowOverlap="1">
                <wp:simplePos x="0" y="0"/>
                <wp:positionH relativeFrom="column">
                  <wp:posOffset>2171700</wp:posOffset>
                </wp:positionH>
                <wp:positionV relativeFrom="paragraph">
                  <wp:posOffset>238125</wp:posOffset>
                </wp:positionV>
                <wp:extent cx="219075" cy="219075"/>
                <wp:effectExtent l="38100" t="38100" r="9525" b="66675"/>
                <wp:wrapNone/>
                <wp:docPr id="1981794015" name="星形: 四角 11"/>
                <wp:cNvGraphicFramePr/>
                <a:graphic xmlns:a="http://schemas.openxmlformats.org/drawingml/2006/main">
                  <a:graphicData uri="http://schemas.microsoft.com/office/word/2010/wordprocessingShape">
                    <wps:wsp>
                      <wps:cNvSpPr/>
                      <wps:spPr>
                        <a:xfrm>
                          <a:off x="0" y="0"/>
                          <a:ext cx="219075" cy="219075"/>
                        </a:xfrm>
                        <a:prstGeom prst="star4">
                          <a:avLst/>
                        </a:prstGeom>
                        <a:solidFill>
                          <a:srgbClr val="FF0000"/>
                        </a:solidFill>
                        <a:ln>
                          <a:solidFill>
                            <a:srgbClr val="FFFF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四角 11" o:spid="_x0000_s1026" o:spt="187" type="#_x0000_t187" style="position:absolute;left:0pt;margin-left:171pt;margin-top:18.75pt;height:17.25pt;width:17.25pt;z-index:251689984;v-text-anchor:middle;mso-width-relative:page;mso-height-relative:page;" fillcolor="#FF0000" filled="t" stroked="t" coordsize="21600,21600" o:gfxdata="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zRHNw2AAAAAkBAAAPAAAAAAAAAAEA&#10;IAAAACIAAABkcnMvZG93bnJldi54bWxQSwECFAAUAAAACACHTuJAEMq8TYECAAAGBQAADgAAAAAA&#10;AAABACAAAAAnAQAAZHJzL2Uyb0RvYy54bWxQSwUGAAAAAAYABgBZAQAAGgYAAAAA&#10;" adj="8100">
                <v:fill on="t" focussize="0,0"/>
                <v:stroke weight="1pt" color="#FFFF00 [3204]" miterlimit="8" joinstyle="miter"/>
                <v:imagedata o:title=""/>
                <o:lock v:ext="edit" aspectratio="f"/>
              </v:shape>
            </w:pict>
          </mc:Fallback>
        </mc:AlternateContent>
      </w:r>
      <w:r>
        <w:rPr>
          <w14:ligatures w14:val="standardContextual"/>
        </w:rPr>
        <w:drawing>
          <wp:inline distT="0" distB="0" distL="0" distR="0">
            <wp:extent cx="5274310" cy="6704330"/>
            <wp:effectExtent l="0" t="0" r="2540" b="1270"/>
            <wp:docPr id="2767823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782378" name="图片 1"/>
                    <pic:cNvPicPr>
                      <a:picLocks noChangeAspect="1"/>
                    </pic:cNvPicPr>
                  </pic:nvPicPr>
                  <pic:blipFill>
                    <a:blip r:embed="rId9"/>
                    <a:stretch>
                      <a:fillRect/>
                    </a:stretch>
                  </pic:blipFill>
                  <pic:spPr>
                    <a:xfrm>
                      <a:off x="0" y="0"/>
                      <a:ext cx="5274310" cy="6704330"/>
                    </a:xfrm>
                    <a:prstGeom prst="rect">
                      <a:avLst/>
                    </a:prstGeom>
                  </pic:spPr>
                </pic:pic>
              </a:graphicData>
            </a:graphic>
          </wp:inline>
        </w:drawing>
      </w:r>
    </w:p>
    <w:p>
      <w:pPr>
        <w:pStyle w:val="38"/>
      </w:pPr>
      <w:r>
        <w:rPr>
          <w:rFonts w:hint="eastAsia"/>
        </w:rPr>
        <w:t>图4</w:t>
      </w:r>
      <w:r>
        <w:t xml:space="preserve">.2-1 </w:t>
      </w:r>
      <w:r>
        <w:rPr>
          <w:rFonts w:hint="eastAsia"/>
        </w:rPr>
        <w:t xml:space="preserve"> 水质监测断面图</w:t>
      </w:r>
    </w:p>
    <w:p>
      <w:pPr>
        <w:pStyle w:val="27"/>
        <w:ind w:firstLine="480"/>
      </w:pPr>
      <w:r>
        <w:rPr>
          <w:color w:val="000000"/>
          <w:u w:val="single"/>
        </w:rPr>
        <w:t>本次论证还收集了</w:t>
      </w:r>
      <w:r>
        <w:rPr>
          <w:rFonts w:hint="eastAsia"/>
          <w:color w:val="000000"/>
          <w:u w:val="single"/>
        </w:rPr>
        <w:t>祁水</w:t>
      </w:r>
      <w:r>
        <w:rPr>
          <w:color w:val="000000"/>
          <w:u w:val="single"/>
        </w:rPr>
        <w:t>近三年常规监测断面</w:t>
      </w:r>
      <w:r>
        <w:rPr>
          <w:rFonts w:hint="eastAsia"/>
          <w:color w:val="000000"/>
          <w:u w:val="single"/>
        </w:rPr>
        <w:t>文明铺镇</w:t>
      </w:r>
      <w:r>
        <w:rPr>
          <w:color w:val="000000"/>
          <w:u w:val="single"/>
        </w:rPr>
        <w:t>处的水质现状结论，根据衡阳市生态环境局发布的《关于2023年12月及1-12月全市环境质量状况的通报》可知，</w:t>
      </w:r>
      <w:r>
        <w:rPr>
          <w:rFonts w:hint="eastAsia"/>
          <w:color w:val="000000"/>
          <w:u w:val="single"/>
        </w:rPr>
        <w:t>祁水</w:t>
      </w:r>
      <w:r>
        <w:rPr>
          <w:color w:val="000000"/>
          <w:u w:val="single"/>
        </w:rPr>
        <w:t>入</w:t>
      </w:r>
      <w:r>
        <w:rPr>
          <w:rFonts w:hint="eastAsia"/>
          <w:color w:val="000000"/>
          <w:u w:val="single"/>
        </w:rPr>
        <w:t>文明铺镇</w:t>
      </w:r>
      <w:r>
        <w:rPr>
          <w:color w:val="000000"/>
          <w:u w:val="single"/>
        </w:rPr>
        <w:t>断面2023年1-12月水质类别可达到II类；根据《衡阳市生态环境局关于2022年12月及1-12月全市环境质量状况的通报》可知，</w:t>
      </w:r>
      <w:r>
        <w:rPr>
          <w:rFonts w:hint="eastAsia"/>
          <w:color w:val="000000"/>
          <w:u w:val="single"/>
        </w:rPr>
        <w:t>祁水</w:t>
      </w:r>
      <w:r>
        <w:rPr>
          <w:color w:val="000000"/>
          <w:u w:val="single"/>
        </w:rPr>
        <w:t>入</w:t>
      </w:r>
      <w:r>
        <w:rPr>
          <w:rFonts w:hint="eastAsia"/>
          <w:color w:val="000000"/>
          <w:u w:val="single"/>
        </w:rPr>
        <w:t>文明铺镇</w:t>
      </w:r>
      <w:r>
        <w:rPr>
          <w:color w:val="000000"/>
          <w:u w:val="single"/>
        </w:rPr>
        <w:t>断面2022年1-12月水质类别可达到</w:t>
      </w:r>
      <w:r>
        <w:rPr>
          <w:u w:val="single"/>
        </w:rPr>
        <w:t>Ⅲ</w:t>
      </w:r>
      <w:r>
        <w:rPr>
          <w:color w:val="000000"/>
          <w:u w:val="single"/>
        </w:rPr>
        <w:t>类；根据《衡阳市生态环境局关于2021年12月及1-12月全市环境质量状况的通报》可知，</w:t>
      </w:r>
      <w:r>
        <w:rPr>
          <w:rFonts w:hint="eastAsia"/>
          <w:color w:val="000000"/>
          <w:u w:val="single"/>
        </w:rPr>
        <w:t>祁水</w:t>
      </w:r>
      <w:r>
        <w:rPr>
          <w:color w:val="000000"/>
          <w:u w:val="single"/>
        </w:rPr>
        <w:t>入</w:t>
      </w:r>
      <w:r>
        <w:rPr>
          <w:rFonts w:hint="eastAsia"/>
          <w:color w:val="000000"/>
          <w:u w:val="single"/>
        </w:rPr>
        <w:t>文明铺镇</w:t>
      </w:r>
      <w:r>
        <w:rPr>
          <w:color w:val="000000"/>
          <w:u w:val="single"/>
        </w:rPr>
        <w:t>断面2021年1-12月水质类别可达到</w:t>
      </w:r>
      <w:r>
        <w:rPr>
          <w:u w:val="single"/>
        </w:rPr>
        <w:t>Ⅲ</w:t>
      </w:r>
      <w:r>
        <w:rPr>
          <w:color w:val="000000"/>
          <w:u w:val="single"/>
        </w:rPr>
        <w:t>类。</w:t>
      </w:r>
    </w:p>
    <w:p>
      <w:pPr>
        <w:pStyle w:val="32"/>
      </w:pPr>
      <w:bookmarkStart w:id="50" w:name="_Toc161250467"/>
      <w:r>
        <w:rPr>
          <w:rFonts w:hint="eastAsia"/>
        </w:rPr>
        <w:t>4</w:t>
      </w:r>
      <w:r>
        <w:t>.3</w:t>
      </w:r>
      <w:r>
        <w:rPr>
          <w:rFonts w:hint="eastAsia"/>
        </w:rPr>
        <w:t>所在水功能区（水域）纳污状况</w:t>
      </w:r>
      <w:bookmarkEnd w:id="50"/>
    </w:p>
    <w:p>
      <w:pPr>
        <w:pStyle w:val="27"/>
        <w:ind w:firstLine="480"/>
        <w:rPr>
          <w:szCs w:val="24"/>
          <w:u w:val="single"/>
        </w:rPr>
      </w:pPr>
      <w:r>
        <w:rPr>
          <w:u w:val="single"/>
        </w:rPr>
        <w:t>根据3.2章节，排污口所在</w:t>
      </w:r>
      <w:r>
        <w:rPr>
          <w:rFonts w:hint="eastAsia"/>
          <w:u w:val="single"/>
        </w:rPr>
        <w:t>祁水河</w:t>
      </w:r>
      <w:r>
        <w:rPr>
          <w:u w:val="single"/>
        </w:rPr>
        <w:t>段</w:t>
      </w:r>
      <w:r>
        <w:rPr>
          <w:rFonts w:hint="eastAsia"/>
          <w:u w:val="single"/>
        </w:rPr>
        <w:t>祁水论证河段</w:t>
      </w:r>
      <w:r>
        <w:rPr>
          <w:u w:val="single"/>
        </w:rPr>
        <w:t>CODcr的纳污能力为</w:t>
      </w:r>
      <w:r>
        <w:rPr>
          <w:rFonts w:hint="eastAsia"/>
          <w:u w:val="single"/>
        </w:rPr>
        <w:t>5757.51</w:t>
      </w:r>
      <w:r>
        <w:rPr>
          <w:u w:val="single"/>
        </w:rPr>
        <w:t>t/a，NH</w:t>
      </w:r>
      <w:r>
        <w:rPr>
          <w:u w:val="single"/>
          <w:vertAlign w:val="subscript"/>
        </w:rPr>
        <w:t>3</w:t>
      </w:r>
      <w:r>
        <w:rPr>
          <w:u w:val="single"/>
        </w:rPr>
        <w:t>-N的纳污能力为</w:t>
      </w:r>
      <w:r>
        <w:rPr>
          <w:rFonts w:hint="eastAsia"/>
          <w:u w:val="single"/>
        </w:rPr>
        <w:t>382.30</w:t>
      </w:r>
      <w:r>
        <w:rPr>
          <w:u w:val="single"/>
        </w:rPr>
        <w:t>t/a</w:t>
      </w:r>
      <w:r>
        <w:rPr>
          <w:rFonts w:hint="eastAsia"/>
          <w:u w:val="single"/>
        </w:rPr>
        <w:t>，总磷的纳污能力为80.57t/a</w:t>
      </w:r>
      <w:r>
        <w:rPr>
          <w:u w:val="single"/>
        </w:rPr>
        <w:t>。</w:t>
      </w:r>
      <w:bookmarkStart w:id="51" w:name="_Hlk162215947"/>
      <w:r>
        <w:rPr>
          <w:szCs w:val="24"/>
          <w:u w:val="single"/>
        </w:rPr>
        <w:t>本排污口</w:t>
      </w:r>
      <w:bookmarkEnd w:id="51"/>
      <w:r>
        <w:rPr>
          <w:szCs w:val="24"/>
          <w:u w:val="single"/>
        </w:rPr>
        <w:t>COD、NH</w:t>
      </w:r>
      <w:r>
        <w:rPr>
          <w:szCs w:val="24"/>
          <w:u w:val="single"/>
          <w:vertAlign w:val="subscript"/>
        </w:rPr>
        <w:t>3</w:t>
      </w:r>
      <w:r>
        <w:rPr>
          <w:szCs w:val="24"/>
          <w:u w:val="single"/>
        </w:rPr>
        <w:t>-N、总磷的排放量占环境容量的</w:t>
      </w:r>
      <w:r>
        <w:rPr>
          <w:rFonts w:hint="eastAsia"/>
          <w:u w:val="single"/>
        </w:rPr>
        <w:t>0.04~0.23</w:t>
      </w:r>
      <w:r>
        <w:rPr>
          <w:u w:val="single"/>
        </w:rPr>
        <w:t>%、</w:t>
      </w:r>
      <w:r>
        <w:rPr>
          <w:rFonts w:hint="eastAsia"/>
          <w:u w:val="single"/>
        </w:rPr>
        <w:t>0.08~0.46</w:t>
      </w:r>
      <w:r>
        <w:rPr>
          <w:u w:val="single"/>
        </w:rPr>
        <w:t>%</w:t>
      </w:r>
      <w:r>
        <w:rPr>
          <w:rFonts w:hint="eastAsia"/>
          <w:u w:val="single"/>
        </w:rPr>
        <w:t>、0.05~0.27%</w:t>
      </w:r>
      <w:r>
        <w:rPr>
          <w:szCs w:val="24"/>
          <w:u w:val="single"/>
        </w:rPr>
        <w:t>，小于环境容量控制要求。</w:t>
      </w:r>
    </w:p>
    <w:p>
      <w:pPr>
        <w:pStyle w:val="27"/>
        <w:ind w:firstLine="480"/>
      </w:pPr>
      <w:bookmarkStart w:id="52" w:name="_Hlk162215955"/>
      <w:r>
        <w:rPr>
          <w:color w:val="000000"/>
          <w:kern w:val="0"/>
          <w:szCs w:val="24"/>
          <w:u w:val="single"/>
          <w:lang w:bidi="ar"/>
        </w:rPr>
        <w:t>由于</w:t>
      </w:r>
      <w:r>
        <w:rPr>
          <w:rFonts w:hint="eastAsia"/>
          <w:color w:val="000000"/>
          <w:kern w:val="0"/>
          <w:szCs w:val="24"/>
          <w:u w:val="single"/>
          <w:lang w:bidi="ar"/>
        </w:rPr>
        <w:t>凤歧坪乡</w:t>
      </w:r>
      <w:r>
        <w:rPr>
          <w:color w:val="000000"/>
          <w:kern w:val="0"/>
          <w:szCs w:val="24"/>
          <w:u w:val="single"/>
          <w:lang w:bidi="ar"/>
        </w:rPr>
        <w:t>目前无污水处理系统，水功能区（水域）纳污能力其实已经</w:t>
      </w:r>
      <w:r>
        <w:rPr>
          <w:rFonts w:hint="eastAsia"/>
          <w:color w:val="000000"/>
          <w:kern w:val="0"/>
          <w:szCs w:val="24"/>
          <w:u w:val="single"/>
          <w:lang w:bidi="ar"/>
        </w:rPr>
        <w:t>包含</w:t>
      </w:r>
      <w:r>
        <w:rPr>
          <w:color w:val="000000"/>
          <w:kern w:val="0"/>
          <w:szCs w:val="24"/>
          <w:u w:val="single"/>
          <w:lang w:bidi="ar"/>
        </w:rPr>
        <w:t>该区域污染物排放量，当</w:t>
      </w:r>
      <w:r>
        <w:rPr>
          <w:rFonts w:hint="eastAsia"/>
          <w:color w:val="000000"/>
          <w:kern w:val="0"/>
          <w:szCs w:val="24"/>
          <w:u w:val="single"/>
          <w:lang w:bidi="ar"/>
        </w:rPr>
        <w:t>凤歧坪乡</w:t>
      </w:r>
      <w:r>
        <w:rPr>
          <w:color w:val="000000"/>
          <w:kern w:val="0"/>
          <w:szCs w:val="24"/>
          <w:u w:val="single"/>
          <w:lang w:bidi="ar"/>
        </w:rPr>
        <w:t>污水处理工程建设完成后，将大量减轻</w:t>
      </w:r>
      <w:r>
        <w:rPr>
          <w:rFonts w:hint="eastAsia"/>
          <w:color w:val="000000"/>
          <w:kern w:val="0"/>
          <w:szCs w:val="24"/>
          <w:u w:val="single"/>
          <w:lang w:bidi="ar"/>
        </w:rPr>
        <w:t>凤歧坪乡集镇居民</w:t>
      </w:r>
      <w:r>
        <w:rPr>
          <w:color w:val="000000"/>
          <w:kern w:val="0"/>
          <w:szCs w:val="24"/>
          <w:u w:val="single"/>
          <w:lang w:bidi="ar"/>
        </w:rPr>
        <w:t>生活污水对</w:t>
      </w:r>
      <w:r>
        <w:rPr>
          <w:rFonts w:hint="eastAsia"/>
          <w:color w:val="000000"/>
          <w:kern w:val="0"/>
          <w:szCs w:val="24"/>
          <w:u w:val="single"/>
          <w:lang w:bidi="ar"/>
        </w:rPr>
        <w:t>祁水</w:t>
      </w:r>
      <w:r>
        <w:rPr>
          <w:color w:val="000000"/>
          <w:kern w:val="0"/>
          <w:szCs w:val="24"/>
          <w:u w:val="single"/>
          <w:lang w:bidi="ar"/>
        </w:rPr>
        <w:t>的影响负荷，有利于区域水环境进一步改善。</w:t>
      </w:r>
      <w:bookmarkEnd w:id="52"/>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53" w:name="_Toc161250468"/>
      <w:r>
        <w:rPr>
          <w:rFonts w:hint="eastAsia"/>
        </w:rPr>
        <w:t>5入河排污口设置可行性分析论证及入河排污口设置情况</w:t>
      </w:r>
      <w:bookmarkEnd w:id="53"/>
    </w:p>
    <w:p>
      <w:pPr>
        <w:pStyle w:val="32"/>
      </w:pPr>
      <w:bookmarkStart w:id="54" w:name="_Toc161250469"/>
      <w:r>
        <w:rPr>
          <w:rFonts w:hint="eastAsia"/>
        </w:rPr>
        <w:t>5</w:t>
      </w:r>
      <w:r>
        <w:t>.1</w:t>
      </w:r>
      <w:r>
        <w:rPr>
          <w:rFonts w:hint="eastAsia"/>
        </w:rPr>
        <w:t>废污水来源及构成</w:t>
      </w:r>
      <w:bookmarkEnd w:id="54"/>
    </w:p>
    <w:p>
      <w:pPr>
        <w:pStyle w:val="27"/>
        <w:ind w:firstLine="480"/>
      </w:pPr>
      <w:r>
        <w:rPr>
          <w:rFonts w:hint="eastAsia"/>
        </w:rPr>
        <w:t>祁东县凤歧坪乡污水处理工程服务于凤歧坪乡集镇区，凤歧坪乡污水处理工程实施规模为600m</w:t>
      </w:r>
      <w:r>
        <w:rPr>
          <w:rFonts w:hint="eastAsia"/>
          <w:vertAlign w:val="superscript"/>
        </w:rPr>
        <w:t>3</w:t>
      </w:r>
      <w:r>
        <w:rPr>
          <w:rFonts w:hint="eastAsia"/>
        </w:rPr>
        <w:t>/d，总征地面积为3944.2m</w:t>
      </w:r>
      <w:r>
        <w:rPr>
          <w:rFonts w:hint="eastAsia"/>
          <w:vertAlign w:val="superscript"/>
        </w:rPr>
        <w:t>2</w:t>
      </w:r>
      <w:r>
        <w:rPr>
          <w:rFonts w:hint="eastAsia"/>
        </w:rPr>
        <w:t>，规划用地有充裕的建设发展空间，污水处理规模为600m</w:t>
      </w:r>
      <w:r>
        <w:rPr>
          <w:rFonts w:hint="eastAsia"/>
          <w:vertAlign w:val="superscript"/>
        </w:rPr>
        <w:t>3</w:t>
      </w:r>
      <w:r>
        <w:rPr>
          <w:rFonts w:hint="eastAsia"/>
        </w:rPr>
        <w:t>/d。由于凤歧坪乡工业企业以及服务行业相对较少，污水性质较为固定，因此祁东县凤歧坪乡污水处理工程收集的污水主要包括城镇生活污水、公共设施污水。</w:t>
      </w:r>
    </w:p>
    <w:p>
      <w:pPr>
        <w:pStyle w:val="27"/>
        <w:ind w:firstLine="480"/>
      </w:pPr>
      <w:r>
        <w:rPr>
          <w:rFonts w:hint="eastAsia"/>
        </w:rPr>
        <w:t>综上所述，祁东县凤歧坪乡污水处理工程污水来源主要为场镇生活污水、公共设施污水。</w:t>
      </w:r>
    </w:p>
    <w:p>
      <w:pPr>
        <w:pStyle w:val="32"/>
      </w:pPr>
      <w:bookmarkStart w:id="55" w:name="_Toc161250470"/>
      <w:r>
        <w:rPr>
          <w:rFonts w:hint="eastAsia"/>
        </w:rPr>
        <w:t>5</w:t>
      </w:r>
      <w:r>
        <w:t>.2</w:t>
      </w:r>
      <w:r>
        <w:rPr>
          <w:rFonts w:hint="eastAsia"/>
        </w:rPr>
        <w:t>废污水所含主要污染物种类及排放浓度、总量</w:t>
      </w:r>
      <w:bookmarkEnd w:id="55"/>
    </w:p>
    <w:p>
      <w:pPr>
        <w:pStyle w:val="27"/>
        <w:ind w:firstLine="480"/>
        <w:rPr>
          <w:u w:val="single"/>
        </w:rPr>
      </w:pPr>
      <w:r>
        <w:rPr>
          <w:rFonts w:hint="eastAsia"/>
          <w:u w:val="single"/>
        </w:rPr>
        <w:t>污水处理厂设计出水水质中污染物排放限值均执行《城镇污水处理厂污染物排放标准》（</w:t>
      </w:r>
      <w:r>
        <w:rPr>
          <w:u w:val="single"/>
        </w:rPr>
        <w:t>GB18918-2002</w:t>
      </w:r>
      <w:r>
        <w:rPr>
          <w:rFonts w:hint="eastAsia"/>
          <w:u w:val="single"/>
        </w:rPr>
        <w:t>）一级</w:t>
      </w:r>
      <w:r>
        <w:rPr>
          <w:u w:val="single"/>
        </w:rPr>
        <w:t>B</w:t>
      </w:r>
      <w:r>
        <w:rPr>
          <w:rFonts w:hint="eastAsia"/>
          <w:u w:val="single"/>
        </w:rPr>
        <w:t>标准后经污水管道排入东侧灌溉渠，之后经15km灌溉渠排入祁水。各污染物产生及排放情况见下表。</w:t>
      </w:r>
    </w:p>
    <w:p>
      <w:pPr>
        <w:pStyle w:val="38"/>
        <w:rPr>
          <w:u w:val="single"/>
        </w:rPr>
      </w:pPr>
      <w:r>
        <w:rPr>
          <w:rFonts w:hint="eastAsia"/>
          <w:u w:val="single"/>
        </w:rPr>
        <w:t>表</w:t>
      </w:r>
      <w:r>
        <w:rPr>
          <w:u w:val="single"/>
        </w:rPr>
        <w:t xml:space="preserve">5.1.2-1  </w:t>
      </w:r>
      <w:r>
        <w:rPr>
          <w:rFonts w:hint="eastAsia"/>
          <w:u w:val="single"/>
        </w:rPr>
        <w:t>本项目污水处理厂设计进出水水质一览表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9"/>
        <w:gridCol w:w="849"/>
        <w:gridCol w:w="1208"/>
        <w:gridCol w:w="968"/>
        <w:gridCol w:w="968"/>
        <w:gridCol w:w="1208"/>
        <w:gridCol w:w="968"/>
        <w:gridCol w:w="9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restar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污水处理</w:t>
            </w:r>
          </w:p>
          <w:p>
            <w:pPr>
              <w:pStyle w:val="40"/>
              <w:rPr>
                <w:u w:val="single"/>
              </w:rPr>
            </w:pPr>
            <w:r>
              <w:rPr>
                <w:rFonts w:hint="eastAsia"/>
                <w:u w:val="single"/>
              </w:rPr>
              <w:t>规模</w:t>
            </w:r>
          </w:p>
        </w:tc>
        <w:tc>
          <w:tcPr>
            <w:tcW w:w="498" w:type="pct"/>
            <w:vMerge w:val="restar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污染物</w:t>
            </w:r>
          </w:p>
        </w:tc>
        <w:tc>
          <w:tcPr>
            <w:tcW w:w="1844" w:type="pct"/>
            <w:gridSpan w:val="3"/>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进水水质</w:t>
            </w:r>
          </w:p>
        </w:tc>
        <w:tc>
          <w:tcPr>
            <w:tcW w:w="1842" w:type="pct"/>
            <w:gridSpan w:val="3"/>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出水水质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szCs w:val="21"/>
                <w:u w:val="single"/>
              </w:rPr>
              <w:t>污染物产生浓度（mg/L）</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szCs w:val="21"/>
                <w:u w:val="single"/>
              </w:rPr>
              <w:t>近期</w:t>
            </w:r>
            <w:r>
              <w:rPr>
                <w:szCs w:val="21"/>
                <w:u w:val="single"/>
              </w:rPr>
              <w:t>污染物产生量（t/a）</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szCs w:val="21"/>
                <w:u w:val="single"/>
              </w:rPr>
              <w:t>远期</w:t>
            </w:r>
            <w:r>
              <w:rPr>
                <w:szCs w:val="21"/>
                <w:u w:val="single"/>
              </w:rPr>
              <w:t>污染物产生量（t/a）</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szCs w:val="21"/>
                <w:u w:val="single"/>
              </w:rPr>
              <w:t>污染物排放浓度（mg/L）</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szCs w:val="21"/>
                <w:u w:val="single"/>
              </w:rPr>
              <w:t>近期</w:t>
            </w:r>
            <w:r>
              <w:rPr>
                <w:szCs w:val="21"/>
                <w:u w:val="single"/>
              </w:rPr>
              <w:t>污染物排放量（t/a）</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szCs w:val="21"/>
                <w:u w:val="single"/>
              </w:rPr>
              <w:t>远期</w:t>
            </w:r>
            <w:r>
              <w:rPr>
                <w:szCs w:val="21"/>
                <w:u w:val="single"/>
              </w:rPr>
              <w:t>污染物排放量（t/a）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restar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szCs w:val="21"/>
                <w:u w:val="single"/>
              </w:rPr>
              <w:t>近期100</w:t>
            </w:r>
            <w:r>
              <w:rPr>
                <w:szCs w:val="21"/>
                <w:u w:val="single"/>
              </w:rPr>
              <w:t>m</w:t>
            </w:r>
            <w:r>
              <w:rPr>
                <w:szCs w:val="21"/>
                <w:u w:val="single"/>
                <w:vertAlign w:val="superscript"/>
              </w:rPr>
              <w:t>3</w:t>
            </w:r>
            <w:r>
              <w:rPr>
                <w:szCs w:val="21"/>
                <w:u w:val="single"/>
              </w:rPr>
              <w:t>/d</w:t>
            </w:r>
            <w:r>
              <w:rPr>
                <w:rFonts w:hint="eastAsia"/>
                <w:szCs w:val="21"/>
                <w:u w:val="single"/>
              </w:rPr>
              <w:t>，远期6</w:t>
            </w:r>
            <w:r>
              <w:rPr>
                <w:szCs w:val="21"/>
                <w:u w:val="single"/>
              </w:rPr>
              <w:t>00m</w:t>
            </w:r>
            <w:r>
              <w:rPr>
                <w:szCs w:val="21"/>
                <w:u w:val="single"/>
                <w:vertAlign w:val="superscript"/>
              </w:rPr>
              <w:t>3</w:t>
            </w:r>
            <w:r>
              <w:rPr>
                <w:szCs w:val="21"/>
                <w:u w:val="single"/>
              </w:rPr>
              <w:t>/d</w:t>
            </w: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CODcr</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280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10.22</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61.32</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60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2.19</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13.14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BOD5</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150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5.48</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32.85</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0.73</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SS</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200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7.30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43.80</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0.73</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NH3-N</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35</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1.28</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7.67</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8</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0.29</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TN</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40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1.46</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8.76</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20</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0.73</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4.38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5" w:type="pct"/>
            <w:vMerge w:val="continue"/>
            <w:tcBorders>
              <w:top w:val="single" w:color="auto" w:sz="4" w:space="0"/>
              <w:left w:val="single" w:color="auto" w:sz="4" w:space="0"/>
              <w:bottom w:val="single" w:color="auto" w:sz="4" w:space="0"/>
              <w:right w:val="single" w:color="auto" w:sz="4" w:space="0"/>
            </w:tcBorders>
            <w:vAlign w:val="center"/>
          </w:tcPr>
          <w:p>
            <w:pPr>
              <w:pStyle w:val="40"/>
              <w:rPr>
                <w:u w:val="single"/>
              </w:rPr>
            </w:pPr>
          </w:p>
        </w:tc>
        <w:tc>
          <w:tcPr>
            <w:tcW w:w="49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u w:val="single"/>
              </w:rPr>
              <w:t>TP</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3</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0.11</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0.66</w:t>
            </w:r>
          </w:p>
        </w:tc>
        <w:tc>
          <w:tcPr>
            <w:tcW w:w="709"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1</w:t>
            </w:r>
          </w:p>
        </w:tc>
        <w:tc>
          <w:tcPr>
            <w:tcW w:w="568"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0.04</w:t>
            </w:r>
          </w:p>
        </w:tc>
        <w:tc>
          <w:tcPr>
            <w:tcW w:w="566" w:type="pct"/>
            <w:tcBorders>
              <w:top w:val="single" w:color="auto" w:sz="4" w:space="0"/>
              <w:left w:val="single" w:color="auto" w:sz="4" w:space="0"/>
              <w:bottom w:val="single" w:color="auto" w:sz="4" w:space="0"/>
              <w:right w:val="single" w:color="auto" w:sz="4" w:space="0"/>
            </w:tcBorders>
            <w:vAlign w:val="center"/>
          </w:tcPr>
          <w:p>
            <w:pPr>
              <w:pStyle w:val="40"/>
              <w:rPr>
                <w:u w:val="single"/>
              </w:rPr>
            </w:pPr>
            <w:r>
              <w:rPr>
                <w:rFonts w:hint="eastAsia"/>
                <w:u w:val="single"/>
              </w:rPr>
              <w:t>0.22</w:t>
            </w:r>
          </w:p>
        </w:tc>
      </w:tr>
    </w:tbl>
    <w:p>
      <w:pPr>
        <w:pStyle w:val="32"/>
      </w:pPr>
      <w:bookmarkStart w:id="56" w:name="_Toc161250471"/>
      <w:r>
        <w:rPr>
          <w:rFonts w:hint="eastAsia"/>
        </w:rPr>
        <w:t>5</w:t>
      </w:r>
      <w:r>
        <w:t>.3</w:t>
      </w:r>
      <w:r>
        <w:rPr>
          <w:rFonts w:hint="eastAsia"/>
        </w:rPr>
        <w:t>和排污口设置可行性分析论证</w:t>
      </w:r>
      <w:bookmarkEnd w:id="56"/>
    </w:p>
    <w:p>
      <w:pPr>
        <w:pStyle w:val="35"/>
      </w:pPr>
      <w:bookmarkStart w:id="57" w:name="_Toc161250472"/>
      <w:r>
        <w:rPr>
          <w:rFonts w:hint="eastAsia"/>
        </w:rPr>
        <w:t>5</w:t>
      </w:r>
      <w:r>
        <w:t>.3.1</w:t>
      </w:r>
      <w:r>
        <w:rPr>
          <w:rFonts w:hint="eastAsia"/>
        </w:rPr>
        <w:t>与《水污染防治行动计划》的符合性分析</w:t>
      </w:r>
      <w:bookmarkEnd w:id="57"/>
    </w:p>
    <w:p>
      <w:pPr>
        <w:pStyle w:val="27"/>
        <w:ind w:firstLine="480"/>
        <w:rPr>
          <w:color w:val="4F81BD"/>
        </w:rPr>
      </w:pPr>
      <w:r>
        <w:t>《水污染防治行动计划》提出</w:t>
      </w:r>
      <w:r>
        <w:rPr>
          <w:rFonts w:hint="eastAsia"/>
        </w:rPr>
        <w:t>“</w:t>
      </w:r>
      <w:r>
        <w:t>强化城镇生活污染治理</w:t>
      </w:r>
      <w:r>
        <w:rPr>
          <w:rFonts w:hint="eastAsia"/>
        </w:rPr>
        <w:t>，</w:t>
      </w:r>
      <w:r>
        <w:t>加快城镇污水处理设施建设与改造</w:t>
      </w:r>
      <w:r>
        <w:rPr>
          <w:rFonts w:hint="eastAsia"/>
        </w:rPr>
        <w:t>”</w:t>
      </w:r>
      <w:r>
        <w:t>。</w:t>
      </w:r>
      <w:r>
        <w:rPr>
          <w:rFonts w:hint="eastAsia"/>
        </w:rPr>
        <w:t>祁东县凤歧坪乡此前无污水处理厂，场镇生活污水直排本项目南侧水塘，之后排入灌溉渠，本项目建设凤歧坪乡污水处理工程是落实“水十条”的具体要求，对南侧水塘、周边灌溉渠、祁水水环境质量改善具有重要意义。</w:t>
      </w:r>
    </w:p>
    <w:p>
      <w:pPr>
        <w:pStyle w:val="27"/>
        <w:ind w:firstLine="480"/>
      </w:pPr>
      <w:r>
        <w:rPr>
          <w:rFonts w:hint="eastAsia"/>
        </w:rPr>
        <w:t>本项目尾水通过管道排入东侧灌溉渠，之后经15km灌溉渠排入祁水，污水入祁水口位于祁东县蒋家桥镇</w:t>
      </w:r>
      <w:r>
        <w:t>，</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rPr>
        <w:t>，根据《衡阳市水功能区划》（2010~2020），祁水项目纳污河段为</w:t>
      </w:r>
      <w:r>
        <w:t>二级水功能区</w:t>
      </w:r>
      <w:r>
        <w:rPr>
          <w:rFonts w:hint="eastAsia"/>
        </w:rPr>
        <w:t>中渔业用水区，即按照</w:t>
      </w:r>
      <w:r>
        <w:t>《地表水环境质量标准》（GB3838-2002）规定的Ⅲ类水质标准或应按现状水质类别控制</w:t>
      </w:r>
      <w:r>
        <w:rPr>
          <w:rFonts w:hint="eastAsia"/>
        </w:rPr>
        <w:t>。</w:t>
      </w:r>
    </w:p>
    <w:p>
      <w:pPr>
        <w:pStyle w:val="27"/>
        <w:ind w:firstLine="480"/>
      </w:pPr>
      <w:r>
        <w:rPr>
          <w:rFonts w:hint="eastAsia"/>
        </w:rPr>
        <w:t>论证范围不属于水产种质资源保护区、鱼类“三场”及洄游通道，入河排污口位置不在自然保护区、风景名胜区及重要湿地等环境敏感区，因此本入河排污口不存在生态制约因素。</w:t>
      </w:r>
    </w:p>
    <w:p>
      <w:pPr>
        <w:pStyle w:val="35"/>
      </w:pPr>
      <w:bookmarkStart w:id="58" w:name="_Toc161250473"/>
      <w:r>
        <w:rPr>
          <w:rFonts w:hint="eastAsia"/>
        </w:rPr>
        <w:t>5</w:t>
      </w:r>
      <w:r>
        <w:t>.3.2</w:t>
      </w:r>
      <w:r>
        <w:rPr>
          <w:rFonts w:hint="eastAsia"/>
        </w:rPr>
        <w:t>与《入河排污口监督管理办法》的符合性分析</w:t>
      </w:r>
      <w:bookmarkEnd w:id="58"/>
    </w:p>
    <w:p>
      <w:pPr>
        <w:pStyle w:val="27"/>
        <w:ind w:firstLine="480"/>
      </w:pPr>
      <w:r>
        <w:rPr>
          <w:rFonts w:hint="eastAsia"/>
        </w:rPr>
        <w:t>根据</w:t>
      </w:r>
      <w:r>
        <w:t>《入河排污口监督管理办法》（水利部令第47号）第十四条</w:t>
      </w:r>
      <w:r>
        <w:rPr>
          <w:rFonts w:hint="eastAsia"/>
        </w:rPr>
        <w:t>，</w:t>
      </w:r>
      <w:r>
        <w:t>有下列情形之一的，不予同意设置入河排污口：</w:t>
      </w:r>
    </w:p>
    <w:p>
      <w:pPr>
        <w:pStyle w:val="27"/>
        <w:ind w:firstLine="480"/>
      </w:pPr>
      <w:r>
        <w:t>（1）在饮用水水源保护区内设置入河排污口的；</w:t>
      </w:r>
    </w:p>
    <w:p>
      <w:pPr>
        <w:pStyle w:val="27"/>
        <w:ind w:firstLine="480"/>
      </w:pPr>
      <w:r>
        <w:t>（2）在省级以上人民政府要求削减排污总量的水域设置入河排污口的；</w:t>
      </w:r>
    </w:p>
    <w:p>
      <w:pPr>
        <w:pStyle w:val="27"/>
        <w:ind w:firstLine="480"/>
      </w:pPr>
      <w:r>
        <w:t>（3）入河排污口设置可能使水域水质达不到水功能区要求的；</w:t>
      </w:r>
    </w:p>
    <w:p>
      <w:pPr>
        <w:pStyle w:val="27"/>
        <w:ind w:firstLine="480"/>
      </w:pPr>
      <w:r>
        <w:t>（4）入河排污口设置直接影响合法取水户用水安全的；</w:t>
      </w:r>
    </w:p>
    <w:p>
      <w:pPr>
        <w:pStyle w:val="27"/>
        <w:ind w:firstLine="480"/>
      </w:pPr>
      <w:r>
        <w:t>（5）入河排污口设置不符合防洪要求的；</w:t>
      </w:r>
    </w:p>
    <w:p>
      <w:pPr>
        <w:pStyle w:val="27"/>
        <w:ind w:firstLine="480"/>
      </w:pPr>
      <w:r>
        <w:t>（6）不符合法律、法规和国家产业政策规定的；</w:t>
      </w:r>
    </w:p>
    <w:p>
      <w:pPr>
        <w:pStyle w:val="27"/>
        <w:ind w:firstLine="480"/>
      </w:pPr>
      <w:r>
        <w:t>（7）其他不符合国务院水行政主管部门规定条件的。</w:t>
      </w:r>
    </w:p>
    <w:p>
      <w:pPr>
        <w:pStyle w:val="27"/>
        <w:ind w:firstLine="480"/>
      </w:pPr>
      <w:r>
        <w:t>与《入河排污口监督管理办法》（水利部令第47号）第十四条符合性分析如下。</w:t>
      </w:r>
    </w:p>
    <w:p>
      <w:pPr>
        <w:pStyle w:val="38"/>
      </w:pPr>
      <w:r>
        <w:rPr>
          <w:rFonts w:hint="eastAsia"/>
        </w:rPr>
        <w:t>表5.3-1 与《</w:t>
      </w:r>
      <w:r>
        <w:t>入河排污口监督管理办法</w:t>
      </w:r>
      <w:r>
        <w:rPr>
          <w:rFonts w:hint="eastAsia"/>
        </w:rPr>
        <w:t>》第十四条符合性分析</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1"/>
        <w:gridCol w:w="2956"/>
        <w:gridCol w:w="3764"/>
        <w:gridCol w:w="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序号</w:t>
            </w:r>
          </w:p>
        </w:tc>
        <w:tc>
          <w:tcPr>
            <w:tcW w:w="2956" w:type="dxa"/>
            <w:vAlign w:val="center"/>
          </w:tcPr>
          <w:p>
            <w:pPr>
              <w:pStyle w:val="40"/>
              <w:rPr>
                <w:kern w:val="0"/>
              </w:rPr>
            </w:pPr>
            <w:r>
              <w:rPr>
                <w:kern w:val="0"/>
              </w:rPr>
              <w:t>《入河排污口监督管理办法》（水利部令第47号）第十四条要求</w:t>
            </w:r>
          </w:p>
        </w:tc>
        <w:tc>
          <w:tcPr>
            <w:tcW w:w="3764" w:type="dxa"/>
            <w:vAlign w:val="center"/>
          </w:tcPr>
          <w:p>
            <w:pPr>
              <w:pStyle w:val="40"/>
              <w:rPr>
                <w:kern w:val="0"/>
              </w:rPr>
            </w:pPr>
            <w:r>
              <w:rPr>
                <w:kern w:val="0"/>
              </w:rPr>
              <w:t>本入河排污口情况</w:t>
            </w:r>
          </w:p>
        </w:tc>
        <w:tc>
          <w:tcPr>
            <w:tcW w:w="931" w:type="dxa"/>
            <w:vAlign w:val="center"/>
          </w:tcPr>
          <w:p>
            <w:pPr>
              <w:pStyle w:val="40"/>
              <w:rPr>
                <w:kern w:val="0"/>
              </w:rPr>
            </w:pPr>
            <w:r>
              <w:rPr>
                <w:kern w:val="0"/>
              </w:rPr>
              <w:t>是否有该情形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1</w:t>
            </w:r>
          </w:p>
        </w:tc>
        <w:tc>
          <w:tcPr>
            <w:tcW w:w="2956" w:type="dxa"/>
            <w:vAlign w:val="center"/>
          </w:tcPr>
          <w:p>
            <w:pPr>
              <w:pStyle w:val="40"/>
              <w:rPr>
                <w:kern w:val="0"/>
              </w:rPr>
            </w:pPr>
            <w:r>
              <w:rPr>
                <w:kern w:val="0"/>
              </w:rPr>
              <w:t>在饮用水水源保护区内设置入河排污口的</w:t>
            </w:r>
          </w:p>
        </w:tc>
        <w:tc>
          <w:tcPr>
            <w:tcW w:w="3764" w:type="dxa"/>
            <w:vAlign w:val="center"/>
          </w:tcPr>
          <w:p>
            <w:pPr>
              <w:pStyle w:val="40"/>
              <w:rPr>
                <w:kern w:val="0"/>
              </w:rPr>
            </w:pPr>
            <w:r>
              <w:rPr>
                <w:kern w:val="0"/>
              </w:rPr>
              <w:t>入河排污口设置于</w:t>
            </w:r>
            <w:r>
              <w:rPr>
                <w:rFonts w:hint="eastAsia"/>
                <w:kern w:val="0"/>
              </w:rPr>
              <w:t>东侧沟渠右岸</w:t>
            </w:r>
            <w:r>
              <w:rPr>
                <w:kern w:val="0"/>
              </w:rPr>
              <w:t>，</w:t>
            </w:r>
            <w:r>
              <w:rPr>
                <w:rFonts w:hint="eastAsia"/>
                <w:kern w:val="0"/>
              </w:rPr>
              <w:t>未设置在饮用水源保护区内，满足要求</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2</w:t>
            </w:r>
          </w:p>
        </w:tc>
        <w:tc>
          <w:tcPr>
            <w:tcW w:w="2956" w:type="dxa"/>
            <w:vAlign w:val="center"/>
          </w:tcPr>
          <w:p>
            <w:pPr>
              <w:pStyle w:val="40"/>
              <w:rPr>
                <w:kern w:val="0"/>
              </w:rPr>
            </w:pPr>
            <w:r>
              <w:rPr>
                <w:kern w:val="0"/>
              </w:rPr>
              <w:t>在省级以上人民政府要求削减排污总量的水域设置入河排污口的</w:t>
            </w:r>
          </w:p>
        </w:tc>
        <w:tc>
          <w:tcPr>
            <w:tcW w:w="3764" w:type="dxa"/>
            <w:vAlign w:val="center"/>
          </w:tcPr>
          <w:p>
            <w:pPr>
              <w:pStyle w:val="40"/>
              <w:rPr>
                <w:kern w:val="0"/>
              </w:rPr>
            </w:pPr>
            <w:r>
              <w:rPr>
                <w:rFonts w:hint="eastAsia"/>
                <w:kern w:val="0"/>
              </w:rPr>
              <w:t>不在省级以上人民政府要求削减排污总量的水域</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3</w:t>
            </w:r>
          </w:p>
        </w:tc>
        <w:tc>
          <w:tcPr>
            <w:tcW w:w="2956" w:type="dxa"/>
            <w:vAlign w:val="center"/>
          </w:tcPr>
          <w:p>
            <w:pPr>
              <w:pStyle w:val="40"/>
              <w:rPr>
                <w:kern w:val="0"/>
              </w:rPr>
            </w:pPr>
            <w:r>
              <w:rPr>
                <w:kern w:val="0"/>
              </w:rPr>
              <w:t>入河排污口设置可能使水域水质达不到水功能区要求的</w:t>
            </w:r>
          </w:p>
        </w:tc>
        <w:tc>
          <w:tcPr>
            <w:tcW w:w="3764" w:type="dxa"/>
            <w:vAlign w:val="center"/>
          </w:tcPr>
          <w:p>
            <w:pPr>
              <w:pStyle w:val="40"/>
              <w:rPr>
                <w:kern w:val="0"/>
              </w:rPr>
            </w:pPr>
            <w:r>
              <w:rPr>
                <w:rFonts w:hint="eastAsia"/>
                <w:kern w:val="0"/>
              </w:rPr>
              <w:t>根据预测结果分析，本入河排污口设置不会使水域水质达不到水功能区要求</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4</w:t>
            </w:r>
          </w:p>
        </w:tc>
        <w:tc>
          <w:tcPr>
            <w:tcW w:w="2956" w:type="dxa"/>
            <w:vAlign w:val="center"/>
          </w:tcPr>
          <w:p>
            <w:pPr>
              <w:pStyle w:val="40"/>
              <w:rPr>
                <w:kern w:val="0"/>
              </w:rPr>
            </w:pPr>
            <w:r>
              <w:rPr>
                <w:kern w:val="0"/>
              </w:rPr>
              <w:t>入河排污口设置直接影响合法取水户用水安全的</w:t>
            </w:r>
          </w:p>
        </w:tc>
        <w:tc>
          <w:tcPr>
            <w:tcW w:w="3764" w:type="dxa"/>
            <w:vAlign w:val="center"/>
          </w:tcPr>
          <w:p>
            <w:pPr>
              <w:pStyle w:val="40"/>
              <w:rPr>
                <w:kern w:val="0"/>
              </w:rPr>
            </w:pPr>
            <w:r>
              <w:rPr>
                <w:rFonts w:hint="eastAsia"/>
                <w:kern w:val="0"/>
              </w:rPr>
              <w:t>入河排污口下游论证范围内无饮用水水源保护区、生活、工业取水口分布</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5</w:t>
            </w:r>
          </w:p>
        </w:tc>
        <w:tc>
          <w:tcPr>
            <w:tcW w:w="2956" w:type="dxa"/>
            <w:vAlign w:val="center"/>
          </w:tcPr>
          <w:p>
            <w:pPr>
              <w:pStyle w:val="40"/>
              <w:rPr>
                <w:kern w:val="0"/>
              </w:rPr>
            </w:pPr>
            <w:r>
              <w:rPr>
                <w:kern w:val="0"/>
              </w:rPr>
              <w:t>入河排污口设置不符合防洪要求的</w:t>
            </w:r>
          </w:p>
        </w:tc>
        <w:tc>
          <w:tcPr>
            <w:tcW w:w="3764" w:type="dxa"/>
            <w:vAlign w:val="center"/>
          </w:tcPr>
          <w:p>
            <w:pPr>
              <w:pStyle w:val="40"/>
              <w:rPr>
                <w:kern w:val="0"/>
              </w:rPr>
            </w:pPr>
            <w:r>
              <w:rPr>
                <w:rFonts w:hint="eastAsia"/>
                <w:kern w:val="0"/>
              </w:rPr>
              <w:t>本入河排污口设置符合防洪要求</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6</w:t>
            </w:r>
          </w:p>
        </w:tc>
        <w:tc>
          <w:tcPr>
            <w:tcW w:w="2956" w:type="dxa"/>
            <w:vAlign w:val="center"/>
          </w:tcPr>
          <w:p>
            <w:pPr>
              <w:pStyle w:val="40"/>
              <w:rPr>
                <w:kern w:val="0"/>
              </w:rPr>
            </w:pPr>
            <w:r>
              <w:rPr>
                <w:kern w:val="0"/>
              </w:rPr>
              <w:t>不符合法律、法规和国家产业政策规定的</w:t>
            </w:r>
          </w:p>
        </w:tc>
        <w:tc>
          <w:tcPr>
            <w:tcW w:w="3764" w:type="dxa"/>
            <w:vAlign w:val="center"/>
          </w:tcPr>
          <w:p>
            <w:pPr>
              <w:pStyle w:val="40"/>
              <w:rPr>
                <w:kern w:val="0"/>
              </w:rPr>
            </w:pPr>
            <w:r>
              <w:rPr>
                <w:rFonts w:hint="eastAsia"/>
                <w:kern w:val="0"/>
              </w:rPr>
              <w:t>本入河排污口设置符合</w:t>
            </w:r>
            <w:r>
              <w:rPr>
                <w:kern w:val="0"/>
              </w:rPr>
              <w:t>法律、法规和国家产业政策规定</w:t>
            </w:r>
          </w:p>
        </w:tc>
        <w:tc>
          <w:tcPr>
            <w:tcW w:w="931"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71" w:type="dxa"/>
            <w:vAlign w:val="center"/>
          </w:tcPr>
          <w:p>
            <w:pPr>
              <w:pStyle w:val="40"/>
              <w:rPr>
                <w:kern w:val="0"/>
              </w:rPr>
            </w:pPr>
            <w:r>
              <w:rPr>
                <w:kern w:val="0"/>
              </w:rPr>
              <w:t>7</w:t>
            </w:r>
          </w:p>
        </w:tc>
        <w:tc>
          <w:tcPr>
            <w:tcW w:w="2956" w:type="dxa"/>
            <w:vAlign w:val="center"/>
          </w:tcPr>
          <w:p>
            <w:pPr>
              <w:pStyle w:val="40"/>
              <w:rPr>
                <w:kern w:val="0"/>
              </w:rPr>
            </w:pPr>
            <w:r>
              <w:rPr>
                <w:kern w:val="0"/>
              </w:rPr>
              <w:t>其他不符合国务院水行政主管部门规定条件的</w:t>
            </w:r>
          </w:p>
        </w:tc>
        <w:tc>
          <w:tcPr>
            <w:tcW w:w="3764" w:type="dxa"/>
            <w:vAlign w:val="center"/>
          </w:tcPr>
          <w:p>
            <w:pPr>
              <w:pStyle w:val="40"/>
              <w:rPr>
                <w:kern w:val="0"/>
              </w:rPr>
            </w:pPr>
            <w:r>
              <w:rPr>
                <w:rFonts w:hint="eastAsia"/>
                <w:kern w:val="0"/>
              </w:rPr>
              <w:t>无其他不符合</w:t>
            </w:r>
            <w:r>
              <w:rPr>
                <w:kern w:val="0"/>
              </w:rPr>
              <w:t>国务院水行政主管部门规定条件</w:t>
            </w:r>
          </w:p>
        </w:tc>
        <w:tc>
          <w:tcPr>
            <w:tcW w:w="931" w:type="dxa"/>
            <w:vAlign w:val="center"/>
          </w:tcPr>
          <w:p>
            <w:pPr>
              <w:pStyle w:val="40"/>
              <w:rPr>
                <w:kern w:val="0"/>
              </w:rPr>
            </w:pPr>
            <w:r>
              <w:rPr>
                <w:rFonts w:hint="eastAsia"/>
                <w:kern w:val="0"/>
              </w:rPr>
              <w:t>无</w:t>
            </w:r>
          </w:p>
        </w:tc>
      </w:tr>
    </w:tbl>
    <w:p>
      <w:pPr>
        <w:pStyle w:val="27"/>
        <w:ind w:firstLine="480"/>
      </w:pPr>
      <w:r>
        <w:rPr>
          <w:rFonts w:hint="eastAsia"/>
        </w:rPr>
        <w:t>对照上表可知，本工程建设无《入河排污口监督管理办法》第十四条所列情形，符合《入河排污口监督管理办法》要求。</w:t>
      </w:r>
    </w:p>
    <w:p>
      <w:pPr>
        <w:pStyle w:val="35"/>
      </w:pPr>
      <w:bookmarkStart w:id="59" w:name="_Toc161250474"/>
      <w:r>
        <w:rPr>
          <w:rFonts w:hint="eastAsia"/>
        </w:rPr>
        <w:t>5</w:t>
      </w:r>
      <w:r>
        <w:t>.3.3</w:t>
      </w:r>
      <w:r>
        <w:rPr>
          <w:rFonts w:hint="eastAsia"/>
        </w:rPr>
        <w:t>与《湖南省入河排污口监督管理办法》符合性分析</w:t>
      </w:r>
      <w:bookmarkEnd w:id="59"/>
    </w:p>
    <w:p>
      <w:pPr>
        <w:pStyle w:val="27"/>
        <w:ind w:firstLine="480"/>
      </w:pPr>
      <w:r>
        <w:t>根据《湖南省入河排污口监督管理办法》（湘政办发〔2018〕44号）</w:t>
      </w:r>
      <w:r>
        <w:rPr>
          <w:rFonts w:hint="eastAsia"/>
        </w:rPr>
        <w:t>第十五条，有下列情形之一的，不予同意设置入河排污口：</w:t>
      </w:r>
    </w:p>
    <w:p>
      <w:pPr>
        <w:pStyle w:val="27"/>
        <w:ind w:firstLine="480"/>
      </w:pPr>
      <w:r>
        <w:rPr>
          <w:rFonts w:hint="eastAsia"/>
        </w:rPr>
        <w:t>（1）饮用水水源一级、二级保护区内；</w:t>
      </w:r>
    </w:p>
    <w:p>
      <w:pPr>
        <w:pStyle w:val="27"/>
        <w:ind w:firstLine="480"/>
      </w:pPr>
      <w:r>
        <w:rPr>
          <w:rFonts w:hint="eastAsia"/>
        </w:rPr>
        <w:t>（2）自然保护区核心区、缓冲区内；</w:t>
      </w:r>
    </w:p>
    <w:p>
      <w:pPr>
        <w:pStyle w:val="27"/>
        <w:ind w:firstLine="480"/>
      </w:pPr>
      <w:r>
        <w:rPr>
          <w:rFonts w:hint="eastAsia"/>
        </w:rPr>
        <w:t>（3）水产种质资源保护区内；</w:t>
      </w:r>
    </w:p>
    <w:p>
      <w:pPr>
        <w:pStyle w:val="27"/>
        <w:ind w:firstLine="480"/>
      </w:pPr>
      <w:r>
        <w:rPr>
          <w:rFonts w:hint="eastAsia"/>
        </w:rPr>
        <w:t>（4）省级以上湿地公园保育区、恢复重建区内；</w:t>
      </w:r>
    </w:p>
    <w:p>
      <w:pPr>
        <w:pStyle w:val="27"/>
        <w:ind w:firstLine="480"/>
      </w:pPr>
      <w:r>
        <w:rPr>
          <w:rFonts w:hint="eastAsia"/>
        </w:rPr>
        <w:t>（5）能够由污水系统接纳但拒不接入的；</w:t>
      </w:r>
    </w:p>
    <w:p>
      <w:pPr>
        <w:pStyle w:val="27"/>
        <w:ind w:firstLine="480"/>
      </w:pPr>
      <w:r>
        <w:rPr>
          <w:rFonts w:hint="eastAsia"/>
        </w:rPr>
        <w:t>（6）经论证不符合设置要求的；</w:t>
      </w:r>
    </w:p>
    <w:p>
      <w:pPr>
        <w:pStyle w:val="27"/>
        <w:ind w:firstLine="480"/>
      </w:pPr>
      <w:r>
        <w:rPr>
          <w:rFonts w:hint="eastAsia"/>
        </w:rPr>
        <w:t>（7）设置可能使水域水质达不到水功能区要求的；</w:t>
      </w:r>
    </w:p>
    <w:p>
      <w:pPr>
        <w:pStyle w:val="27"/>
        <w:ind w:firstLine="480"/>
      </w:pPr>
      <w:r>
        <w:rPr>
          <w:rFonts w:hint="eastAsia"/>
        </w:rPr>
        <w:t>（8）其他不符合法律、法规以及国家和地方有关规定的。</w:t>
      </w:r>
    </w:p>
    <w:p>
      <w:pPr>
        <w:pStyle w:val="27"/>
        <w:ind w:firstLine="480"/>
      </w:pPr>
      <w:r>
        <w:t>与《湖南省入河排污口监督管理办法》（湘政办发〔2018〕44号）</w:t>
      </w:r>
      <w:r>
        <w:rPr>
          <w:rFonts w:hint="eastAsia"/>
        </w:rPr>
        <w:t>第十五条</w:t>
      </w:r>
      <w:r>
        <w:t>符合性分析如下。</w:t>
      </w:r>
    </w:p>
    <w:p>
      <w:pPr>
        <w:pStyle w:val="38"/>
        <w:rPr>
          <w:sz w:val="21"/>
          <w:szCs w:val="21"/>
        </w:rPr>
      </w:pPr>
      <w:r>
        <w:rPr>
          <w:rFonts w:hint="eastAsia"/>
        </w:rPr>
        <w:t>表5.3-2 与《湖南省入河排污口监督管理办法》第十五条符合性分析</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2949"/>
        <w:gridCol w:w="3828"/>
        <w:gridCol w:w="10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序号</w:t>
            </w:r>
          </w:p>
        </w:tc>
        <w:tc>
          <w:tcPr>
            <w:tcW w:w="2949" w:type="dxa"/>
            <w:vAlign w:val="center"/>
          </w:tcPr>
          <w:p>
            <w:pPr>
              <w:pStyle w:val="40"/>
              <w:rPr>
                <w:kern w:val="0"/>
              </w:rPr>
            </w:pPr>
            <w:r>
              <w:rPr>
                <w:kern w:val="0"/>
              </w:rPr>
              <w:t>《湖南省入河排污口监督管理办法》（湘政办发〔2018〕44号）第十五条要求</w:t>
            </w:r>
          </w:p>
        </w:tc>
        <w:tc>
          <w:tcPr>
            <w:tcW w:w="3828" w:type="dxa"/>
            <w:vAlign w:val="center"/>
          </w:tcPr>
          <w:p>
            <w:pPr>
              <w:pStyle w:val="40"/>
              <w:rPr>
                <w:kern w:val="0"/>
              </w:rPr>
            </w:pPr>
            <w:r>
              <w:rPr>
                <w:kern w:val="0"/>
              </w:rPr>
              <w:t>本入河排污口情况</w:t>
            </w:r>
          </w:p>
        </w:tc>
        <w:tc>
          <w:tcPr>
            <w:tcW w:w="1038" w:type="dxa"/>
            <w:vAlign w:val="center"/>
          </w:tcPr>
          <w:p>
            <w:pPr>
              <w:pStyle w:val="40"/>
              <w:rPr>
                <w:kern w:val="0"/>
              </w:rPr>
            </w:pPr>
            <w:r>
              <w:rPr>
                <w:kern w:val="0"/>
              </w:rPr>
              <w:t>是否有该情形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1</w:t>
            </w:r>
          </w:p>
        </w:tc>
        <w:tc>
          <w:tcPr>
            <w:tcW w:w="2949" w:type="dxa"/>
            <w:vAlign w:val="center"/>
          </w:tcPr>
          <w:p>
            <w:pPr>
              <w:pStyle w:val="40"/>
              <w:rPr>
                <w:kern w:val="0"/>
              </w:rPr>
            </w:pPr>
            <w:r>
              <w:rPr>
                <w:kern w:val="0"/>
              </w:rPr>
              <w:t>饮用水水源一级、二级保护区内</w:t>
            </w:r>
          </w:p>
        </w:tc>
        <w:tc>
          <w:tcPr>
            <w:tcW w:w="3828" w:type="dxa"/>
            <w:vAlign w:val="center"/>
          </w:tcPr>
          <w:p>
            <w:pPr>
              <w:pStyle w:val="40"/>
              <w:rPr>
                <w:kern w:val="0"/>
              </w:rPr>
            </w:pPr>
            <w:r>
              <w:rPr>
                <w:kern w:val="0"/>
              </w:rPr>
              <w:t>入河排污口设置于</w:t>
            </w:r>
            <w:r>
              <w:rPr>
                <w:rFonts w:hint="eastAsia"/>
                <w:kern w:val="0"/>
              </w:rPr>
              <w:t>东侧沟渠右岸</w:t>
            </w:r>
            <w:r>
              <w:rPr>
                <w:kern w:val="0"/>
              </w:rPr>
              <w:t>，</w:t>
            </w:r>
            <w:r>
              <w:rPr>
                <w:rFonts w:hint="eastAsia"/>
                <w:kern w:val="0"/>
              </w:rPr>
              <w:t>未设置在饮用水源保护区内，满足要求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2</w:t>
            </w:r>
          </w:p>
        </w:tc>
        <w:tc>
          <w:tcPr>
            <w:tcW w:w="2949" w:type="dxa"/>
            <w:vAlign w:val="center"/>
          </w:tcPr>
          <w:p>
            <w:pPr>
              <w:pStyle w:val="40"/>
              <w:rPr>
                <w:kern w:val="0"/>
              </w:rPr>
            </w:pPr>
            <w:r>
              <w:rPr>
                <w:kern w:val="0"/>
              </w:rPr>
              <w:t>自然保护区核心区、缓冲区内</w:t>
            </w:r>
          </w:p>
        </w:tc>
        <w:tc>
          <w:tcPr>
            <w:tcW w:w="3828" w:type="dxa"/>
            <w:vAlign w:val="center"/>
          </w:tcPr>
          <w:p>
            <w:pPr>
              <w:pStyle w:val="40"/>
              <w:rPr>
                <w:kern w:val="0"/>
              </w:rPr>
            </w:pPr>
            <w:r>
              <w:rPr>
                <w:rFonts w:hint="eastAsia"/>
                <w:kern w:val="0"/>
              </w:rPr>
              <w:t>不在</w:t>
            </w:r>
            <w:r>
              <w:rPr>
                <w:kern w:val="0"/>
              </w:rPr>
              <w:t>自然保护区核心区、缓冲区内</w:t>
            </w:r>
            <w:r>
              <w:rPr>
                <w:rFonts w:hint="eastAsia"/>
                <w:kern w:val="0"/>
              </w:rPr>
              <w:t>，满足要求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3</w:t>
            </w:r>
          </w:p>
        </w:tc>
        <w:tc>
          <w:tcPr>
            <w:tcW w:w="2949" w:type="dxa"/>
            <w:vAlign w:val="center"/>
          </w:tcPr>
          <w:p>
            <w:pPr>
              <w:pStyle w:val="40"/>
              <w:rPr>
                <w:kern w:val="0"/>
              </w:rPr>
            </w:pPr>
            <w:r>
              <w:rPr>
                <w:kern w:val="0"/>
              </w:rPr>
              <w:t>水产种质资源保护区内</w:t>
            </w:r>
          </w:p>
        </w:tc>
        <w:tc>
          <w:tcPr>
            <w:tcW w:w="3828" w:type="dxa"/>
            <w:vAlign w:val="center"/>
          </w:tcPr>
          <w:p>
            <w:pPr>
              <w:pStyle w:val="40"/>
              <w:rPr>
                <w:kern w:val="0"/>
              </w:rPr>
            </w:pPr>
            <w:r>
              <w:rPr>
                <w:kern w:val="0"/>
              </w:rPr>
              <w:t>入河排污口设置于</w:t>
            </w:r>
            <w:r>
              <w:rPr>
                <w:rFonts w:hint="eastAsia"/>
                <w:kern w:val="0"/>
              </w:rPr>
              <w:t>东侧沟渠右岸</w:t>
            </w:r>
            <w:r>
              <w:rPr>
                <w:kern w:val="0"/>
              </w:rPr>
              <w:t>，</w:t>
            </w:r>
            <w:r>
              <w:rPr>
                <w:rFonts w:hint="eastAsia"/>
                <w:kern w:val="0"/>
              </w:rPr>
              <w:t>未设置在</w:t>
            </w:r>
            <w:r>
              <w:rPr>
                <w:kern w:val="0"/>
              </w:rPr>
              <w:t>水产种质资源保护区内</w:t>
            </w:r>
            <w:r>
              <w:rPr>
                <w:rFonts w:hint="eastAsia"/>
                <w:kern w:val="0"/>
              </w:rPr>
              <w:t>，满足要求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4</w:t>
            </w:r>
          </w:p>
        </w:tc>
        <w:tc>
          <w:tcPr>
            <w:tcW w:w="2949" w:type="dxa"/>
            <w:vAlign w:val="center"/>
          </w:tcPr>
          <w:p>
            <w:pPr>
              <w:pStyle w:val="40"/>
              <w:rPr>
                <w:kern w:val="0"/>
              </w:rPr>
            </w:pPr>
            <w:r>
              <w:rPr>
                <w:kern w:val="0"/>
              </w:rPr>
              <w:t>省级以上湿地公园保育区、恢复重建区内</w:t>
            </w:r>
          </w:p>
        </w:tc>
        <w:tc>
          <w:tcPr>
            <w:tcW w:w="3828" w:type="dxa"/>
            <w:vAlign w:val="center"/>
          </w:tcPr>
          <w:p>
            <w:pPr>
              <w:pStyle w:val="40"/>
              <w:rPr>
                <w:kern w:val="0"/>
              </w:rPr>
            </w:pPr>
            <w:r>
              <w:rPr>
                <w:rFonts w:hint="eastAsia"/>
                <w:kern w:val="0"/>
              </w:rPr>
              <w:t>不在</w:t>
            </w:r>
            <w:r>
              <w:rPr>
                <w:kern w:val="0"/>
              </w:rPr>
              <w:t>省级以上湿地公园保育区、恢复重建区内</w:t>
            </w:r>
            <w:r>
              <w:rPr>
                <w:rFonts w:hint="eastAsia"/>
                <w:kern w:val="0"/>
              </w:rPr>
              <w:t>，满足要求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5</w:t>
            </w:r>
          </w:p>
        </w:tc>
        <w:tc>
          <w:tcPr>
            <w:tcW w:w="2949" w:type="dxa"/>
            <w:vAlign w:val="center"/>
          </w:tcPr>
          <w:p>
            <w:pPr>
              <w:pStyle w:val="40"/>
              <w:rPr>
                <w:kern w:val="0"/>
              </w:rPr>
            </w:pPr>
            <w:r>
              <w:rPr>
                <w:kern w:val="0"/>
              </w:rPr>
              <w:t>能够由污水系统接纳但拒不接入的</w:t>
            </w:r>
          </w:p>
        </w:tc>
        <w:tc>
          <w:tcPr>
            <w:tcW w:w="3828" w:type="dxa"/>
            <w:vAlign w:val="center"/>
          </w:tcPr>
          <w:p>
            <w:pPr>
              <w:pStyle w:val="40"/>
              <w:rPr>
                <w:kern w:val="0"/>
              </w:rPr>
            </w:pPr>
            <w:r>
              <w:rPr>
                <w:rFonts w:hint="eastAsia"/>
                <w:kern w:val="0"/>
              </w:rPr>
              <w:t>本入河排污口属于城镇污水处理厂排污口，无其它污水接纳系统</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6</w:t>
            </w:r>
          </w:p>
        </w:tc>
        <w:tc>
          <w:tcPr>
            <w:tcW w:w="2949" w:type="dxa"/>
            <w:vAlign w:val="center"/>
          </w:tcPr>
          <w:p>
            <w:pPr>
              <w:pStyle w:val="40"/>
              <w:rPr>
                <w:kern w:val="0"/>
              </w:rPr>
            </w:pPr>
            <w:r>
              <w:rPr>
                <w:kern w:val="0"/>
              </w:rPr>
              <w:t>经论证不符合设置要求的</w:t>
            </w:r>
          </w:p>
        </w:tc>
        <w:tc>
          <w:tcPr>
            <w:tcW w:w="3828" w:type="dxa"/>
            <w:vAlign w:val="center"/>
          </w:tcPr>
          <w:p>
            <w:pPr>
              <w:pStyle w:val="40"/>
              <w:rPr>
                <w:kern w:val="0"/>
              </w:rPr>
            </w:pPr>
            <w:r>
              <w:rPr>
                <w:rFonts w:hint="eastAsia"/>
                <w:kern w:val="0"/>
              </w:rPr>
              <w:t>根据本论证报告，本入河排污口符合设置要求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kern w:val="0"/>
              </w:rPr>
              <w:t>7</w:t>
            </w:r>
          </w:p>
        </w:tc>
        <w:tc>
          <w:tcPr>
            <w:tcW w:w="2949" w:type="dxa"/>
            <w:vAlign w:val="center"/>
          </w:tcPr>
          <w:p>
            <w:pPr>
              <w:pStyle w:val="40"/>
              <w:rPr>
                <w:kern w:val="0"/>
              </w:rPr>
            </w:pPr>
            <w:r>
              <w:rPr>
                <w:kern w:val="0"/>
              </w:rPr>
              <w:t>设置可能使水域水质达不到水功能区要求的</w:t>
            </w:r>
          </w:p>
        </w:tc>
        <w:tc>
          <w:tcPr>
            <w:tcW w:w="3828" w:type="dxa"/>
            <w:vAlign w:val="center"/>
          </w:tcPr>
          <w:p>
            <w:pPr>
              <w:pStyle w:val="40"/>
              <w:rPr>
                <w:kern w:val="0"/>
              </w:rPr>
            </w:pPr>
            <w:r>
              <w:rPr>
                <w:rFonts w:hint="eastAsia"/>
                <w:kern w:val="0"/>
              </w:rPr>
              <w:t>根据预测结果分析，本入河排污口设置不会使水域水质达不到水功能区要求</w:t>
            </w:r>
          </w:p>
        </w:tc>
        <w:tc>
          <w:tcPr>
            <w:tcW w:w="1038" w:type="dxa"/>
            <w:vAlign w:val="center"/>
          </w:tcPr>
          <w:p>
            <w:pPr>
              <w:pStyle w:val="40"/>
              <w:rPr>
                <w:kern w:val="0"/>
              </w:rPr>
            </w:pPr>
            <w:r>
              <w:rPr>
                <w:rFonts w:hint="eastAsia"/>
                <w:kern w:val="0"/>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vAlign w:val="center"/>
          </w:tcPr>
          <w:p>
            <w:pPr>
              <w:pStyle w:val="40"/>
              <w:rPr>
                <w:kern w:val="0"/>
              </w:rPr>
            </w:pPr>
            <w:r>
              <w:rPr>
                <w:rFonts w:hint="eastAsia"/>
                <w:kern w:val="0"/>
              </w:rPr>
              <w:t>8</w:t>
            </w:r>
          </w:p>
        </w:tc>
        <w:tc>
          <w:tcPr>
            <w:tcW w:w="2949" w:type="dxa"/>
            <w:vAlign w:val="center"/>
          </w:tcPr>
          <w:p>
            <w:pPr>
              <w:pStyle w:val="40"/>
              <w:rPr>
                <w:kern w:val="0"/>
              </w:rPr>
            </w:pPr>
            <w:r>
              <w:rPr>
                <w:kern w:val="0"/>
              </w:rPr>
              <w:t>其他不符合法律、法规和国家产业政策规定的</w:t>
            </w:r>
          </w:p>
        </w:tc>
        <w:tc>
          <w:tcPr>
            <w:tcW w:w="3828" w:type="dxa"/>
            <w:vAlign w:val="center"/>
          </w:tcPr>
          <w:p>
            <w:pPr>
              <w:pStyle w:val="40"/>
              <w:rPr>
                <w:kern w:val="0"/>
              </w:rPr>
            </w:pPr>
            <w:r>
              <w:rPr>
                <w:rFonts w:hint="eastAsia"/>
                <w:kern w:val="0"/>
              </w:rPr>
              <w:t>本入河排污口设置符合</w:t>
            </w:r>
            <w:r>
              <w:rPr>
                <w:kern w:val="0"/>
              </w:rPr>
              <w:t>法律、法规和国家产业政策规定</w:t>
            </w:r>
          </w:p>
        </w:tc>
        <w:tc>
          <w:tcPr>
            <w:tcW w:w="1038" w:type="dxa"/>
            <w:vAlign w:val="center"/>
          </w:tcPr>
          <w:p>
            <w:pPr>
              <w:pStyle w:val="40"/>
              <w:rPr>
                <w:kern w:val="0"/>
              </w:rPr>
            </w:pPr>
            <w:r>
              <w:rPr>
                <w:rFonts w:hint="eastAsia"/>
                <w:kern w:val="0"/>
              </w:rPr>
              <w:t>无</w:t>
            </w:r>
          </w:p>
        </w:tc>
      </w:tr>
    </w:tbl>
    <w:p>
      <w:pPr>
        <w:pStyle w:val="27"/>
        <w:ind w:firstLine="480"/>
      </w:pPr>
      <w:r>
        <w:rPr>
          <w:rFonts w:hint="eastAsia"/>
        </w:rPr>
        <w:t>对照上表可知，本工程建设无《</w:t>
      </w:r>
      <w:r>
        <w:t>湖南省入河排污口监督管理办法</w:t>
      </w:r>
      <w:r>
        <w:rPr>
          <w:rFonts w:hint="eastAsia"/>
        </w:rPr>
        <w:t>》第十五条所列情形，符合《</w:t>
      </w:r>
      <w:r>
        <w:t>湖南省入河排污口监督管理办法</w:t>
      </w:r>
      <w:r>
        <w:rPr>
          <w:rFonts w:hint="eastAsia"/>
        </w:rPr>
        <w:t>》要求。</w:t>
      </w:r>
    </w:p>
    <w:p>
      <w:pPr>
        <w:pStyle w:val="35"/>
      </w:pPr>
      <w:bookmarkStart w:id="60" w:name="_Toc161250475"/>
      <w:r>
        <w:rPr>
          <w:rFonts w:hint="eastAsia"/>
        </w:rPr>
        <w:t>5</w:t>
      </w:r>
      <w:r>
        <w:t>.3.4</w:t>
      </w:r>
      <w:r>
        <w:rPr>
          <w:rFonts w:hint="eastAsia"/>
        </w:rPr>
        <w:t>与防洪要求符合性分析</w:t>
      </w:r>
      <w:bookmarkEnd w:id="60"/>
    </w:p>
    <w:p>
      <w:pPr>
        <w:pStyle w:val="27"/>
        <w:ind w:firstLine="480"/>
      </w:pPr>
      <w:r>
        <w:rPr>
          <w:rFonts w:hint="eastAsia"/>
        </w:rPr>
        <w:t>本项目尾水排放路径为通过管道排入东侧灌溉渠，灌溉渠宽度仅2m，汇水面积较小，无需考虑泄洪防洪，尾水经灌溉渠15km后汇入祁水，</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r>
        <w:rPr>
          <w:rFonts w:hint="eastAsia"/>
        </w:rPr>
        <w:t>不会影响祁水行洪功能，符合防洪要求。</w:t>
      </w:r>
    </w:p>
    <w:p>
      <w:pPr>
        <w:pStyle w:val="35"/>
      </w:pPr>
      <w:bookmarkStart w:id="61" w:name="_Toc161250476"/>
      <w:r>
        <w:rPr>
          <w:rFonts w:hint="eastAsia"/>
        </w:rPr>
        <w:t>5</w:t>
      </w:r>
      <w:r>
        <w:t>.3.5</w:t>
      </w:r>
      <w:r>
        <w:rPr>
          <w:rFonts w:hint="eastAsia"/>
        </w:rPr>
        <w:t>与《水产种质资源保护区管理暂行办法》符合性分析</w:t>
      </w:r>
      <w:bookmarkEnd w:id="61"/>
    </w:p>
    <w:p>
      <w:pPr>
        <w:pStyle w:val="27"/>
        <w:ind w:firstLine="480"/>
      </w:pPr>
      <w:r>
        <w:rPr>
          <w:rFonts w:hint="eastAsia"/>
        </w:rPr>
        <w:t>根据《水产种质资源保护区管理暂行办法》（农业部令[2011]第1号）第二十一条规定“禁止在水产种质资源保护区内新建排污口”，本项目尾水通过管道排入东侧灌溉渠，之后经15km灌溉渠排入祁水，污水入祁水口位于祁东县蒋家桥镇</w:t>
      </w:r>
      <w:r>
        <w:t>，</w:t>
      </w:r>
      <w:r>
        <w:rPr>
          <w:rFonts w:hint="eastAsia"/>
        </w:rPr>
        <w:t>本项目</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rPr>
        <w:t>，根据《衡阳市水功能区划》（2010~2020），祁水项目纳污河段为</w:t>
      </w:r>
      <w:r>
        <w:t>二级水功能区</w:t>
      </w:r>
      <w:r>
        <w:rPr>
          <w:rFonts w:hint="eastAsia"/>
        </w:rPr>
        <w:t>中渔业用水区，即按照</w:t>
      </w:r>
      <w:r>
        <w:t>《地表水环境质量标准》（GB3838-2002）规定的Ⅲ类水质标准或应按现状水质类别控制</w:t>
      </w:r>
      <w:r>
        <w:rPr>
          <w:rFonts w:hint="eastAsia"/>
        </w:rPr>
        <w:t>。</w:t>
      </w:r>
    </w:p>
    <w:p>
      <w:pPr>
        <w:pStyle w:val="27"/>
        <w:ind w:firstLine="480"/>
      </w:pPr>
      <w:r>
        <w:rPr>
          <w:rFonts w:hint="eastAsia"/>
        </w:rPr>
        <w:t>论证范围不在水产种质资源保护区内，符合《水产种质资源保护区管理暂行办法》的要求。</w:t>
      </w:r>
    </w:p>
    <w:p>
      <w:pPr>
        <w:pStyle w:val="35"/>
      </w:pPr>
      <w:bookmarkStart w:id="62" w:name="_Toc161250477"/>
      <w:r>
        <w:rPr>
          <w:rFonts w:hint="eastAsia"/>
        </w:rPr>
        <w:t>5</w:t>
      </w:r>
      <w:r>
        <w:t>.3.6</w:t>
      </w:r>
      <w:r>
        <w:rPr>
          <w:rFonts w:hint="eastAsia"/>
        </w:rPr>
        <w:t>与《饮用水源保护区污染防治管理规定》符合性分析</w:t>
      </w:r>
      <w:bookmarkEnd w:id="62"/>
    </w:p>
    <w:p>
      <w:pPr>
        <w:pStyle w:val="27"/>
        <w:ind w:firstLine="480"/>
      </w:pPr>
      <w:r>
        <w:t>根据《饮用水源保护区污染防治管理规定》第十二条规定</w:t>
      </w:r>
      <w:r>
        <w:rPr>
          <w:rFonts w:hint="eastAsia"/>
        </w:rPr>
        <w:t>“一级保护区内禁止新建、扩建与供水设施和保护水源无关的建设项目；禁止向水域排放污水，已设置的排污口必须拆除。二级保护区内禁止新建、改建、扩建排放污染物的建设项目；原有排污口依法拆除或者关闭。准保护区内禁止新建、扩建对水体污染严重的建设项目；改建建设项目，不得增加排污量。” 本项目尾水通过管道排入东侧灌溉渠，之后经15km灌溉渠排入祁水，污水入祁水口位于祁东县蒋家桥镇</w:t>
      </w:r>
      <w:r>
        <w:t>，</w:t>
      </w:r>
      <w:r>
        <w:rPr>
          <w:rFonts w:hint="eastAsia"/>
        </w:rPr>
        <w:t>本项目</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rPr>
        <w:t>，根据《衡阳市水功能区划》（2010~2020），祁水项目纳污河段为</w:t>
      </w:r>
      <w:r>
        <w:t>二级水功能区</w:t>
      </w:r>
      <w:r>
        <w:rPr>
          <w:rFonts w:hint="eastAsia"/>
        </w:rPr>
        <w:t>中渔业用水区，即按照</w:t>
      </w:r>
      <w:r>
        <w:t>《地表水环境质量标准》（GB3838-2002）规定的Ⅲ类水质标准或应按现状水质类别控制</w:t>
      </w:r>
      <w:r>
        <w:rPr>
          <w:rFonts w:hint="eastAsia"/>
        </w:rPr>
        <w:t>。</w:t>
      </w:r>
    </w:p>
    <w:p>
      <w:pPr>
        <w:pStyle w:val="27"/>
        <w:ind w:firstLine="480"/>
      </w:pPr>
      <w:r>
        <w:rPr>
          <w:rFonts w:hint="eastAsia"/>
        </w:rPr>
        <w:t>论证范围不在饮用水源保护区内，符合</w:t>
      </w:r>
      <w:r>
        <w:t>《饮用水源保护区污染防治管理规定》</w:t>
      </w:r>
      <w:r>
        <w:rPr>
          <w:rFonts w:hint="eastAsia"/>
        </w:rPr>
        <w:t>的要求。</w:t>
      </w:r>
    </w:p>
    <w:p>
      <w:pPr>
        <w:pStyle w:val="32"/>
      </w:pPr>
      <w:bookmarkStart w:id="63" w:name="_Toc161250478"/>
      <w:r>
        <w:rPr>
          <w:rFonts w:hint="eastAsia"/>
        </w:rPr>
        <w:t>5</w:t>
      </w:r>
      <w:r>
        <w:t>.4</w:t>
      </w:r>
      <w:r>
        <w:rPr>
          <w:rFonts w:hint="eastAsia"/>
        </w:rPr>
        <w:t>入河排污口设置方案</w:t>
      </w:r>
      <w:bookmarkEnd w:id="63"/>
    </w:p>
    <w:p>
      <w:pPr>
        <w:pStyle w:val="35"/>
      </w:pPr>
      <w:bookmarkStart w:id="64" w:name="_Toc161250479"/>
      <w:r>
        <w:rPr>
          <w:rFonts w:hint="eastAsia"/>
        </w:rPr>
        <w:t>5</w:t>
      </w:r>
      <w:r>
        <w:t>.4.1</w:t>
      </w:r>
      <w:r>
        <w:rPr>
          <w:rFonts w:hint="eastAsia"/>
        </w:rPr>
        <w:t>入河排污口设置基本情况</w:t>
      </w:r>
      <w:bookmarkEnd w:id="64"/>
    </w:p>
    <w:p>
      <w:pPr>
        <w:pStyle w:val="27"/>
        <w:ind w:firstLine="480"/>
      </w:pPr>
      <w:r>
        <w:rPr>
          <w:rFonts w:hint="eastAsia"/>
        </w:rPr>
        <w:t>凤歧坪乡污水处理工程入河排污口基本情况见下表。</w:t>
      </w:r>
    </w:p>
    <w:p>
      <w:pPr>
        <w:pStyle w:val="38"/>
      </w:pPr>
      <w:r>
        <w:t>表5.4-1 入河排污口基本情况表</w:t>
      </w:r>
    </w:p>
    <w:tbl>
      <w:tblPr>
        <w:tblStyle w:val="20"/>
        <w:tblW w:w="85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2131"/>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jc w:val="center"/>
        </w:trPr>
        <w:tc>
          <w:tcPr>
            <w:tcW w:w="2130" w:type="dxa"/>
            <w:vAlign w:val="center"/>
          </w:tcPr>
          <w:p>
            <w:pPr>
              <w:pStyle w:val="40"/>
              <w:rPr>
                <w:u w:val="single"/>
              </w:rPr>
            </w:pPr>
            <w:r>
              <w:rPr>
                <w:u w:val="single"/>
              </w:rPr>
              <w:t>入河排污口名称</w:t>
            </w:r>
          </w:p>
        </w:tc>
        <w:tc>
          <w:tcPr>
            <w:tcW w:w="6393" w:type="dxa"/>
            <w:gridSpan w:val="3"/>
            <w:vAlign w:val="center"/>
          </w:tcPr>
          <w:p>
            <w:pPr>
              <w:pStyle w:val="40"/>
              <w:rPr>
                <w:u w:val="single"/>
              </w:rPr>
            </w:pPr>
            <w:r>
              <w:rPr>
                <w:rFonts w:hint="eastAsia"/>
                <w:u w:val="single"/>
              </w:rPr>
              <w:t>凤歧坪乡污水处理工程</w:t>
            </w:r>
            <w:r>
              <w:rPr>
                <w:u w:val="single"/>
              </w:rPr>
              <w:t>入河排污口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2130" w:type="dxa"/>
            <w:vAlign w:val="center"/>
          </w:tcPr>
          <w:p>
            <w:pPr>
              <w:pStyle w:val="40"/>
              <w:rPr>
                <w:u w:val="single"/>
              </w:rPr>
            </w:pPr>
            <w:r>
              <w:rPr>
                <w:u w:val="single"/>
              </w:rPr>
              <w:t>入河排污口分类</w:t>
            </w:r>
          </w:p>
        </w:tc>
        <w:tc>
          <w:tcPr>
            <w:tcW w:w="2131" w:type="dxa"/>
            <w:vAlign w:val="center"/>
          </w:tcPr>
          <w:p>
            <w:pPr>
              <w:pStyle w:val="40"/>
              <w:rPr>
                <w:u w:val="single"/>
              </w:rPr>
            </w:pPr>
            <w:r>
              <w:rPr>
                <w:rFonts w:hint="eastAsia"/>
                <w:u w:val="single"/>
              </w:rPr>
              <w:t>城镇污水处理厂</w:t>
            </w:r>
          </w:p>
          <w:p>
            <w:pPr>
              <w:pStyle w:val="40"/>
              <w:rPr>
                <w:u w:val="single"/>
              </w:rPr>
            </w:pPr>
            <w:r>
              <w:rPr>
                <w:rFonts w:hint="eastAsia"/>
                <w:u w:val="single"/>
              </w:rPr>
              <w:t>排污口</w:t>
            </w:r>
          </w:p>
        </w:tc>
        <w:tc>
          <w:tcPr>
            <w:tcW w:w="2131" w:type="dxa"/>
            <w:vAlign w:val="center"/>
          </w:tcPr>
          <w:p>
            <w:pPr>
              <w:pStyle w:val="40"/>
              <w:rPr>
                <w:u w:val="single"/>
              </w:rPr>
            </w:pPr>
            <w:r>
              <w:rPr>
                <w:u w:val="single"/>
              </w:rPr>
              <w:t>入河排污口类型</w:t>
            </w:r>
          </w:p>
        </w:tc>
        <w:tc>
          <w:tcPr>
            <w:tcW w:w="2131" w:type="dxa"/>
            <w:vAlign w:val="center"/>
          </w:tcPr>
          <w:p>
            <w:pPr>
              <w:pStyle w:val="40"/>
              <w:rPr>
                <w:u w:val="single"/>
              </w:rPr>
            </w:pPr>
            <w:r>
              <w:rPr>
                <w:rFonts w:hint="eastAsia"/>
                <w:u w:val="singl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9" w:hRule="atLeast"/>
          <w:jc w:val="center"/>
        </w:trPr>
        <w:tc>
          <w:tcPr>
            <w:tcW w:w="2130" w:type="dxa"/>
            <w:vAlign w:val="center"/>
          </w:tcPr>
          <w:p>
            <w:pPr>
              <w:pStyle w:val="40"/>
              <w:rPr>
                <w:u w:val="single"/>
              </w:rPr>
            </w:pPr>
            <w:r>
              <w:rPr>
                <w:u w:val="single"/>
              </w:rPr>
              <w:t>入河排污口位置</w:t>
            </w:r>
          </w:p>
        </w:tc>
        <w:tc>
          <w:tcPr>
            <w:tcW w:w="6393" w:type="dxa"/>
            <w:gridSpan w:val="3"/>
            <w:vAlign w:val="center"/>
          </w:tcPr>
          <w:p>
            <w:pPr>
              <w:pStyle w:val="40"/>
              <w:rPr>
                <w:u w:val="single"/>
              </w:rPr>
            </w:pPr>
            <w:r>
              <w:rPr>
                <w:rFonts w:hint="eastAsia" w:hAnsi="宋体"/>
                <w:szCs w:val="24"/>
              </w:rPr>
              <w:t>入河排污口设置位置位于东侧沟渠右岸，地理坐标为</w:t>
            </w:r>
            <w:r>
              <w:rPr>
                <w:rFonts w:hint="eastAsia"/>
                <w:sz w:val="24"/>
                <w:szCs w:val="24"/>
              </w:rPr>
              <w:t>E</w:t>
            </w:r>
            <w:r>
              <w:rPr>
                <w:sz w:val="24"/>
                <w:szCs w:val="36"/>
              </w:rPr>
              <w:t>111°40′12.87″,</w:t>
            </w:r>
            <w:r>
              <w:rPr>
                <w:rFonts w:hint="eastAsia"/>
                <w:sz w:val="24"/>
                <w:szCs w:val="36"/>
              </w:rPr>
              <w:t>N</w:t>
            </w:r>
            <w:r>
              <w:rPr>
                <w:sz w:val="24"/>
                <w:szCs w:val="36"/>
              </w:rPr>
              <w:t>27°01′16.49″</w:t>
            </w:r>
            <w:r>
              <w:rPr>
                <w:rFonts w:hint="eastAsia"/>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130" w:type="dxa"/>
            <w:vAlign w:val="center"/>
          </w:tcPr>
          <w:p>
            <w:pPr>
              <w:pStyle w:val="40"/>
              <w:rPr>
                <w:u w:val="single"/>
              </w:rPr>
            </w:pPr>
            <w:r>
              <w:rPr>
                <w:rFonts w:hint="eastAsia"/>
                <w:u w:val="single"/>
              </w:rPr>
              <w:t>排放方式</w:t>
            </w:r>
          </w:p>
        </w:tc>
        <w:tc>
          <w:tcPr>
            <w:tcW w:w="2131" w:type="dxa"/>
            <w:vAlign w:val="center"/>
          </w:tcPr>
          <w:p>
            <w:pPr>
              <w:pStyle w:val="40"/>
              <w:rPr>
                <w:u w:val="single"/>
              </w:rPr>
            </w:pPr>
            <w:r>
              <w:rPr>
                <w:rFonts w:hint="eastAsia"/>
                <w:u w:val="single"/>
              </w:rPr>
              <w:t>连续</w:t>
            </w:r>
          </w:p>
        </w:tc>
        <w:tc>
          <w:tcPr>
            <w:tcW w:w="2131" w:type="dxa"/>
            <w:vAlign w:val="center"/>
          </w:tcPr>
          <w:p>
            <w:pPr>
              <w:pStyle w:val="40"/>
              <w:rPr>
                <w:u w:val="single"/>
              </w:rPr>
            </w:pPr>
            <w:r>
              <w:rPr>
                <w:rFonts w:hint="eastAsia"/>
                <w:u w:val="single"/>
              </w:rPr>
              <w:t>入河方式</w:t>
            </w:r>
          </w:p>
        </w:tc>
        <w:tc>
          <w:tcPr>
            <w:tcW w:w="2131" w:type="dxa"/>
            <w:vAlign w:val="center"/>
          </w:tcPr>
          <w:p>
            <w:pPr>
              <w:pStyle w:val="40"/>
              <w:rPr>
                <w:u w:val="single"/>
              </w:rPr>
            </w:pPr>
            <w:r>
              <w:rPr>
                <w:rFonts w:hint="eastAsia"/>
                <w:u w:val="single"/>
              </w:rPr>
              <w:t>管道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8" w:hRule="atLeast"/>
          <w:jc w:val="center"/>
        </w:trPr>
        <w:tc>
          <w:tcPr>
            <w:tcW w:w="2130" w:type="dxa"/>
            <w:vAlign w:val="center"/>
          </w:tcPr>
          <w:p>
            <w:pPr>
              <w:pStyle w:val="40"/>
              <w:rPr>
                <w:u w:val="single"/>
              </w:rPr>
            </w:pPr>
            <w:r>
              <w:rPr>
                <w:rFonts w:hint="eastAsia"/>
                <w:u w:val="single"/>
              </w:rPr>
              <w:t>排放水功能区名称</w:t>
            </w:r>
          </w:p>
        </w:tc>
        <w:tc>
          <w:tcPr>
            <w:tcW w:w="6393" w:type="dxa"/>
            <w:gridSpan w:val="3"/>
            <w:vAlign w:val="center"/>
          </w:tcPr>
          <w:p>
            <w:pPr>
              <w:pStyle w:val="40"/>
              <w:rPr>
                <w:u w:val="single"/>
              </w:rPr>
            </w:pPr>
            <w:r>
              <w:rPr>
                <w:rFonts w:hint="eastAsia" w:ascii="宋体" w:hAnsi="宋体"/>
                <w:u w:val="single"/>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9" w:hRule="atLeast"/>
          <w:jc w:val="center"/>
        </w:trPr>
        <w:tc>
          <w:tcPr>
            <w:tcW w:w="2130" w:type="dxa"/>
            <w:vAlign w:val="center"/>
          </w:tcPr>
          <w:p>
            <w:pPr>
              <w:pStyle w:val="40"/>
              <w:rPr>
                <w:u w:val="single"/>
              </w:rPr>
            </w:pPr>
            <w:r>
              <w:rPr>
                <w:rFonts w:hint="eastAsia"/>
                <w:u w:val="single"/>
              </w:rPr>
              <w:t>排入水体基本情况</w:t>
            </w:r>
          </w:p>
        </w:tc>
        <w:tc>
          <w:tcPr>
            <w:tcW w:w="6393" w:type="dxa"/>
            <w:gridSpan w:val="3"/>
            <w:vAlign w:val="center"/>
          </w:tcPr>
          <w:p>
            <w:pPr>
              <w:pStyle w:val="40"/>
              <w:rPr>
                <w:u w:val="single"/>
              </w:rPr>
            </w:pPr>
            <w:r>
              <w:rPr>
                <w:rFonts w:hint="eastAsia"/>
                <w:u w:val="single"/>
              </w:rPr>
              <w:t>祁水又名“小东江”，湘江一级支流，发源于湖南省邵阳市四明山东侧的九塘坳。该河流流经邵阳县、祁东县、祁阳县，于祁阳县浯溪镇-东江村头海水湾入湘江。祁水长114公里，流域面积1685平方公里，流域内属亚热带季风气候，祁水为祁东县西北部和祁阳县北部农田灌溉主要水源。为祁阳县浯溪镇内唯一一条支流。多年平均流量23.9立方米每秒，多年平均径流量7.55亿立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jc w:val="center"/>
        </w:trPr>
        <w:tc>
          <w:tcPr>
            <w:tcW w:w="2130" w:type="dxa"/>
            <w:vAlign w:val="center"/>
          </w:tcPr>
          <w:p>
            <w:pPr>
              <w:pStyle w:val="40"/>
              <w:rPr>
                <w:u w:val="single"/>
              </w:rPr>
            </w:pPr>
            <w:r>
              <w:rPr>
                <w:rFonts w:hint="eastAsia"/>
                <w:u w:val="single"/>
              </w:rPr>
              <w:t>水质保护目标</w:t>
            </w:r>
          </w:p>
        </w:tc>
        <w:tc>
          <w:tcPr>
            <w:tcW w:w="6393" w:type="dxa"/>
            <w:gridSpan w:val="3"/>
            <w:vAlign w:val="center"/>
          </w:tcPr>
          <w:p>
            <w:pPr>
              <w:pStyle w:val="40"/>
              <w:rPr>
                <w:u w:val="single"/>
              </w:rPr>
            </w:pPr>
            <w:r>
              <w:rPr>
                <w:rFonts w:hint="eastAsia"/>
                <w:u w:val="single"/>
              </w:rPr>
              <w:t>祁水（Ⅲ类水质）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4261" w:type="dxa"/>
            <w:gridSpan w:val="2"/>
            <w:vAlign w:val="center"/>
          </w:tcPr>
          <w:p>
            <w:pPr>
              <w:pStyle w:val="40"/>
              <w:rPr>
                <w:u w:val="single"/>
              </w:rPr>
            </w:pPr>
            <w:r>
              <w:rPr>
                <w:rFonts w:hint="eastAsia"/>
                <w:u w:val="single"/>
              </w:rPr>
              <w:t>外排废水量</w:t>
            </w:r>
          </w:p>
        </w:tc>
        <w:tc>
          <w:tcPr>
            <w:tcW w:w="4262" w:type="dxa"/>
            <w:gridSpan w:val="2"/>
            <w:vAlign w:val="center"/>
          </w:tcPr>
          <w:p>
            <w:pPr>
              <w:pStyle w:val="40"/>
              <w:rPr>
                <w:u w:val="single"/>
              </w:rPr>
            </w:pPr>
            <w:r>
              <w:rPr>
                <w:rFonts w:hint="eastAsia"/>
                <w:u w:val="single"/>
              </w:rPr>
              <w:t>近期100m</w:t>
            </w:r>
            <w:r>
              <w:rPr>
                <w:rFonts w:hint="eastAsia"/>
                <w:u w:val="single"/>
                <w:vertAlign w:val="superscript"/>
              </w:rPr>
              <w:t>3</w:t>
            </w:r>
            <w:r>
              <w:rPr>
                <w:rFonts w:hint="eastAsia"/>
                <w:u w:val="single"/>
              </w:rPr>
              <w:t>/d，远期600m</w:t>
            </w:r>
            <w:r>
              <w:rPr>
                <w:rFonts w:hint="eastAsia"/>
                <w:u w:val="single"/>
                <w:vertAlign w:val="superscript"/>
              </w:rPr>
              <w:t>3</w:t>
            </w:r>
            <w:r>
              <w:rPr>
                <w:rFonts w:hint="eastAsia"/>
                <w:u w:val="single"/>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9" w:hRule="atLeast"/>
          <w:jc w:val="center"/>
        </w:trPr>
        <w:tc>
          <w:tcPr>
            <w:tcW w:w="2130" w:type="dxa"/>
            <w:vAlign w:val="center"/>
          </w:tcPr>
          <w:p>
            <w:pPr>
              <w:pStyle w:val="40"/>
              <w:rPr>
                <w:u w:val="single"/>
              </w:rPr>
            </w:pPr>
            <w:r>
              <w:rPr>
                <w:rFonts w:hint="eastAsia"/>
                <w:u w:val="single"/>
              </w:rPr>
              <w:t>执行标准</w:t>
            </w:r>
          </w:p>
        </w:tc>
        <w:tc>
          <w:tcPr>
            <w:tcW w:w="6393" w:type="dxa"/>
            <w:gridSpan w:val="3"/>
            <w:vAlign w:val="center"/>
          </w:tcPr>
          <w:p>
            <w:pPr>
              <w:pStyle w:val="40"/>
              <w:rPr>
                <w:u w:val="single"/>
              </w:rPr>
            </w:pPr>
            <w:r>
              <w:rPr>
                <w:rFonts w:hint="eastAsia"/>
                <w:u w:val="single"/>
              </w:rPr>
              <w:t>出水水质</w:t>
            </w:r>
            <w:r>
              <w:rPr>
                <w:u w:val="single"/>
              </w:rPr>
              <w:t>达到</w:t>
            </w:r>
            <w:r>
              <w:rPr>
                <w:rFonts w:hint="eastAsia"/>
                <w:u w:val="single"/>
              </w:rPr>
              <w:t>《城镇污水处理厂污染物排放标准》（GB18918－2002）一级B标准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2130" w:type="dxa"/>
            <w:vAlign w:val="center"/>
          </w:tcPr>
          <w:p>
            <w:pPr>
              <w:pStyle w:val="40"/>
              <w:rPr>
                <w:u w:val="single"/>
              </w:rPr>
            </w:pPr>
            <w:r>
              <w:rPr>
                <w:rFonts w:hint="eastAsia"/>
                <w:u w:val="single"/>
              </w:rPr>
              <w:t>设计出水水质</w:t>
            </w:r>
          </w:p>
        </w:tc>
        <w:tc>
          <w:tcPr>
            <w:tcW w:w="6393" w:type="dxa"/>
            <w:gridSpan w:val="3"/>
            <w:vAlign w:val="center"/>
          </w:tcPr>
          <w:p>
            <w:pPr>
              <w:pStyle w:val="40"/>
              <w:rPr>
                <w:u w:val="single"/>
              </w:rPr>
            </w:pPr>
            <w:r>
              <w:rPr>
                <w:rFonts w:hint="eastAsia"/>
                <w:u w:val="single"/>
              </w:rPr>
              <w:t>COD：60mg/L；BOD</w:t>
            </w:r>
            <w:r>
              <w:rPr>
                <w:rFonts w:hint="eastAsia"/>
                <w:u w:val="single"/>
                <w:vertAlign w:val="subscript"/>
              </w:rPr>
              <w:t>5</w:t>
            </w:r>
            <w:r>
              <w:rPr>
                <w:rFonts w:hint="eastAsia"/>
                <w:u w:val="single"/>
              </w:rPr>
              <w:t>：20mg/L；氨氮：8mg/L；SS：20mg/L；TP：1mg/L；TN：20mg/L。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2130" w:type="dxa"/>
            <w:vAlign w:val="center"/>
          </w:tcPr>
          <w:p>
            <w:pPr>
              <w:pStyle w:val="40"/>
              <w:rPr>
                <w:u w:val="single"/>
              </w:rPr>
            </w:pPr>
            <w:r>
              <w:rPr>
                <w:rFonts w:hint="eastAsia"/>
                <w:u w:val="single"/>
              </w:rPr>
              <w:t>污染物年排放量</w:t>
            </w:r>
          </w:p>
        </w:tc>
        <w:tc>
          <w:tcPr>
            <w:tcW w:w="6393" w:type="dxa"/>
            <w:gridSpan w:val="3"/>
            <w:vAlign w:val="center"/>
          </w:tcPr>
          <w:p>
            <w:pPr>
              <w:pStyle w:val="40"/>
              <w:rPr>
                <w:u w:val="single"/>
              </w:rPr>
            </w:pPr>
            <w:r>
              <w:rPr>
                <w:rFonts w:hint="eastAsia"/>
                <w:u w:val="single"/>
              </w:rPr>
              <w:t>近期：COD：2.19t/a；BOD</w:t>
            </w:r>
            <w:r>
              <w:rPr>
                <w:rFonts w:hint="eastAsia"/>
                <w:u w:val="single"/>
                <w:vertAlign w:val="subscript"/>
              </w:rPr>
              <w:t>5</w:t>
            </w:r>
            <w:r>
              <w:rPr>
                <w:rFonts w:hint="eastAsia"/>
                <w:u w:val="single"/>
              </w:rPr>
              <w:t>：0.73t/a；氨氮：0.29t/a；SS：0.73t/a；TP：0.04t/a；TN：0.73t/a。</w:t>
            </w:r>
          </w:p>
          <w:p>
            <w:pPr>
              <w:pStyle w:val="40"/>
              <w:rPr>
                <w:u w:val="single"/>
              </w:rPr>
            </w:pPr>
            <w:r>
              <w:rPr>
                <w:rFonts w:hint="eastAsia"/>
                <w:u w:val="single"/>
              </w:rPr>
              <w:t>远期：COD：13.14t/a；BOD</w:t>
            </w:r>
            <w:r>
              <w:rPr>
                <w:rFonts w:hint="eastAsia"/>
                <w:u w:val="single"/>
                <w:vertAlign w:val="subscript"/>
              </w:rPr>
              <w:t>5</w:t>
            </w:r>
            <w:r>
              <w:rPr>
                <w:rFonts w:hint="eastAsia"/>
                <w:u w:val="single"/>
              </w:rPr>
              <w:t>：4.38t/a；氨氮：1.75t/a；SS：4.38t/a；TP：0.22t/a；TN：4.38t/a。</w:t>
            </w:r>
          </w:p>
        </w:tc>
      </w:tr>
    </w:tbl>
    <w:p>
      <w:pPr>
        <w:pStyle w:val="35"/>
      </w:pPr>
      <w:bookmarkStart w:id="65" w:name="_Toc161250480"/>
      <w:r>
        <w:rPr>
          <w:rFonts w:hint="eastAsia"/>
        </w:rPr>
        <w:t>5</w:t>
      </w:r>
      <w:r>
        <w:t>.4.2</w:t>
      </w:r>
      <w:r>
        <w:rPr>
          <w:rFonts w:hint="eastAsia"/>
        </w:rPr>
        <w:t>入河排污口规范化建设及管理要求</w:t>
      </w:r>
      <w:bookmarkEnd w:id="65"/>
    </w:p>
    <w:p>
      <w:pPr>
        <w:pStyle w:val="27"/>
        <w:ind w:firstLine="480"/>
      </w:pPr>
      <w:r>
        <w:rPr>
          <w:rFonts w:hint="eastAsia"/>
        </w:rPr>
        <w:t>入河排污口规范化建设是一项基础性工作，做好入河排污口规范化建设和管理，可以科学的掌握各类污染源实际排放情况。本工程建设单位应严格按照国家、省、市生态环境部门的规定和要求，切实满足监测和监管的需求，</w:t>
      </w:r>
      <w:r>
        <w:rPr>
          <w:rFonts w:hint="eastAsia"/>
          <w:u w:val="single"/>
        </w:rPr>
        <w:t>排污单位必须按照相关要求设置和制作入河排污口标志牌。未经管理部门允许，任何单位和个人不得擅自设置、移动、扩大入河排污口。排污单位要根据省市相关要求，建立入河排污口基础资料档案和监督检查档案。</w:t>
      </w:r>
    </w:p>
    <w:p>
      <w:pPr>
        <w:pStyle w:val="35"/>
      </w:pPr>
      <w:bookmarkStart w:id="66" w:name="_Toc161250481"/>
      <w:r>
        <w:rPr>
          <w:rFonts w:hint="eastAsia"/>
        </w:rPr>
        <w:t>5</w:t>
      </w:r>
      <w:r>
        <w:t>.4.3</w:t>
      </w:r>
      <w:r>
        <w:rPr>
          <w:rFonts w:hint="eastAsia"/>
        </w:rPr>
        <w:t>入河排污口标识设置</w:t>
      </w:r>
      <w:bookmarkEnd w:id="66"/>
    </w:p>
    <w:p>
      <w:pPr>
        <w:pStyle w:val="27"/>
        <w:ind w:firstLine="480"/>
        <w:rPr>
          <w:u w:val="single"/>
        </w:rPr>
      </w:pPr>
      <w:r>
        <w:rPr>
          <w:u w:val="single"/>
        </w:rPr>
        <w:t>根据《入河排污口管理技术导则》（SL532-2011）要求，入河排污口应设立标志牌。因此，本入河排污口处需增设入河排污口明显标志牌。</w:t>
      </w:r>
      <w:r>
        <w:rPr>
          <w:rFonts w:hint="eastAsia"/>
          <w:u w:val="single"/>
        </w:rPr>
        <w:t>入河排污口标识内容如下：</w:t>
      </w:r>
    </w:p>
    <w:p>
      <w:pPr>
        <w:pStyle w:val="27"/>
        <w:ind w:firstLine="480"/>
        <w:rPr>
          <w:u w:val="single"/>
        </w:rPr>
      </w:pPr>
      <w:bookmarkStart w:id="67" w:name="_Toc8127"/>
      <w:r>
        <w:rPr>
          <w:rFonts w:hint="eastAsia"/>
          <w:u w:val="single"/>
        </w:rPr>
        <w:t>1、标志文字分为正反两面，其中正面应包括以下资料信息：</w:t>
      </w:r>
      <w:bookmarkEnd w:id="67"/>
    </w:p>
    <w:p>
      <w:pPr>
        <w:pStyle w:val="27"/>
        <w:ind w:firstLine="480"/>
        <w:rPr>
          <w:u w:val="single"/>
        </w:rPr>
      </w:pPr>
      <w:r>
        <w:rPr>
          <w:rFonts w:hint="eastAsia"/>
          <w:u w:val="single"/>
        </w:rPr>
        <w:t>（1）入河排污口名称：凤歧坪乡污水处理工程</w:t>
      </w:r>
      <w:r>
        <w:rPr>
          <w:u w:val="single"/>
        </w:rPr>
        <w:t>入河排污口</w:t>
      </w:r>
      <w:r>
        <w:rPr>
          <w:rFonts w:hint="eastAsia"/>
          <w:u w:val="single"/>
        </w:rPr>
        <w:t>；</w:t>
      </w:r>
    </w:p>
    <w:p>
      <w:pPr>
        <w:pStyle w:val="27"/>
        <w:ind w:firstLine="480"/>
        <w:rPr>
          <w:u w:val="single"/>
        </w:rPr>
      </w:pPr>
      <w:r>
        <w:rPr>
          <w:rFonts w:hint="eastAsia"/>
          <w:u w:val="single"/>
        </w:rPr>
        <w:t>（2）入河排污口编号：按行政主管部门确定的编号建设；</w:t>
      </w:r>
    </w:p>
    <w:p>
      <w:pPr>
        <w:pStyle w:val="27"/>
        <w:ind w:firstLine="480"/>
        <w:rPr>
          <w:u w:val="single"/>
        </w:rPr>
      </w:pPr>
      <w:r>
        <w:rPr>
          <w:rFonts w:hint="eastAsia"/>
          <w:u w:val="single"/>
        </w:rPr>
        <w:t>（3）入河排污口地理位置及经纬度坐标：</w:t>
      </w:r>
      <w:r>
        <w:rPr>
          <w:rFonts w:hint="eastAsia" w:hAnsi="宋体"/>
          <w:szCs w:val="24"/>
          <w:u w:val="single"/>
        </w:rPr>
        <w:t>入河排污口设置位置位于东侧沟渠右岸，地理坐标为E111°40′12.87″,N27°01′16.49″。</w:t>
      </w:r>
    </w:p>
    <w:p>
      <w:pPr>
        <w:pStyle w:val="27"/>
        <w:ind w:firstLine="480"/>
        <w:rPr>
          <w:u w:val="single"/>
        </w:rPr>
      </w:pPr>
      <w:r>
        <w:rPr>
          <w:rFonts w:hint="eastAsia"/>
          <w:u w:val="single"/>
        </w:rPr>
        <w:t>（4）排入的水功能区名称及水质保护目标：水质目标为</w:t>
      </w:r>
      <w:r>
        <w:rPr>
          <w:rFonts w:hint="eastAsia" w:ascii="微软雅黑" w:hAnsi="微软雅黑" w:eastAsia="微软雅黑" w:cs="微软雅黑"/>
          <w:u w:val="single"/>
        </w:rPr>
        <w:t>Ⅲ类</w:t>
      </w:r>
      <w:r>
        <w:rPr>
          <w:rFonts w:hint="eastAsia"/>
          <w:u w:val="single"/>
        </w:rPr>
        <w:t>；</w:t>
      </w:r>
    </w:p>
    <w:p>
      <w:pPr>
        <w:pStyle w:val="27"/>
        <w:ind w:firstLine="480"/>
        <w:rPr>
          <w:u w:val="single"/>
        </w:rPr>
      </w:pPr>
      <w:r>
        <w:rPr>
          <w:rFonts w:hint="eastAsia"/>
          <w:u w:val="single"/>
        </w:rPr>
        <w:t>（5）入河排污口主要污染物浓度：CODcr 60mg/L、BOD</w:t>
      </w:r>
      <w:r>
        <w:rPr>
          <w:rFonts w:hint="eastAsia"/>
          <w:u w:val="single"/>
          <w:vertAlign w:val="subscript"/>
        </w:rPr>
        <w:t>5</w:t>
      </w:r>
      <w:r>
        <w:rPr>
          <w:rFonts w:hint="eastAsia"/>
          <w:u w:val="single"/>
        </w:rPr>
        <w:t xml:space="preserve"> 20mg/L、SS 20mg/L、氨氮</w:t>
      </w:r>
      <w:r>
        <w:rPr>
          <w:u w:val="single"/>
        </w:rPr>
        <w:t>8</w:t>
      </w:r>
      <w:r>
        <w:rPr>
          <w:rFonts w:hint="eastAsia"/>
          <w:u w:val="single"/>
        </w:rPr>
        <w:t>mg/L、TP1mg/L、TN20mg/L。</w:t>
      </w:r>
    </w:p>
    <w:p>
      <w:pPr>
        <w:pStyle w:val="27"/>
        <w:ind w:firstLine="480"/>
        <w:rPr>
          <w:u w:val="single"/>
        </w:rPr>
      </w:pPr>
      <w:bookmarkStart w:id="68" w:name="_Toc10761"/>
      <w:r>
        <w:rPr>
          <w:rFonts w:hint="eastAsia"/>
          <w:u w:val="single"/>
        </w:rPr>
        <w:t>（6）入河排污口设置申请单位：</w:t>
      </w:r>
      <w:bookmarkEnd w:id="68"/>
    </w:p>
    <w:p>
      <w:pPr>
        <w:pStyle w:val="27"/>
        <w:ind w:firstLine="480"/>
        <w:rPr>
          <w:u w:val="single"/>
        </w:rPr>
      </w:pPr>
      <w:r>
        <w:rPr>
          <w:rFonts w:hint="eastAsia"/>
          <w:u w:val="single"/>
        </w:rPr>
        <w:t>（7）入河排污口设置审批单位及监督电话：衡阳市生态环境局祁东分局；12369。</w:t>
      </w:r>
    </w:p>
    <w:p>
      <w:pPr>
        <w:pStyle w:val="27"/>
        <w:ind w:firstLine="480"/>
        <w:rPr>
          <w:u w:val="single"/>
        </w:rPr>
      </w:pPr>
      <w:r>
        <w:rPr>
          <w:rFonts w:hint="eastAsia"/>
          <w:u w:val="single"/>
        </w:rPr>
        <w:t>2、标志可以正反两面印制相同的文字及内容，也可在标志反面选择印制如下内容：</w:t>
      </w:r>
    </w:p>
    <w:p>
      <w:pPr>
        <w:pStyle w:val="27"/>
        <w:ind w:firstLine="480"/>
        <w:rPr>
          <w:u w:val="single"/>
        </w:rPr>
      </w:pPr>
      <w:r>
        <w:rPr>
          <w:rFonts w:hint="eastAsia"/>
          <w:u w:val="single"/>
        </w:rPr>
        <w:t>（1）《水法》等法律法规中有关入河排污口管理的条文节选；</w:t>
      </w:r>
    </w:p>
    <w:p>
      <w:pPr>
        <w:pStyle w:val="27"/>
        <w:ind w:firstLine="480"/>
        <w:rPr>
          <w:u w:val="single"/>
        </w:rPr>
      </w:pPr>
      <w:r>
        <w:rPr>
          <w:rFonts w:hint="eastAsia"/>
          <w:u w:val="single"/>
        </w:rPr>
        <w:t>（2）有关水资源保护工作的宣传口号。</w:t>
      </w:r>
    </w:p>
    <w:p>
      <w:pPr>
        <w:pStyle w:val="27"/>
        <w:ind w:firstLine="480"/>
        <w:rPr>
          <w:u w:val="single"/>
        </w:rPr>
      </w:pPr>
      <w:bookmarkStart w:id="69" w:name="_Toc25328"/>
      <w:r>
        <w:rPr>
          <w:rFonts w:hint="eastAsia"/>
          <w:u w:val="single"/>
        </w:rPr>
        <w:t>3、标志设计样式要美观大方，文字的字体、设计样式应保持统一。</w:t>
      </w:r>
      <w:bookmarkEnd w:id="69"/>
    </w:p>
    <w:p>
      <w:pPr>
        <w:pStyle w:val="35"/>
      </w:pPr>
      <w:bookmarkStart w:id="70" w:name="_Toc161250482"/>
      <w:r>
        <w:rPr>
          <w:rFonts w:hint="eastAsia"/>
        </w:rPr>
        <w:t>5</w:t>
      </w:r>
      <w:r>
        <w:t>.4.4</w:t>
      </w:r>
      <w:r>
        <w:rPr>
          <w:rFonts w:hint="eastAsia"/>
        </w:rPr>
        <w:t>入河排污口监测</w:t>
      </w:r>
      <w:bookmarkEnd w:id="70"/>
    </w:p>
    <w:p>
      <w:pPr>
        <w:pStyle w:val="27"/>
        <w:ind w:firstLine="480"/>
      </w:pPr>
      <w:r>
        <w:rPr>
          <w:rFonts w:hint="eastAsia"/>
        </w:rPr>
        <w:t>1、概述</w:t>
      </w:r>
    </w:p>
    <w:p>
      <w:pPr>
        <w:pStyle w:val="27"/>
        <w:ind w:firstLine="480"/>
      </w:pPr>
      <w:r>
        <w:rPr>
          <w:rFonts w:hint="eastAsia"/>
        </w:rPr>
        <w:t>入河排污口管理单位可根据工作需要对入河排污口进行监测，监测主要分为人工监测和自动监测，入河排污总量以及入河污染总量按日计算。</w:t>
      </w:r>
    </w:p>
    <w:p>
      <w:pPr>
        <w:pStyle w:val="27"/>
        <w:ind w:firstLine="480"/>
      </w:pPr>
      <w:r>
        <w:rPr>
          <w:rFonts w:hint="eastAsia"/>
        </w:rPr>
        <w:t>2、人工监测要求</w:t>
      </w:r>
    </w:p>
    <w:p>
      <w:pPr>
        <w:pStyle w:val="27"/>
        <w:ind w:firstLine="480"/>
      </w:pPr>
      <w:bookmarkStart w:id="71" w:name="_Toc21194"/>
      <w:r>
        <w:rPr>
          <w:rFonts w:hint="eastAsia"/>
        </w:rPr>
        <w:t>（1）</w:t>
      </w:r>
      <w:r>
        <w:t>入河排污口人工监测应符合下列基本要求：</w:t>
      </w:r>
      <w:bookmarkEnd w:id="71"/>
    </w:p>
    <w:p>
      <w:pPr>
        <w:pStyle w:val="27"/>
        <w:ind w:firstLine="480"/>
      </w:pPr>
      <w:r>
        <w:t>1）应对入河排污口废污水排放量和主要污染物质的排放浓度实施同步监测；</w:t>
      </w:r>
    </w:p>
    <w:p>
      <w:pPr>
        <w:pStyle w:val="27"/>
        <w:ind w:firstLine="480"/>
      </w:pPr>
      <w:r>
        <w:t>2）在入河排污口进行样品测量、采样及运输时，应采取有效防护措施，防止有毒有害物质、放射性物质和热污染危及人身安全。</w:t>
      </w:r>
    </w:p>
    <w:p>
      <w:pPr>
        <w:pStyle w:val="27"/>
        <w:ind w:firstLine="480"/>
      </w:pPr>
      <w:bookmarkStart w:id="72" w:name="_Toc11806"/>
      <w:r>
        <w:rPr>
          <w:rFonts w:hint="eastAsia"/>
        </w:rPr>
        <w:t>（2）</w:t>
      </w:r>
      <w:r>
        <w:t>监测项目与采样方法应符合下列要求：</w:t>
      </w:r>
      <w:bookmarkEnd w:id="72"/>
    </w:p>
    <w:p>
      <w:pPr>
        <w:pStyle w:val="27"/>
        <w:ind w:firstLine="480"/>
      </w:pPr>
      <w:r>
        <w:t>1）常规监测项目为流量、水温、pH 值、化学需氧量、五日生化需氧量、氨氮、总磷、总氮</w:t>
      </w:r>
      <w:r>
        <w:rPr>
          <w:rFonts w:hint="eastAsia"/>
        </w:rPr>
        <w:t>和挥发酚</w:t>
      </w:r>
      <w:r>
        <w:t>共</w:t>
      </w:r>
      <w:r>
        <w:rPr>
          <w:rFonts w:hint="eastAsia"/>
        </w:rPr>
        <w:t>9</w:t>
      </w:r>
      <w:r>
        <w:t>项</w:t>
      </w:r>
      <w:r>
        <w:rPr>
          <w:rFonts w:hint="eastAsia"/>
        </w:rPr>
        <w:t>。对于特殊排污单位应根据废污水性质，增加相应的特征污染物监测项目</w:t>
      </w:r>
      <w:r>
        <w:t>。</w:t>
      </w:r>
    </w:p>
    <w:p>
      <w:pPr>
        <w:pStyle w:val="27"/>
        <w:ind w:firstLine="480"/>
      </w:pPr>
      <w:r>
        <w:t>2）监测方法应按照国家现行的检验、检测方法执行，所采用的分析方法应符合国家和行业有关标准的规定。</w:t>
      </w:r>
    </w:p>
    <w:p>
      <w:pPr>
        <w:pStyle w:val="27"/>
        <w:ind w:firstLine="480"/>
      </w:pPr>
      <w:bookmarkStart w:id="73" w:name="_Toc27706"/>
      <w:r>
        <w:t>3）监测点位为污水处理厂尾水出水口。</w:t>
      </w:r>
      <w:bookmarkEnd w:id="73"/>
    </w:p>
    <w:p>
      <w:pPr>
        <w:pStyle w:val="27"/>
        <w:ind w:firstLine="480"/>
      </w:pPr>
      <w:r>
        <w:t>3</w:t>
      </w:r>
      <w:r>
        <w:rPr>
          <w:rFonts w:hint="eastAsia"/>
        </w:rPr>
        <w:t>、自动监测要求</w:t>
      </w:r>
    </w:p>
    <w:p>
      <w:pPr>
        <w:pStyle w:val="27"/>
        <w:ind w:firstLine="480"/>
      </w:pPr>
      <w:bookmarkStart w:id="74" w:name="_Toc32714"/>
      <w:r>
        <w:rPr>
          <w:rFonts w:hint="eastAsia"/>
        </w:rPr>
        <w:t>（1）</w:t>
      </w:r>
      <w:r>
        <w:t>入河排污口自动监测设置应符合下列基本要求：</w:t>
      </w:r>
      <w:bookmarkEnd w:id="74"/>
    </w:p>
    <w:p>
      <w:pPr>
        <w:pStyle w:val="27"/>
        <w:ind w:firstLine="480"/>
      </w:pPr>
      <w:r>
        <w:t>1）对排污量较大的入河排污口以及排入重要水域的水功能区的入河排污口应实施自动监测；</w:t>
      </w:r>
    </w:p>
    <w:p>
      <w:pPr>
        <w:pStyle w:val="27"/>
        <w:ind w:firstLine="480"/>
      </w:pPr>
      <w:r>
        <w:t>2）对入河排污口废污水的排放量和主要污染物质排放浓度应实施自动监测。</w:t>
      </w:r>
    </w:p>
    <w:p>
      <w:pPr>
        <w:pStyle w:val="27"/>
        <w:ind w:firstLine="480"/>
      </w:pPr>
      <w:r>
        <w:rPr>
          <w:rFonts w:hint="eastAsia"/>
        </w:rPr>
        <w:t>（2）</w:t>
      </w:r>
      <w:r>
        <w:t>自动监测项目为国家或地方考核项目的，实施水质水量同步自动监测。</w:t>
      </w:r>
    </w:p>
    <w:p>
      <w:pPr>
        <w:pStyle w:val="27"/>
        <w:ind w:firstLine="480"/>
      </w:pPr>
      <w:bookmarkStart w:id="75" w:name="_Toc24802"/>
      <w:r>
        <w:rPr>
          <w:rFonts w:hint="eastAsia"/>
        </w:rPr>
        <w:t>（3）</w:t>
      </w:r>
      <w:r>
        <w:t>污染物总量监测与计算方法应符合下列要求：</w:t>
      </w:r>
      <w:bookmarkEnd w:id="75"/>
    </w:p>
    <w:p>
      <w:pPr>
        <w:pStyle w:val="27"/>
        <w:ind w:firstLine="480"/>
      </w:pPr>
      <w:r>
        <w:t>1）对入河排污口流量、污染物浓度与时间排放曲线波动较小的，用瞬时流量、污染物浓度代表日平均流量和污染物平均浓度，计算每日入河排污总量；</w:t>
      </w:r>
    </w:p>
    <w:p>
      <w:pPr>
        <w:pStyle w:val="27"/>
        <w:ind w:firstLine="480"/>
      </w:pPr>
      <w:r>
        <w:t>2）对入河排污口流量、污染物浓度与时间排放曲线虽有明显波动，但其波动有固定的规律的，可用一天中几个等时间的瞬时流量、污染物浓度来计算平均流量和污染物平均浓度，计算每日入河排污总量；</w:t>
      </w:r>
    </w:p>
    <w:p>
      <w:pPr>
        <w:pStyle w:val="27"/>
        <w:ind w:firstLine="480"/>
      </w:pPr>
      <w:r>
        <w:t>3）对排污口流量、污染物浓度与时间排放曲线，即有明显波动又无规律可循的，必须连续定流量、污染物浓度，通过加权平均每日入河排污总量</w:t>
      </w:r>
      <w:r>
        <w:rPr>
          <w:rFonts w:hint="eastAsia"/>
        </w:rPr>
        <w:t>。</w:t>
      </w:r>
    </w:p>
    <w:p>
      <w:pPr>
        <w:pStyle w:val="27"/>
        <w:ind w:firstLine="480"/>
        <w:rPr>
          <w:u w:val="single"/>
        </w:rPr>
      </w:pPr>
      <w:r>
        <w:rPr>
          <w:u w:val="single"/>
        </w:rPr>
        <w:t>4</w:t>
      </w:r>
      <w:r>
        <w:rPr>
          <w:rFonts w:hint="eastAsia"/>
          <w:u w:val="single"/>
        </w:rPr>
        <w:t>、本项目监测方案</w:t>
      </w:r>
    </w:p>
    <w:p>
      <w:pPr>
        <w:pStyle w:val="27"/>
        <w:ind w:firstLine="480"/>
        <w:rPr>
          <w:u w:val="single"/>
        </w:rPr>
      </w:pPr>
      <w:r>
        <w:rPr>
          <w:u w:val="single"/>
        </w:rPr>
        <w:t>根据上述分析，本项目采用人工监测与自动监测相结合的方式对污水处理厂尾水监测，为行政主管部门管理提供数据。</w:t>
      </w:r>
    </w:p>
    <w:p>
      <w:pPr>
        <w:pStyle w:val="27"/>
        <w:ind w:firstLine="480"/>
        <w:rPr>
          <w:u w:val="single"/>
        </w:rPr>
      </w:pPr>
      <w:bookmarkStart w:id="76" w:name="_Toc2732"/>
      <w:r>
        <w:rPr>
          <w:rFonts w:hint="eastAsia"/>
          <w:u w:val="single"/>
        </w:rPr>
        <w:t>（1）</w:t>
      </w:r>
      <w:r>
        <w:rPr>
          <w:u w:val="single"/>
        </w:rPr>
        <w:t>自动监测</w:t>
      </w:r>
      <w:bookmarkEnd w:id="76"/>
    </w:p>
    <w:p>
      <w:pPr>
        <w:pStyle w:val="27"/>
        <w:ind w:firstLine="480"/>
        <w:rPr>
          <w:u w:val="single"/>
        </w:rPr>
      </w:pPr>
      <w:r>
        <w:rPr>
          <w:u w:val="single"/>
        </w:rPr>
        <w:t>1）监测项目：根据《排污许可证申请与核发技术规范 水处理</w:t>
      </w:r>
      <w:r>
        <w:rPr>
          <w:rFonts w:hint="eastAsia"/>
          <w:u w:val="single"/>
        </w:rPr>
        <w:t>（试行）</w:t>
      </w:r>
      <w:r>
        <w:rPr>
          <w:u w:val="single"/>
        </w:rPr>
        <w:t>》（HJ978-2018）中自行监测要求，常规监测项目为流量、水温、pH值、化学需氧量、氨氮、总磷、总氮。</w:t>
      </w:r>
    </w:p>
    <w:p>
      <w:pPr>
        <w:pStyle w:val="27"/>
        <w:ind w:firstLine="480"/>
        <w:rPr>
          <w:u w:val="single"/>
        </w:rPr>
      </w:pPr>
      <w:bookmarkStart w:id="77" w:name="_Toc4594"/>
      <w:r>
        <w:rPr>
          <w:u w:val="single"/>
        </w:rPr>
        <w:t>2）监测点位：污水处理厂出水口。</w:t>
      </w:r>
      <w:bookmarkEnd w:id="77"/>
    </w:p>
    <w:p>
      <w:pPr>
        <w:pStyle w:val="27"/>
        <w:ind w:firstLine="480"/>
        <w:rPr>
          <w:u w:val="single"/>
        </w:rPr>
      </w:pPr>
      <w:r>
        <w:rPr>
          <w:u w:val="single"/>
        </w:rPr>
        <w:t>3）监测方法：按照国家现行的检验、检测方法执行，所采用的分析方法应符合国家和行业有关标准的规定。</w:t>
      </w:r>
    </w:p>
    <w:p>
      <w:pPr>
        <w:pStyle w:val="27"/>
        <w:ind w:firstLine="480"/>
        <w:rPr>
          <w:u w:val="single"/>
        </w:rPr>
      </w:pPr>
      <w:bookmarkStart w:id="78" w:name="_Toc30682"/>
      <w:r>
        <w:rPr>
          <w:rFonts w:hint="eastAsia"/>
          <w:u w:val="single"/>
        </w:rPr>
        <w:t>（2）</w:t>
      </w:r>
      <w:r>
        <w:rPr>
          <w:u w:val="single"/>
        </w:rPr>
        <w:t>人工监测</w:t>
      </w:r>
      <w:bookmarkEnd w:id="78"/>
    </w:p>
    <w:p>
      <w:pPr>
        <w:pStyle w:val="27"/>
        <w:ind w:firstLine="480"/>
        <w:rPr>
          <w:u w:val="single"/>
        </w:rPr>
      </w:pPr>
      <w:r>
        <w:rPr>
          <w:u w:val="single"/>
        </w:rPr>
        <w:t>1）监测项目：悬浮物、</w:t>
      </w:r>
      <w:r>
        <w:rPr>
          <w:rFonts w:hint="eastAsia"/>
          <w:u w:val="single"/>
        </w:rPr>
        <w:t>色度、</w:t>
      </w:r>
      <w:r>
        <w:rPr>
          <w:u w:val="single"/>
        </w:rPr>
        <w:t>五日生化需氧量</w:t>
      </w:r>
      <w:r>
        <w:rPr>
          <w:rFonts w:hint="eastAsia"/>
          <w:u w:val="single"/>
        </w:rPr>
        <w:t>、动植物油、阴离子表面活性剂、粪大肠菌群</w:t>
      </w:r>
      <w:r>
        <w:rPr>
          <w:u w:val="single"/>
        </w:rPr>
        <w:t>。</w:t>
      </w:r>
    </w:p>
    <w:p>
      <w:pPr>
        <w:pStyle w:val="27"/>
        <w:ind w:firstLine="480"/>
        <w:rPr>
          <w:u w:val="single"/>
        </w:rPr>
      </w:pPr>
      <w:r>
        <w:rPr>
          <w:u w:val="single"/>
        </w:rPr>
        <w:t>2）监测点位：污水处理厂出水口。</w:t>
      </w:r>
    </w:p>
    <w:p>
      <w:pPr>
        <w:pStyle w:val="27"/>
        <w:ind w:firstLine="480"/>
        <w:rPr>
          <w:u w:val="single"/>
        </w:rPr>
      </w:pPr>
      <w:r>
        <w:rPr>
          <w:rFonts w:hint="eastAsia"/>
          <w:u w:val="single"/>
        </w:rPr>
        <w:t>3）监测频次：季度。</w:t>
      </w:r>
    </w:p>
    <w:p>
      <w:pPr>
        <w:pStyle w:val="27"/>
        <w:ind w:firstLine="480"/>
      </w:pPr>
      <w:r>
        <w:rPr>
          <w:u w:val="single"/>
        </w:rPr>
        <w:t>3）监测方法：按照国家现行的检验、检测方法执行，所采用的分析方法应符合国家和行业有关标准的规定。</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79" w:name="_Toc161250483"/>
      <w:r>
        <w:rPr>
          <w:rFonts w:hint="eastAsia"/>
        </w:rPr>
        <w:t>6入河排污口设置对水功能区水质和水生态影响分析</w:t>
      </w:r>
      <w:bookmarkEnd w:id="79"/>
    </w:p>
    <w:p>
      <w:pPr>
        <w:pStyle w:val="32"/>
      </w:pPr>
      <w:bookmarkStart w:id="80" w:name="_Toc161250484"/>
      <w:r>
        <w:rPr>
          <w:rFonts w:hint="eastAsia"/>
        </w:rPr>
        <w:t>6</w:t>
      </w:r>
      <w:r>
        <w:t>.1</w:t>
      </w:r>
      <w:r>
        <w:rPr>
          <w:rFonts w:hint="eastAsia"/>
        </w:rPr>
        <w:t>影响范围</w:t>
      </w:r>
      <w:bookmarkEnd w:id="80"/>
    </w:p>
    <w:p>
      <w:pPr>
        <w:pStyle w:val="35"/>
      </w:pPr>
      <w:bookmarkStart w:id="81" w:name="_Toc161250485"/>
      <w:r>
        <w:rPr>
          <w:rFonts w:hint="eastAsia"/>
        </w:rPr>
        <w:t>6</w:t>
      </w:r>
      <w:r>
        <w:t>.1.1</w:t>
      </w:r>
      <w:r>
        <w:rPr>
          <w:rFonts w:hint="eastAsia"/>
        </w:rPr>
        <w:t>预测因子的选择</w:t>
      </w:r>
      <w:bookmarkEnd w:id="81"/>
    </w:p>
    <w:p>
      <w:pPr>
        <w:pStyle w:val="27"/>
        <w:ind w:firstLine="480"/>
      </w:pPr>
      <w:r>
        <w:rPr>
          <w:rFonts w:hint="eastAsia"/>
          <w:color w:val="000000"/>
        </w:rPr>
        <w:t>根据工程排污特点，污水处理厂无工业企业污水排入污水处理厂，无其他特征因子，因此</w:t>
      </w:r>
      <w:r>
        <w:rPr>
          <w:rFonts w:hint="eastAsia"/>
          <w:color w:val="000000"/>
          <w:u w:val="single"/>
        </w:rPr>
        <w:t>本次论证选取CODcr、NH</w:t>
      </w:r>
      <w:r>
        <w:rPr>
          <w:rFonts w:hint="eastAsia"/>
          <w:color w:val="000000"/>
          <w:u w:val="single"/>
          <w:vertAlign w:val="subscript"/>
        </w:rPr>
        <w:t>3</w:t>
      </w:r>
      <w:r>
        <w:rPr>
          <w:rFonts w:hint="eastAsia"/>
          <w:color w:val="000000"/>
          <w:u w:val="single"/>
        </w:rPr>
        <w:t>-N、总磷作为预测因子。</w:t>
      </w:r>
    </w:p>
    <w:p>
      <w:pPr>
        <w:pStyle w:val="35"/>
      </w:pPr>
      <w:bookmarkStart w:id="82" w:name="_Toc161250486"/>
      <w:r>
        <w:rPr>
          <w:rFonts w:hint="eastAsia"/>
        </w:rPr>
        <w:t>6</w:t>
      </w:r>
      <w:r>
        <w:t>.1.2</w:t>
      </w:r>
      <w:r>
        <w:rPr>
          <w:rFonts w:hint="eastAsia"/>
        </w:rPr>
        <w:t>水质预测方法</w:t>
      </w:r>
      <w:bookmarkEnd w:id="82"/>
    </w:p>
    <w:p>
      <w:pPr>
        <w:pStyle w:val="27"/>
        <w:ind w:firstLine="480"/>
      </w:pPr>
      <w:r>
        <w:rPr>
          <w:rFonts w:hint="eastAsia"/>
          <w:u w:val="single"/>
        </w:rPr>
        <w:t>由于东侧沟渠属于区域农田退水渠道，枯水期渠道内无水，因此直接预测项目排水对祁水的影响。</w:t>
      </w:r>
      <w:r>
        <w:rPr>
          <w:rFonts w:hint="eastAsia"/>
        </w:rPr>
        <w:t>祁水为中型河流，河段弯曲系数＜1.3，可视为矩形平直河段，根据环境影响评价技术导则 地表水环境》（HJ2.3-2018）的要求，本次评价河流数学采用纵向一维数学模型，模拟河流顺直、水流均匀且排污稳定，可采用解析方法。根据项目污染物排放特点以及祁水的自然特征，选择合适的一维水质模型和完全混合模型进行水环境影响预测分析：</w:t>
      </w:r>
    </w:p>
    <w:p>
      <w:pPr>
        <w:pStyle w:val="27"/>
        <w:ind w:firstLine="480"/>
        <w:rPr>
          <w:color w:val="000000"/>
        </w:rPr>
      </w:pPr>
      <w:r>
        <w:rPr>
          <w:rFonts w:hint="eastAsia"/>
          <w:color w:val="000000"/>
        </w:rPr>
        <w:t>根据河流纵向一维水质模型方程的简化、分类判别条件（即：</w:t>
      </w:r>
      <w:r>
        <w:rPr>
          <w:color w:val="000000"/>
        </w:rPr>
        <w:t>O</w:t>
      </w:r>
      <w:r>
        <w:rPr>
          <w:rFonts w:hint="eastAsia"/>
          <w:color w:val="000000"/>
        </w:rPr>
        <w:t>，</w:t>
      </w:r>
      <w:r>
        <w:rPr>
          <w:color w:val="000000"/>
        </w:rPr>
        <w:t xml:space="preserve">Connor </w:t>
      </w:r>
      <w:r>
        <w:rPr>
          <w:rFonts w:hint="eastAsia"/>
          <w:color w:val="000000"/>
        </w:rPr>
        <w:t xml:space="preserve">数 </w:t>
      </w:r>
      <w:r>
        <w:rPr>
          <w:color w:val="000000"/>
        </w:rPr>
        <w:t xml:space="preserve">α </w:t>
      </w:r>
      <w:r>
        <w:rPr>
          <w:rFonts w:hint="eastAsia"/>
          <w:color w:val="000000"/>
        </w:rPr>
        <w:t xml:space="preserve">和贝克来数 </w:t>
      </w:r>
      <w:r>
        <w:rPr>
          <w:color w:val="000000"/>
        </w:rPr>
        <w:t xml:space="preserve">Pe </w:t>
      </w:r>
      <w:r>
        <w:rPr>
          <w:rFonts w:hint="eastAsia"/>
          <w:color w:val="000000"/>
        </w:rPr>
        <w:t>的临界值），选择相应的解析解公式。</w:t>
      </w:r>
    </w:p>
    <w:p>
      <w:pPr>
        <w:widowControl/>
        <w:jc w:val="center"/>
      </w:pPr>
      <w:r>
        <w:drawing>
          <wp:inline distT="0" distB="0" distL="114300" distR="114300">
            <wp:extent cx="3231515" cy="1207135"/>
            <wp:effectExtent l="0" t="0" r="6985" b="12065"/>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20"/>
                    <a:stretch>
                      <a:fillRect/>
                    </a:stretch>
                  </pic:blipFill>
                  <pic:spPr>
                    <a:xfrm>
                      <a:off x="0" y="0"/>
                      <a:ext cx="3231515" cy="1207135"/>
                    </a:xfrm>
                    <a:prstGeom prst="rect">
                      <a:avLst/>
                    </a:prstGeom>
                    <a:noFill/>
                    <a:ln>
                      <a:noFill/>
                    </a:ln>
                  </pic:spPr>
                </pic:pic>
              </a:graphicData>
            </a:graphic>
          </wp:inline>
        </w:drawing>
      </w:r>
    </w:p>
    <w:p>
      <w:pPr>
        <w:pStyle w:val="27"/>
        <w:ind w:firstLine="480"/>
        <w:rPr>
          <w:color w:val="000000"/>
        </w:rPr>
      </w:pPr>
      <w:r>
        <w:rPr>
          <w:rFonts w:hint="eastAsia"/>
          <w:color w:val="000000"/>
        </w:rPr>
        <w:t>式中：</w:t>
      </w:r>
      <w:r>
        <w:rPr>
          <w:color w:val="000000"/>
        </w:rPr>
        <w:t xml:space="preserve">a——O’Connor </w:t>
      </w:r>
      <w:r>
        <w:rPr>
          <w:rFonts w:hint="eastAsia"/>
          <w:color w:val="000000"/>
        </w:rPr>
        <w:t>数，量纲为</w:t>
      </w:r>
      <w:r>
        <w:rPr>
          <w:color w:val="000000"/>
        </w:rPr>
        <w:t>1</w:t>
      </w:r>
      <w:r>
        <w:rPr>
          <w:rFonts w:hint="eastAsia"/>
          <w:color w:val="000000"/>
        </w:rPr>
        <w:t xml:space="preserve">，表征物质离散降解通量与移流通量比值； </w:t>
      </w:r>
    </w:p>
    <w:p>
      <w:pPr>
        <w:pStyle w:val="27"/>
        <w:ind w:firstLine="480"/>
        <w:rPr>
          <w:color w:val="000000"/>
        </w:rPr>
      </w:pPr>
      <w:r>
        <w:rPr>
          <w:color w:val="000000"/>
        </w:rPr>
        <w:t>Pe——</w:t>
      </w:r>
      <w:r>
        <w:rPr>
          <w:rFonts w:hint="eastAsia"/>
          <w:color w:val="000000"/>
        </w:rPr>
        <w:t>贝克莱数，量纲为</w:t>
      </w:r>
      <w:r>
        <w:rPr>
          <w:color w:val="000000"/>
        </w:rPr>
        <w:t>1</w:t>
      </w:r>
      <w:r>
        <w:rPr>
          <w:rFonts w:hint="eastAsia"/>
          <w:color w:val="000000"/>
        </w:rPr>
        <w:t xml:space="preserve">，表征物质移流量与离散量比值； </w:t>
      </w:r>
    </w:p>
    <w:p>
      <w:pPr>
        <w:pStyle w:val="27"/>
        <w:ind w:firstLine="480"/>
        <w:rPr>
          <w:color w:val="000000"/>
        </w:rPr>
      </w:pPr>
      <w:r>
        <w:rPr>
          <w:color w:val="000000"/>
        </w:rPr>
        <w:t>k——</w:t>
      </w:r>
      <w:r>
        <w:rPr>
          <w:rFonts w:hint="eastAsia"/>
          <w:color w:val="000000"/>
        </w:rPr>
        <w:t>污染物综合衰减系数，</w:t>
      </w:r>
      <w:r>
        <w:rPr>
          <w:color w:val="000000"/>
        </w:rPr>
        <w:t>1/s</w:t>
      </w:r>
      <w:r>
        <w:rPr>
          <w:rFonts w:hint="eastAsia"/>
          <w:color w:val="000000"/>
        </w:rPr>
        <w:t xml:space="preserve">； </w:t>
      </w:r>
    </w:p>
    <w:p>
      <w:pPr>
        <w:pStyle w:val="27"/>
        <w:ind w:firstLine="480"/>
        <w:rPr>
          <w:color w:val="000000"/>
        </w:rPr>
      </w:pPr>
      <w:r>
        <w:rPr>
          <w:color w:val="000000"/>
        </w:rPr>
        <w:t>Ex——</w:t>
      </w:r>
      <w:r>
        <w:rPr>
          <w:rFonts w:hint="eastAsia"/>
          <w:color w:val="000000"/>
        </w:rPr>
        <w:t>污染物纵向扩散系数，</w:t>
      </w:r>
      <w:r>
        <w:rPr>
          <w:color w:val="000000"/>
        </w:rPr>
        <w:t>m</w:t>
      </w:r>
      <w:r>
        <w:rPr>
          <w:color w:val="000000"/>
          <w:vertAlign w:val="superscript"/>
        </w:rPr>
        <w:t>2</w:t>
      </w:r>
      <w:r>
        <w:rPr>
          <w:color w:val="000000"/>
        </w:rPr>
        <w:t xml:space="preserve"> /s</w:t>
      </w:r>
      <w:r>
        <w:rPr>
          <w:rFonts w:hint="eastAsia"/>
          <w:color w:val="000000"/>
        </w:rPr>
        <w:t xml:space="preserve">； </w:t>
      </w:r>
    </w:p>
    <w:p>
      <w:pPr>
        <w:pStyle w:val="27"/>
        <w:ind w:firstLine="480"/>
        <w:rPr>
          <w:color w:val="000000"/>
        </w:rPr>
      </w:pPr>
      <w:r>
        <w:rPr>
          <w:color w:val="000000"/>
        </w:rPr>
        <w:t>u——</w:t>
      </w:r>
      <w:r>
        <w:rPr>
          <w:rFonts w:hint="eastAsia"/>
          <w:color w:val="000000"/>
        </w:rPr>
        <w:t>断面流速，</w:t>
      </w:r>
      <w:r>
        <w:rPr>
          <w:color w:val="000000"/>
        </w:rPr>
        <w:t>m/s</w:t>
      </w:r>
      <w:r>
        <w:rPr>
          <w:rFonts w:hint="eastAsia"/>
          <w:color w:val="000000"/>
        </w:rPr>
        <w:t xml:space="preserve">； </w:t>
      </w:r>
    </w:p>
    <w:p>
      <w:pPr>
        <w:pStyle w:val="27"/>
        <w:ind w:firstLine="480"/>
        <w:rPr>
          <w:color w:val="000000"/>
        </w:rPr>
      </w:pPr>
      <w:r>
        <w:rPr>
          <w:color w:val="000000"/>
        </w:rPr>
        <w:t>B——</w:t>
      </w:r>
      <w:r>
        <w:rPr>
          <w:rFonts w:hint="eastAsia"/>
          <w:color w:val="000000"/>
        </w:rPr>
        <w:t>水面宽度，</w:t>
      </w:r>
      <w:r>
        <w:rPr>
          <w:color w:val="000000"/>
        </w:rPr>
        <w:t>m</w:t>
      </w:r>
      <w:r>
        <w:rPr>
          <w:rFonts w:hint="eastAsia"/>
          <w:color w:val="000000"/>
        </w:rPr>
        <w:t>。</w:t>
      </w:r>
    </w:p>
    <w:p>
      <w:pPr>
        <w:pStyle w:val="27"/>
        <w:ind w:firstLine="480"/>
        <w:rPr>
          <w:color w:val="000000"/>
        </w:rPr>
      </w:pPr>
      <w:r>
        <w:rPr>
          <w:rFonts w:hint="eastAsia"/>
          <w:color w:val="000000"/>
        </w:rPr>
        <w:t xml:space="preserve">根据上式计算得到 本项目COD和氨氮均适用对流降解模型。 </w:t>
      </w:r>
    </w:p>
    <w:p>
      <w:pPr>
        <w:pStyle w:val="27"/>
        <w:ind w:firstLine="480"/>
        <w:rPr>
          <w:color w:val="000000"/>
        </w:rPr>
      </w:pPr>
      <w:r>
        <w:rPr>
          <w:rFonts w:hint="eastAsia"/>
          <w:color w:val="000000"/>
        </w:rPr>
        <w:t>本项目一维水质预测模式为：</w:t>
      </w:r>
    </w:p>
    <w:p>
      <w:pPr>
        <w:pStyle w:val="27"/>
        <w:ind w:firstLine="480"/>
        <w:jc w:val="center"/>
      </w:pPr>
      <w:r>
        <w:drawing>
          <wp:inline distT="0" distB="0" distL="114300" distR="114300">
            <wp:extent cx="1849755" cy="520065"/>
            <wp:effectExtent l="0" t="0" r="17145" b="133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1"/>
                    <a:stretch>
                      <a:fillRect/>
                    </a:stretch>
                  </pic:blipFill>
                  <pic:spPr>
                    <a:xfrm>
                      <a:off x="0" y="0"/>
                      <a:ext cx="1849755" cy="520065"/>
                    </a:xfrm>
                    <a:prstGeom prst="rect">
                      <a:avLst/>
                    </a:prstGeom>
                    <a:noFill/>
                    <a:ln>
                      <a:noFill/>
                    </a:ln>
                  </pic:spPr>
                </pic:pic>
              </a:graphicData>
            </a:graphic>
          </wp:inline>
        </w:drawing>
      </w:r>
    </w:p>
    <w:p>
      <w:pPr>
        <w:pStyle w:val="27"/>
        <w:ind w:firstLine="480"/>
        <w:jc w:val="left"/>
        <w:rPr>
          <w:szCs w:val="24"/>
        </w:rPr>
      </w:pPr>
      <w:r>
        <w:rPr>
          <w:rFonts w:hint="eastAsia"/>
          <w:szCs w:val="24"/>
        </w:rPr>
        <w:t>完全混合模式为：</w:t>
      </w:r>
    </w:p>
    <w:p>
      <w:pPr>
        <w:pStyle w:val="27"/>
        <w:ind w:firstLine="480"/>
        <w:jc w:val="center"/>
      </w:pPr>
      <w:r>
        <w:drawing>
          <wp:inline distT="0" distB="0" distL="114300" distR="114300">
            <wp:extent cx="2591435" cy="568960"/>
            <wp:effectExtent l="0" t="0" r="18415" b="254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2"/>
                    <a:stretch>
                      <a:fillRect/>
                    </a:stretch>
                  </pic:blipFill>
                  <pic:spPr>
                    <a:xfrm>
                      <a:off x="0" y="0"/>
                      <a:ext cx="2591435" cy="568960"/>
                    </a:xfrm>
                    <a:prstGeom prst="rect">
                      <a:avLst/>
                    </a:prstGeom>
                    <a:noFill/>
                    <a:ln>
                      <a:noFill/>
                    </a:ln>
                  </pic:spPr>
                </pic:pic>
              </a:graphicData>
            </a:graphic>
          </wp:inline>
        </w:drawing>
      </w:r>
    </w:p>
    <w:p>
      <w:pPr>
        <w:pStyle w:val="27"/>
        <w:ind w:firstLine="480"/>
      </w:pPr>
      <w:r>
        <w:rPr>
          <w:rFonts w:hint="eastAsia"/>
        </w:rPr>
        <w:t>式中：C</w:t>
      </w:r>
      <w:r>
        <w:rPr>
          <w:rFonts w:hint="eastAsia"/>
          <w:vertAlign w:val="subscript"/>
        </w:rPr>
        <w:t>1</w:t>
      </w:r>
      <w:r>
        <w:rPr>
          <w:rFonts w:hint="eastAsia"/>
        </w:rPr>
        <w:t>：污染物在河道中，经衰减后不同断面的浓度mg/L；</w:t>
      </w:r>
    </w:p>
    <w:p>
      <w:pPr>
        <w:pStyle w:val="27"/>
        <w:ind w:firstLine="480"/>
      </w:pPr>
      <w:r>
        <w:rPr>
          <w:rFonts w:hint="eastAsia"/>
        </w:rPr>
        <w:t>C</w:t>
      </w:r>
      <w:r>
        <w:rPr>
          <w:rFonts w:hint="eastAsia"/>
          <w:vertAlign w:val="subscript"/>
        </w:rPr>
        <w:t>0</w:t>
      </w:r>
      <w:r>
        <w:rPr>
          <w:rFonts w:hint="eastAsia"/>
        </w:rPr>
        <w:t>：混合后污染物排放浓度mg/L；</w:t>
      </w:r>
    </w:p>
    <w:p>
      <w:pPr>
        <w:pStyle w:val="27"/>
        <w:ind w:firstLine="480"/>
      </w:pPr>
      <w:r>
        <w:rPr>
          <w:rFonts w:hint="eastAsia"/>
        </w:rPr>
        <w:t>k：污染物衰减系数1/s；</w:t>
      </w:r>
    </w:p>
    <w:p>
      <w:pPr>
        <w:pStyle w:val="27"/>
        <w:ind w:firstLine="480"/>
      </w:pPr>
      <w:r>
        <w:rPr>
          <w:rFonts w:hint="eastAsia"/>
        </w:rPr>
        <w:t>x：距离m；</w:t>
      </w:r>
    </w:p>
    <w:p>
      <w:pPr>
        <w:pStyle w:val="27"/>
        <w:ind w:firstLine="480"/>
      </w:pPr>
      <w:r>
        <w:rPr>
          <w:rFonts w:hint="eastAsia"/>
        </w:rPr>
        <w:t>μ：平均流速m/s；</w:t>
      </w:r>
    </w:p>
    <w:p>
      <w:pPr>
        <w:pStyle w:val="27"/>
        <w:ind w:firstLine="480"/>
      </w:pPr>
      <w:r>
        <w:rPr>
          <w:rFonts w:hint="eastAsia"/>
        </w:rPr>
        <w:t>Cp：污水排放浓度，mg/L；</w:t>
      </w:r>
    </w:p>
    <w:p>
      <w:pPr>
        <w:pStyle w:val="27"/>
        <w:ind w:firstLine="480"/>
      </w:pPr>
      <w:r>
        <w:rPr>
          <w:rFonts w:hint="eastAsia"/>
        </w:rPr>
        <w:t>Qp：污水排放流量，m</w:t>
      </w:r>
      <w:r>
        <w:rPr>
          <w:rFonts w:hint="eastAsia"/>
          <w:vertAlign w:val="superscript"/>
        </w:rPr>
        <w:t>3</w:t>
      </w:r>
      <w:r>
        <w:rPr>
          <w:rFonts w:hint="eastAsia"/>
        </w:rPr>
        <w:t>/s；</w:t>
      </w:r>
    </w:p>
    <w:p>
      <w:pPr>
        <w:pStyle w:val="27"/>
        <w:ind w:firstLine="480"/>
      </w:pPr>
      <w:r>
        <w:rPr>
          <w:rFonts w:hint="eastAsia"/>
        </w:rPr>
        <w:t>C</w:t>
      </w:r>
      <w:r>
        <w:rPr>
          <w:rFonts w:hint="eastAsia"/>
          <w:vertAlign w:val="subscript"/>
        </w:rPr>
        <w:t>h</w:t>
      </w:r>
      <w:r>
        <w:rPr>
          <w:rFonts w:hint="eastAsia"/>
        </w:rPr>
        <w:t>：河水污染物浓度，mg/L；</w:t>
      </w:r>
    </w:p>
    <w:p>
      <w:pPr>
        <w:pStyle w:val="27"/>
        <w:ind w:firstLine="480"/>
      </w:pPr>
      <w:r>
        <w:rPr>
          <w:rFonts w:hint="eastAsia"/>
        </w:rPr>
        <w:t>Q</w:t>
      </w:r>
      <w:r>
        <w:rPr>
          <w:rFonts w:hint="eastAsia"/>
          <w:vertAlign w:val="subscript"/>
        </w:rPr>
        <w:t>h</w:t>
      </w:r>
      <w:r>
        <w:rPr>
          <w:rFonts w:hint="eastAsia"/>
        </w:rPr>
        <w:t>：河水流量，m</w:t>
      </w:r>
      <w:r>
        <w:rPr>
          <w:rFonts w:hint="eastAsia"/>
          <w:vertAlign w:val="superscript"/>
        </w:rPr>
        <w:t>3</w:t>
      </w:r>
      <w:r>
        <w:rPr>
          <w:rFonts w:hint="eastAsia"/>
        </w:rPr>
        <w:t>/s。</w:t>
      </w:r>
    </w:p>
    <w:p>
      <w:pPr>
        <w:pStyle w:val="35"/>
      </w:pPr>
      <w:bookmarkStart w:id="83" w:name="_Toc161250487"/>
      <w:r>
        <w:rPr>
          <w:rFonts w:hint="eastAsia"/>
        </w:rPr>
        <w:t>6</w:t>
      </w:r>
      <w:r>
        <w:t>.1.3</w:t>
      </w:r>
      <w:r>
        <w:rPr>
          <w:rFonts w:hint="eastAsia"/>
        </w:rPr>
        <w:t>预测参数的确定</w:t>
      </w:r>
      <w:bookmarkEnd w:id="83"/>
    </w:p>
    <w:p>
      <w:pPr>
        <w:pStyle w:val="27"/>
        <w:ind w:firstLine="480"/>
        <w:rPr>
          <w:u w:val="single"/>
        </w:rPr>
      </w:pPr>
      <w:r>
        <w:rPr>
          <w:rFonts w:hint="eastAsia"/>
          <w:u w:val="single"/>
        </w:rPr>
        <w:t>①水文参数：参考本项目环评，同时经过现场实际测量河宽，流速等进行验证，得出祁水水文参数如下：</w:t>
      </w:r>
    </w:p>
    <w:p>
      <w:pPr>
        <w:pStyle w:val="38"/>
        <w:rPr>
          <w:u w:val="single"/>
        </w:rPr>
      </w:pPr>
      <w:r>
        <w:rPr>
          <w:rFonts w:hint="eastAsia"/>
          <w:u w:val="single"/>
        </w:rPr>
        <w:t>表</w:t>
      </w:r>
      <w:r>
        <w:rPr>
          <w:u w:val="single"/>
        </w:rPr>
        <w:t>6.1-1</w:t>
      </w:r>
      <w:r>
        <w:rPr>
          <w:rFonts w:hint="eastAsia"/>
          <w:u w:val="single"/>
        </w:rPr>
        <w:t xml:space="preserve">   祁水枯水期水文参数表</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5"/>
        <w:gridCol w:w="1529"/>
        <w:gridCol w:w="1304"/>
        <w:gridCol w:w="1754"/>
        <w:gridCol w:w="1902"/>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 w:type="pct"/>
            <w:vAlign w:val="center"/>
          </w:tcPr>
          <w:p>
            <w:pPr>
              <w:pStyle w:val="40"/>
              <w:rPr>
                <w:u w:val="single"/>
              </w:rPr>
            </w:pPr>
            <w:r>
              <w:rPr>
                <w:rFonts w:hint="eastAsia"/>
                <w:u w:val="single"/>
              </w:rPr>
              <w:t>水期</w:t>
            </w:r>
          </w:p>
        </w:tc>
        <w:tc>
          <w:tcPr>
            <w:tcW w:w="897" w:type="pct"/>
            <w:vAlign w:val="center"/>
          </w:tcPr>
          <w:p>
            <w:pPr>
              <w:pStyle w:val="40"/>
              <w:rPr>
                <w:u w:val="single"/>
              </w:rPr>
            </w:pPr>
            <w:r>
              <w:rPr>
                <w:rFonts w:hint="eastAsia"/>
                <w:u w:val="single"/>
              </w:rPr>
              <w:t>流量（m</w:t>
            </w:r>
            <w:r>
              <w:rPr>
                <w:rFonts w:hint="eastAsia"/>
                <w:u w:val="single"/>
                <w:vertAlign w:val="superscript"/>
              </w:rPr>
              <w:t>3</w:t>
            </w:r>
            <w:r>
              <w:rPr>
                <w:rFonts w:hint="eastAsia"/>
                <w:u w:val="single"/>
              </w:rPr>
              <w:t>/s）</w:t>
            </w:r>
          </w:p>
        </w:tc>
        <w:tc>
          <w:tcPr>
            <w:tcW w:w="765" w:type="pct"/>
            <w:vAlign w:val="center"/>
          </w:tcPr>
          <w:p>
            <w:pPr>
              <w:pStyle w:val="40"/>
              <w:rPr>
                <w:u w:val="single"/>
              </w:rPr>
            </w:pPr>
            <w:r>
              <w:rPr>
                <w:rFonts w:hint="eastAsia"/>
                <w:u w:val="single"/>
              </w:rPr>
              <w:t>河宽（m）</w:t>
            </w:r>
          </w:p>
        </w:tc>
        <w:tc>
          <w:tcPr>
            <w:tcW w:w="1029" w:type="pct"/>
            <w:vAlign w:val="center"/>
          </w:tcPr>
          <w:p>
            <w:pPr>
              <w:pStyle w:val="40"/>
              <w:rPr>
                <w:u w:val="single"/>
              </w:rPr>
            </w:pPr>
            <w:r>
              <w:rPr>
                <w:rFonts w:hint="eastAsia"/>
                <w:u w:val="single"/>
              </w:rPr>
              <w:t>平均水深（m）</w:t>
            </w:r>
          </w:p>
        </w:tc>
        <w:tc>
          <w:tcPr>
            <w:tcW w:w="1116" w:type="pct"/>
            <w:vAlign w:val="center"/>
          </w:tcPr>
          <w:p>
            <w:pPr>
              <w:pStyle w:val="40"/>
              <w:rPr>
                <w:u w:val="single"/>
              </w:rPr>
            </w:pPr>
            <w:r>
              <w:rPr>
                <w:rFonts w:hint="eastAsia"/>
                <w:u w:val="single"/>
              </w:rPr>
              <w:t>平均流速（m/s）</w:t>
            </w:r>
          </w:p>
        </w:tc>
        <w:tc>
          <w:tcPr>
            <w:tcW w:w="662" w:type="pct"/>
            <w:vAlign w:val="center"/>
          </w:tcPr>
          <w:p>
            <w:pPr>
              <w:pStyle w:val="40"/>
              <w:rPr>
                <w:u w:val="single"/>
              </w:rPr>
            </w:pPr>
            <w:r>
              <w:rPr>
                <w:rFonts w:hint="eastAsia"/>
                <w:u w:val="single"/>
              </w:rPr>
              <w:t>河底坡降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31" w:type="pct"/>
            <w:vAlign w:val="center"/>
          </w:tcPr>
          <w:p>
            <w:pPr>
              <w:pStyle w:val="40"/>
              <w:rPr>
                <w:u w:val="single"/>
              </w:rPr>
            </w:pPr>
            <w:r>
              <w:rPr>
                <w:rFonts w:hint="eastAsia"/>
                <w:u w:val="single"/>
              </w:rPr>
              <w:t>枯水期</w:t>
            </w:r>
          </w:p>
        </w:tc>
        <w:tc>
          <w:tcPr>
            <w:tcW w:w="897" w:type="pct"/>
            <w:vAlign w:val="center"/>
          </w:tcPr>
          <w:p>
            <w:pPr>
              <w:pStyle w:val="40"/>
              <w:rPr>
                <w:u w:val="single"/>
              </w:rPr>
            </w:pPr>
            <w:r>
              <w:rPr>
                <w:rFonts w:hint="eastAsia"/>
                <w:u w:val="single"/>
              </w:rPr>
              <w:t>18.25</w:t>
            </w:r>
          </w:p>
        </w:tc>
        <w:tc>
          <w:tcPr>
            <w:tcW w:w="765" w:type="pct"/>
            <w:vAlign w:val="center"/>
          </w:tcPr>
          <w:p>
            <w:pPr>
              <w:pStyle w:val="40"/>
              <w:rPr>
                <w:u w:val="single"/>
              </w:rPr>
            </w:pPr>
            <w:r>
              <w:rPr>
                <w:rFonts w:hint="eastAsia"/>
                <w:u w:val="single"/>
              </w:rPr>
              <w:t>30</w:t>
            </w:r>
          </w:p>
        </w:tc>
        <w:tc>
          <w:tcPr>
            <w:tcW w:w="1029" w:type="pct"/>
            <w:vAlign w:val="center"/>
          </w:tcPr>
          <w:p>
            <w:pPr>
              <w:pStyle w:val="40"/>
              <w:rPr>
                <w:u w:val="single"/>
              </w:rPr>
            </w:pPr>
            <w:r>
              <w:rPr>
                <w:rFonts w:hint="eastAsia"/>
                <w:u w:val="single"/>
              </w:rPr>
              <w:t>2.64</w:t>
            </w:r>
          </w:p>
        </w:tc>
        <w:tc>
          <w:tcPr>
            <w:tcW w:w="1116" w:type="pct"/>
            <w:vAlign w:val="center"/>
          </w:tcPr>
          <w:p>
            <w:pPr>
              <w:pStyle w:val="40"/>
              <w:rPr>
                <w:u w:val="single"/>
              </w:rPr>
            </w:pPr>
            <w:r>
              <w:rPr>
                <w:rFonts w:hint="eastAsia"/>
                <w:u w:val="single"/>
              </w:rPr>
              <w:t>0.23</w:t>
            </w:r>
          </w:p>
        </w:tc>
        <w:tc>
          <w:tcPr>
            <w:tcW w:w="662" w:type="pct"/>
            <w:vAlign w:val="center"/>
          </w:tcPr>
          <w:p>
            <w:pPr>
              <w:pStyle w:val="40"/>
              <w:rPr>
                <w:u w:val="single"/>
              </w:rPr>
            </w:pPr>
            <w:r>
              <w:rPr>
                <w:rFonts w:hint="eastAsia"/>
                <w:u w:val="single"/>
              </w:rPr>
              <w:t>3.4‰</w:t>
            </w:r>
          </w:p>
        </w:tc>
      </w:tr>
    </w:tbl>
    <w:p>
      <w:pPr>
        <w:pStyle w:val="27"/>
        <w:ind w:firstLine="480"/>
      </w:pPr>
      <w:r>
        <w:rPr>
          <w:rFonts w:hint="eastAsia"/>
        </w:rPr>
        <w:t>②降解系数k的确定</w:t>
      </w:r>
    </w:p>
    <w:p>
      <w:pPr>
        <w:pStyle w:val="27"/>
        <w:ind w:firstLine="480"/>
      </w:pPr>
      <w:r>
        <w:rPr>
          <w:rFonts w:hint="eastAsia"/>
        </w:rPr>
        <w:t>查阅《全国地表水水环境容量核定技术复核要点》（中国环境规划院，2004年），水质降解系数参考值见表</w:t>
      </w:r>
      <w:r>
        <w:t>6.1-2</w:t>
      </w:r>
      <w:r>
        <w:rPr>
          <w:rFonts w:hint="eastAsia"/>
        </w:rPr>
        <w:t>。</w:t>
      </w:r>
    </w:p>
    <w:p>
      <w:pPr>
        <w:pStyle w:val="38"/>
      </w:pPr>
      <w:r>
        <w:rPr>
          <w:rFonts w:hint="eastAsia"/>
        </w:rPr>
        <w:t>表</w:t>
      </w:r>
      <w:r>
        <w:t>6.1-2</w:t>
      </w:r>
      <w:r>
        <w:rPr>
          <w:rFonts w:hint="eastAsia"/>
        </w:rPr>
        <w:t xml:space="preserve">  水质降解系数参考值表</w:t>
      </w: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1"/>
        <w:gridCol w:w="1420"/>
        <w:gridCol w:w="1420"/>
        <w:gridCol w:w="1420"/>
        <w:gridCol w:w="14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Merge w:val="restart"/>
            <w:vAlign w:val="center"/>
          </w:tcPr>
          <w:p>
            <w:pPr>
              <w:pStyle w:val="40"/>
            </w:pPr>
            <w:r>
              <w:rPr>
                <w:rFonts w:hint="eastAsia"/>
              </w:rPr>
              <w:t>水质及水生生态环境状况</w:t>
            </w:r>
          </w:p>
        </w:tc>
        <w:tc>
          <w:tcPr>
            <w:tcW w:w="3333" w:type="pct"/>
            <w:gridSpan w:val="4"/>
            <w:vAlign w:val="center"/>
          </w:tcPr>
          <w:p>
            <w:pPr>
              <w:pStyle w:val="40"/>
            </w:pPr>
            <w:r>
              <w:rPr>
                <w:rFonts w:hint="eastAsia"/>
              </w:rPr>
              <w:t>水质降解系数/d</w:t>
            </w:r>
            <w:r>
              <w:rPr>
                <w:rFonts w:hint="eastAsia"/>
                <w:vertAlign w:val="superscript"/>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Merge w:val="continue"/>
            <w:vAlign w:val="center"/>
          </w:tcPr>
          <w:p>
            <w:pPr>
              <w:pStyle w:val="40"/>
            </w:pPr>
          </w:p>
        </w:tc>
        <w:tc>
          <w:tcPr>
            <w:tcW w:w="1666" w:type="pct"/>
            <w:gridSpan w:val="2"/>
            <w:vAlign w:val="center"/>
          </w:tcPr>
          <w:p>
            <w:pPr>
              <w:pStyle w:val="40"/>
            </w:pPr>
            <w:r>
              <w:rPr>
                <w:rFonts w:hint="eastAsia"/>
              </w:rPr>
              <w:t>COD</w:t>
            </w:r>
          </w:p>
        </w:tc>
        <w:tc>
          <w:tcPr>
            <w:tcW w:w="1668" w:type="pct"/>
            <w:gridSpan w:val="2"/>
            <w:vAlign w:val="center"/>
          </w:tcPr>
          <w:p>
            <w:pPr>
              <w:pStyle w:val="40"/>
            </w:pPr>
            <w:r>
              <w:rPr>
                <w:rFonts w:hint="eastAsia"/>
              </w:rPr>
              <w:t>NH</w:t>
            </w:r>
            <w:r>
              <w:rPr>
                <w:rFonts w:hint="eastAsia"/>
                <w:vertAlign w:val="subscript"/>
              </w:rPr>
              <w:t>3</w:t>
            </w:r>
            <w:r>
              <w:rPr>
                <w:rFonts w:hint="eastAsia"/>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4" w:hRule="atLeast"/>
          <w:jc w:val="center"/>
        </w:trPr>
        <w:tc>
          <w:tcPr>
            <w:tcW w:w="1667" w:type="pct"/>
            <w:vMerge w:val="continue"/>
            <w:vAlign w:val="center"/>
          </w:tcPr>
          <w:p>
            <w:pPr>
              <w:pStyle w:val="40"/>
            </w:pPr>
          </w:p>
        </w:tc>
        <w:tc>
          <w:tcPr>
            <w:tcW w:w="833" w:type="pct"/>
            <w:vAlign w:val="center"/>
          </w:tcPr>
          <w:p>
            <w:pPr>
              <w:pStyle w:val="40"/>
            </w:pPr>
            <w:r>
              <w:rPr>
                <w:rFonts w:hint="eastAsia"/>
              </w:rPr>
              <w:t>一般河流</w:t>
            </w:r>
          </w:p>
        </w:tc>
        <w:tc>
          <w:tcPr>
            <w:tcW w:w="833" w:type="pct"/>
            <w:vAlign w:val="center"/>
          </w:tcPr>
          <w:p>
            <w:pPr>
              <w:pStyle w:val="40"/>
            </w:pPr>
            <w:r>
              <w:rPr>
                <w:rFonts w:hint="eastAsia"/>
              </w:rPr>
              <w:t>湖泊水库</w:t>
            </w:r>
          </w:p>
        </w:tc>
        <w:tc>
          <w:tcPr>
            <w:tcW w:w="833" w:type="pct"/>
            <w:vAlign w:val="center"/>
          </w:tcPr>
          <w:p>
            <w:pPr>
              <w:pStyle w:val="40"/>
            </w:pPr>
            <w:r>
              <w:rPr>
                <w:rFonts w:hint="eastAsia"/>
              </w:rPr>
              <w:t>一般河流</w:t>
            </w:r>
          </w:p>
        </w:tc>
        <w:tc>
          <w:tcPr>
            <w:tcW w:w="835" w:type="pct"/>
            <w:vAlign w:val="center"/>
          </w:tcPr>
          <w:p>
            <w:pPr>
              <w:pStyle w:val="40"/>
            </w:pPr>
            <w:r>
              <w:rPr>
                <w:rFonts w:hint="eastAsia"/>
              </w:rPr>
              <w:t>湖泊水库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0"/>
            </w:pPr>
            <w:r>
              <w:rPr>
                <w:rFonts w:hint="eastAsia"/>
              </w:rPr>
              <w:t>优（相应水质Ⅱ-Ⅲ）</w:t>
            </w:r>
          </w:p>
        </w:tc>
        <w:tc>
          <w:tcPr>
            <w:tcW w:w="833" w:type="pct"/>
            <w:vAlign w:val="center"/>
          </w:tcPr>
          <w:p>
            <w:pPr>
              <w:pStyle w:val="40"/>
            </w:pPr>
            <w:r>
              <w:rPr>
                <w:rFonts w:hint="eastAsia"/>
              </w:rPr>
              <w:t>0.18~0.25</w:t>
            </w:r>
          </w:p>
        </w:tc>
        <w:tc>
          <w:tcPr>
            <w:tcW w:w="833" w:type="pct"/>
            <w:vAlign w:val="center"/>
          </w:tcPr>
          <w:p>
            <w:pPr>
              <w:pStyle w:val="40"/>
            </w:pPr>
            <w:r>
              <w:rPr>
                <w:rFonts w:hint="eastAsia"/>
              </w:rPr>
              <w:t>0.06~0.10</w:t>
            </w:r>
          </w:p>
        </w:tc>
        <w:tc>
          <w:tcPr>
            <w:tcW w:w="833" w:type="pct"/>
            <w:vAlign w:val="center"/>
          </w:tcPr>
          <w:p>
            <w:pPr>
              <w:pStyle w:val="40"/>
            </w:pPr>
            <w:r>
              <w:rPr>
                <w:rFonts w:hint="eastAsia"/>
              </w:rPr>
              <w:t>0.15~0.20</w:t>
            </w:r>
          </w:p>
        </w:tc>
        <w:tc>
          <w:tcPr>
            <w:tcW w:w="835" w:type="pct"/>
            <w:vAlign w:val="center"/>
          </w:tcPr>
          <w:p>
            <w:pPr>
              <w:pStyle w:val="40"/>
            </w:pPr>
            <w:r>
              <w:rPr>
                <w:rFonts w:hint="eastAsia"/>
              </w:rPr>
              <w:t>0.06~0.10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0"/>
            </w:pPr>
            <w:r>
              <w:rPr>
                <w:rFonts w:hint="eastAsia"/>
              </w:rPr>
              <w:t>中（相应水质Ⅲ-Ⅳ）</w:t>
            </w:r>
          </w:p>
        </w:tc>
        <w:tc>
          <w:tcPr>
            <w:tcW w:w="833" w:type="pct"/>
            <w:vAlign w:val="center"/>
          </w:tcPr>
          <w:p>
            <w:pPr>
              <w:pStyle w:val="40"/>
            </w:pPr>
            <w:r>
              <w:rPr>
                <w:rFonts w:hint="eastAsia"/>
              </w:rPr>
              <w:t>0.10~0.18</w:t>
            </w:r>
          </w:p>
        </w:tc>
        <w:tc>
          <w:tcPr>
            <w:tcW w:w="833" w:type="pct"/>
            <w:vAlign w:val="center"/>
          </w:tcPr>
          <w:p>
            <w:pPr>
              <w:pStyle w:val="40"/>
            </w:pPr>
            <w:r>
              <w:rPr>
                <w:rFonts w:hint="eastAsia"/>
              </w:rPr>
              <w:t>0.03~0.06</w:t>
            </w:r>
          </w:p>
        </w:tc>
        <w:tc>
          <w:tcPr>
            <w:tcW w:w="833" w:type="pct"/>
            <w:vAlign w:val="center"/>
          </w:tcPr>
          <w:p>
            <w:pPr>
              <w:pStyle w:val="40"/>
            </w:pPr>
            <w:r>
              <w:rPr>
                <w:rFonts w:hint="eastAsia"/>
              </w:rPr>
              <w:t>0.10~0.15</w:t>
            </w:r>
          </w:p>
        </w:tc>
        <w:tc>
          <w:tcPr>
            <w:tcW w:w="835" w:type="pct"/>
            <w:vAlign w:val="center"/>
          </w:tcPr>
          <w:p>
            <w:pPr>
              <w:pStyle w:val="40"/>
            </w:pPr>
            <w:r>
              <w:rPr>
                <w:rFonts w:hint="eastAsia"/>
              </w:rPr>
              <w:t>0.03~0.06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1667" w:type="pct"/>
            <w:vAlign w:val="center"/>
          </w:tcPr>
          <w:p>
            <w:pPr>
              <w:pStyle w:val="40"/>
            </w:pPr>
            <w:r>
              <w:rPr>
                <w:rFonts w:hint="eastAsia"/>
              </w:rPr>
              <w:t>劣（相应水质Ⅴ类或劣Ⅴ类）</w:t>
            </w:r>
          </w:p>
        </w:tc>
        <w:tc>
          <w:tcPr>
            <w:tcW w:w="833" w:type="pct"/>
            <w:vAlign w:val="center"/>
          </w:tcPr>
          <w:p>
            <w:pPr>
              <w:pStyle w:val="40"/>
            </w:pPr>
            <w:r>
              <w:rPr>
                <w:rFonts w:hint="eastAsia"/>
              </w:rPr>
              <w:t>0.05~0.10</w:t>
            </w:r>
          </w:p>
        </w:tc>
        <w:tc>
          <w:tcPr>
            <w:tcW w:w="833" w:type="pct"/>
            <w:vAlign w:val="center"/>
          </w:tcPr>
          <w:p>
            <w:pPr>
              <w:pStyle w:val="40"/>
            </w:pPr>
            <w:r>
              <w:rPr>
                <w:rFonts w:hint="eastAsia"/>
              </w:rPr>
              <w:t>0.01~0.03</w:t>
            </w:r>
          </w:p>
        </w:tc>
        <w:tc>
          <w:tcPr>
            <w:tcW w:w="833" w:type="pct"/>
            <w:vAlign w:val="center"/>
          </w:tcPr>
          <w:p>
            <w:pPr>
              <w:pStyle w:val="40"/>
            </w:pPr>
            <w:r>
              <w:rPr>
                <w:rFonts w:hint="eastAsia"/>
              </w:rPr>
              <w:t>0.05~0.10</w:t>
            </w:r>
          </w:p>
        </w:tc>
        <w:tc>
          <w:tcPr>
            <w:tcW w:w="835" w:type="pct"/>
            <w:vAlign w:val="center"/>
          </w:tcPr>
          <w:p>
            <w:pPr>
              <w:pStyle w:val="40"/>
            </w:pPr>
            <w:r>
              <w:rPr>
                <w:rFonts w:hint="eastAsia"/>
              </w:rPr>
              <w:t>0.01~0.03</w:t>
            </w:r>
          </w:p>
        </w:tc>
      </w:tr>
    </w:tbl>
    <w:p>
      <w:pPr>
        <w:pStyle w:val="27"/>
        <w:ind w:firstLine="480"/>
      </w:pPr>
      <w:r>
        <w:rPr>
          <w:rFonts w:hint="eastAsia"/>
        </w:rPr>
        <w:t>确定本次评价k值为：k</w:t>
      </w:r>
      <w:r>
        <w:rPr>
          <w:rFonts w:hint="eastAsia"/>
          <w:vertAlign w:val="subscript"/>
        </w:rPr>
        <w:t>COD</w:t>
      </w:r>
      <w:r>
        <w:rPr>
          <w:rFonts w:hint="eastAsia"/>
        </w:rPr>
        <w:t>为0.18</w:t>
      </w:r>
      <w:r>
        <w:rPr>
          <w:rFonts w:hint="eastAsia"/>
          <w:sz w:val="21"/>
          <w:szCs w:val="21"/>
        </w:rPr>
        <w:t xml:space="preserve"> d</w:t>
      </w:r>
      <w:r>
        <w:rPr>
          <w:rFonts w:hint="eastAsia"/>
          <w:sz w:val="21"/>
          <w:szCs w:val="21"/>
          <w:vertAlign w:val="superscript"/>
        </w:rPr>
        <w:t>-1</w:t>
      </w:r>
      <w:r>
        <w:rPr>
          <w:rFonts w:hint="eastAsia"/>
        </w:rPr>
        <w:t>、k</w:t>
      </w:r>
      <w:r>
        <w:rPr>
          <w:rFonts w:hint="eastAsia"/>
          <w:vertAlign w:val="subscript"/>
        </w:rPr>
        <w:t>NH3-N</w:t>
      </w:r>
      <w:r>
        <w:rPr>
          <w:rFonts w:hint="eastAsia"/>
        </w:rPr>
        <w:t>为0.15</w:t>
      </w:r>
      <w:r>
        <w:rPr>
          <w:rFonts w:hint="eastAsia"/>
          <w:sz w:val="21"/>
          <w:szCs w:val="21"/>
        </w:rPr>
        <w:t xml:space="preserve"> d</w:t>
      </w:r>
      <w:r>
        <w:rPr>
          <w:rFonts w:hint="eastAsia"/>
          <w:sz w:val="21"/>
          <w:szCs w:val="21"/>
          <w:vertAlign w:val="superscript"/>
        </w:rPr>
        <w:t>-1</w:t>
      </w:r>
      <w:r>
        <w:rPr>
          <w:rFonts w:hint="eastAsia"/>
        </w:rPr>
        <w:t>。</w:t>
      </w:r>
    </w:p>
    <w:p>
      <w:pPr>
        <w:pStyle w:val="27"/>
        <w:ind w:firstLine="480"/>
      </w:pPr>
      <w:r>
        <w:rPr>
          <w:rFonts w:hint="eastAsia"/>
          <w:u w:val="single"/>
        </w:rPr>
        <w:t>总磷降解系数取0.07</w:t>
      </w:r>
      <w:r>
        <w:rPr>
          <w:rFonts w:hint="eastAsia"/>
          <w:sz w:val="21"/>
          <w:szCs w:val="21"/>
          <w:u w:val="single"/>
        </w:rPr>
        <w:t xml:space="preserve"> d</w:t>
      </w:r>
      <w:r>
        <w:rPr>
          <w:rFonts w:hint="eastAsia"/>
          <w:sz w:val="21"/>
          <w:szCs w:val="21"/>
          <w:u w:val="single"/>
          <w:vertAlign w:val="superscript"/>
        </w:rPr>
        <w:t>-1</w:t>
      </w:r>
      <w:r>
        <w:rPr>
          <w:rFonts w:hint="eastAsia"/>
          <w:u w:val="single"/>
        </w:rPr>
        <w:t>。</w:t>
      </w:r>
    </w:p>
    <w:p>
      <w:pPr>
        <w:pStyle w:val="35"/>
      </w:pPr>
      <w:bookmarkStart w:id="84" w:name="_Toc161250488"/>
      <w:r>
        <w:rPr>
          <w:rFonts w:hint="eastAsia"/>
        </w:rPr>
        <w:t>6</w:t>
      </w:r>
      <w:r>
        <w:t>.1.4</w:t>
      </w:r>
      <w:r>
        <w:rPr>
          <w:rFonts w:hint="eastAsia"/>
        </w:rPr>
        <w:t>预测情形及排放源强</w:t>
      </w:r>
      <w:bookmarkEnd w:id="84"/>
    </w:p>
    <w:p>
      <w:pPr>
        <w:pStyle w:val="27"/>
        <w:ind w:firstLine="480"/>
        <w:rPr>
          <w:u w:val="single"/>
        </w:rPr>
      </w:pPr>
      <w:r>
        <w:rPr>
          <w:rFonts w:hint="eastAsia"/>
          <w:u w:val="single"/>
        </w:rPr>
        <w:t>本次预测考虑正常排放和事故排放两种预测情景，正常排放是在污水处理站正常运行状态下污染物能达标排放；事故排放是在出现自然灾害，停电或污水处理系统出现故障的状况下，污水处理站不能正常运行，出水水质不达标直接排放的情景。预测时按最大排放规模（近期100m</w:t>
      </w:r>
      <w:r>
        <w:rPr>
          <w:rFonts w:hint="eastAsia"/>
          <w:u w:val="single"/>
          <w:vertAlign w:val="superscript"/>
        </w:rPr>
        <w:t>3</w:t>
      </w:r>
      <w:r>
        <w:rPr>
          <w:rFonts w:hint="eastAsia"/>
          <w:u w:val="single"/>
        </w:rPr>
        <w:t>/d，远期600m</w:t>
      </w:r>
      <w:r>
        <w:rPr>
          <w:rFonts w:hint="eastAsia"/>
          <w:u w:val="single"/>
          <w:vertAlign w:val="superscript"/>
        </w:rPr>
        <w:t>3</w:t>
      </w:r>
      <w:r>
        <w:rPr>
          <w:rFonts w:hint="eastAsia"/>
          <w:u w:val="single"/>
        </w:rPr>
        <w:t>/d），正常排放出水水质COD为60mg/L、氨氮为8mg/L、总磷1mg/L达标排放；事故排放出水水质COD为2</w:t>
      </w:r>
      <w:r>
        <w:rPr>
          <w:u w:val="single"/>
        </w:rPr>
        <w:t>8</w:t>
      </w:r>
      <w:r>
        <w:rPr>
          <w:rFonts w:hint="eastAsia"/>
          <w:u w:val="single"/>
        </w:rPr>
        <w:t>0mg/L、氨氮为3</w:t>
      </w:r>
      <w:r>
        <w:rPr>
          <w:u w:val="single"/>
        </w:rPr>
        <w:t>5</w:t>
      </w:r>
      <w:r>
        <w:rPr>
          <w:rFonts w:hint="eastAsia"/>
          <w:u w:val="single"/>
        </w:rPr>
        <w:t>mg/L、总磷3mg/L。根据现状监测结果，排放口上游来水COD的初始浓度C</w:t>
      </w:r>
      <w:r>
        <w:rPr>
          <w:rFonts w:hint="eastAsia"/>
          <w:u w:val="single"/>
          <w:vertAlign w:val="subscript"/>
        </w:rPr>
        <w:t>0</w:t>
      </w:r>
      <w:r>
        <w:rPr>
          <w:rFonts w:hint="eastAsia"/>
          <w:u w:val="single"/>
        </w:rPr>
        <w:t>值为10mg/L，氨氮初始浓度C</w:t>
      </w:r>
      <w:r>
        <w:rPr>
          <w:rFonts w:hint="eastAsia"/>
          <w:u w:val="single"/>
          <w:vertAlign w:val="subscript"/>
        </w:rPr>
        <w:t>0</w:t>
      </w:r>
      <w:r>
        <w:rPr>
          <w:rFonts w:hint="eastAsia"/>
          <w:u w:val="single"/>
        </w:rPr>
        <w:t>值为0.336mg/L，总磷初始浓度C</w:t>
      </w:r>
      <w:r>
        <w:rPr>
          <w:rFonts w:hint="eastAsia"/>
          <w:u w:val="single"/>
          <w:vertAlign w:val="subscript"/>
        </w:rPr>
        <w:t>0</w:t>
      </w:r>
      <w:r>
        <w:rPr>
          <w:rFonts w:hint="eastAsia"/>
          <w:u w:val="single"/>
        </w:rPr>
        <w:t>值为0.06mg/L。</w:t>
      </w:r>
    </w:p>
    <w:p>
      <w:pPr>
        <w:pStyle w:val="32"/>
      </w:pPr>
      <w:bookmarkStart w:id="85" w:name="_Toc161250489"/>
      <w:r>
        <w:rPr>
          <w:rFonts w:hint="eastAsia"/>
        </w:rPr>
        <w:t>6</w:t>
      </w:r>
      <w:r>
        <w:t>.2</w:t>
      </w:r>
      <w:r>
        <w:rPr>
          <w:rFonts w:hint="eastAsia"/>
        </w:rPr>
        <w:t>对水功能区水质影响分析</w:t>
      </w:r>
      <w:bookmarkEnd w:id="85"/>
    </w:p>
    <w:p>
      <w:pPr>
        <w:pStyle w:val="35"/>
      </w:pPr>
      <w:bookmarkStart w:id="86" w:name="_Toc161250490"/>
      <w:r>
        <w:rPr>
          <w:rFonts w:hint="eastAsia"/>
        </w:rPr>
        <w:t>6</w:t>
      </w:r>
      <w:r>
        <w:t>.2.1</w:t>
      </w:r>
      <w:r>
        <w:rPr>
          <w:rFonts w:hint="eastAsia"/>
        </w:rPr>
        <w:t>正常排放情况预测</w:t>
      </w:r>
      <w:bookmarkEnd w:id="86"/>
    </w:p>
    <w:p>
      <w:pPr>
        <w:pStyle w:val="27"/>
        <w:ind w:firstLine="480"/>
      </w:pPr>
      <w:r>
        <w:rPr>
          <w:rFonts w:hint="eastAsia"/>
          <w:u w:val="single"/>
        </w:rPr>
        <w:t>在正常排放情况下，凤歧坪乡污水处理工程入河排污口下游河段污染物预测结果如下表。</w:t>
      </w:r>
    </w:p>
    <w:p>
      <w:pPr>
        <w:pStyle w:val="38"/>
      </w:pPr>
      <w:r>
        <w:rPr>
          <w:rFonts w:hint="eastAsia"/>
        </w:rPr>
        <w:t xml:space="preserve">表6.2-1  </w:t>
      </w:r>
      <w:r>
        <w:rPr>
          <w:rFonts w:hint="eastAsia"/>
          <w:bCs/>
          <w:szCs w:val="24"/>
          <w:u w:val="single"/>
        </w:rPr>
        <w:t>近期</w:t>
      </w:r>
      <w:r>
        <w:rPr>
          <w:bCs/>
          <w:szCs w:val="24"/>
          <w:u w:val="single"/>
        </w:rPr>
        <w:t>正常排放CODcr、氨氮</w:t>
      </w:r>
      <w:r>
        <w:rPr>
          <w:rFonts w:hint="eastAsia"/>
          <w:bCs/>
          <w:szCs w:val="24"/>
          <w:u w:val="single"/>
        </w:rPr>
        <w:t>、总磷</w:t>
      </w:r>
      <w:r>
        <w:rPr>
          <w:bCs/>
          <w:szCs w:val="24"/>
          <w:u w:val="single"/>
        </w:rPr>
        <w:t>对下游浓度影响分布</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156"/>
        <w:gridCol w:w="2156"/>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jc w:val="center"/>
              <w:rPr>
                <w:bCs/>
                <w:kern w:val="0"/>
                <w:sz w:val="21"/>
                <w:szCs w:val="21"/>
                <w:u w:val="single"/>
              </w:rPr>
            </w:pPr>
            <w:r>
              <w:rPr>
                <w:bCs/>
                <w:kern w:val="0"/>
                <w:sz w:val="21"/>
                <w:szCs w:val="21"/>
                <w:u w:val="single"/>
              </w:rPr>
              <w:t>X(距排放口距离，m）</w:t>
            </w:r>
          </w:p>
        </w:tc>
        <w:tc>
          <w:tcPr>
            <w:tcW w:w="2156" w:type="dxa"/>
            <w:vAlign w:val="center"/>
          </w:tcPr>
          <w:p>
            <w:pPr>
              <w:jc w:val="center"/>
              <w:rPr>
                <w:kern w:val="0"/>
                <w:sz w:val="21"/>
                <w:szCs w:val="21"/>
                <w:u w:val="single"/>
              </w:rPr>
            </w:pPr>
            <w:r>
              <w:rPr>
                <w:kern w:val="0"/>
                <w:sz w:val="21"/>
                <w:szCs w:val="21"/>
                <w:u w:val="single"/>
              </w:rPr>
              <w:t>CODcr预测浓度（mg/L)</w:t>
            </w:r>
          </w:p>
        </w:tc>
        <w:tc>
          <w:tcPr>
            <w:tcW w:w="2156" w:type="dxa"/>
            <w:vAlign w:val="center"/>
          </w:tcPr>
          <w:p>
            <w:pPr>
              <w:jc w:val="center"/>
              <w:rPr>
                <w:kern w:val="0"/>
                <w:sz w:val="21"/>
                <w:szCs w:val="21"/>
                <w:u w:val="single"/>
              </w:rPr>
            </w:pPr>
            <w:r>
              <w:rPr>
                <w:kern w:val="0"/>
                <w:sz w:val="21"/>
                <w:szCs w:val="21"/>
                <w:u w:val="single"/>
              </w:rPr>
              <w:t>氨氮预测浓度（mg/L)</w:t>
            </w:r>
          </w:p>
        </w:tc>
        <w:tc>
          <w:tcPr>
            <w:tcW w:w="1911" w:type="dxa"/>
          </w:tcPr>
          <w:p>
            <w:pPr>
              <w:jc w:val="center"/>
              <w:rPr>
                <w:kern w:val="0"/>
                <w:sz w:val="21"/>
                <w:szCs w:val="21"/>
                <w:u w:val="single"/>
              </w:rPr>
            </w:pPr>
            <w:r>
              <w:rPr>
                <w:rFonts w:hint="eastAsia"/>
                <w:kern w:val="0"/>
                <w:sz w:val="21"/>
                <w:szCs w:val="21"/>
                <w:u w:val="single"/>
              </w:rPr>
              <w:t>总磷预测浓度</w:t>
            </w:r>
            <w:r>
              <w:rPr>
                <w:kern w:val="0"/>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0</w:t>
            </w:r>
          </w:p>
        </w:tc>
        <w:tc>
          <w:tcPr>
            <w:tcW w:w="2156" w:type="dxa"/>
            <w:vAlign w:val="center"/>
          </w:tcPr>
          <w:p>
            <w:pPr>
              <w:widowControl/>
              <w:jc w:val="center"/>
              <w:textAlignment w:val="center"/>
              <w:rPr>
                <w:color w:val="000000"/>
                <w:kern w:val="0"/>
                <w:sz w:val="21"/>
                <w:szCs w:val="21"/>
                <w:u w:val="single"/>
              </w:rPr>
            </w:pPr>
            <w:r>
              <w:rPr>
                <w:color w:val="000000"/>
              </w:rPr>
              <w:t xml:space="preserve">10.003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w:t>
            </w:r>
          </w:p>
        </w:tc>
        <w:tc>
          <w:tcPr>
            <w:tcW w:w="2156" w:type="dxa"/>
            <w:vAlign w:val="center"/>
          </w:tcPr>
          <w:p>
            <w:pPr>
              <w:widowControl/>
              <w:jc w:val="center"/>
              <w:textAlignment w:val="center"/>
              <w:rPr>
                <w:color w:val="000000"/>
                <w:kern w:val="0"/>
                <w:sz w:val="21"/>
                <w:szCs w:val="21"/>
                <w:u w:val="single"/>
              </w:rPr>
            </w:pPr>
            <w:r>
              <w:rPr>
                <w:color w:val="000000"/>
              </w:rPr>
              <w:t xml:space="preserve">10.002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w:t>
            </w:r>
          </w:p>
        </w:tc>
        <w:tc>
          <w:tcPr>
            <w:tcW w:w="2156" w:type="dxa"/>
            <w:vAlign w:val="center"/>
          </w:tcPr>
          <w:p>
            <w:pPr>
              <w:widowControl/>
              <w:jc w:val="center"/>
              <w:textAlignment w:val="center"/>
              <w:rPr>
                <w:color w:val="000000"/>
                <w:kern w:val="0"/>
                <w:sz w:val="21"/>
                <w:szCs w:val="21"/>
                <w:u w:val="single"/>
              </w:rPr>
            </w:pPr>
            <w:r>
              <w:rPr>
                <w:color w:val="000000"/>
              </w:rPr>
              <w:t xml:space="preserve">9.999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100</w:t>
            </w:r>
          </w:p>
        </w:tc>
        <w:tc>
          <w:tcPr>
            <w:tcW w:w="2156" w:type="dxa"/>
            <w:vAlign w:val="center"/>
          </w:tcPr>
          <w:p>
            <w:pPr>
              <w:widowControl/>
              <w:jc w:val="center"/>
              <w:textAlignment w:val="center"/>
              <w:rPr>
                <w:color w:val="000000"/>
                <w:kern w:val="0"/>
                <w:sz w:val="21"/>
                <w:szCs w:val="21"/>
                <w:u w:val="single"/>
              </w:rPr>
            </w:pPr>
            <w:r>
              <w:rPr>
                <w:color w:val="000000"/>
              </w:rPr>
              <w:t xml:space="preserve">9.994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200</w:t>
            </w:r>
          </w:p>
        </w:tc>
        <w:tc>
          <w:tcPr>
            <w:tcW w:w="2156" w:type="dxa"/>
            <w:vAlign w:val="center"/>
          </w:tcPr>
          <w:p>
            <w:pPr>
              <w:widowControl/>
              <w:jc w:val="center"/>
              <w:textAlignment w:val="center"/>
              <w:rPr>
                <w:color w:val="000000"/>
                <w:kern w:val="0"/>
                <w:sz w:val="21"/>
                <w:szCs w:val="21"/>
                <w:u w:val="single"/>
              </w:rPr>
            </w:pPr>
            <w:r>
              <w:rPr>
                <w:color w:val="000000"/>
              </w:rPr>
              <w:t xml:space="preserve">9.985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300</w:t>
            </w:r>
          </w:p>
        </w:tc>
        <w:tc>
          <w:tcPr>
            <w:tcW w:w="2156" w:type="dxa"/>
            <w:vAlign w:val="center"/>
          </w:tcPr>
          <w:p>
            <w:pPr>
              <w:widowControl/>
              <w:jc w:val="center"/>
              <w:textAlignment w:val="center"/>
              <w:rPr>
                <w:color w:val="000000"/>
                <w:kern w:val="0"/>
                <w:sz w:val="21"/>
                <w:szCs w:val="21"/>
                <w:u w:val="single"/>
              </w:rPr>
            </w:pPr>
            <w:r>
              <w:rPr>
                <w:color w:val="000000"/>
              </w:rPr>
              <w:t xml:space="preserve">9.976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400</w:t>
            </w:r>
          </w:p>
        </w:tc>
        <w:tc>
          <w:tcPr>
            <w:tcW w:w="2156" w:type="dxa"/>
            <w:vAlign w:val="center"/>
          </w:tcPr>
          <w:p>
            <w:pPr>
              <w:widowControl/>
              <w:jc w:val="center"/>
              <w:textAlignment w:val="center"/>
              <w:rPr>
                <w:color w:val="000000"/>
                <w:kern w:val="0"/>
                <w:sz w:val="21"/>
                <w:szCs w:val="21"/>
                <w:u w:val="single"/>
              </w:rPr>
            </w:pPr>
            <w:r>
              <w:rPr>
                <w:color w:val="000000"/>
              </w:rPr>
              <w:t xml:space="preserve">9.967 </w:t>
            </w:r>
          </w:p>
        </w:tc>
        <w:tc>
          <w:tcPr>
            <w:tcW w:w="2156" w:type="dxa"/>
            <w:vAlign w:val="center"/>
          </w:tcPr>
          <w:p>
            <w:pPr>
              <w:widowControl/>
              <w:jc w:val="center"/>
              <w:textAlignment w:val="center"/>
              <w:rPr>
                <w:color w:val="000000"/>
                <w:kern w:val="0"/>
                <w:sz w:val="21"/>
                <w:szCs w:val="21"/>
                <w:u w:val="single"/>
              </w:rPr>
            </w:pPr>
            <w:r>
              <w:rPr>
                <w:color w:val="000000"/>
              </w:rPr>
              <w:t xml:space="preserve">0.335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500</w:t>
            </w:r>
          </w:p>
        </w:tc>
        <w:tc>
          <w:tcPr>
            <w:tcW w:w="2156" w:type="dxa"/>
            <w:vAlign w:val="center"/>
          </w:tcPr>
          <w:p>
            <w:pPr>
              <w:widowControl/>
              <w:jc w:val="center"/>
              <w:textAlignment w:val="center"/>
              <w:rPr>
                <w:color w:val="000000"/>
                <w:kern w:val="0"/>
                <w:sz w:val="21"/>
                <w:szCs w:val="21"/>
                <w:u w:val="single"/>
              </w:rPr>
            </w:pPr>
            <w:r>
              <w:rPr>
                <w:color w:val="000000"/>
              </w:rPr>
              <w:t xml:space="preserve">9.958 </w:t>
            </w:r>
          </w:p>
        </w:tc>
        <w:tc>
          <w:tcPr>
            <w:tcW w:w="2156" w:type="dxa"/>
            <w:vAlign w:val="center"/>
          </w:tcPr>
          <w:p>
            <w:pPr>
              <w:widowControl/>
              <w:jc w:val="center"/>
              <w:textAlignment w:val="center"/>
              <w:rPr>
                <w:color w:val="000000"/>
                <w:kern w:val="0"/>
                <w:sz w:val="21"/>
                <w:szCs w:val="21"/>
                <w:u w:val="single"/>
              </w:rPr>
            </w:pPr>
            <w:r>
              <w:rPr>
                <w:color w:val="000000"/>
              </w:rPr>
              <w:t xml:space="preserve">0.335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600</w:t>
            </w:r>
          </w:p>
        </w:tc>
        <w:tc>
          <w:tcPr>
            <w:tcW w:w="2156" w:type="dxa"/>
            <w:vAlign w:val="center"/>
          </w:tcPr>
          <w:p>
            <w:pPr>
              <w:widowControl/>
              <w:jc w:val="center"/>
              <w:textAlignment w:val="center"/>
              <w:rPr>
                <w:color w:val="000000"/>
                <w:kern w:val="0"/>
                <w:sz w:val="21"/>
                <w:szCs w:val="21"/>
                <w:u w:val="single"/>
                <w:lang w:bidi="ar"/>
              </w:rPr>
            </w:pPr>
            <w:r>
              <w:rPr>
                <w:color w:val="000000"/>
              </w:rPr>
              <w:t xml:space="preserve">9.949 </w:t>
            </w:r>
          </w:p>
        </w:tc>
        <w:tc>
          <w:tcPr>
            <w:tcW w:w="2156" w:type="dxa"/>
            <w:vAlign w:val="center"/>
          </w:tcPr>
          <w:p>
            <w:pPr>
              <w:widowControl/>
              <w:jc w:val="center"/>
              <w:textAlignment w:val="center"/>
              <w:rPr>
                <w:color w:val="000000"/>
                <w:kern w:val="0"/>
                <w:sz w:val="21"/>
                <w:szCs w:val="21"/>
                <w:u w:val="single"/>
                <w:lang w:bidi="ar"/>
              </w:rPr>
            </w:pPr>
            <w:r>
              <w:rPr>
                <w:color w:val="000000"/>
              </w:rPr>
              <w:t xml:space="preserve">0.335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rFonts w:hint="eastAsia"/>
                <w:color w:val="000000"/>
                <w:kern w:val="0"/>
                <w:sz w:val="21"/>
                <w:szCs w:val="21"/>
                <w:u w:val="single"/>
              </w:rPr>
              <w:t>700</w:t>
            </w:r>
          </w:p>
        </w:tc>
        <w:tc>
          <w:tcPr>
            <w:tcW w:w="2156" w:type="dxa"/>
            <w:vAlign w:val="center"/>
          </w:tcPr>
          <w:p>
            <w:pPr>
              <w:widowControl/>
              <w:jc w:val="center"/>
              <w:textAlignment w:val="center"/>
              <w:rPr>
                <w:color w:val="000000"/>
                <w:kern w:val="0"/>
                <w:sz w:val="21"/>
                <w:szCs w:val="21"/>
                <w:u w:val="single"/>
              </w:rPr>
            </w:pPr>
            <w:r>
              <w:rPr>
                <w:color w:val="000000"/>
              </w:rPr>
              <w:t xml:space="preserve">9.940 </w:t>
            </w:r>
          </w:p>
        </w:tc>
        <w:tc>
          <w:tcPr>
            <w:tcW w:w="2156" w:type="dxa"/>
            <w:vAlign w:val="center"/>
          </w:tcPr>
          <w:p>
            <w:pPr>
              <w:widowControl/>
              <w:jc w:val="center"/>
              <w:textAlignment w:val="center"/>
              <w:rPr>
                <w:color w:val="000000"/>
                <w:kern w:val="0"/>
                <w:sz w:val="21"/>
                <w:szCs w:val="21"/>
                <w:u w:val="single"/>
              </w:rPr>
            </w:pPr>
            <w:r>
              <w:rPr>
                <w:color w:val="000000"/>
              </w:rPr>
              <w:t xml:space="preserve">0.335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800</w:t>
            </w:r>
          </w:p>
        </w:tc>
        <w:tc>
          <w:tcPr>
            <w:tcW w:w="2156" w:type="dxa"/>
            <w:vAlign w:val="center"/>
          </w:tcPr>
          <w:p>
            <w:pPr>
              <w:widowControl/>
              <w:jc w:val="center"/>
              <w:textAlignment w:val="center"/>
              <w:rPr>
                <w:color w:val="000000"/>
                <w:kern w:val="0"/>
                <w:sz w:val="21"/>
                <w:szCs w:val="21"/>
                <w:u w:val="single"/>
              </w:rPr>
            </w:pPr>
            <w:r>
              <w:rPr>
                <w:color w:val="000000"/>
              </w:rPr>
              <w:t xml:space="preserve">9.931 </w:t>
            </w:r>
          </w:p>
        </w:tc>
        <w:tc>
          <w:tcPr>
            <w:tcW w:w="2156" w:type="dxa"/>
            <w:vAlign w:val="center"/>
          </w:tcPr>
          <w:p>
            <w:pPr>
              <w:widowControl/>
              <w:jc w:val="center"/>
              <w:textAlignment w:val="center"/>
              <w:rPr>
                <w:color w:val="000000"/>
                <w:kern w:val="0"/>
                <w:sz w:val="21"/>
                <w:szCs w:val="21"/>
                <w:u w:val="single"/>
              </w:rPr>
            </w:pPr>
            <w:r>
              <w:rPr>
                <w:color w:val="000000"/>
              </w:rPr>
              <w:t xml:space="preserve">0.334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900</w:t>
            </w:r>
          </w:p>
        </w:tc>
        <w:tc>
          <w:tcPr>
            <w:tcW w:w="2156" w:type="dxa"/>
            <w:vAlign w:val="center"/>
          </w:tcPr>
          <w:p>
            <w:pPr>
              <w:widowControl/>
              <w:jc w:val="center"/>
              <w:textAlignment w:val="center"/>
              <w:rPr>
                <w:color w:val="000000"/>
                <w:kern w:val="0"/>
                <w:sz w:val="21"/>
                <w:szCs w:val="21"/>
                <w:u w:val="single"/>
              </w:rPr>
            </w:pPr>
            <w:r>
              <w:rPr>
                <w:color w:val="000000"/>
              </w:rPr>
              <w:t xml:space="preserve">9.922 </w:t>
            </w:r>
          </w:p>
        </w:tc>
        <w:tc>
          <w:tcPr>
            <w:tcW w:w="2156" w:type="dxa"/>
            <w:vAlign w:val="center"/>
          </w:tcPr>
          <w:p>
            <w:pPr>
              <w:widowControl/>
              <w:jc w:val="center"/>
              <w:textAlignment w:val="center"/>
              <w:rPr>
                <w:color w:val="000000"/>
                <w:kern w:val="0"/>
                <w:sz w:val="21"/>
                <w:szCs w:val="21"/>
                <w:u w:val="single"/>
              </w:rPr>
            </w:pPr>
            <w:r>
              <w:rPr>
                <w:color w:val="000000"/>
              </w:rPr>
              <w:t xml:space="preserve">0.334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1000</w:t>
            </w:r>
          </w:p>
        </w:tc>
        <w:tc>
          <w:tcPr>
            <w:tcW w:w="2156" w:type="dxa"/>
            <w:vAlign w:val="center"/>
          </w:tcPr>
          <w:p>
            <w:pPr>
              <w:widowControl/>
              <w:jc w:val="center"/>
              <w:textAlignment w:val="center"/>
              <w:rPr>
                <w:color w:val="000000"/>
                <w:kern w:val="0"/>
                <w:sz w:val="21"/>
                <w:szCs w:val="21"/>
                <w:u w:val="single"/>
              </w:rPr>
            </w:pPr>
            <w:r>
              <w:rPr>
                <w:color w:val="000000"/>
              </w:rPr>
              <w:t xml:space="preserve">9.913 </w:t>
            </w:r>
          </w:p>
        </w:tc>
        <w:tc>
          <w:tcPr>
            <w:tcW w:w="2156" w:type="dxa"/>
            <w:vAlign w:val="center"/>
          </w:tcPr>
          <w:p>
            <w:pPr>
              <w:widowControl/>
              <w:jc w:val="center"/>
              <w:textAlignment w:val="center"/>
              <w:rPr>
                <w:color w:val="000000"/>
                <w:kern w:val="0"/>
                <w:sz w:val="21"/>
                <w:szCs w:val="21"/>
                <w:u w:val="single"/>
              </w:rPr>
            </w:pPr>
            <w:r>
              <w:rPr>
                <w:color w:val="000000"/>
              </w:rPr>
              <w:t xml:space="preserve">0.334 </w:t>
            </w:r>
          </w:p>
        </w:tc>
        <w:tc>
          <w:tcPr>
            <w:tcW w:w="1911" w:type="dxa"/>
            <w:vAlign w:val="center"/>
          </w:tcPr>
          <w:p>
            <w:pPr>
              <w:widowControl/>
              <w:jc w:val="center"/>
              <w:textAlignment w:val="center"/>
              <w:rPr>
                <w:color w:val="000000"/>
                <w:kern w:val="0"/>
                <w:u w:val="single"/>
              </w:rPr>
            </w:pPr>
            <w:r>
              <w:rPr>
                <w:color w:val="000000"/>
              </w:rPr>
              <w:t xml:space="preserve">0.060 </w:t>
            </w:r>
          </w:p>
        </w:tc>
      </w:tr>
    </w:tbl>
    <w:p>
      <w:pPr>
        <w:pStyle w:val="38"/>
        <w:rPr>
          <w:u w:val="single"/>
        </w:rPr>
      </w:pPr>
      <w:r>
        <w:rPr>
          <w:rFonts w:hint="eastAsia"/>
          <w:u w:val="single"/>
        </w:rPr>
        <w:t>表6.2-2  远期</w:t>
      </w:r>
      <w:r>
        <w:rPr>
          <w:u w:val="single"/>
        </w:rPr>
        <w:t>正常排放CODcr、氨氮</w:t>
      </w:r>
      <w:r>
        <w:rPr>
          <w:rFonts w:hint="eastAsia"/>
          <w:u w:val="single"/>
        </w:rPr>
        <w:t>、总磷</w:t>
      </w:r>
      <w:r>
        <w:rPr>
          <w:u w:val="single"/>
        </w:rPr>
        <w:t>对下游浓度影响分布</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156"/>
        <w:gridCol w:w="2156"/>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jc w:val="center"/>
              <w:rPr>
                <w:bCs/>
                <w:kern w:val="0"/>
                <w:sz w:val="21"/>
                <w:szCs w:val="21"/>
                <w:u w:val="single"/>
              </w:rPr>
            </w:pPr>
            <w:r>
              <w:rPr>
                <w:bCs/>
                <w:kern w:val="0"/>
                <w:sz w:val="21"/>
                <w:szCs w:val="21"/>
                <w:u w:val="single"/>
              </w:rPr>
              <w:t>X(距排放口距离，m）</w:t>
            </w:r>
          </w:p>
        </w:tc>
        <w:tc>
          <w:tcPr>
            <w:tcW w:w="2156" w:type="dxa"/>
            <w:vAlign w:val="center"/>
          </w:tcPr>
          <w:p>
            <w:pPr>
              <w:jc w:val="center"/>
              <w:rPr>
                <w:kern w:val="0"/>
                <w:sz w:val="21"/>
                <w:szCs w:val="21"/>
                <w:u w:val="single"/>
              </w:rPr>
            </w:pPr>
            <w:r>
              <w:rPr>
                <w:kern w:val="0"/>
                <w:sz w:val="21"/>
                <w:szCs w:val="21"/>
                <w:u w:val="single"/>
              </w:rPr>
              <w:t>CODcr预测浓度（mg/L)</w:t>
            </w:r>
          </w:p>
        </w:tc>
        <w:tc>
          <w:tcPr>
            <w:tcW w:w="2156" w:type="dxa"/>
            <w:vAlign w:val="center"/>
          </w:tcPr>
          <w:p>
            <w:pPr>
              <w:jc w:val="center"/>
              <w:rPr>
                <w:kern w:val="0"/>
                <w:sz w:val="21"/>
                <w:szCs w:val="21"/>
                <w:u w:val="single"/>
              </w:rPr>
            </w:pPr>
            <w:r>
              <w:rPr>
                <w:kern w:val="0"/>
                <w:sz w:val="21"/>
                <w:szCs w:val="21"/>
                <w:u w:val="single"/>
              </w:rPr>
              <w:t>氨氮预测浓度（mg/L)</w:t>
            </w:r>
          </w:p>
        </w:tc>
        <w:tc>
          <w:tcPr>
            <w:tcW w:w="1911" w:type="dxa"/>
          </w:tcPr>
          <w:p>
            <w:pPr>
              <w:jc w:val="center"/>
              <w:rPr>
                <w:kern w:val="0"/>
                <w:sz w:val="21"/>
                <w:szCs w:val="21"/>
                <w:u w:val="single"/>
              </w:rPr>
            </w:pPr>
            <w:r>
              <w:rPr>
                <w:rFonts w:hint="eastAsia"/>
                <w:kern w:val="0"/>
                <w:sz w:val="21"/>
                <w:szCs w:val="21"/>
                <w:u w:val="single"/>
              </w:rPr>
              <w:t>总磷预测浓度</w:t>
            </w:r>
            <w:r>
              <w:rPr>
                <w:kern w:val="0"/>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0</w:t>
            </w:r>
          </w:p>
        </w:tc>
        <w:tc>
          <w:tcPr>
            <w:tcW w:w="2156" w:type="dxa"/>
            <w:vAlign w:val="center"/>
          </w:tcPr>
          <w:p>
            <w:pPr>
              <w:widowControl/>
              <w:jc w:val="center"/>
              <w:textAlignment w:val="center"/>
              <w:rPr>
                <w:color w:val="000000"/>
                <w:kern w:val="0"/>
                <w:sz w:val="21"/>
                <w:szCs w:val="21"/>
                <w:u w:val="single"/>
              </w:rPr>
            </w:pPr>
            <w:r>
              <w:rPr>
                <w:color w:val="000000"/>
              </w:rPr>
              <w:t xml:space="preserve">10.019 </w:t>
            </w:r>
          </w:p>
        </w:tc>
        <w:tc>
          <w:tcPr>
            <w:tcW w:w="2156" w:type="dxa"/>
            <w:vAlign w:val="center"/>
          </w:tcPr>
          <w:p>
            <w:pPr>
              <w:widowControl/>
              <w:jc w:val="center"/>
              <w:textAlignment w:val="center"/>
              <w:rPr>
                <w:color w:val="000000"/>
                <w:kern w:val="0"/>
                <w:sz w:val="21"/>
                <w:szCs w:val="21"/>
                <w:u w:val="single"/>
              </w:rPr>
            </w:pPr>
            <w:r>
              <w:rPr>
                <w:color w:val="000000"/>
              </w:rPr>
              <w:t xml:space="preserve">0.339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w:t>
            </w:r>
          </w:p>
        </w:tc>
        <w:tc>
          <w:tcPr>
            <w:tcW w:w="2156" w:type="dxa"/>
            <w:vAlign w:val="center"/>
          </w:tcPr>
          <w:p>
            <w:pPr>
              <w:widowControl/>
              <w:jc w:val="center"/>
              <w:textAlignment w:val="center"/>
              <w:rPr>
                <w:color w:val="000000"/>
                <w:kern w:val="0"/>
                <w:sz w:val="21"/>
                <w:szCs w:val="21"/>
                <w:u w:val="single"/>
              </w:rPr>
            </w:pPr>
            <w:r>
              <w:rPr>
                <w:color w:val="000000"/>
              </w:rPr>
              <w:t xml:space="preserve">10.018 </w:t>
            </w:r>
          </w:p>
        </w:tc>
        <w:tc>
          <w:tcPr>
            <w:tcW w:w="2156" w:type="dxa"/>
            <w:vAlign w:val="center"/>
          </w:tcPr>
          <w:p>
            <w:pPr>
              <w:widowControl/>
              <w:jc w:val="center"/>
              <w:textAlignment w:val="center"/>
              <w:rPr>
                <w:color w:val="000000"/>
                <w:kern w:val="0"/>
                <w:sz w:val="21"/>
                <w:szCs w:val="21"/>
                <w:u w:val="single"/>
              </w:rPr>
            </w:pPr>
            <w:r>
              <w:rPr>
                <w:color w:val="000000"/>
              </w:rPr>
              <w:t xml:space="preserve">0.339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w:t>
            </w:r>
          </w:p>
        </w:tc>
        <w:tc>
          <w:tcPr>
            <w:tcW w:w="2156" w:type="dxa"/>
            <w:vAlign w:val="center"/>
          </w:tcPr>
          <w:p>
            <w:pPr>
              <w:widowControl/>
              <w:jc w:val="center"/>
              <w:textAlignment w:val="center"/>
              <w:rPr>
                <w:color w:val="000000"/>
                <w:kern w:val="0"/>
                <w:sz w:val="21"/>
                <w:szCs w:val="21"/>
                <w:u w:val="single"/>
              </w:rPr>
            </w:pPr>
            <w:r>
              <w:rPr>
                <w:color w:val="000000"/>
              </w:rPr>
              <w:t xml:space="preserve">10.014 </w:t>
            </w:r>
          </w:p>
        </w:tc>
        <w:tc>
          <w:tcPr>
            <w:tcW w:w="2156" w:type="dxa"/>
            <w:vAlign w:val="center"/>
          </w:tcPr>
          <w:p>
            <w:pPr>
              <w:widowControl/>
              <w:jc w:val="center"/>
              <w:textAlignment w:val="center"/>
              <w:rPr>
                <w:color w:val="000000"/>
                <w:kern w:val="0"/>
                <w:sz w:val="21"/>
                <w:szCs w:val="21"/>
                <w:u w:val="single"/>
              </w:rPr>
            </w:pPr>
            <w:r>
              <w:rPr>
                <w:color w:val="000000"/>
              </w:rPr>
              <w:t xml:space="preserve">0.339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100</w:t>
            </w:r>
          </w:p>
        </w:tc>
        <w:tc>
          <w:tcPr>
            <w:tcW w:w="2156" w:type="dxa"/>
            <w:vAlign w:val="center"/>
          </w:tcPr>
          <w:p>
            <w:pPr>
              <w:widowControl/>
              <w:jc w:val="center"/>
              <w:textAlignment w:val="center"/>
              <w:rPr>
                <w:color w:val="000000"/>
                <w:kern w:val="0"/>
                <w:sz w:val="21"/>
                <w:szCs w:val="21"/>
                <w:u w:val="single"/>
              </w:rPr>
            </w:pPr>
            <w:r>
              <w:rPr>
                <w:color w:val="000000"/>
              </w:rPr>
              <w:t xml:space="preserve">10.010 </w:t>
            </w:r>
          </w:p>
        </w:tc>
        <w:tc>
          <w:tcPr>
            <w:tcW w:w="2156" w:type="dxa"/>
            <w:vAlign w:val="center"/>
          </w:tcPr>
          <w:p>
            <w:pPr>
              <w:widowControl/>
              <w:jc w:val="center"/>
              <w:textAlignment w:val="center"/>
              <w:rPr>
                <w:color w:val="000000"/>
                <w:kern w:val="0"/>
                <w:sz w:val="21"/>
                <w:szCs w:val="21"/>
                <w:u w:val="single"/>
              </w:rPr>
            </w:pPr>
            <w:r>
              <w:rPr>
                <w:color w:val="000000"/>
              </w:rPr>
              <w:t xml:space="preserve">0.339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200</w:t>
            </w:r>
          </w:p>
        </w:tc>
        <w:tc>
          <w:tcPr>
            <w:tcW w:w="2156" w:type="dxa"/>
            <w:vAlign w:val="center"/>
          </w:tcPr>
          <w:p>
            <w:pPr>
              <w:widowControl/>
              <w:jc w:val="center"/>
              <w:textAlignment w:val="center"/>
              <w:rPr>
                <w:color w:val="000000"/>
                <w:kern w:val="0"/>
                <w:sz w:val="21"/>
                <w:szCs w:val="21"/>
                <w:u w:val="single"/>
              </w:rPr>
            </w:pPr>
            <w:r>
              <w:rPr>
                <w:color w:val="000000"/>
              </w:rPr>
              <w:t xml:space="preserve">10.001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300</w:t>
            </w:r>
          </w:p>
        </w:tc>
        <w:tc>
          <w:tcPr>
            <w:tcW w:w="2156" w:type="dxa"/>
            <w:vAlign w:val="center"/>
          </w:tcPr>
          <w:p>
            <w:pPr>
              <w:widowControl/>
              <w:jc w:val="center"/>
              <w:textAlignment w:val="center"/>
              <w:rPr>
                <w:color w:val="000000"/>
                <w:kern w:val="0"/>
                <w:sz w:val="21"/>
                <w:szCs w:val="21"/>
                <w:u w:val="single"/>
              </w:rPr>
            </w:pPr>
            <w:r>
              <w:rPr>
                <w:color w:val="000000"/>
              </w:rPr>
              <w:t xml:space="preserve">9.992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400</w:t>
            </w:r>
          </w:p>
        </w:tc>
        <w:tc>
          <w:tcPr>
            <w:tcW w:w="2156" w:type="dxa"/>
            <w:vAlign w:val="center"/>
          </w:tcPr>
          <w:p>
            <w:pPr>
              <w:widowControl/>
              <w:jc w:val="center"/>
              <w:textAlignment w:val="center"/>
              <w:rPr>
                <w:color w:val="000000"/>
                <w:kern w:val="0"/>
                <w:sz w:val="21"/>
                <w:szCs w:val="21"/>
                <w:u w:val="single"/>
              </w:rPr>
            </w:pPr>
            <w:r>
              <w:rPr>
                <w:color w:val="000000"/>
              </w:rPr>
              <w:t xml:space="preserve">9.983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500</w:t>
            </w:r>
          </w:p>
        </w:tc>
        <w:tc>
          <w:tcPr>
            <w:tcW w:w="2156" w:type="dxa"/>
            <w:vAlign w:val="center"/>
          </w:tcPr>
          <w:p>
            <w:pPr>
              <w:widowControl/>
              <w:jc w:val="center"/>
              <w:textAlignment w:val="center"/>
              <w:rPr>
                <w:color w:val="000000"/>
                <w:kern w:val="0"/>
                <w:sz w:val="21"/>
                <w:szCs w:val="21"/>
                <w:u w:val="single"/>
              </w:rPr>
            </w:pPr>
            <w:r>
              <w:rPr>
                <w:color w:val="000000"/>
              </w:rPr>
              <w:t xml:space="preserve">9.974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600</w:t>
            </w:r>
          </w:p>
        </w:tc>
        <w:tc>
          <w:tcPr>
            <w:tcW w:w="2156" w:type="dxa"/>
            <w:vAlign w:val="center"/>
          </w:tcPr>
          <w:p>
            <w:pPr>
              <w:widowControl/>
              <w:jc w:val="center"/>
              <w:textAlignment w:val="center"/>
              <w:rPr>
                <w:color w:val="000000"/>
                <w:kern w:val="0"/>
                <w:sz w:val="21"/>
                <w:szCs w:val="21"/>
                <w:u w:val="single"/>
                <w:lang w:bidi="ar"/>
              </w:rPr>
            </w:pPr>
            <w:r>
              <w:rPr>
                <w:color w:val="000000"/>
              </w:rPr>
              <w:t xml:space="preserve">9.965 </w:t>
            </w:r>
          </w:p>
        </w:tc>
        <w:tc>
          <w:tcPr>
            <w:tcW w:w="2156" w:type="dxa"/>
            <w:vAlign w:val="center"/>
          </w:tcPr>
          <w:p>
            <w:pPr>
              <w:widowControl/>
              <w:jc w:val="center"/>
              <w:textAlignment w:val="center"/>
              <w:rPr>
                <w:color w:val="000000"/>
                <w:kern w:val="0"/>
                <w:sz w:val="21"/>
                <w:szCs w:val="21"/>
                <w:u w:val="single"/>
                <w:lang w:bidi="ar"/>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rFonts w:hint="eastAsia"/>
                <w:color w:val="000000"/>
                <w:kern w:val="0"/>
                <w:sz w:val="21"/>
                <w:szCs w:val="21"/>
                <w:u w:val="single"/>
              </w:rPr>
              <w:t>700</w:t>
            </w:r>
          </w:p>
        </w:tc>
        <w:tc>
          <w:tcPr>
            <w:tcW w:w="2156" w:type="dxa"/>
            <w:vAlign w:val="center"/>
          </w:tcPr>
          <w:p>
            <w:pPr>
              <w:widowControl/>
              <w:jc w:val="center"/>
              <w:textAlignment w:val="center"/>
              <w:rPr>
                <w:color w:val="000000"/>
                <w:kern w:val="0"/>
                <w:sz w:val="21"/>
                <w:szCs w:val="21"/>
                <w:u w:val="single"/>
              </w:rPr>
            </w:pPr>
            <w:r>
              <w:rPr>
                <w:color w:val="000000"/>
              </w:rPr>
              <w:t xml:space="preserve">9.956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800</w:t>
            </w:r>
          </w:p>
        </w:tc>
        <w:tc>
          <w:tcPr>
            <w:tcW w:w="2156" w:type="dxa"/>
            <w:vAlign w:val="center"/>
          </w:tcPr>
          <w:p>
            <w:pPr>
              <w:widowControl/>
              <w:jc w:val="center"/>
              <w:textAlignment w:val="center"/>
              <w:rPr>
                <w:color w:val="000000"/>
                <w:kern w:val="0"/>
                <w:sz w:val="21"/>
                <w:szCs w:val="21"/>
                <w:u w:val="single"/>
              </w:rPr>
            </w:pPr>
            <w:r>
              <w:rPr>
                <w:color w:val="000000"/>
              </w:rPr>
              <w:t xml:space="preserve">9.947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900</w:t>
            </w:r>
          </w:p>
        </w:tc>
        <w:tc>
          <w:tcPr>
            <w:tcW w:w="2156" w:type="dxa"/>
            <w:vAlign w:val="center"/>
          </w:tcPr>
          <w:p>
            <w:pPr>
              <w:widowControl/>
              <w:jc w:val="center"/>
              <w:textAlignment w:val="center"/>
              <w:rPr>
                <w:color w:val="000000"/>
                <w:kern w:val="0"/>
                <w:sz w:val="21"/>
                <w:szCs w:val="21"/>
                <w:u w:val="single"/>
              </w:rPr>
            </w:pPr>
            <w:r>
              <w:rPr>
                <w:color w:val="000000"/>
              </w:rPr>
              <w:t xml:space="preserve">9.938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1000</w:t>
            </w:r>
          </w:p>
        </w:tc>
        <w:tc>
          <w:tcPr>
            <w:tcW w:w="2156" w:type="dxa"/>
            <w:vAlign w:val="center"/>
          </w:tcPr>
          <w:p>
            <w:pPr>
              <w:widowControl/>
              <w:jc w:val="center"/>
              <w:textAlignment w:val="center"/>
              <w:rPr>
                <w:color w:val="000000"/>
                <w:kern w:val="0"/>
                <w:sz w:val="21"/>
                <w:szCs w:val="21"/>
                <w:u w:val="single"/>
              </w:rPr>
            </w:pPr>
            <w:r>
              <w:rPr>
                <w:color w:val="000000"/>
              </w:rPr>
              <w:t xml:space="preserve">9.929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bl>
    <w:p>
      <w:pPr>
        <w:pStyle w:val="27"/>
        <w:ind w:firstLine="480"/>
        <w:rPr>
          <w:szCs w:val="24"/>
          <w:u w:val="single"/>
        </w:rPr>
      </w:pPr>
      <w:r>
        <w:rPr>
          <w:rFonts w:hint="eastAsia"/>
          <w:szCs w:val="24"/>
          <w:u w:val="single"/>
        </w:rPr>
        <w:t>（1）近期正常工况下：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10.002</w:t>
      </w:r>
      <w:r>
        <w:rPr>
          <w:szCs w:val="24"/>
          <w:u w:val="single"/>
        </w:rPr>
        <w:t>mg/L，氨氮最大浓度为</w:t>
      </w:r>
      <w:r>
        <w:rPr>
          <w:rFonts w:hint="eastAsia"/>
          <w:szCs w:val="24"/>
          <w:u w:val="single"/>
        </w:rPr>
        <w:t>0.336</w:t>
      </w:r>
      <w:r>
        <w:rPr>
          <w:szCs w:val="24"/>
          <w:u w:val="single"/>
        </w:rPr>
        <w:t>mg/L</w:t>
      </w:r>
      <w:r>
        <w:rPr>
          <w:rFonts w:hint="eastAsia"/>
          <w:szCs w:val="24"/>
          <w:u w:val="single"/>
        </w:rPr>
        <w:t>，总磷最大浓度0.060mg/L，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rPr>
          <w:szCs w:val="24"/>
          <w:u w:val="single"/>
        </w:rPr>
      </w:pPr>
      <w:r>
        <w:rPr>
          <w:rFonts w:hint="eastAsia"/>
          <w:szCs w:val="24"/>
          <w:u w:val="single"/>
        </w:rPr>
        <w:t>COD在下游50m处削减到9.999mg/L，恢复到上游来水浓度水平，其影响范围为50m；氨氮不考虑衰减，完全混合浓度0.336mg/L，正常工况下氨氮排放对祁水几乎无影响；正常工况下总磷不考虑衰减，完全混合浓度0.060mg/L，正常工况下总磷排放对祁水几乎无影响。</w:t>
      </w:r>
    </w:p>
    <w:p>
      <w:pPr>
        <w:pStyle w:val="27"/>
        <w:ind w:firstLine="480"/>
        <w:rPr>
          <w:szCs w:val="24"/>
          <w:u w:val="single"/>
        </w:rPr>
      </w:pPr>
      <w:r>
        <w:rPr>
          <w:rFonts w:hint="eastAsia"/>
          <w:szCs w:val="24"/>
          <w:u w:val="single"/>
        </w:rPr>
        <w:t>（2）远期正常工况下：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10.018</w:t>
      </w:r>
      <w:r>
        <w:rPr>
          <w:szCs w:val="24"/>
          <w:u w:val="single"/>
        </w:rPr>
        <w:t>mg/L，氨氮最大浓度为</w:t>
      </w:r>
      <w:r>
        <w:rPr>
          <w:rFonts w:hint="eastAsia"/>
          <w:szCs w:val="24"/>
          <w:u w:val="single"/>
        </w:rPr>
        <w:t>0.339</w:t>
      </w:r>
      <w:r>
        <w:rPr>
          <w:szCs w:val="24"/>
          <w:u w:val="single"/>
        </w:rPr>
        <w:t>mg/L</w:t>
      </w:r>
      <w:r>
        <w:rPr>
          <w:rFonts w:hint="eastAsia"/>
          <w:szCs w:val="24"/>
          <w:u w:val="single"/>
        </w:rPr>
        <w:t>，总磷最大浓度0.060mg/L，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pPr>
      <w:r>
        <w:rPr>
          <w:rFonts w:hint="eastAsia"/>
          <w:szCs w:val="24"/>
          <w:u w:val="single"/>
        </w:rPr>
        <w:t>COD在下游300m处削减到9.992mg/L，恢复到上游来水浓度水平，其影响范围为300m；氨氮在下游1000m处削减到0.336mg/L，恢复到上游来水浓度水平，其影响范围为1000m；正常工况下总磷不考虑衰减，完全混合浓度0.060mg/L，正常工况下总磷排放对祁水几乎无影响。</w:t>
      </w:r>
    </w:p>
    <w:p>
      <w:pPr>
        <w:pStyle w:val="35"/>
      </w:pPr>
      <w:bookmarkStart w:id="87" w:name="_Toc161250491"/>
      <w:r>
        <w:rPr>
          <w:rFonts w:hint="eastAsia"/>
        </w:rPr>
        <w:t>6</w:t>
      </w:r>
      <w:r>
        <w:t>.2.2</w:t>
      </w:r>
      <w:r>
        <w:rPr>
          <w:rFonts w:hint="eastAsia"/>
        </w:rPr>
        <w:t>非正常排放情况预测</w:t>
      </w:r>
      <w:bookmarkEnd w:id="87"/>
    </w:p>
    <w:p>
      <w:pPr>
        <w:pStyle w:val="27"/>
        <w:ind w:firstLine="480"/>
      </w:pPr>
      <w:r>
        <w:rPr>
          <w:rFonts w:hint="eastAsia"/>
          <w:u w:val="single"/>
        </w:rPr>
        <w:t>在非正常排放情况下，凤歧坪乡污水处理工程入河排污口下游河段污染物预测结果如下表。</w:t>
      </w:r>
    </w:p>
    <w:p>
      <w:pPr>
        <w:pStyle w:val="38"/>
      </w:pPr>
      <w:r>
        <w:rPr>
          <w:rFonts w:hint="eastAsia"/>
        </w:rPr>
        <w:t xml:space="preserve">表6.2-3  </w:t>
      </w:r>
      <w:r>
        <w:rPr>
          <w:rFonts w:hint="eastAsia"/>
          <w:u w:val="single"/>
        </w:rPr>
        <w:t>近期非正常排放CODcr、氨氮对下游浓度影响分布</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156"/>
        <w:gridCol w:w="2156"/>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jc w:val="center"/>
              <w:rPr>
                <w:bCs/>
                <w:kern w:val="0"/>
                <w:sz w:val="21"/>
                <w:szCs w:val="21"/>
                <w:u w:val="single"/>
              </w:rPr>
            </w:pPr>
            <w:r>
              <w:rPr>
                <w:bCs/>
                <w:kern w:val="0"/>
                <w:sz w:val="21"/>
                <w:szCs w:val="21"/>
                <w:u w:val="single"/>
              </w:rPr>
              <w:t>X(距排放口距离，m）</w:t>
            </w:r>
          </w:p>
        </w:tc>
        <w:tc>
          <w:tcPr>
            <w:tcW w:w="2156" w:type="dxa"/>
            <w:vAlign w:val="center"/>
          </w:tcPr>
          <w:p>
            <w:pPr>
              <w:jc w:val="center"/>
              <w:rPr>
                <w:kern w:val="0"/>
                <w:sz w:val="21"/>
                <w:szCs w:val="21"/>
                <w:u w:val="single"/>
              </w:rPr>
            </w:pPr>
            <w:r>
              <w:rPr>
                <w:kern w:val="0"/>
                <w:sz w:val="21"/>
                <w:szCs w:val="21"/>
                <w:u w:val="single"/>
              </w:rPr>
              <w:t>CODcr预测浓度（mg/L)</w:t>
            </w:r>
          </w:p>
        </w:tc>
        <w:tc>
          <w:tcPr>
            <w:tcW w:w="2156" w:type="dxa"/>
            <w:vAlign w:val="center"/>
          </w:tcPr>
          <w:p>
            <w:pPr>
              <w:jc w:val="center"/>
              <w:rPr>
                <w:kern w:val="0"/>
                <w:sz w:val="21"/>
                <w:szCs w:val="21"/>
                <w:u w:val="single"/>
              </w:rPr>
            </w:pPr>
            <w:r>
              <w:rPr>
                <w:kern w:val="0"/>
                <w:sz w:val="21"/>
                <w:szCs w:val="21"/>
                <w:u w:val="single"/>
              </w:rPr>
              <w:t>氨氮预测浓度（mg/L)</w:t>
            </w:r>
          </w:p>
        </w:tc>
        <w:tc>
          <w:tcPr>
            <w:tcW w:w="1911" w:type="dxa"/>
          </w:tcPr>
          <w:p>
            <w:pPr>
              <w:jc w:val="center"/>
              <w:rPr>
                <w:kern w:val="0"/>
                <w:sz w:val="21"/>
                <w:szCs w:val="21"/>
                <w:u w:val="single"/>
              </w:rPr>
            </w:pPr>
            <w:r>
              <w:rPr>
                <w:rFonts w:hint="eastAsia"/>
                <w:kern w:val="0"/>
                <w:sz w:val="21"/>
                <w:szCs w:val="21"/>
                <w:u w:val="single"/>
              </w:rPr>
              <w:t>总磷预测浓度</w:t>
            </w:r>
            <w:r>
              <w:rPr>
                <w:kern w:val="0"/>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0</w:t>
            </w:r>
          </w:p>
        </w:tc>
        <w:tc>
          <w:tcPr>
            <w:tcW w:w="2156" w:type="dxa"/>
            <w:vAlign w:val="center"/>
          </w:tcPr>
          <w:p>
            <w:pPr>
              <w:widowControl/>
              <w:jc w:val="center"/>
              <w:textAlignment w:val="center"/>
              <w:rPr>
                <w:color w:val="000000"/>
                <w:kern w:val="0"/>
                <w:sz w:val="21"/>
                <w:szCs w:val="21"/>
                <w:u w:val="single"/>
              </w:rPr>
            </w:pPr>
            <w:r>
              <w:rPr>
                <w:color w:val="000000"/>
              </w:rPr>
              <w:t xml:space="preserve">10.017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w:t>
            </w:r>
          </w:p>
        </w:tc>
        <w:tc>
          <w:tcPr>
            <w:tcW w:w="2156" w:type="dxa"/>
            <w:vAlign w:val="center"/>
          </w:tcPr>
          <w:p>
            <w:pPr>
              <w:widowControl/>
              <w:jc w:val="center"/>
              <w:textAlignment w:val="center"/>
              <w:rPr>
                <w:color w:val="000000"/>
                <w:kern w:val="0"/>
                <w:sz w:val="21"/>
                <w:szCs w:val="21"/>
                <w:u w:val="single"/>
              </w:rPr>
            </w:pPr>
            <w:r>
              <w:rPr>
                <w:color w:val="000000"/>
              </w:rPr>
              <w:t xml:space="preserve">10.016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w:t>
            </w:r>
          </w:p>
        </w:tc>
        <w:tc>
          <w:tcPr>
            <w:tcW w:w="2156" w:type="dxa"/>
            <w:vAlign w:val="center"/>
          </w:tcPr>
          <w:p>
            <w:pPr>
              <w:widowControl/>
              <w:jc w:val="center"/>
              <w:textAlignment w:val="center"/>
              <w:rPr>
                <w:color w:val="000000"/>
                <w:kern w:val="0"/>
                <w:sz w:val="21"/>
                <w:szCs w:val="21"/>
                <w:u w:val="single"/>
              </w:rPr>
            </w:pPr>
            <w:r>
              <w:rPr>
                <w:color w:val="000000"/>
              </w:rPr>
              <w:t xml:space="preserve">10.013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100</w:t>
            </w:r>
          </w:p>
        </w:tc>
        <w:tc>
          <w:tcPr>
            <w:tcW w:w="2156" w:type="dxa"/>
            <w:vAlign w:val="center"/>
          </w:tcPr>
          <w:p>
            <w:pPr>
              <w:widowControl/>
              <w:jc w:val="center"/>
              <w:textAlignment w:val="center"/>
              <w:rPr>
                <w:color w:val="000000"/>
                <w:kern w:val="0"/>
                <w:sz w:val="21"/>
                <w:szCs w:val="21"/>
                <w:u w:val="single"/>
              </w:rPr>
            </w:pPr>
            <w:r>
              <w:rPr>
                <w:color w:val="000000"/>
              </w:rPr>
              <w:t xml:space="preserve">10.008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200</w:t>
            </w:r>
          </w:p>
        </w:tc>
        <w:tc>
          <w:tcPr>
            <w:tcW w:w="2156" w:type="dxa"/>
            <w:vAlign w:val="center"/>
          </w:tcPr>
          <w:p>
            <w:pPr>
              <w:widowControl/>
              <w:jc w:val="center"/>
              <w:textAlignment w:val="center"/>
              <w:rPr>
                <w:color w:val="000000"/>
                <w:kern w:val="0"/>
                <w:sz w:val="21"/>
                <w:szCs w:val="21"/>
                <w:u w:val="single"/>
              </w:rPr>
            </w:pPr>
            <w:r>
              <w:rPr>
                <w:color w:val="000000"/>
              </w:rPr>
              <w:t xml:space="preserve">9.999 </w:t>
            </w:r>
          </w:p>
        </w:tc>
        <w:tc>
          <w:tcPr>
            <w:tcW w:w="2156" w:type="dxa"/>
            <w:vAlign w:val="center"/>
          </w:tcPr>
          <w:p>
            <w:pPr>
              <w:widowControl/>
              <w:jc w:val="center"/>
              <w:textAlignment w:val="center"/>
              <w:rPr>
                <w:color w:val="000000"/>
                <w:kern w:val="0"/>
                <w:sz w:val="21"/>
                <w:szCs w:val="21"/>
                <w:u w:val="single"/>
              </w:rPr>
            </w:pPr>
            <w:r>
              <w:rPr>
                <w:color w:val="000000"/>
              </w:rPr>
              <w:t xml:space="preserve">0.338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300</w:t>
            </w:r>
          </w:p>
        </w:tc>
        <w:tc>
          <w:tcPr>
            <w:tcW w:w="2156" w:type="dxa"/>
            <w:vAlign w:val="center"/>
          </w:tcPr>
          <w:p>
            <w:pPr>
              <w:widowControl/>
              <w:jc w:val="center"/>
              <w:textAlignment w:val="center"/>
              <w:rPr>
                <w:color w:val="000000"/>
                <w:kern w:val="0"/>
                <w:sz w:val="21"/>
                <w:szCs w:val="21"/>
                <w:u w:val="single"/>
              </w:rPr>
            </w:pPr>
            <w:r>
              <w:rPr>
                <w:color w:val="000000"/>
              </w:rPr>
              <w:t xml:space="preserve">9.990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400</w:t>
            </w:r>
          </w:p>
        </w:tc>
        <w:tc>
          <w:tcPr>
            <w:tcW w:w="2156" w:type="dxa"/>
            <w:vAlign w:val="center"/>
          </w:tcPr>
          <w:p>
            <w:pPr>
              <w:widowControl/>
              <w:jc w:val="center"/>
              <w:textAlignment w:val="center"/>
              <w:rPr>
                <w:color w:val="000000"/>
                <w:kern w:val="0"/>
                <w:sz w:val="21"/>
                <w:szCs w:val="21"/>
                <w:u w:val="single"/>
              </w:rPr>
            </w:pPr>
            <w:r>
              <w:rPr>
                <w:color w:val="000000"/>
              </w:rPr>
              <w:t xml:space="preserve">9.981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500</w:t>
            </w:r>
          </w:p>
        </w:tc>
        <w:tc>
          <w:tcPr>
            <w:tcW w:w="2156" w:type="dxa"/>
            <w:vAlign w:val="center"/>
          </w:tcPr>
          <w:p>
            <w:pPr>
              <w:widowControl/>
              <w:jc w:val="center"/>
              <w:textAlignment w:val="center"/>
              <w:rPr>
                <w:color w:val="000000"/>
                <w:kern w:val="0"/>
                <w:sz w:val="21"/>
                <w:szCs w:val="21"/>
                <w:u w:val="single"/>
              </w:rPr>
            </w:pPr>
            <w:r>
              <w:rPr>
                <w:color w:val="000000"/>
              </w:rPr>
              <w:t xml:space="preserve">9.972 </w:t>
            </w:r>
          </w:p>
        </w:tc>
        <w:tc>
          <w:tcPr>
            <w:tcW w:w="2156" w:type="dxa"/>
            <w:vAlign w:val="center"/>
          </w:tcPr>
          <w:p>
            <w:pPr>
              <w:widowControl/>
              <w:jc w:val="center"/>
              <w:textAlignment w:val="center"/>
              <w:rPr>
                <w:color w:val="000000"/>
                <w:kern w:val="0"/>
                <w:sz w:val="21"/>
                <w:szCs w:val="21"/>
                <w:u w:val="single"/>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600</w:t>
            </w:r>
          </w:p>
        </w:tc>
        <w:tc>
          <w:tcPr>
            <w:tcW w:w="2156" w:type="dxa"/>
            <w:vAlign w:val="center"/>
          </w:tcPr>
          <w:p>
            <w:pPr>
              <w:widowControl/>
              <w:jc w:val="center"/>
              <w:textAlignment w:val="center"/>
              <w:rPr>
                <w:color w:val="000000"/>
                <w:kern w:val="0"/>
                <w:sz w:val="21"/>
                <w:szCs w:val="21"/>
                <w:u w:val="single"/>
                <w:lang w:bidi="ar"/>
              </w:rPr>
            </w:pPr>
            <w:r>
              <w:rPr>
                <w:color w:val="000000"/>
              </w:rPr>
              <w:t xml:space="preserve">9.963 </w:t>
            </w:r>
          </w:p>
        </w:tc>
        <w:tc>
          <w:tcPr>
            <w:tcW w:w="2156" w:type="dxa"/>
            <w:vAlign w:val="center"/>
          </w:tcPr>
          <w:p>
            <w:pPr>
              <w:widowControl/>
              <w:jc w:val="center"/>
              <w:textAlignment w:val="center"/>
              <w:rPr>
                <w:color w:val="000000"/>
                <w:kern w:val="0"/>
                <w:sz w:val="21"/>
                <w:szCs w:val="21"/>
                <w:u w:val="single"/>
                <w:lang w:bidi="ar"/>
              </w:rPr>
            </w:pPr>
            <w:r>
              <w:rPr>
                <w:color w:val="000000"/>
              </w:rPr>
              <w:t xml:space="preserve">0.337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rFonts w:hint="eastAsia"/>
                <w:color w:val="000000"/>
                <w:kern w:val="0"/>
                <w:sz w:val="21"/>
                <w:szCs w:val="21"/>
                <w:u w:val="single"/>
              </w:rPr>
              <w:t>700</w:t>
            </w:r>
          </w:p>
        </w:tc>
        <w:tc>
          <w:tcPr>
            <w:tcW w:w="2156" w:type="dxa"/>
            <w:vAlign w:val="center"/>
          </w:tcPr>
          <w:p>
            <w:pPr>
              <w:widowControl/>
              <w:jc w:val="center"/>
              <w:textAlignment w:val="center"/>
              <w:rPr>
                <w:color w:val="000000"/>
                <w:kern w:val="0"/>
                <w:sz w:val="21"/>
                <w:szCs w:val="21"/>
                <w:u w:val="single"/>
              </w:rPr>
            </w:pPr>
            <w:r>
              <w:rPr>
                <w:color w:val="000000"/>
              </w:rPr>
              <w:t xml:space="preserve">9.954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800</w:t>
            </w:r>
          </w:p>
        </w:tc>
        <w:tc>
          <w:tcPr>
            <w:tcW w:w="2156" w:type="dxa"/>
            <w:vAlign w:val="center"/>
          </w:tcPr>
          <w:p>
            <w:pPr>
              <w:widowControl/>
              <w:jc w:val="center"/>
              <w:textAlignment w:val="center"/>
              <w:rPr>
                <w:color w:val="000000"/>
                <w:kern w:val="0"/>
                <w:sz w:val="21"/>
                <w:szCs w:val="21"/>
                <w:u w:val="single"/>
              </w:rPr>
            </w:pPr>
            <w:r>
              <w:rPr>
                <w:color w:val="000000"/>
              </w:rPr>
              <w:t xml:space="preserve">9.945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900</w:t>
            </w:r>
          </w:p>
        </w:tc>
        <w:tc>
          <w:tcPr>
            <w:tcW w:w="2156" w:type="dxa"/>
            <w:vAlign w:val="center"/>
          </w:tcPr>
          <w:p>
            <w:pPr>
              <w:widowControl/>
              <w:jc w:val="center"/>
              <w:textAlignment w:val="center"/>
              <w:rPr>
                <w:color w:val="000000"/>
                <w:kern w:val="0"/>
                <w:sz w:val="21"/>
                <w:szCs w:val="21"/>
                <w:u w:val="single"/>
              </w:rPr>
            </w:pPr>
            <w:r>
              <w:rPr>
                <w:color w:val="000000"/>
              </w:rPr>
              <w:t xml:space="preserve">9.936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1000</w:t>
            </w:r>
          </w:p>
        </w:tc>
        <w:tc>
          <w:tcPr>
            <w:tcW w:w="2156" w:type="dxa"/>
            <w:vAlign w:val="center"/>
          </w:tcPr>
          <w:p>
            <w:pPr>
              <w:widowControl/>
              <w:jc w:val="center"/>
              <w:textAlignment w:val="center"/>
              <w:rPr>
                <w:color w:val="000000"/>
                <w:kern w:val="0"/>
                <w:sz w:val="21"/>
                <w:szCs w:val="21"/>
                <w:u w:val="single"/>
              </w:rPr>
            </w:pPr>
            <w:r>
              <w:rPr>
                <w:color w:val="000000"/>
              </w:rPr>
              <w:t xml:space="preserve">9.927 </w:t>
            </w:r>
          </w:p>
        </w:tc>
        <w:tc>
          <w:tcPr>
            <w:tcW w:w="2156" w:type="dxa"/>
            <w:vAlign w:val="center"/>
          </w:tcPr>
          <w:p>
            <w:pPr>
              <w:widowControl/>
              <w:jc w:val="center"/>
              <w:textAlignment w:val="center"/>
              <w:rPr>
                <w:color w:val="000000"/>
                <w:kern w:val="0"/>
                <w:sz w:val="21"/>
                <w:szCs w:val="21"/>
                <w:u w:val="single"/>
              </w:rPr>
            </w:pPr>
            <w:r>
              <w:rPr>
                <w:color w:val="000000"/>
              </w:rPr>
              <w:t xml:space="preserve">0.336 </w:t>
            </w:r>
          </w:p>
        </w:tc>
        <w:tc>
          <w:tcPr>
            <w:tcW w:w="1911" w:type="dxa"/>
            <w:vAlign w:val="center"/>
          </w:tcPr>
          <w:p>
            <w:pPr>
              <w:widowControl/>
              <w:jc w:val="center"/>
              <w:textAlignment w:val="center"/>
              <w:rPr>
                <w:color w:val="000000"/>
                <w:kern w:val="0"/>
                <w:u w:val="single"/>
              </w:rPr>
            </w:pPr>
            <w:r>
              <w:rPr>
                <w:color w:val="000000"/>
              </w:rPr>
              <w:t xml:space="preserve">0.060 </w:t>
            </w:r>
          </w:p>
        </w:tc>
      </w:tr>
    </w:tbl>
    <w:p>
      <w:pPr>
        <w:pStyle w:val="38"/>
        <w:rPr>
          <w:u w:val="single"/>
        </w:rPr>
      </w:pPr>
      <w:r>
        <w:rPr>
          <w:rFonts w:hint="eastAsia"/>
          <w:u w:val="single"/>
        </w:rPr>
        <w:t>表6.2-4  近期非正常排放CODcr、氨氮对下游浓度影响分布</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73"/>
        <w:gridCol w:w="2156"/>
        <w:gridCol w:w="2156"/>
        <w:gridCol w:w="19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jc w:val="center"/>
              <w:rPr>
                <w:bCs/>
                <w:kern w:val="0"/>
                <w:sz w:val="21"/>
                <w:szCs w:val="21"/>
                <w:u w:val="single"/>
              </w:rPr>
            </w:pPr>
            <w:r>
              <w:rPr>
                <w:bCs/>
                <w:kern w:val="0"/>
                <w:sz w:val="21"/>
                <w:szCs w:val="21"/>
                <w:u w:val="single"/>
              </w:rPr>
              <w:t>X(距排放口距离，m）</w:t>
            </w:r>
          </w:p>
        </w:tc>
        <w:tc>
          <w:tcPr>
            <w:tcW w:w="2156" w:type="dxa"/>
            <w:vAlign w:val="center"/>
          </w:tcPr>
          <w:p>
            <w:pPr>
              <w:jc w:val="center"/>
              <w:rPr>
                <w:kern w:val="0"/>
                <w:sz w:val="21"/>
                <w:szCs w:val="21"/>
                <w:u w:val="single"/>
              </w:rPr>
            </w:pPr>
            <w:r>
              <w:rPr>
                <w:kern w:val="0"/>
                <w:sz w:val="21"/>
                <w:szCs w:val="21"/>
                <w:u w:val="single"/>
              </w:rPr>
              <w:t>CODcr预测浓度（mg/L)</w:t>
            </w:r>
          </w:p>
        </w:tc>
        <w:tc>
          <w:tcPr>
            <w:tcW w:w="2156" w:type="dxa"/>
            <w:vAlign w:val="center"/>
          </w:tcPr>
          <w:p>
            <w:pPr>
              <w:jc w:val="center"/>
              <w:rPr>
                <w:kern w:val="0"/>
                <w:sz w:val="21"/>
                <w:szCs w:val="21"/>
                <w:u w:val="single"/>
              </w:rPr>
            </w:pPr>
            <w:r>
              <w:rPr>
                <w:kern w:val="0"/>
                <w:sz w:val="21"/>
                <w:szCs w:val="21"/>
                <w:u w:val="single"/>
              </w:rPr>
              <w:t>氨氮预测浓度（mg/L)</w:t>
            </w:r>
          </w:p>
        </w:tc>
        <w:tc>
          <w:tcPr>
            <w:tcW w:w="1911" w:type="dxa"/>
          </w:tcPr>
          <w:p>
            <w:pPr>
              <w:jc w:val="center"/>
              <w:rPr>
                <w:kern w:val="0"/>
                <w:sz w:val="21"/>
                <w:szCs w:val="21"/>
                <w:u w:val="single"/>
              </w:rPr>
            </w:pPr>
            <w:r>
              <w:rPr>
                <w:rFonts w:hint="eastAsia"/>
                <w:kern w:val="0"/>
                <w:sz w:val="21"/>
                <w:szCs w:val="21"/>
                <w:u w:val="single"/>
              </w:rPr>
              <w:t>总磷预测浓度</w:t>
            </w:r>
            <w:r>
              <w:rPr>
                <w:kern w:val="0"/>
                <w:sz w:val="21"/>
                <w:szCs w:val="21"/>
                <w:u w:val="singl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0</w:t>
            </w:r>
          </w:p>
        </w:tc>
        <w:tc>
          <w:tcPr>
            <w:tcW w:w="2156" w:type="dxa"/>
            <w:vAlign w:val="center"/>
          </w:tcPr>
          <w:p>
            <w:pPr>
              <w:widowControl/>
              <w:jc w:val="center"/>
              <w:textAlignment w:val="center"/>
              <w:rPr>
                <w:color w:val="000000"/>
                <w:kern w:val="0"/>
                <w:sz w:val="21"/>
                <w:szCs w:val="21"/>
                <w:u w:val="single"/>
              </w:rPr>
            </w:pPr>
            <w:r>
              <w:rPr>
                <w:color w:val="000000"/>
              </w:rPr>
              <w:t xml:space="preserve">10.103 </w:t>
            </w:r>
          </w:p>
        </w:tc>
        <w:tc>
          <w:tcPr>
            <w:tcW w:w="2156" w:type="dxa"/>
            <w:vAlign w:val="center"/>
          </w:tcPr>
          <w:p>
            <w:pPr>
              <w:widowControl/>
              <w:jc w:val="center"/>
              <w:textAlignment w:val="center"/>
              <w:rPr>
                <w:color w:val="000000"/>
                <w:kern w:val="0"/>
                <w:sz w:val="21"/>
                <w:szCs w:val="21"/>
                <w:u w:val="single"/>
              </w:rPr>
            </w:pPr>
            <w:r>
              <w:rPr>
                <w:color w:val="000000"/>
              </w:rPr>
              <w:t xml:space="preserve">0.349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w:t>
            </w:r>
          </w:p>
        </w:tc>
        <w:tc>
          <w:tcPr>
            <w:tcW w:w="2156" w:type="dxa"/>
            <w:vAlign w:val="center"/>
          </w:tcPr>
          <w:p>
            <w:pPr>
              <w:widowControl/>
              <w:jc w:val="center"/>
              <w:textAlignment w:val="center"/>
              <w:rPr>
                <w:color w:val="000000"/>
                <w:kern w:val="0"/>
                <w:sz w:val="21"/>
                <w:szCs w:val="21"/>
                <w:u w:val="single"/>
              </w:rPr>
            </w:pPr>
            <w:r>
              <w:rPr>
                <w:color w:val="000000"/>
              </w:rPr>
              <w:t xml:space="preserve">10.102 </w:t>
            </w:r>
          </w:p>
        </w:tc>
        <w:tc>
          <w:tcPr>
            <w:tcW w:w="2156" w:type="dxa"/>
            <w:vAlign w:val="center"/>
          </w:tcPr>
          <w:p>
            <w:pPr>
              <w:widowControl/>
              <w:jc w:val="center"/>
              <w:textAlignment w:val="center"/>
              <w:rPr>
                <w:color w:val="000000"/>
                <w:kern w:val="0"/>
                <w:sz w:val="21"/>
                <w:szCs w:val="21"/>
                <w:u w:val="single"/>
              </w:rPr>
            </w:pPr>
            <w:r>
              <w:rPr>
                <w:color w:val="000000"/>
              </w:rPr>
              <w:t xml:space="preserve">0.349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w:t>
            </w:r>
          </w:p>
        </w:tc>
        <w:tc>
          <w:tcPr>
            <w:tcW w:w="2156" w:type="dxa"/>
            <w:vAlign w:val="center"/>
          </w:tcPr>
          <w:p>
            <w:pPr>
              <w:widowControl/>
              <w:jc w:val="center"/>
              <w:textAlignment w:val="center"/>
              <w:rPr>
                <w:color w:val="000000"/>
                <w:kern w:val="0"/>
                <w:sz w:val="21"/>
                <w:szCs w:val="21"/>
                <w:u w:val="single"/>
              </w:rPr>
            </w:pPr>
            <w:r>
              <w:rPr>
                <w:color w:val="000000"/>
              </w:rPr>
              <w:t xml:space="preserve">10.098 </w:t>
            </w:r>
          </w:p>
        </w:tc>
        <w:tc>
          <w:tcPr>
            <w:tcW w:w="2156" w:type="dxa"/>
            <w:vAlign w:val="center"/>
          </w:tcPr>
          <w:p>
            <w:pPr>
              <w:widowControl/>
              <w:jc w:val="center"/>
              <w:textAlignment w:val="center"/>
              <w:rPr>
                <w:color w:val="000000"/>
                <w:kern w:val="0"/>
                <w:sz w:val="21"/>
                <w:szCs w:val="21"/>
                <w:u w:val="single"/>
              </w:rPr>
            </w:pPr>
            <w:r>
              <w:rPr>
                <w:color w:val="000000"/>
              </w:rPr>
              <w:t xml:space="preserve">0.349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100</w:t>
            </w:r>
          </w:p>
        </w:tc>
        <w:tc>
          <w:tcPr>
            <w:tcW w:w="2156" w:type="dxa"/>
            <w:vAlign w:val="center"/>
          </w:tcPr>
          <w:p>
            <w:pPr>
              <w:widowControl/>
              <w:jc w:val="center"/>
              <w:textAlignment w:val="center"/>
              <w:rPr>
                <w:color w:val="000000"/>
                <w:kern w:val="0"/>
                <w:sz w:val="21"/>
                <w:szCs w:val="21"/>
                <w:u w:val="single"/>
              </w:rPr>
            </w:pPr>
            <w:r>
              <w:rPr>
                <w:color w:val="000000"/>
              </w:rPr>
              <w:t xml:space="preserve">10.094 </w:t>
            </w:r>
          </w:p>
        </w:tc>
        <w:tc>
          <w:tcPr>
            <w:tcW w:w="2156" w:type="dxa"/>
            <w:vAlign w:val="center"/>
          </w:tcPr>
          <w:p>
            <w:pPr>
              <w:widowControl/>
              <w:jc w:val="center"/>
              <w:textAlignment w:val="center"/>
              <w:rPr>
                <w:color w:val="000000"/>
                <w:kern w:val="0"/>
                <w:sz w:val="21"/>
                <w:szCs w:val="21"/>
                <w:u w:val="single"/>
              </w:rPr>
            </w:pPr>
            <w:r>
              <w:rPr>
                <w:color w:val="000000"/>
              </w:rPr>
              <w:t xml:space="preserve">0.349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200</w:t>
            </w:r>
          </w:p>
        </w:tc>
        <w:tc>
          <w:tcPr>
            <w:tcW w:w="2156" w:type="dxa"/>
            <w:vAlign w:val="center"/>
          </w:tcPr>
          <w:p>
            <w:pPr>
              <w:widowControl/>
              <w:jc w:val="center"/>
              <w:textAlignment w:val="center"/>
              <w:rPr>
                <w:color w:val="000000"/>
                <w:kern w:val="0"/>
                <w:sz w:val="21"/>
                <w:szCs w:val="21"/>
                <w:u w:val="single"/>
              </w:rPr>
            </w:pPr>
            <w:r>
              <w:rPr>
                <w:color w:val="000000"/>
              </w:rPr>
              <w:t xml:space="preserve">10.084 </w:t>
            </w:r>
          </w:p>
        </w:tc>
        <w:tc>
          <w:tcPr>
            <w:tcW w:w="2156" w:type="dxa"/>
            <w:vAlign w:val="center"/>
          </w:tcPr>
          <w:p>
            <w:pPr>
              <w:widowControl/>
              <w:jc w:val="center"/>
              <w:textAlignment w:val="center"/>
              <w:rPr>
                <w:color w:val="000000"/>
                <w:kern w:val="0"/>
                <w:sz w:val="21"/>
                <w:szCs w:val="21"/>
                <w:u w:val="single"/>
              </w:rPr>
            </w:pPr>
            <w:r>
              <w:rPr>
                <w:color w:val="000000"/>
              </w:rPr>
              <w:t xml:space="preserve">0.349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300</w:t>
            </w:r>
          </w:p>
        </w:tc>
        <w:tc>
          <w:tcPr>
            <w:tcW w:w="2156" w:type="dxa"/>
            <w:vAlign w:val="center"/>
          </w:tcPr>
          <w:p>
            <w:pPr>
              <w:widowControl/>
              <w:jc w:val="center"/>
              <w:textAlignment w:val="center"/>
              <w:rPr>
                <w:color w:val="000000"/>
                <w:kern w:val="0"/>
                <w:sz w:val="21"/>
                <w:szCs w:val="21"/>
                <w:u w:val="single"/>
              </w:rPr>
            </w:pPr>
            <w:r>
              <w:rPr>
                <w:color w:val="000000"/>
              </w:rPr>
              <w:t xml:space="preserve">10.075 </w:t>
            </w:r>
          </w:p>
        </w:tc>
        <w:tc>
          <w:tcPr>
            <w:tcW w:w="2156" w:type="dxa"/>
            <w:vAlign w:val="center"/>
          </w:tcPr>
          <w:p>
            <w:pPr>
              <w:widowControl/>
              <w:jc w:val="center"/>
              <w:textAlignment w:val="center"/>
              <w:rPr>
                <w:color w:val="000000"/>
                <w:kern w:val="0"/>
                <w:sz w:val="21"/>
                <w:szCs w:val="21"/>
                <w:u w:val="single"/>
              </w:rPr>
            </w:pPr>
            <w:r>
              <w:rPr>
                <w:color w:val="000000"/>
              </w:rPr>
              <w:t xml:space="preserve">0.348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400</w:t>
            </w:r>
          </w:p>
        </w:tc>
        <w:tc>
          <w:tcPr>
            <w:tcW w:w="2156" w:type="dxa"/>
            <w:vAlign w:val="center"/>
          </w:tcPr>
          <w:p>
            <w:pPr>
              <w:widowControl/>
              <w:jc w:val="center"/>
              <w:textAlignment w:val="center"/>
              <w:rPr>
                <w:color w:val="000000"/>
                <w:kern w:val="0"/>
                <w:sz w:val="21"/>
                <w:szCs w:val="21"/>
                <w:u w:val="single"/>
              </w:rPr>
            </w:pPr>
            <w:r>
              <w:rPr>
                <w:color w:val="000000"/>
              </w:rPr>
              <w:t xml:space="preserve">10.066 </w:t>
            </w:r>
          </w:p>
        </w:tc>
        <w:tc>
          <w:tcPr>
            <w:tcW w:w="2156" w:type="dxa"/>
            <w:vAlign w:val="center"/>
          </w:tcPr>
          <w:p>
            <w:pPr>
              <w:widowControl/>
              <w:jc w:val="center"/>
              <w:textAlignment w:val="center"/>
              <w:rPr>
                <w:color w:val="000000"/>
                <w:kern w:val="0"/>
                <w:sz w:val="21"/>
                <w:szCs w:val="21"/>
                <w:u w:val="single"/>
              </w:rPr>
            </w:pPr>
            <w:r>
              <w:rPr>
                <w:color w:val="000000"/>
              </w:rPr>
              <w:t xml:space="preserve">0.348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kern w:val="0"/>
                <w:u w:val="single"/>
              </w:rPr>
              <w:t>500</w:t>
            </w:r>
          </w:p>
        </w:tc>
        <w:tc>
          <w:tcPr>
            <w:tcW w:w="2156" w:type="dxa"/>
            <w:vAlign w:val="center"/>
          </w:tcPr>
          <w:p>
            <w:pPr>
              <w:widowControl/>
              <w:jc w:val="center"/>
              <w:textAlignment w:val="center"/>
              <w:rPr>
                <w:color w:val="000000"/>
                <w:kern w:val="0"/>
                <w:sz w:val="21"/>
                <w:szCs w:val="21"/>
                <w:u w:val="single"/>
              </w:rPr>
            </w:pPr>
            <w:r>
              <w:rPr>
                <w:color w:val="000000"/>
              </w:rPr>
              <w:t xml:space="preserve">10.057 </w:t>
            </w:r>
          </w:p>
        </w:tc>
        <w:tc>
          <w:tcPr>
            <w:tcW w:w="2156" w:type="dxa"/>
            <w:vAlign w:val="center"/>
          </w:tcPr>
          <w:p>
            <w:pPr>
              <w:widowControl/>
              <w:jc w:val="center"/>
              <w:textAlignment w:val="center"/>
              <w:rPr>
                <w:color w:val="000000"/>
                <w:kern w:val="0"/>
                <w:sz w:val="21"/>
                <w:szCs w:val="21"/>
                <w:u w:val="single"/>
              </w:rPr>
            </w:pPr>
            <w:r>
              <w:rPr>
                <w:color w:val="000000"/>
              </w:rPr>
              <w:t xml:space="preserve">0.348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600</w:t>
            </w:r>
          </w:p>
        </w:tc>
        <w:tc>
          <w:tcPr>
            <w:tcW w:w="2156" w:type="dxa"/>
            <w:vAlign w:val="center"/>
          </w:tcPr>
          <w:p>
            <w:pPr>
              <w:widowControl/>
              <w:jc w:val="center"/>
              <w:textAlignment w:val="center"/>
              <w:rPr>
                <w:color w:val="000000"/>
                <w:kern w:val="0"/>
                <w:sz w:val="21"/>
                <w:szCs w:val="21"/>
                <w:u w:val="single"/>
                <w:lang w:bidi="ar"/>
              </w:rPr>
            </w:pPr>
            <w:r>
              <w:rPr>
                <w:color w:val="000000"/>
              </w:rPr>
              <w:t xml:space="preserve">10.048 </w:t>
            </w:r>
          </w:p>
        </w:tc>
        <w:tc>
          <w:tcPr>
            <w:tcW w:w="2156" w:type="dxa"/>
            <w:vAlign w:val="center"/>
          </w:tcPr>
          <w:p>
            <w:pPr>
              <w:widowControl/>
              <w:jc w:val="center"/>
              <w:textAlignment w:val="center"/>
              <w:rPr>
                <w:color w:val="000000"/>
                <w:kern w:val="0"/>
                <w:sz w:val="21"/>
                <w:szCs w:val="21"/>
                <w:u w:val="single"/>
                <w:lang w:bidi="ar"/>
              </w:rPr>
            </w:pPr>
            <w:r>
              <w:rPr>
                <w:color w:val="000000"/>
              </w:rPr>
              <w:t xml:space="preserve">0.348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rPr>
            </w:pPr>
            <w:r>
              <w:rPr>
                <w:rFonts w:hint="eastAsia"/>
                <w:color w:val="000000"/>
                <w:kern w:val="0"/>
                <w:sz w:val="21"/>
                <w:szCs w:val="21"/>
                <w:u w:val="single"/>
              </w:rPr>
              <w:t>700</w:t>
            </w:r>
          </w:p>
        </w:tc>
        <w:tc>
          <w:tcPr>
            <w:tcW w:w="2156" w:type="dxa"/>
            <w:vAlign w:val="center"/>
          </w:tcPr>
          <w:p>
            <w:pPr>
              <w:widowControl/>
              <w:jc w:val="center"/>
              <w:textAlignment w:val="center"/>
              <w:rPr>
                <w:color w:val="000000"/>
                <w:kern w:val="0"/>
                <w:sz w:val="21"/>
                <w:szCs w:val="21"/>
                <w:u w:val="single"/>
              </w:rPr>
            </w:pPr>
            <w:r>
              <w:rPr>
                <w:color w:val="000000"/>
              </w:rPr>
              <w:t xml:space="preserve">10.039 </w:t>
            </w:r>
          </w:p>
        </w:tc>
        <w:tc>
          <w:tcPr>
            <w:tcW w:w="2156" w:type="dxa"/>
            <w:vAlign w:val="center"/>
          </w:tcPr>
          <w:p>
            <w:pPr>
              <w:widowControl/>
              <w:jc w:val="center"/>
              <w:textAlignment w:val="center"/>
              <w:rPr>
                <w:color w:val="000000"/>
                <w:kern w:val="0"/>
                <w:sz w:val="21"/>
                <w:szCs w:val="21"/>
                <w:u w:val="single"/>
              </w:rPr>
            </w:pPr>
            <w:r>
              <w:rPr>
                <w:color w:val="000000"/>
              </w:rPr>
              <w:t xml:space="preserve">0.347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800</w:t>
            </w:r>
          </w:p>
        </w:tc>
        <w:tc>
          <w:tcPr>
            <w:tcW w:w="2156" w:type="dxa"/>
            <w:vAlign w:val="center"/>
          </w:tcPr>
          <w:p>
            <w:pPr>
              <w:widowControl/>
              <w:jc w:val="center"/>
              <w:textAlignment w:val="center"/>
              <w:rPr>
                <w:color w:val="000000"/>
                <w:kern w:val="0"/>
                <w:sz w:val="21"/>
                <w:szCs w:val="21"/>
                <w:u w:val="single"/>
              </w:rPr>
            </w:pPr>
            <w:r>
              <w:rPr>
                <w:color w:val="000000"/>
              </w:rPr>
              <w:t xml:space="preserve">10.030 </w:t>
            </w:r>
          </w:p>
        </w:tc>
        <w:tc>
          <w:tcPr>
            <w:tcW w:w="2156" w:type="dxa"/>
            <w:vAlign w:val="center"/>
          </w:tcPr>
          <w:p>
            <w:pPr>
              <w:widowControl/>
              <w:jc w:val="center"/>
              <w:textAlignment w:val="center"/>
              <w:rPr>
                <w:color w:val="000000"/>
                <w:kern w:val="0"/>
                <w:sz w:val="21"/>
                <w:szCs w:val="21"/>
                <w:u w:val="single"/>
              </w:rPr>
            </w:pPr>
            <w:r>
              <w:rPr>
                <w:color w:val="000000"/>
              </w:rPr>
              <w:t xml:space="preserve">0.347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900</w:t>
            </w:r>
          </w:p>
        </w:tc>
        <w:tc>
          <w:tcPr>
            <w:tcW w:w="2156" w:type="dxa"/>
            <w:vAlign w:val="center"/>
          </w:tcPr>
          <w:p>
            <w:pPr>
              <w:widowControl/>
              <w:jc w:val="center"/>
              <w:textAlignment w:val="center"/>
              <w:rPr>
                <w:color w:val="000000"/>
                <w:kern w:val="0"/>
                <w:sz w:val="21"/>
                <w:szCs w:val="21"/>
                <w:u w:val="single"/>
              </w:rPr>
            </w:pPr>
            <w:r>
              <w:rPr>
                <w:color w:val="000000"/>
              </w:rPr>
              <w:t xml:space="preserve">10.021 </w:t>
            </w:r>
          </w:p>
        </w:tc>
        <w:tc>
          <w:tcPr>
            <w:tcW w:w="2156" w:type="dxa"/>
            <w:vAlign w:val="center"/>
          </w:tcPr>
          <w:p>
            <w:pPr>
              <w:widowControl/>
              <w:jc w:val="center"/>
              <w:textAlignment w:val="center"/>
              <w:rPr>
                <w:color w:val="000000"/>
                <w:kern w:val="0"/>
                <w:sz w:val="21"/>
                <w:szCs w:val="21"/>
                <w:u w:val="single"/>
              </w:rPr>
            </w:pPr>
            <w:r>
              <w:rPr>
                <w:color w:val="000000"/>
              </w:rPr>
              <w:t xml:space="preserve">0.347 </w:t>
            </w:r>
          </w:p>
        </w:tc>
        <w:tc>
          <w:tcPr>
            <w:tcW w:w="1911" w:type="dxa"/>
            <w:vAlign w:val="center"/>
          </w:tcPr>
          <w:p>
            <w:pPr>
              <w:widowControl/>
              <w:jc w:val="center"/>
              <w:textAlignment w:val="center"/>
              <w:rPr>
                <w:color w:val="000000"/>
                <w:kern w:val="0"/>
                <w:u w:val="single"/>
              </w:rPr>
            </w:pPr>
            <w:r>
              <w:rPr>
                <w:color w:val="000000"/>
              </w:rPr>
              <w:t xml:space="preserve">0.061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073" w:type="dxa"/>
            <w:vAlign w:val="center"/>
          </w:tcPr>
          <w:p>
            <w:pPr>
              <w:widowControl/>
              <w:jc w:val="center"/>
              <w:textAlignment w:val="center"/>
              <w:rPr>
                <w:color w:val="000000"/>
                <w:kern w:val="0"/>
                <w:sz w:val="21"/>
                <w:szCs w:val="21"/>
                <w:u w:val="single"/>
                <w:lang w:bidi="ar"/>
              </w:rPr>
            </w:pPr>
            <w:r>
              <w:rPr>
                <w:rFonts w:hint="eastAsia"/>
                <w:color w:val="000000"/>
                <w:kern w:val="0"/>
                <w:sz w:val="21"/>
                <w:szCs w:val="21"/>
                <w:u w:val="single"/>
                <w:lang w:bidi="ar"/>
              </w:rPr>
              <w:t>1000</w:t>
            </w:r>
          </w:p>
        </w:tc>
        <w:tc>
          <w:tcPr>
            <w:tcW w:w="2156" w:type="dxa"/>
            <w:vAlign w:val="center"/>
          </w:tcPr>
          <w:p>
            <w:pPr>
              <w:widowControl/>
              <w:jc w:val="center"/>
              <w:textAlignment w:val="center"/>
              <w:rPr>
                <w:color w:val="000000"/>
                <w:kern w:val="0"/>
                <w:sz w:val="21"/>
                <w:szCs w:val="21"/>
                <w:u w:val="single"/>
              </w:rPr>
            </w:pPr>
            <w:r>
              <w:rPr>
                <w:color w:val="000000"/>
              </w:rPr>
              <w:t xml:space="preserve">10.012 </w:t>
            </w:r>
          </w:p>
        </w:tc>
        <w:tc>
          <w:tcPr>
            <w:tcW w:w="2156" w:type="dxa"/>
            <w:vAlign w:val="center"/>
          </w:tcPr>
          <w:p>
            <w:pPr>
              <w:widowControl/>
              <w:jc w:val="center"/>
              <w:textAlignment w:val="center"/>
              <w:rPr>
                <w:color w:val="000000"/>
                <w:kern w:val="0"/>
                <w:sz w:val="21"/>
                <w:szCs w:val="21"/>
                <w:u w:val="single"/>
              </w:rPr>
            </w:pPr>
            <w:r>
              <w:rPr>
                <w:color w:val="000000"/>
              </w:rPr>
              <w:t xml:space="preserve">0.347 </w:t>
            </w:r>
          </w:p>
        </w:tc>
        <w:tc>
          <w:tcPr>
            <w:tcW w:w="1911" w:type="dxa"/>
            <w:vAlign w:val="center"/>
          </w:tcPr>
          <w:p>
            <w:pPr>
              <w:widowControl/>
              <w:jc w:val="center"/>
              <w:textAlignment w:val="center"/>
              <w:rPr>
                <w:color w:val="000000"/>
                <w:kern w:val="0"/>
                <w:u w:val="single"/>
              </w:rPr>
            </w:pPr>
            <w:r>
              <w:rPr>
                <w:color w:val="000000"/>
              </w:rPr>
              <w:t xml:space="preserve">0.061 </w:t>
            </w:r>
          </w:p>
        </w:tc>
      </w:tr>
    </w:tbl>
    <w:p>
      <w:pPr>
        <w:pStyle w:val="27"/>
        <w:ind w:firstLine="480"/>
        <w:rPr>
          <w:szCs w:val="24"/>
          <w:u w:val="single"/>
        </w:rPr>
      </w:pPr>
      <w:r>
        <w:rPr>
          <w:rFonts w:hint="eastAsia"/>
          <w:szCs w:val="24"/>
          <w:u w:val="single"/>
        </w:rPr>
        <w:t>（1）近期非正常工况下：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10.017</w:t>
      </w:r>
      <w:r>
        <w:rPr>
          <w:szCs w:val="24"/>
          <w:u w:val="single"/>
        </w:rPr>
        <w:t>mg/L，氨氮最大浓度为</w:t>
      </w:r>
      <w:r>
        <w:rPr>
          <w:rFonts w:hint="eastAsia"/>
          <w:szCs w:val="24"/>
          <w:u w:val="single"/>
        </w:rPr>
        <w:t>0.338</w:t>
      </w:r>
      <w:r>
        <w:rPr>
          <w:szCs w:val="24"/>
          <w:u w:val="single"/>
        </w:rPr>
        <w:t>mg/L</w:t>
      </w:r>
      <w:r>
        <w:rPr>
          <w:rFonts w:hint="eastAsia"/>
          <w:szCs w:val="24"/>
          <w:u w:val="single"/>
        </w:rPr>
        <w:t>，总磷最大浓度0.060mg/L，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rPr>
          <w:szCs w:val="24"/>
          <w:u w:val="single"/>
        </w:rPr>
      </w:pPr>
      <w:r>
        <w:rPr>
          <w:rFonts w:hint="eastAsia"/>
          <w:szCs w:val="24"/>
          <w:u w:val="single"/>
        </w:rPr>
        <w:t>COD在下游200m处削减到9.999mg/L，恢复到上游来水浓度水平，其影响范围为200m；氨氮在下游700m处削减到0.336mg/L，恢复到上游来水浓度水平，其影响范围为700m；非正常工况下总磷不考虑衰减，完全混合浓度0.060mg/L，非正常工况下总磷排放对祁水几乎无影响。</w:t>
      </w:r>
    </w:p>
    <w:p>
      <w:pPr>
        <w:pStyle w:val="27"/>
        <w:ind w:firstLine="480"/>
        <w:rPr>
          <w:szCs w:val="24"/>
          <w:u w:val="single"/>
        </w:rPr>
      </w:pPr>
      <w:r>
        <w:rPr>
          <w:rFonts w:hint="eastAsia"/>
          <w:szCs w:val="24"/>
          <w:u w:val="single"/>
        </w:rPr>
        <w:t>（2）远期非正常工况下：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10.102</w:t>
      </w:r>
      <w:r>
        <w:rPr>
          <w:szCs w:val="24"/>
          <w:u w:val="single"/>
        </w:rPr>
        <w:t>mg/L，氨氮最大浓度为</w:t>
      </w:r>
      <w:r>
        <w:rPr>
          <w:rFonts w:hint="eastAsia"/>
          <w:szCs w:val="24"/>
          <w:u w:val="single"/>
        </w:rPr>
        <w:t>0.349</w:t>
      </w:r>
      <w:r>
        <w:rPr>
          <w:szCs w:val="24"/>
          <w:u w:val="single"/>
        </w:rPr>
        <w:t>mg/L</w:t>
      </w:r>
      <w:r>
        <w:rPr>
          <w:rFonts w:hint="eastAsia"/>
          <w:szCs w:val="24"/>
          <w:u w:val="single"/>
        </w:rPr>
        <w:t>，总磷最大浓度0.061mg/L，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rPr>
          <w:u w:val="single"/>
        </w:rPr>
      </w:pPr>
      <w:r>
        <w:rPr>
          <w:rFonts w:hint="eastAsia"/>
          <w:szCs w:val="24"/>
          <w:u w:val="single"/>
        </w:rPr>
        <w:t>COD在下游1000m处削减到10.012mg/L，仍未恢复到上游来水浓度水平，但贡献浓度较低，对祁水几乎无影响；氨氮在下游1000m处削减到0.347mg/L，，仍未恢复到上游来水浓度水平，但贡献浓度较低，对祁水几乎无影响；总磷在下游1000m处削减到0.061mg/L，仍未恢复到上游来水浓度水平，但贡献浓度较低，对祁水几乎无影响。</w:t>
      </w:r>
    </w:p>
    <w:p>
      <w:pPr>
        <w:pStyle w:val="32"/>
      </w:pPr>
      <w:bookmarkStart w:id="88" w:name="_Toc161250492"/>
      <w:r>
        <w:rPr>
          <w:rFonts w:hint="eastAsia"/>
        </w:rPr>
        <w:t>6</w:t>
      </w:r>
      <w:r>
        <w:t>.3</w:t>
      </w:r>
      <w:r>
        <w:rPr>
          <w:rFonts w:hint="eastAsia"/>
        </w:rPr>
        <w:t>对水生生态影响分析</w:t>
      </w:r>
      <w:bookmarkEnd w:id="88"/>
    </w:p>
    <w:p>
      <w:pPr>
        <w:pStyle w:val="27"/>
        <w:ind w:firstLine="480"/>
      </w:pPr>
      <w:r>
        <w:rPr>
          <w:rFonts w:hint="eastAsia"/>
          <w:u w:val="single"/>
        </w:rPr>
        <w:t>凤歧坪乡污水处理工程建设运行后，尾水处理达标后排入祁水。项目建设改变了凤歧坪乡污水散乱排放的现象，使乡镇污水排放从无序变为有序，对改善水功能区的水质，实现水功能区的水质目标有利；经调查，论证范围内水域无珍稀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COD、氨氮、总磷，总氮，不含第一类污染物。经降解稀释后可满足水质要求，不会对祁水鱼类等水生生物产生较大影响。根据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祁水水质能达到《地表水环境质量标准》（GB3838-2002）Ⅲ类标准，水质较好，乡镇污水处理工程排放的污染物非典型营养盐类污染物，入河排污口污染物不会对水体造成富营养化影响。综上，本排口设置对祁水生态影响较小。</w:t>
      </w:r>
    </w:p>
    <w:p>
      <w:pPr>
        <w:pStyle w:val="32"/>
      </w:pPr>
      <w:bookmarkStart w:id="89" w:name="_Toc161250493"/>
      <w:r>
        <w:rPr>
          <w:rFonts w:hint="eastAsia"/>
        </w:rPr>
        <w:t>6</w:t>
      </w:r>
      <w:r>
        <w:t>.4</w:t>
      </w:r>
      <w:r>
        <w:rPr>
          <w:rFonts w:hint="eastAsia"/>
        </w:rPr>
        <w:t>对地下水影响分析</w:t>
      </w:r>
      <w:bookmarkEnd w:id="89"/>
    </w:p>
    <w:p>
      <w:pPr>
        <w:pStyle w:val="27"/>
        <w:ind w:firstLine="480"/>
      </w:pPr>
      <w:r>
        <w:t>（1）地下水污染途径分析</w:t>
      </w:r>
    </w:p>
    <w:p>
      <w:pPr>
        <w:pStyle w:val="27"/>
        <w:ind w:firstLine="480"/>
      </w:pPr>
      <w:r>
        <w:rPr>
          <w:rFonts w:hint="eastAsia" w:ascii="宋体" w:hAnsi="宋体" w:cs="宋体"/>
        </w:rPr>
        <w:t>①</w:t>
      </w:r>
      <w:r>
        <w:t>正常状态。污水处理厂排水实行雨污分流，各构筑物采取良好的防腐防渗措施，污水处理厂厂区地表与地下的水力联系基本被切断，污染物不会渗入地下影响地下水质。</w:t>
      </w:r>
    </w:p>
    <w:p>
      <w:pPr>
        <w:pStyle w:val="27"/>
        <w:ind w:firstLine="480"/>
      </w:pPr>
      <w:r>
        <w:rPr>
          <w:rFonts w:hint="eastAsia" w:ascii="宋体" w:hAnsi="宋体" w:cs="宋体"/>
        </w:rPr>
        <w:t>②</w:t>
      </w:r>
      <w:r>
        <w:t>事故状态。造成事故排放风险的环节主要有以下几方面：</w:t>
      </w:r>
      <w:r>
        <w:rPr>
          <w:rFonts w:hint="eastAsia"/>
        </w:rPr>
        <w:t>进水水质异常、</w:t>
      </w:r>
      <w:r>
        <w:t>污水管网系统由于管网堵塞、破裂和接头破损，造成污水外溢；由于停电、设备损坏、污水处理设备运行不正常、停工检修等造成污水未经处理排放；活性污泥变质，发生污泥膨胀或污泥解体等异常情况，使处理效果降低；由于发生地震等自然灾害使污水管、污水处理构筑物损坏，造成污水外溢。</w:t>
      </w:r>
    </w:p>
    <w:p>
      <w:pPr>
        <w:pStyle w:val="27"/>
        <w:ind w:firstLine="480"/>
      </w:pPr>
      <w:r>
        <w:t>（2）</w:t>
      </w:r>
      <w:r>
        <w:rPr>
          <w:rFonts w:hint="eastAsia"/>
        </w:rPr>
        <w:t>地下水影响分析</w:t>
      </w:r>
    </w:p>
    <w:p>
      <w:pPr>
        <w:pStyle w:val="27"/>
        <w:ind w:firstLine="480"/>
      </w:pPr>
      <w:r>
        <w:rPr>
          <w:rFonts w:hint="eastAsia"/>
        </w:rPr>
        <w:t>祁东县凤歧坪乡污水处理工程为污水处理工程，处理后出水通过管道排入灌溉渠，排放过程中产生外漏下渗的可能性很小，即使有微量废水外漏下渗，在下渗过程中经过表层粘土、粉土的分解和吸收，大部分污染物会进一步去除，不会造成地下水污染，因此，正常工况下污水处理厂建设对地下水水质影响小。</w:t>
      </w:r>
    </w:p>
    <w:p>
      <w:pPr>
        <w:pStyle w:val="32"/>
      </w:pPr>
      <w:bookmarkStart w:id="90" w:name="_Toc161250494"/>
      <w:r>
        <w:rPr>
          <w:rFonts w:hint="eastAsia"/>
        </w:rPr>
        <w:t>6</w:t>
      </w:r>
      <w:r>
        <w:t>.5</w:t>
      </w:r>
      <w:r>
        <w:rPr>
          <w:rFonts w:hint="eastAsia"/>
        </w:rPr>
        <w:t>对第三者影响分析</w:t>
      </w:r>
      <w:bookmarkEnd w:id="90"/>
    </w:p>
    <w:p>
      <w:pPr>
        <w:pStyle w:val="35"/>
        <w:rPr>
          <w:u w:val="single"/>
        </w:rPr>
      </w:pPr>
      <w:bookmarkStart w:id="91" w:name="_Toc161250495"/>
      <w:r>
        <w:rPr>
          <w:rFonts w:hint="eastAsia"/>
          <w:u w:val="single"/>
        </w:rPr>
        <w:t>6</w:t>
      </w:r>
      <w:r>
        <w:rPr>
          <w:u w:val="single"/>
        </w:rPr>
        <w:t>.5.1</w:t>
      </w:r>
      <w:r>
        <w:rPr>
          <w:rFonts w:hint="eastAsia"/>
          <w:u w:val="single"/>
        </w:rPr>
        <w:t>对控制断面水质影响分析</w:t>
      </w:r>
      <w:bookmarkEnd w:id="91"/>
    </w:p>
    <w:p>
      <w:pPr>
        <w:pStyle w:val="27"/>
        <w:ind w:firstLine="480"/>
        <w:rPr>
          <w:u w:val="single"/>
        </w:rPr>
      </w:pPr>
      <w:r>
        <w:rPr>
          <w:rFonts w:hint="eastAsia"/>
          <w:u w:val="single"/>
        </w:rPr>
        <w:t>本入河排污口论证范围内不涉及常规水质监测断面。</w:t>
      </w:r>
    </w:p>
    <w:p>
      <w:pPr>
        <w:pStyle w:val="35"/>
        <w:rPr>
          <w:u w:val="single"/>
        </w:rPr>
      </w:pPr>
      <w:bookmarkStart w:id="92" w:name="_Toc161250496"/>
      <w:r>
        <w:rPr>
          <w:rFonts w:hint="eastAsia"/>
          <w:u w:val="single"/>
        </w:rPr>
        <w:t>6</w:t>
      </w:r>
      <w:r>
        <w:rPr>
          <w:u w:val="single"/>
        </w:rPr>
        <w:t>.5.2</w:t>
      </w:r>
      <w:r>
        <w:rPr>
          <w:rFonts w:hint="eastAsia"/>
          <w:u w:val="single"/>
        </w:rPr>
        <w:t>对下游饮用水源保护区及取水单位的影响分析</w:t>
      </w:r>
      <w:bookmarkEnd w:id="92"/>
    </w:p>
    <w:p>
      <w:pPr>
        <w:pStyle w:val="27"/>
        <w:ind w:firstLine="480"/>
        <w:rPr>
          <w:u w:val="single"/>
        </w:rPr>
      </w:pPr>
      <w:r>
        <w:rPr>
          <w:rFonts w:hint="eastAsia"/>
          <w:u w:val="single"/>
        </w:rPr>
        <w:t>本入河排污口论证范围内不涉及饮用水水源保护区。</w:t>
      </w:r>
    </w:p>
    <w:p>
      <w:pPr>
        <w:pStyle w:val="35"/>
        <w:rPr>
          <w:u w:val="single"/>
        </w:rPr>
      </w:pPr>
      <w:bookmarkStart w:id="93" w:name="_Toc161250497"/>
      <w:r>
        <w:rPr>
          <w:rFonts w:hint="eastAsia"/>
          <w:u w:val="single"/>
        </w:rPr>
        <w:t>6</w:t>
      </w:r>
      <w:r>
        <w:rPr>
          <w:u w:val="single"/>
        </w:rPr>
        <w:t>.5.3</w:t>
      </w:r>
      <w:r>
        <w:rPr>
          <w:rFonts w:hint="eastAsia"/>
          <w:u w:val="single"/>
        </w:rPr>
        <w:t>对河道行洪能力的影响分析</w:t>
      </w:r>
      <w:bookmarkEnd w:id="93"/>
    </w:p>
    <w:p>
      <w:pPr>
        <w:pStyle w:val="27"/>
        <w:ind w:firstLine="480"/>
        <w:rPr>
          <w:u w:val="single"/>
        </w:rPr>
      </w:pPr>
      <w:r>
        <w:rPr>
          <w:rFonts w:hint="eastAsia"/>
          <w:u w:val="single"/>
        </w:rPr>
        <w:t>本项目尾水排放路径为通过管道排入东侧灌溉渠，灌溉渠宽度仅2m，汇水面积较小，无需考虑泄洪防洪，尾水经灌溉渠15km后汇入祁水，</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r>
        <w:rPr>
          <w:rFonts w:hint="eastAsia"/>
          <w:u w:val="single"/>
        </w:rPr>
        <w:t>不会影响祁水行洪功能，符合防洪要求。</w:t>
      </w:r>
    </w:p>
    <w:p>
      <w:pPr>
        <w:pStyle w:val="35"/>
        <w:rPr>
          <w:u w:val="single"/>
        </w:rPr>
      </w:pPr>
      <w:bookmarkStart w:id="94" w:name="_Toc161250498"/>
      <w:r>
        <w:rPr>
          <w:rFonts w:hint="eastAsia"/>
          <w:u w:val="single"/>
        </w:rPr>
        <w:t>6</w:t>
      </w:r>
      <w:r>
        <w:rPr>
          <w:u w:val="single"/>
        </w:rPr>
        <w:t>.5.4</w:t>
      </w:r>
      <w:r>
        <w:rPr>
          <w:rFonts w:hint="eastAsia"/>
          <w:u w:val="single"/>
        </w:rPr>
        <w:t>对周边农业用水的影响分析</w:t>
      </w:r>
      <w:bookmarkEnd w:id="94"/>
    </w:p>
    <w:p>
      <w:pPr>
        <w:pStyle w:val="27"/>
        <w:ind w:firstLine="480"/>
        <w:rPr>
          <w:u w:val="single"/>
        </w:rPr>
      </w:pPr>
      <w:r>
        <w:rPr>
          <w:rFonts w:hint="eastAsia"/>
          <w:u w:val="single"/>
        </w:rPr>
        <w:t>根据污水处理厂设计的出水水质，对照《农田灌溉水质标准》（GB20845-2005）与不同作物灌溉用水指标对比如下。</w:t>
      </w:r>
    </w:p>
    <w:p>
      <w:pPr>
        <w:pStyle w:val="38"/>
        <w:rPr>
          <w:szCs w:val="21"/>
          <w:u w:val="single"/>
        </w:rPr>
      </w:pPr>
      <w:r>
        <w:rPr>
          <w:rFonts w:hint="eastAsia"/>
          <w:u w:val="single"/>
        </w:rPr>
        <w:t>表</w:t>
      </w:r>
      <w:r>
        <w:rPr>
          <w:u w:val="single"/>
        </w:rPr>
        <w:t>6.5-1</w:t>
      </w:r>
      <w:r>
        <w:rPr>
          <w:rFonts w:hint="eastAsia"/>
          <w:u w:val="single"/>
        </w:rPr>
        <w:t xml:space="preserve"> 不同作物灌溉水质与污水处理厂设计的出水水质对比表 单位：mg/L</w:t>
      </w:r>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99"/>
        <w:gridCol w:w="1386"/>
        <w:gridCol w:w="1256"/>
        <w:gridCol w:w="1516"/>
        <w:gridCol w:w="19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Merge w:val="restart"/>
            <w:vAlign w:val="center"/>
          </w:tcPr>
          <w:p>
            <w:pPr>
              <w:pStyle w:val="40"/>
              <w:rPr>
                <w:kern w:val="0"/>
                <w:u w:val="single"/>
              </w:rPr>
            </w:pPr>
            <w:r>
              <w:rPr>
                <w:rFonts w:hint="eastAsia"/>
                <w:kern w:val="0"/>
                <w:u w:val="single"/>
              </w:rPr>
              <w:t>污染物</w:t>
            </w:r>
          </w:p>
        </w:tc>
        <w:tc>
          <w:tcPr>
            <w:tcW w:w="4158" w:type="dxa"/>
            <w:gridSpan w:val="3"/>
            <w:vAlign w:val="center"/>
          </w:tcPr>
          <w:p>
            <w:pPr>
              <w:pStyle w:val="40"/>
              <w:rPr>
                <w:kern w:val="0"/>
                <w:u w:val="single"/>
              </w:rPr>
            </w:pPr>
            <w:r>
              <w:rPr>
                <w:rFonts w:hint="eastAsia"/>
                <w:kern w:val="0"/>
                <w:u w:val="single"/>
              </w:rPr>
              <w:t>作物种类</w:t>
            </w:r>
          </w:p>
        </w:tc>
        <w:tc>
          <w:tcPr>
            <w:tcW w:w="1965" w:type="dxa"/>
            <w:vMerge w:val="restart"/>
            <w:vAlign w:val="center"/>
          </w:tcPr>
          <w:p>
            <w:pPr>
              <w:pStyle w:val="40"/>
              <w:rPr>
                <w:kern w:val="0"/>
                <w:u w:val="single"/>
              </w:rPr>
            </w:pPr>
            <w:r>
              <w:rPr>
                <w:rFonts w:hint="eastAsia"/>
                <w:kern w:val="0"/>
                <w:u w:val="single"/>
              </w:rPr>
              <w:t>污水处理厂设计出水水质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Merge w:val="continue"/>
            <w:vAlign w:val="center"/>
          </w:tcPr>
          <w:p>
            <w:pPr>
              <w:pStyle w:val="40"/>
              <w:rPr>
                <w:kern w:val="0"/>
                <w:u w:val="single"/>
              </w:rPr>
            </w:pPr>
          </w:p>
        </w:tc>
        <w:tc>
          <w:tcPr>
            <w:tcW w:w="1386" w:type="dxa"/>
            <w:vAlign w:val="center"/>
          </w:tcPr>
          <w:p>
            <w:pPr>
              <w:pStyle w:val="40"/>
              <w:rPr>
                <w:kern w:val="0"/>
                <w:u w:val="single"/>
              </w:rPr>
            </w:pPr>
            <w:r>
              <w:rPr>
                <w:rFonts w:hint="eastAsia"/>
                <w:kern w:val="0"/>
                <w:u w:val="single"/>
              </w:rPr>
              <w:t>水作</w:t>
            </w:r>
          </w:p>
        </w:tc>
        <w:tc>
          <w:tcPr>
            <w:tcW w:w="1256" w:type="dxa"/>
            <w:vAlign w:val="center"/>
          </w:tcPr>
          <w:p>
            <w:pPr>
              <w:pStyle w:val="40"/>
              <w:rPr>
                <w:kern w:val="0"/>
                <w:u w:val="single"/>
              </w:rPr>
            </w:pPr>
            <w:r>
              <w:rPr>
                <w:rFonts w:hint="eastAsia"/>
                <w:kern w:val="0"/>
                <w:u w:val="single"/>
              </w:rPr>
              <w:t>旱作</w:t>
            </w:r>
          </w:p>
        </w:tc>
        <w:tc>
          <w:tcPr>
            <w:tcW w:w="1516" w:type="dxa"/>
            <w:vAlign w:val="center"/>
          </w:tcPr>
          <w:p>
            <w:pPr>
              <w:pStyle w:val="40"/>
              <w:rPr>
                <w:kern w:val="0"/>
                <w:u w:val="single"/>
              </w:rPr>
            </w:pPr>
            <w:r>
              <w:rPr>
                <w:rFonts w:hint="eastAsia"/>
                <w:kern w:val="0"/>
                <w:u w:val="single"/>
              </w:rPr>
              <w:t>蔬菜</w:t>
            </w:r>
          </w:p>
        </w:tc>
        <w:tc>
          <w:tcPr>
            <w:tcW w:w="1965" w:type="dxa"/>
            <w:vMerge w:val="continue"/>
            <w:vAlign w:val="center"/>
          </w:tcPr>
          <w:p>
            <w:pPr>
              <w:pStyle w:val="40"/>
              <w:rPr>
                <w:kern w:val="0"/>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pPr>
              <w:pStyle w:val="40"/>
              <w:rPr>
                <w:kern w:val="0"/>
                <w:u w:val="single"/>
              </w:rPr>
            </w:pPr>
            <w:r>
              <w:rPr>
                <w:rFonts w:hint="eastAsia"/>
                <w:kern w:val="0"/>
                <w:u w:val="single"/>
              </w:rPr>
              <w:t>五日生化需氧量</w:t>
            </w:r>
          </w:p>
        </w:tc>
        <w:tc>
          <w:tcPr>
            <w:tcW w:w="1386" w:type="dxa"/>
            <w:vAlign w:val="center"/>
          </w:tcPr>
          <w:p>
            <w:pPr>
              <w:pStyle w:val="40"/>
              <w:rPr>
                <w:kern w:val="0"/>
                <w:u w:val="single"/>
              </w:rPr>
            </w:pPr>
            <w:r>
              <w:rPr>
                <w:rFonts w:hint="eastAsia"/>
                <w:kern w:val="0"/>
                <w:u w:val="single"/>
              </w:rPr>
              <w:t>60</w:t>
            </w:r>
          </w:p>
        </w:tc>
        <w:tc>
          <w:tcPr>
            <w:tcW w:w="1256" w:type="dxa"/>
            <w:vAlign w:val="center"/>
          </w:tcPr>
          <w:p>
            <w:pPr>
              <w:pStyle w:val="40"/>
              <w:rPr>
                <w:kern w:val="0"/>
                <w:u w:val="single"/>
              </w:rPr>
            </w:pPr>
            <w:r>
              <w:rPr>
                <w:rFonts w:hint="eastAsia"/>
                <w:kern w:val="0"/>
                <w:u w:val="single"/>
              </w:rPr>
              <w:t>100</w:t>
            </w:r>
          </w:p>
        </w:tc>
        <w:tc>
          <w:tcPr>
            <w:tcW w:w="1516" w:type="dxa"/>
            <w:vAlign w:val="center"/>
          </w:tcPr>
          <w:p>
            <w:pPr>
              <w:pStyle w:val="40"/>
              <w:rPr>
                <w:kern w:val="0"/>
                <w:u w:val="single"/>
              </w:rPr>
            </w:pPr>
            <w:r>
              <w:rPr>
                <w:rFonts w:hint="eastAsia"/>
                <w:kern w:val="0"/>
                <w:u w:val="single"/>
              </w:rPr>
              <w:t>40</w:t>
            </w:r>
            <w:r>
              <w:rPr>
                <w:rFonts w:hint="eastAsia"/>
                <w:kern w:val="0"/>
                <w:u w:val="single"/>
                <w:vertAlign w:val="superscript"/>
              </w:rPr>
              <w:t>a</w:t>
            </w:r>
            <w:r>
              <w:rPr>
                <w:rFonts w:hint="eastAsia"/>
                <w:kern w:val="0"/>
                <w:u w:val="single"/>
              </w:rPr>
              <w:t>,15</w:t>
            </w:r>
            <w:r>
              <w:rPr>
                <w:rFonts w:hint="eastAsia"/>
                <w:kern w:val="0"/>
                <w:u w:val="single"/>
                <w:vertAlign w:val="superscript"/>
              </w:rPr>
              <w:t>b</w:t>
            </w:r>
          </w:p>
        </w:tc>
        <w:tc>
          <w:tcPr>
            <w:tcW w:w="1965" w:type="dxa"/>
            <w:vAlign w:val="center"/>
          </w:tcPr>
          <w:p>
            <w:pPr>
              <w:pStyle w:val="40"/>
              <w:rPr>
                <w:kern w:val="0"/>
                <w:u w:val="single"/>
              </w:rPr>
            </w:pPr>
            <w:r>
              <w:rPr>
                <w:rFonts w:hint="eastAsia"/>
                <w:kern w:val="0"/>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pPr>
              <w:pStyle w:val="40"/>
              <w:rPr>
                <w:kern w:val="0"/>
                <w:u w:val="single"/>
              </w:rPr>
            </w:pPr>
            <w:r>
              <w:rPr>
                <w:rFonts w:hint="eastAsia"/>
                <w:kern w:val="0"/>
                <w:u w:val="single"/>
              </w:rPr>
              <w:t>化学需氧量</w:t>
            </w:r>
          </w:p>
        </w:tc>
        <w:tc>
          <w:tcPr>
            <w:tcW w:w="1386" w:type="dxa"/>
            <w:vAlign w:val="center"/>
          </w:tcPr>
          <w:p>
            <w:pPr>
              <w:pStyle w:val="40"/>
              <w:rPr>
                <w:kern w:val="0"/>
                <w:u w:val="single"/>
              </w:rPr>
            </w:pPr>
            <w:r>
              <w:rPr>
                <w:rFonts w:hint="eastAsia"/>
                <w:kern w:val="0"/>
                <w:u w:val="single"/>
              </w:rPr>
              <w:t>150</w:t>
            </w:r>
          </w:p>
        </w:tc>
        <w:tc>
          <w:tcPr>
            <w:tcW w:w="1256" w:type="dxa"/>
            <w:vAlign w:val="center"/>
          </w:tcPr>
          <w:p>
            <w:pPr>
              <w:pStyle w:val="40"/>
              <w:rPr>
                <w:kern w:val="0"/>
                <w:u w:val="single"/>
              </w:rPr>
            </w:pPr>
            <w:r>
              <w:rPr>
                <w:rFonts w:hint="eastAsia"/>
                <w:kern w:val="0"/>
                <w:u w:val="single"/>
              </w:rPr>
              <w:t>200</w:t>
            </w:r>
          </w:p>
        </w:tc>
        <w:tc>
          <w:tcPr>
            <w:tcW w:w="1516" w:type="dxa"/>
            <w:vAlign w:val="center"/>
          </w:tcPr>
          <w:p>
            <w:pPr>
              <w:pStyle w:val="40"/>
              <w:rPr>
                <w:kern w:val="0"/>
                <w:u w:val="single"/>
              </w:rPr>
            </w:pPr>
            <w:r>
              <w:rPr>
                <w:rFonts w:hint="eastAsia"/>
                <w:kern w:val="0"/>
                <w:u w:val="single"/>
              </w:rPr>
              <w:t>100</w:t>
            </w:r>
            <w:r>
              <w:rPr>
                <w:rFonts w:hint="eastAsia"/>
                <w:kern w:val="0"/>
                <w:u w:val="single"/>
                <w:vertAlign w:val="superscript"/>
              </w:rPr>
              <w:t>a</w:t>
            </w:r>
            <w:r>
              <w:rPr>
                <w:rFonts w:hint="eastAsia"/>
                <w:kern w:val="0"/>
                <w:u w:val="single"/>
              </w:rPr>
              <w:t>,60</w:t>
            </w:r>
            <w:r>
              <w:rPr>
                <w:rFonts w:hint="eastAsia"/>
                <w:kern w:val="0"/>
                <w:u w:val="single"/>
                <w:vertAlign w:val="superscript"/>
              </w:rPr>
              <w:t>b</w:t>
            </w:r>
          </w:p>
        </w:tc>
        <w:tc>
          <w:tcPr>
            <w:tcW w:w="1965" w:type="dxa"/>
            <w:vAlign w:val="center"/>
          </w:tcPr>
          <w:p>
            <w:pPr>
              <w:pStyle w:val="40"/>
              <w:rPr>
                <w:kern w:val="0"/>
                <w:u w:val="single"/>
              </w:rPr>
            </w:pPr>
            <w:r>
              <w:rPr>
                <w:rFonts w:hint="eastAsia"/>
                <w:kern w:val="0"/>
                <w:u w:val="singl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99" w:type="dxa"/>
            <w:vAlign w:val="center"/>
          </w:tcPr>
          <w:p>
            <w:pPr>
              <w:pStyle w:val="40"/>
              <w:rPr>
                <w:kern w:val="0"/>
                <w:u w:val="single"/>
              </w:rPr>
            </w:pPr>
            <w:r>
              <w:rPr>
                <w:rFonts w:hint="eastAsia"/>
                <w:kern w:val="0"/>
                <w:u w:val="single"/>
              </w:rPr>
              <w:t>悬浮物</w:t>
            </w:r>
          </w:p>
        </w:tc>
        <w:tc>
          <w:tcPr>
            <w:tcW w:w="1386" w:type="dxa"/>
            <w:vAlign w:val="center"/>
          </w:tcPr>
          <w:p>
            <w:pPr>
              <w:pStyle w:val="40"/>
              <w:rPr>
                <w:kern w:val="0"/>
                <w:u w:val="single"/>
              </w:rPr>
            </w:pPr>
            <w:r>
              <w:rPr>
                <w:rFonts w:hint="eastAsia"/>
                <w:kern w:val="0"/>
                <w:u w:val="single"/>
              </w:rPr>
              <w:t>80</w:t>
            </w:r>
          </w:p>
        </w:tc>
        <w:tc>
          <w:tcPr>
            <w:tcW w:w="1256" w:type="dxa"/>
            <w:vAlign w:val="center"/>
          </w:tcPr>
          <w:p>
            <w:pPr>
              <w:pStyle w:val="40"/>
              <w:rPr>
                <w:kern w:val="0"/>
                <w:u w:val="single"/>
              </w:rPr>
            </w:pPr>
            <w:r>
              <w:rPr>
                <w:rFonts w:hint="eastAsia"/>
                <w:kern w:val="0"/>
                <w:u w:val="single"/>
              </w:rPr>
              <w:t>100</w:t>
            </w:r>
          </w:p>
        </w:tc>
        <w:tc>
          <w:tcPr>
            <w:tcW w:w="1516" w:type="dxa"/>
            <w:vAlign w:val="center"/>
          </w:tcPr>
          <w:p>
            <w:pPr>
              <w:pStyle w:val="40"/>
              <w:rPr>
                <w:kern w:val="0"/>
                <w:u w:val="single"/>
              </w:rPr>
            </w:pPr>
            <w:r>
              <w:rPr>
                <w:rFonts w:hint="eastAsia"/>
                <w:kern w:val="0"/>
                <w:u w:val="single"/>
              </w:rPr>
              <w:t>60</w:t>
            </w:r>
            <w:r>
              <w:rPr>
                <w:rFonts w:hint="eastAsia"/>
                <w:kern w:val="0"/>
                <w:u w:val="single"/>
                <w:vertAlign w:val="superscript"/>
              </w:rPr>
              <w:t>a</w:t>
            </w:r>
            <w:r>
              <w:rPr>
                <w:rFonts w:hint="eastAsia"/>
                <w:kern w:val="0"/>
                <w:u w:val="single"/>
              </w:rPr>
              <w:t>,15</w:t>
            </w:r>
            <w:r>
              <w:rPr>
                <w:rFonts w:hint="eastAsia"/>
                <w:kern w:val="0"/>
                <w:u w:val="single"/>
                <w:vertAlign w:val="superscript"/>
              </w:rPr>
              <w:t>b</w:t>
            </w:r>
          </w:p>
        </w:tc>
        <w:tc>
          <w:tcPr>
            <w:tcW w:w="1965" w:type="dxa"/>
            <w:vAlign w:val="center"/>
          </w:tcPr>
          <w:p>
            <w:pPr>
              <w:pStyle w:val="40"/>
              <w:rPr>
                <w:kern w:val="0"/>
                <w:u w:val="single"/>
              </w:rPr>
            </w:pPr>
            <w:r>
              <w:rPr>
                <w:rFonts w:hint="eastAsia"/>
                <w:kern w:val="0"/>
                <w:u w:val="singl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gridSpan w:val="5"/>
            <w:vAlign w:val="center"/>
          </w:tcPr>
          <w:p>
            <w:pPr>
              <w:pStyle w:val="40"/>
              <w:rPr>
                <w:kern w:val="0"/>
                <w:u w:val="single"/>
              </w:rPr>
            </w:pPr>
            <w:r>
              <w:rPr>
                <w:rFonts w:hint="eastAsia"/>
                <w:kern w:val="0"/>
                <w:u w:val="single"/>
              </w:rPr>
              <w:t>a 加工、烹调及去皮蔬菜；</w:t>
            </w:r>
            <w:r>
              <w:rPr>
                <w:rFonts w:hint="eastAsia"/>
                <w:sz w:val="24"/>
                <w:szCs w:val="24"/>
                <w:u w:val="single"/>
              </w:rPr>
              <w:t>b 生食类果蔬、瓜类和草本水果。</w:t>
            </w:r>
          </w:p>
        </w:tc>
      </w:tr>
    </w:tbl>
    <w:p>
      <w:pPr>
        <w:pStyle w:val="27"/>
        <w:ind w:firstLine="480"/>
        <w:rPr>
          <w:u w:val="single"/>
        </w:rPr>
      </w:pPr>
      <w:r>
        <w:rPr>
          <w:rFonts w:hint="eastAsia"/>
          <w:u w:val="single"/>
        </w:rPr>
        <w:t>根据分析，凤歧坪乡污水处理工程尾水正常排放的水质能够满足《农田灌溉水质标准》（GB5084-2005）标准，不会对周边农业用水产生不利影响。</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95" w:name="_Toc161250499"/>
      <w:r>
        <w:rPr>
          <w:rFonts w:hint="eastAsia"/>
        </w:rPr>
        <w:t>7水环境保护措施</w:t>
      </w:r>
      <w:bookmarkEnd w:id="95"/>
    </w:p>
    <w:p>
      <w:pPr>
        <w:pStyle w:val="32"/>
      </w:pPr>
      <w:bookmarkStart w:id="96" w:name="_Toc161250500"/>
      <w:r>
        <w:rPr>
          <w:rFonts w:hint="eastAsia"/>
        </w:rPr>
        <w:t>7</w:t>
      </w:r>
      <w:r>
        <w:t>.1</w:t>
      </w:r>
      <w:r>
        <w:rPr>
          <w:rFonts w:hint="eastAsia"/>
        </w:rPr>
        <w:t>水生态保护措施</w:t>
      </w:r>
      <w:bookmarkEnd w:id="96"/>
    </w:p>
    <w:p>
      <w:pPr>
        <w:pStyle w:val="35"/>
      </w:pPr>
      <w:bookmarkStart w:id="97" w:name="_Toc161250501"/>
      <w:r>
        <w:rPr>
          <w:rFonts w:hint="eastAsia"/>
        </w:rPr>
        <w:t>7</w:t>
      </w:r>
      <w:r>
        <w:t>.1.1</w:t>
      </w:r>
      <w:r>
        <w:rPr>
          <w:rFonts w:hint="eastAsia"/>
        </w:rPr>
        <w:t>水污染防治措施</w:t>
      </w:r>
      <w:bookmarkEnd w:id="97"/>
    </w:p>
    <w:p>
      <w:pPr>
        <w:pStyle w:val="27"/>
        <w:ind w:firstLine="480"/>
      </w:pPr>
      <w:r>
        <w:t>为了保证污水得到有效处理，实现污水达标排放，避免工程运行期间出现污水非正常排放，或将非正常排放损失降至最低，提出以下水污染防治措施：</w:t>
      </w:r>
    </w:p>
    <w:p>
      <w:pPr>
        <w:pStyle w:val="27"/>
        <w:ind w:firstLine="480"/>
      </w:pPr>
      <w:r>
        <w:rPr>
          <w:rFonts w:hint="eastAsia"/>
        </w:rPr>
        <w:t>①</w:t>
      </w:r>
      <w:r>
        <w:t>加强对各类机械设备定期检查、维护和管理，同时配备必要的备用设备， 当设备出现运转故障时及时更换，以减少事故的隐患。</w:t>
      </w:r>
    </w:p>
    <w:p>
      <w:pPr>
        <w:pStyle w:val="27"/>
        <w:ind w:firstLine="480"/>
      </w:pPr>
      <w:r>
        <w:rPr>
          <w:rFonts w:hint="eastAsia"/>
        </w:rPr>
        <w:t>②</w:t>
      </w:r>
      <w:r>
        <w:t>污水处理厂及泵站要采用双回路供电，防止因停电造成的运转事故。</w:t>
      </w:r>
    </w:p>
    <w:p>
      <w:pPr>
        <w:pStyle w:val="27"/>
        <w:ind w:firstLine="480"/>
      </w:pPr>
      <w:r>
        <w:rPr>
          <w:rFonts w:hint="eastAsia"/>
        </w:rPr>
        <w:t>③</w:t>
      </w:r>
      <w:r>
        <w:t>对污水处理设施的运转情况要及时监测，确保处理装置正常高效运转，对进水和出水水质要定期监测，根据不同的水质水量及时调整处理单元的运转参数，以保证最佳的处理效率。</w:t>
      </w:r>
    </w:p>
    <w:p>
      <w:pPr>
        <w:pStyle w:val="27"/>
        <w:ind w:firstLine="480"/>
      </w:pPr>
      <w:r>
        <w:rPr>
          <w:rFonts w:hint="eastAsia"/>
        </w:rPr>
        <w:t>④</w:t>
      </w:r>
      <w:r>
        <w:t>污水处理厂区应设立标准排放井并安装在线监测系统，以时刻监控和预防事故性排放发生，并方便环保管理部门的监督管理。</w:t>
      </w:r>
    </w:p>
    <w:p>
      <w:pPr>
        <w:pStyle w:val="27"/>
        <w:ind w:firstLine="480"/>
      </w:pPr>
      <w:r>
        <w:rPr>
          <w:rFonts w:hint="eastAsia"/>
        </w:rPr>
        <w:t>⑤</w:t>
      </w:r>
      <w:r>
        <w:t>污水处理厂扩大调节池容积，防止非正常情况下污水的外排，建立污水处理厂与工业集中区排污企业非正常排放联动机制，应将事故废水排入各企业自建事故池中，避免污水处理厂废水超标排放。</w:t>
      </w:r>
    </w:p>
    <w:p>
      <w:pPr>
        <w:pStyle w:val="35"/>
      </w:pPr>
      <w:bookmarkStart w:id="98" w:name="_Toc161250502"/>
      <w:r>
        <w:rPr>
          <w:rFonts w:hint="eastAsia"/>
        </w:rPr>
        <w:t>7</w:t>
      </w:r>
      <w:r>
        <w:t>.1.2</w:t>
      </w:r>
      <w:r>
        <w:rPr>
          <w:rFonts w:hint="eastAsia"/>
        </w:rPr>
        <w:t>水质监测</w:t>
      </w:r>
      <w:bookmarkEnd w:id="98"/>
    </w:p>
    <w:p>
      <w:pPr>
        <w:pStyle w:val="27"/>
        <w:ind w:firstLine="480"/>
      </w:pPr>
      <w:r>
        <w:t>（1）加强水功能区监督管理</w:t>
      </w:r>
    </w:p>
    <w:p>
      <w:pPr>
        <w:pStyle w:val="27"/>
        <w:ind w:firstLine="480"/>
      </w:pPr>
      <w:r>
        <w:t>加强水功能区水质监测工作，及时了解水功能区内的水环境状况，依照相关</w:t>
      </w:r>
      <w:r>
        <w:rPr>
          <w:spacing w:val="-5"/>
        </w:rPr>
        <w:t>法律由地方水行政主管部门或者流域机构管理部门加强监督管理，确保达到水功</w:t>
      </w:r>
      <w:r>
        <w:t>能区管理目标</w:t>
      </w:r>
      <w:r>
        <w:rPr>
          <w:rFonts w:hint="eastAsia"/>
        </w:rPr>
        <w:t>。</w:t>
      </w:r>
    </w:p>
    <w:p>
      <w:pPr>
        <w:pStyle w:val="27"/>
        <w:ind w:firstLine="480"/>
      </w:pPr>
      <w:r>
        <w:t>（2）建立水环境监测与报告制度</w:t>
      </w:r>
    </w:p>
    <w:p>
      <w:pPr>
        <w:pStyle w:val="27"/>
        <w:ind w:firstLine="480"/>
      </w:pPr>
      <w:r>
        <w:t>本项目在设计、施工、运行中，应根据国家的环境保护政策，将水环境的监测作为重要内容。为保护水资源，一是要在工程建设中，把环境保护的硬件设施建设好；二是加强水资源保护的宣传，加强水法规定的宣传，提高企业全员水资源保护的意识，保证工程建成后，环境保护工作能按设计方案运行</w:t>
      </w:r>
      <w:r>
        <w:rPr>
          <w:rFonts w:hint="eastAsia"/>
        </w:rPr>
        <w:t>。</w:t>
      </w:r>
    </w:p>
    <w:p>
      <w:pPr>
        <w:pStyle w:val="27"/>
        <w:ind w:firstLine="480"/>
      </w:pPr>
      <w:r>
        <w:t>工程建成投产后，应加强进水口、排水口水质与水量的监测，实时监控进水、排水水量及水质，并按水法的要求定期向水行政主管部门报告</w:t>
      </w:r>
      <w:r>
        <w:rPr>
          <w:rFonts w:hint="eastAsia"/>
        </w:rPr>
        <w:t>出水水质</w:t>
      </w:r>
      <w:r>
        <w:t>、水量及水污染物排放状况。具体包括以下两方面：</w:t>
      </w:r>
    </w:p>
    <w:p>
      <w:pPr>
        <w:pStyle w:val="27"/>
        <w:ind w:firstLine="480"/>
      </w:pPr>
      <w:r>
        <w:t>1）建立环境监测制度</w:t>
      </w:r>
    </w:p>
    <w:p>
      <w:pPr>
        <w:pStyle w:val="27"/>
        <w:ind w:firstLine="480"/>
      </w:pPr>
      <w:r>
        <w:t>污水处理厂应设置化验室，并配备齐全的化验设备，建立环境监测制度，对各处理设施的进水、出水流量及污染物浓度、污泥浓度等进行监测，确保污水处理效果及达标排放。</w:t>
      </w:r>
    </w:p>
    <w:p>
      <w:pPr>
        <w:pStyle w:val="27"/>
        <w:ind w:firstLine="480"/>
      </w:pPr>
      <w:r>
        <w:rPr>
          <w:rFonts w:eastAsia="Times New Roman"/>
        </w:rPr>
        <w:t>2</w:t>
      </w:r>
      <w:r>
        <w:t>）水环境监测计划</w:t>
      </w:r>
    </w:p>
    <w:p>
      <w:pPr>
        <w:pStyle w:val="27"/>
        <w:ind w:firstLine="480"/>
      </w:pPr>
      <w:r>
        <w:t>为了有效地控制废污水排放，需按月进行定期常规监测统计，不仅要对总排污口的污染物</w:t>
      </w:r>
      <w:r>
        <w:rPr>
          <w:rFonts w:hint="eastAsia"/>
        </w:rPr>
        <w:t>（</w:t>
      </w:r>
      <w:r>
        <w:t>如</w:t>
      </w:r>
      <w:r>
        <w:rPr>
          <w:rFonts w:eastAsia="Times New Roman"/>
        </w:rPr>
        <w:t>pH</w:t>
      </w:r>
      <w:r>
        <w:t>、</w:t>
      </w:r>
      <w:r>
        <w:rPr>
          <w:rFonts w:eastAsia="Times New Roman"/>
        </w:rPr>
        <w:t>COD</w:t>
      </w:r>
      <w:r>
        <w:t>、</w:t>
      </w:r>
      <w:r>
        <w:rPr>
          <w:rFonts w:eastAsia="Times New Roman"/>
        </w:rPr>
        <w:t>BOD</w:t>
      </w:r>
      <w:r>
        <w:rPr>
          <w:rFonts w:eastAsia="Times New Roman"/>
          <w:vertAlign w:val="subscript"/>
        </w:rPr>
        <w:t>5</w:t>
      </w:r>
      <w:r>
        <w:t>、</w:t>
      </w:r>
      <w:r>
        <w:rPr>
          <w:rFonts w:eastAsia="Times New Roman"/>
        </w:rPr>
        <w:t>SS</w:t>
      </w:r>
      <w:r>
        <w:rPr>
          <w:rFonts w:hint="eastAsia"/>
        </w:rPr>
        <w:t>）</w:t>
      </w:r>
      <w:r>
        <w:t>浓度和流量进行监测，而且进水口废污水的流量和浓度也要进行监测，各监测项目的监测方法、手段、频次等均按国家有关规定进行。</w:t>
      </w:r>
    </w:p>
    <w:p>
      <w:pPr>
        <w:pStyle w:val="27"/>
        <w:ind w:firstLine="480"/>
      </w:pPr>
      <w:r>
        <w:t>为了便于项目建成后采集水样，在项目设计时预设采样口，采样口设置要有利于废水的流量测量，采样时记录生产运行的工况。</w:t>
      </w:r>
    </w:p>
    <w:p>
      <w:pPr>
        <w:pStyle w:val="32"/>
      </w:pPr>
      <w:bookmarkStart w:id="99" w:name="_Toc161250503"/>
      <w:r>
        <w:rPr>
          <w:rFonts w:hint="eastAsia"/>
        </w:rPr>
        <w:t>7</w:t>
      </w:r>
      <w:r>
        <w:t>.2</w:t>
      </w:r>
      <w:r>
        <w:rPr>
          <w:rFonts w:hint="eastAsia"/>
        </w:rPr>
        <w:t>事故排污时应急措施</w:t>
      </w:r>
      <w:bookmarkEnd w:id="99"/>
    </w:p>
    <w:p>
      <w:pPr>
        <w:pStyle w:val="35"/>
      </w:pPr>
      <w:bookmarkStart w:id="100" w:name="_Toc161250504"/>
      <w:r>
        <w:rPr>
          <w:rFonts w:hint="eastAsia"/>
        </w:rPr>
        <w:t>7</w:t>
      </w:r>
      <w:r>
        <w:t>.2.1</w:t>
      </w:r>
      <w:r>
        <w:rPr>
          <w:rFonts w:hint="eastAsia"/>
        </w:rPr>
        <w:t>事故预防措施</w:t>
      </w:r>
      <w:bookmarkEnd w:id="100"/>
    </w:p>
    <w:p>
      <w:pPr>
        <w:pStyle w:val="27"/>
        <w:ind w:firstLine="480"/>
      </w:pPr>
      <w:r>
        <w:rPr>
          <w:rFonts w:hint="eastAsia"/>
        </w:rPr>
        <w:t>本工程建成运行期间废水事故性排放的原因主要有以下：</w:t>
      </w:r>
    </w:p>
    <w:p>
      <w:pPr>
        <w:pStyle w:val="27"/>
        <w:ind w:firstLine="480"/>
      </w:pPr>
      <w:r>
        <w:rPr>
          <w:rFonts w:hint="eastAsia"/>
        </w:rPr>
        <w:t>（1）接管污水超出标准，导致活性污泥中毒后短期内无法恢复处理功能；</w:t>
      </w:r>
    </w:p>
    <w:p>
      <w:pPr>
        <w:pStyle w:val="27"/>
        <w:ind w:firstLine="480"/>
      </w:pPr>
      <w:r>
        <w:rPr>
          <w:rFonts w:hint="eastAsia"/>
        </w:rPr>
        <w:t>（2）停电事故和机械故障造成废污水无法正常处理；</w:t>
      </w:r>
    </w:p>
    <w:p>
      <w:pPr>
        <w:pStyle w:val="27"/>
        <w:ind w:firstLine="480"/>
      </w:pPr>
      <w:r>
        <w:rPr>
          <w:rFonts w:hint="eastAsia"/>
        </w:rPr>
        <w:t>（3）出于节省处理成本的违法直排；</w:t>
      </w:r>
    </w:p>
    <w:p>
      <w:pPr>
        <w:pStyle w:val="27"/>
        <w:ind w:firstLine="480"/>
      </w:pPr>
      <w:r>
        <w:rPr>
          <w:rFonts w:hint="eastAsia"/>
        </w:rPr>
        <w:t>（4）其他人为破坏造成的废污水泄漏事故；</w:t>
      </w:r>
    </w:p>
    <w:p>
      <w:pPr>
        <w:pStyle w:val="27"/>
        <w:ind w:firstLine="480"/>
      </w:pPr>
      <w:r>
        <w:rPr>
          <w:rFonts w:hint="eastAsia"/>
        </w:rPr>
        <w:t>（5）自然灾害原因；</w:t>
      </w:r>
    </w:p>
    <w:p>
      <w:pPr>
        <w:pStyle w:val="27"/>
        <w:ind w:firstLine="480"/>
      </w:pPr>
      <w:r>
        <w:rPr>
          <w:rFonts w:hint="eastAsia"/>
        </w:rPr>
        <w:t>（6）污水直接排放的影响，如出现这种风险，将在入河排污口下游产生一段污染带，对入河排污口下游水质产生较大影响。</w:t>
      </w:r>
    </w:p>
    <w:p>
      <w:pPr>
        <w:pStyle w:val="27"/>
        <w:ind w:firstLine="0" w:firstLineChars="0"/>
        <w:rPr>
          <w:b/>
          <w:bCs/>
          <w:u w:val="single"/>
        </w:rPr>
      </w:pPr>
      <w:bookmarkStart w:id="101" w:name="_Toc15413"/>
      <w:r>
        <w:rPr>
          <w:b/>
          <w:bCs/>
          <w:u w:val="single"/>
        </w:rPr>
        <w:t>7.2.1.1污水收集区域事故预防措施</w:t>
      </w:r>
      <w:bookmarkEnd w:id="101"/>
    </w:p>
    <w:p>
      <w:pPr>
        <w:pStyle w:val="27"/>
        <w:ind w:firstLine="480"/>
        <w:rPr>
          <w:u w:val="single"/>
        </w:rPr>
      </w:pPr>
      <w:r>
        <w:rPr>
          <w:u w:val="single"/>
        </w:rPr>
        <w:t>（1）在污水干管和支管设计中，要选择适当的最小设计流速和充满度，同时严禁固体废物排入管网，避免管道发生堵塞、破裂；</w:t>
      </w:r>
    </w:p>
    <w:p>
      <w:pPr>
        <w:pStyle w:val="27"/>
        <w:ind w:firstLine="480"/>
        <w:rPr>
          <w:u w:val="single"/>
        </w:rPr>
      </w:pPr>
      <w:r>
        <w:rPr>
          <w:u w:val="single"/>
        </w:rPr>
        <w:t>（2）污水收集管网</w:t>
      </w:r>
      <w:r>
        <w:rPr>
          <w:rFonts w:hint="eastAsia"/>
          <w:u w:val="single"/>
        </w:rPr>
        <w:t>必须</w:t>
      </w:r>
      <w:r>
        <w:rPr>
          <w:u w:val="single"/>
        </w:rPr>
        <w:t>采用符合国家标准和相关规定的合格材质，避免传输污水途中发生渗漏和外流，造成地下水及土壤的二次污染；</w:t>
      </w:r>
    </w:p>
    <w:p>
      <w:pPr>
        <w:pStyle w:val="27"/>
        <w:ind w:firstLine="480"/>
        <w:rPr>
          <w:u w:val="single"/>
        </w:rPr>
      </w:pPr>
      <w:r>
        <w:rPr>
          <w:u w:val="single"/>
        </w:rPr>
        <w:t>（3）未来计划接入污水处理厂进行处理的废水，应一同进行接入管网设计，且接入管网的的污染物排放浓度应不超出污水处理厂进水水质的设计标准；</w:t>
      </w:r>
    </w:p>
    <w:p>
      <w:pPr>
        <w:pStyle w:val="27"/>
        <w:ind w:firstLine="480"/>
        <w:rPr>
          <w:u w:val="single"/>
        </w:rPr>
      </w:pPr>
      <w:r>
        <w:rPr>
          <w:u w:val="single"/>
        </w:rPr>
        <w:t>（4）建立污水管网事故隐患排查和排水安全保障制度</w:t>
      </w:r>
      <w:r>
        <w:rPr>
          <w:rFonts w:hint="eastAsia"/>
          <w:u w:val="single"/>
        </w:rPr>
        <w:t>。</w:t>
      </w:r>
    </w:p>
    <w:p>
      <w:pPr>
        <w:pStyle w:val="27"/>
        <w:ind w:firstLine="0" w:firstLineChars="0"/>
        <w:rPr>
          <w:b/>
          <w:bCs/>
          <w:u w:val="single"/>
        </w:rPr>
      </w:pPr>
      <w:bookmarkStart w:id="102" w:name="_Toc19121"/>
      <w:r>
        <w:rPr>
          <w:b/>
          <w:bCs/>
          <w:u w:val="single"/>
        </w:rPr>
        <w:t>7.2.1.2</w:t>
      </w:r>
      <w:r>
        <w:rPr>
          <w:rFonts w:hint="eastAsia"/>
          <w:b/>
          <w:bCs/>
          <w:u w:val="single"/>
        </w:rPr>
        <w:t>污水处理厂设备运行事故预防措施</w:t>
      </w:r>
      <w:bookmarkEnd w:id="102"/>
    </w:p>
    <w:p>
      <w:pPr>
        <w:pStyle w:val="27"/>
        <w:ind w:firstLine="480"/>
        <w:rPr>
          <w:u w:val="single"/>
        </w:rPr>
      </w:pPr>
      <w:r>
        <w:rPr>
          <w:u w:val="single"/>
        </w:rPr>
        <w:t>（1）在设备选型时，应采用性能可靠的优质产品；</w:t>
      </w:r>
    </w:p>
    <w:p>
      <w:pPr>
        <w:pStyle w:val="27"/>
        <w:ind w:firstLine="480"/>
        <w:rPr>
          <w:u w:val="single"/>
        </w:rPr>
      </w:pPr>
      <w:r>
        <w:rPr>
          <w:u w:val="single"/>
        </w:rPr>
        <w:t>（2）对易发生故障的器械部件、水泵等，在设计中应考虑备用替换品；</w:t>
      </w:r>
    </w:p>
    <w:p>
      <w:pPr>
        <w:pStyle w:val="27"/>
        <w:ind w:firstLine="480"/>
        <w:rPr>
          <w:u w:val="single"/>
        </w:rPr>
      </w:pPr>
      <w:r>
        <w:rPr>
          <w:u w:val="single"/>
        </w:rPr>
        <w:t>（3）对于大型机械的易损坏零件，应有足够的备用件和替换件；</w:t>
      </w:r>
    </w:p>
    <w:p>
      <w:pPr>
        <w:pStyle w:val="27"/>
        <w:ind w:firstLine="480"/>
        <w:rPr>
          <w:u w:val="single"/>
        </w:rPr>
      </w:pPr>
      <w:r>
        <w:rPr>
          <w:u w:val="single"/>
        </w:rPr>
        <w:t>（4）加强污水处理厂内各种设备的维护、保养，确保各设备运行工况保持良好的运行状态，降低设备故障造成的风险影响；</w:t>
      </w:r>
    </w:p>
    <w:p>
      <w:pPr>
        <w:pStyle w:val="27"/>
        <w:ind w:firstLine="480"/>
        <w:rPr>
          <w:u w:val="single"/>
        </w:rPr>
      </w:pPr>
      <w:r>
        <w:rPr>
          <w:u w:val="single"/>
        </w:rPr>
        <w:t>（5）污水处理系统人为事故预防措施。加强工作人员职业操守、岗位技术、安全生产等培训，实行严格的管理制度和安全考核制度。</w:t>
      </w:r>
    </w:p>
    <w:p>
      <w:pPr>
        <w:pStyle w:val="27"/>
        <w:ind w:firstLine="480"/>
        <w:rPr>
          <w:u w:val="single"/>
        </w:rPr>
      </w:pPr>
      <w:r>
        <w:rPr>
          <w:u w:val="single"/>
        </w:rPr>
        <w:t>（6）建设完整的在线水质监测系统，对本工程运行状况、进水出水水质进行监测</w:t>
      </w:r>
      <w:r>
        <w:rPr>
          <w:rFonts w:hint="eastAsia"/>
          <w:u w:val="single"/>
        </w:rPr>
        <w:t>。</w:t>
      </w:r>
    </w:p>
    <w:p>
      <w:pPr>
        <w:pStyle w:val="27"/>
        <w:ind w:firstLine="480"/>
      </w:pPr>
      <w:r>
        <w:rPr>
          <w:rFonts w:hint="eastAsia"/>
          <w:u w:val="single"/>
        </w:rPr>
        <w:t>（7）</w:t>
      </w:r>
      <w:r>
        <w:rPr>
          <w:szCs w:val="24"/>
          <w:u w:val="single"/>
        </w:rPr>
        <w:t>加强环境应急物资配备要求</w:t>
      </w:r>
      <w:r>
        <w:rPr>
          <w:rFonts w:hint="eastAsia"/>
          <w:szCs w:val="24"/>
          <w:u w:val="single"/>
        </w:rPr>
        <w:t>。</w:t>
      </w:r>
    </w:p>
    <w:p>
      <w:pPr>
        <w:pStyle w:val="35"/>
      </w:pPr>
      <w:bookmarkStart w:id="103" w:name="_Toc161250505"/>
      <w:r>
        <w:rPr>
          <w:rFonts w:hint="eastAsia"/>
        </w:rPr>
        <w:t>7</w:t>
      </w:r>
      <w:r>
        <w:t>.2.2</w:t>
      </w:r>
      <w:r>
        <w:rPr>
          <w:rFonts w:hint="eastAsia"/>
        </w:rPr>
        <w:t>事故应急预案</w:t>
      </w:r>
      <w:bookmarkEnd w:id="103"/>
    </w:p>
    <w:p>
      <w:pPr>
        <w:pStyle w:val="27"/>
        <w:ind w:firstLine="480"/>
      </w:pPr>
      <w:r>
        <w:t>当污水处理厂事故不可避免的发生时，应立即启动制定的事故应急处置预案。为了积极应对可能发生的事故排污，建设单位应成立应急救援领导小组，制定《</w:t>
      </w:r>
      <w:r>
        <w:rPr>
          <w:rFonts w:hint="eastAsia"/>
        </w:rPr>
        <w:t>凤歧坪乡污水处理工程</w:t>
      </w:r>
      <w:r>
        <w:t>突发环境事件应急预案》，组建应急救援专业队伍，并组织训练和演练；检查、监督做好污水处理厂事故的预防措施和应急救援的各项准备工作、发布和接触应急救援指令。组织、指挥救援队伍，实施救援行动；向生态环境局、水利局和事故现场周边单位通报事故情况，必要时向有关单位发出救援指令；组织事故调查，对应急救援工作进行总结。具体内容如下。</w:t>
      </w:r>
    </w:p>
    <w:p>
      <w:pPr>
        <w:pStyle w:val="27"/>
        <w:ind w:firstLine="0" w:firstLineChars="0"/>
        <w:rPr>
          <w:b/>
          <w:bCs/>
        </w:rPr>
      </w:pPr>
      <w:bookmarkStart w:id="104" w:name="_Toc4935"/>
      <w:r>
        <w:rPr>
          <w:rFonts w:hint="eastAsia"/>
          <w:b/>
          <w:bCs/>
        </w:rPr>
        <w:t>7.2.2.1成立应急救援领导小组</w:t>
      </w:r>
      <w:bookmarkEnd w:id="104"/>
    </w:p>
    <w:p>
      <w:pPr>
        <w:pStyle w:val="27"/>
        <w:ind w:firstLine="480"/>
      </w:pPr>
      <w:r>
        <w:t>组建应急救援专业队伍，并组织训练和演练；检查、督促做好</w:t>
      </w:r>
      <w:r>
        <w:rPr>
          <w:rFonts w:hint="eastAsia"/>
        </w:rPr>
        <w:t>污水处理厂</w:t>
      </w:r>
      <w:r>
        <w:t>事故的预防措施和应急救援的各项准备工作；发布和解除应急救援指令；组织、指挥救援队伍，实施救援行动；向生态环境局、水利局和事故现场周边单位通报事故情况，必要时向有关单位发出救援指令；组织事故调查，对应急救援工作进行总结。应急救援领导小组内部做好人员分工。</w:t>
      </w:r>
    </w:p>
    <w:p>
      <w:pPr>
        <w:pStyle w:val="27"/>
        <w:ind w:firstLine="0" w:firstLineChars="0"/>
        <w:rPr>
          <w:b/>
          <w:bCs/>
        </w:rPr>
      </w:pPr>
      <w:bookmarkStart w:id="105" w:name="_Toc19908"/>
      <w:r>
        <w:rPr>
          <w:rFonts w:hint="eastAsia"/>
          <w:b/>
          <w:bCs/>
        </w:rPr>
        <w:t>7.2.2.2事故工程措施</w:t>
      </w:r>
      <w:bookmarkEnd w:id="105"/>
    </w:p>
    <w:p>
      <w:pPr>
        <w:pStyle w:val="27"/>
        <w:ind w:firstLine="480"/>
      </w:pPr>
      <w:bookmarkStart w:id="106" w:name="_Toc1270"/>
      <w:r>
        <w:t>1、进水水质超标现场处置措施</w:t>
      </w:r>
      <w:bookmarkEnd w:id="106"/>
    </w:p>
    <w:p>
      <w:pPr>
        <w:pStyle w:val="27"/>
        <w:ind w:firstLine="480"/>
      </w:pPr>
      <w:r>
        <w:rPr>
          <w:rFonts w:hint="eastAsia" w:ascii="宋体" w:hAnsi="宋体" w:cs="宋体"/>
        </w:rPr>
        <w:t>①</w:t>
      </w:r>
      <w:r>
        <w:t>突发或短时间进水超标</w:t>
      </w:r>
    </w:p>
    <w:p>
      <w:pPr>
        <w:pStyle w:val="27"/>
        <w:ind w:firstLine="480"/>
      </w:pPr>
      <w:r>
        <w:t>当突发或短时间进水水质超标时，应减少进水量，调整污水处理工艺，充分发挥</w:t>
      </w:r>
      <w:r>
        <w:rPr>
          <w:rFonts w:hint="eastAsia"/>
        </w:rPr>
        <w:t>污水处理厂</w:t>
      </w:r>
      <w:r>
        <w:t>所具有的能力，挖掘设施、工艺、设备的潜力，调整</w:t>
      </w:r>
      <w:r>
        <w:rPr>
          <w:rFonts w:hint="eastAsia"/>
        </w:rPr>
        <w:t>污水处理</w:t>
      </w:r>
      <w:r>
        <w:t>系统运行工况，延长设备的运行时间，必要时投运备用设备，采取一切措施，尽可能在不增加设施和设备的情况下消除由于进水水质超标而引起的对出水水质下降构成的威胁，满足污水排放标准要求。</w:t>
      </w:r>
    </w:p>
    <w:p>
      <w:pPr>
        <w:pStyle w:val="27"/>
        <w:ind w:firstLine="480"/>
      </w:pPr>
      <w:r>
        <w:t>配合环保监察部门，查找超标污水源，加大监管执行力度，从源头截流进入</w:t>
      </w:r>
      <w:r>
        <w:rPr>
          <w:rFonts w:hint="eastAsia"/>
        </w:rPr>
        <w:t>污水处理厂</w:t>
      </w:r>
      <w:r>
        <w:t>的超标污水。</w:t>
      </w:r>
    </w:p>
    <w:p>
      <w:pPr>
        <w:pStyle w:val="27"/>
        <w:ind w:firstLine="480"/>
      </w:pPr>
      <w:r>
        <w:rPr>
          <w:rFonts w:hint="eastAsia" w:ascii="宋体" w:hAnsi="宋体" w:cs="宋体"/>
        </w:rPr>
        <w:t>②</w:t>
      </w:r>
      <w:r>
        <w:t>非突发或非短时间进水超标</w:t>
      </w:r>
    </w:p>
    <w:p>
      <w:pPr>
        <w:pStyle w:val="27"/>
        <w:ind w:firstLine="480"/>
      </w:pPr>
      <w:r>
        <w:t>若</w:t>
      </w:r>
      <w:r>
        <w:rPr>
          <w:rFonts w:hint="eastAsia"/>
        </w:rPr>
        <w:t>污水处理厂</w:t>
      </w:r>
      <w:r>
        <w:t>进水水质持续超标，且</w:t>
      </w:r>
      <w:r>
        <w:rPr>
          <w:rFonts w:hint="eastAsia"/>
        </w:rPr>
        <w:t>污水处理厂</w:t>
      </w:r>
      <w:r>
        <w:t>的处理能力已经得到充分发挥，并采取了一切可能采取的措施，若</w:t>
      </w:r>
      <w:r>
        <w:rPr>
          <w:rFonts w:hint="eastAsia"/>
        </w:rPr>
        <w:t>污水处理厂</w:t>
      </w:r>
      <w:r>
        <w:t>所具备的条件仍不能满足由于进水水质超标而导致出水超标时，书面形式报给相关部门，并协助彻查进水水质超标的原因，拿出解决方案，确保进水能满足合同约定，以免损坏厂区内设备和生化系统，从而影响厂区的正常运营。</w:t>
      </w:r>
    </w:p>
    <w:p>
      <w:pPr>
        <w:pStyle w:val="27"/>
        <w:ind w:firstLine="480"/>
      </w:pPr>
      <w:bookmarkStart w:id="107" w:name="_Toc11228"/>
      <w:r>
        <w:t>2、停电设备故障等事故的现场处置</w:t>
      </w:r>
      <w:bookmarkEnd w:id="107"/>
    </w:p>
    <w:p>
      <w:pPr>
        <w:pStyle w:val="27"/>
        <w:ind w:firstLine="480"/>
      </w:pPr>
      <w:r>
        <w:t>污水处理厂供电系统设计双电源供电，当主线路停电时可开启自备发电机组，若两路电源均无法供电，采取以下处置措施：</w:t>
      </w:r>
    </w:p>
    <w:p>
      <w:pPr>
        <w:pStyle w:val="27"/>
        <w:ind w:firstLine="480"/>
      </w:pPr>
      <w:r>
        <w:t>（1）长时间停电将对生物菌种带来不良影响，可能引起微生物死亡、活性污泥量减少、污泥活性降低；为应对此种情况，来电后加大生化池的曝气量以保持活性污泥的活性，保证来电以后尽快的恢复运行。</w:t>
      </w:r>
    </w:p>
    <w:p>
      <w:pPr>
        <w:pStyle w:val="27"/>
        <w:ind w:firstLine="480"/>
      </w:pPr>
      <w:r>
        <w:t>（2）突然停电将使全厂有用电设备全部断电而很多设备开关仍然处于开启状态，一旦突然来电将可能引起设备损毁事故，为预防</w:t>
      </w:r>
      <w:r>
        <w:rPr>
          <w:rFonts w:hint="eastAsia"/>
        </w:rPr>
        <w:t>此类情况</w:t>
      </w:r>
      <w:r>
        <w:t>的发生，在停电后</w:t>
      </w:r>
      <w:r>
        <w:rPr>
          <w:rFonts w:hint="eastAsia"/>
        </w:rPr>
        <w:t>污水处理厂</w:t>
      </w:r>
      <w:r>
        <w:t>将及时对配电间进行倒闸，并及时将全</w:t>
      </w:r>
      <w:r>
        <w:rPr>
          <w:rFonts w:hint="eastAsia"/>
        </w:rPr>
        <w:t>厂</w:t>
      </w:r>
      <w:r>
        <w:t>所有设备开关打入停止状态，预防事故发生。</w:t>
      </w:r>
    </w:p>
    <w:p>
      <w:pPr>
        <w:pStyle w:val="27"/>
        <w:ind w:firstLine="480"/>
      </w:pPr>
      <w:r>
        <w:t>（3）停电，立即向突发环境事件应急机构、生态环境部门等部门汇报，并和供电公司及时联系送电情况。</w:t>
      </w:r>
    </w:p>
    <w:p>
      <w:pPr>
        <w:pStyle w:val="27"/>
        <w:ind w:firstLine="480"/>
      </w:pPr>
      <w:r>
        <w:t>（4）当发生大面积停电时，全厂的用电设备均无法正常工作，此时厂长应及时通知岗位运行人员对厂内的所有蓄水池进行人工观测水位，确保水池的容水能力；如有必要，应通知上游泵站停止进水；如仍不能解决问题应租借相应功率的发电机供电确保运行。</w:t>
      </w:r>
    </w:p>
    <w:p>
      <w:pPr>
        <w:pStyle w:val="27"/>
        <w:ind w:firstLine="480"/>
      </w:pPr>
      <w:r>
        <w:t>（5）来电后，按操作规程即刻开启设备，恢复运行。应保持停电信息与各污水泵站进行沟通，停电前，开启排水设备将管道内污水降至最低水平，以充分利用管网容积储水，送电后，立即开启水泵，通知泵站进水，恢复</w:t>
      </w:r>
      <w:r>
        <w:rPr>
          <w:rFonts w:hint="eastAsia"/>
        </w:rPr>
        <w:t>运营</w:t>
      </w:r>
      <w:r>
        <w:t>，同时，根据停电时间的长短及</w:t>
      </w:r>
      <w:r>
        <w:rPr>
          <w:rFonts w:hint="eastAsia"/>
        </w:rPr>
        <w:t>污水处理厂</w:t>
      </w:r>
      <w:r>
        <w:t>管网情况确定能够容纳停电期间入厂的污水，如不能，及时通知当地生态环境部门，提高上游排水企业的排污标准，实现达标排放。</w:t>
      </w:r>
    </w:p>
    <w:p>
      <w:pPr>
        <w:pStyle w:val="27"/>
        <w:ind w:firstLine="0" w:firstLineChars="0"/>
        <w:rPr>
          <w:b/>
          <w:bCs/>
        </w:rPr>
      </w:pPr>
      <w:bookmarkStart w:id="108" w:name="_Toc22411"/>
      <w:bookmarkStart w:id="109" w:name="_Toc25977"/>
      <w:r>
        <w:rPr>
          <w:rFonts w:hint="eastAsia"/>
          <w:b/>
          <w:bCs/>
        </w:rPr>
        <w:t>7.2.2.3风险事故防范对策及措施</w:t>
      </w:r>
      <w:bookmarkEnd w:id="108"/>
      <w:bookmarkEnd w:id="109"/>
    </w:p>
    <w:p>
      <w:pPr>
        <w:pStyle w:val="27"/>
        <w:ind w:firstLine="480"/>
        <w:rPr>
          <w:color w:val="000000"/>
        </w:rPr>
      </w:pPr>
      <w:r>
        <w:rPr>
          <w:color w:val="000000"/>
        </w:rPr>
        <w:t>（</w:t>
      </w:r>
      <w:r>
        <w:rPr>
          <w:rFonts w:hint="eastAsia"/>
          <w:color w:val="000000"/>
        </w:rPr>
        <w:t>1</w:t>
      </w:r>
      <w:r>
        <w:rPr>
          <w:color w:val="000000"/>
        </w:rPr>
        <w:t>）非正常污水排放的防护</w:t>
      </w:r>
    </w:p>
    <w:p>
      <w:pPr>
        <w:pStyle w:val="27"/>
        <w:ind w:firstLine="480"/>
      </w:pPr>
      <w:r>
        <w:t>项目建成后一旦发生事故，所收集的污水将不能达标排放，超标污水进入</w:t>
      </w:r>
      <w:r>
        <w:rPr>
          <w:rFonts w:hint="eastAsia"/>
        </w:rPr>
        <w:t>祁水</w:t>
      </w:r>
      <w:r>
        <w:t>势必造成河流污染，带来不利影响。针对这种情况提出了事故应急措施。</w:t>
      </w:r>
    </w:p>
    <w:p>
      <w:pPr>
        <w:pStyle w:val="27"/>
        <w:ind w:firstLine="480"/>
      </w:pPr>
      <w:r>
        <w:t>项目采用双路电源，设有一路备用电源，减少停电几率，并提高设备的备用率，以确保污水处理厂的正常运行。主要措施如下：</w:t>
      </w:r>
    </w:p>
    <w:p>
      <w:pPr>
        <w:pStyle w:val="27"/>
        <w:ind w:firstLine="480"/>
        <w:rPr>
          <w:u w:val="single"/>
        </w:rPr>
      </w:pPr>
      <w:r>
        <w:rPr>
          <w:u w:val="single"/>
        </w:rPr>
        <w:t>加强电站管理，保证供电设施及线路正常运行；加强输水管线的巡查，及时发现问题及时解决；建立污水处理厂运行管理和操作责任制度；搞好员工培训，建立技术考核档案，不合格者不得上岗；加强设备、设施的维护与管理，关键设备应有备机，保证电源双回路供电。</w:t>
      </w:r>
    </w:p>
    <w:p>
      <w:pPr>
        <w:pStyle w:val="27"/>
        <w:ind w:firstLine="480"/>
      </w:pPr>
      <w:r>
        <w:t>一旦发生事故，立即采取以下措施：</w:t>
      </w:r>
    </w:p>
    <w:p>
      <w:pPr>
        <w:pStyle w:val="27"/>
        <w:ind w:firstLine="480"/>
      </w:pPr>
      <w:r>
        <w:rPr>
          <w:rFonts w:hint="eastAsia" w:ascii="宋体" w:hAnsi="宋体" w:cs="宋体"/>
        </w:rPr>
        <w:t>①</w:t>
      </w:r>
      <w:r>
        <w:t>保证格栅和沉砂池正常运行，使进水中的SS和COD</w:t>
      </w:r>
      <w:r>
        <w:rPr>
          <w:rFonts w:hint="eastAsia"/>
        </w:rPr>
        <w:t>c</w:t>
      </w:r>
      <w:r>
        <w:t>r得到一定的削减；</w:t>
      </w:r>
    </w:p>
    <w:p>
      <w:pPr>
        <w:pStyle w:val="27"/>
        <w:ind w:firstLine="480"/>
      </w:pPr>
      <w:r>
        <w:rPr>
          <w:rFonts w:hint="eastAsia" w:ascii="宋体" w:hAnsi="宋体" w:cs="宋体"/>
        </w:rPr>
        <w:t>②</w:t>
      </w:r>
      <w:r>
        <w:t>从汇水系统查找原因，有关企事业单位采取应急措施，控制对微生物有毒害物质的排放量；</w:t>
      </w:r>
    </w:p>
    <w:p>
      <w:pPr>
        <w:pStyle w:val="27"/>
        <w:ind w:firstLine="480"/>
      </w:pPr>
      <w:r>
        <w:rPr>
          <w:rFonts w:hint="eastAsia" w:ascii="宋体" w:hAnsi="宋体" w:cs="宋体"/>
        </w:rPr>
        <w:t>③</w:t>
      </w:r>
      <w:r>
        <w:t>如一旦出现不可抗拒的外部原因，如双回路停电，突发性自然灾害等情况将导致污水未处理外排时，要求接管工厂部分或全部停止向管道排污，以确保水体功能安全；</w:t>
      </w:r>
    </w:p>
    <w:p>
      <w:pPr>
        <w:pStyle w:val="27"/>
        <w:ind w:firstLine="480"/>
      </w:pPr>
      <w:r>
        <w:rPr>
          <w:rFonts w:hint="eastAsia" w:ascii="宋体" w:hAnsi="宋体" w:cs="宋体"/>
        </w:rPr>
        <w:t>④</w:t>
      </w:r>
      <w:r>
        <w:t>在事故发生及处理期间，应在排放口附近水域悬挂标志示警，提醒各有关方面采取防范措施。</w:t>
      </w:r>
    </w:p>
    <w:p>
      <w:pPr>
        <w:pStyle w:val="27"/>
        <w:ind w:firstLine="480"/>
        <w:rPr>
          <w:color w:val="000000"/>
        </w:rPr>
      </w:pPr>
      <w:r>
        <w:rPr>
          <w:color w:val="000000"/>
        </w:rPr>
        <w:t>（</w:t>
      </w:r>
      <w:r>
        <w:rPr>
          <w:rFonts w:hint="eastAsia"/>
          <w:color w:val="000000"/>
        </w:rPr>
        <w:t>2</w:t>
      </w:r>
      <w:r>
        <w:rPr>
          <w:color w:val="000000"/>
        </w:rPr>
        <w:t>）暴雨对污水处理厂影响的预防措施</w:t>
      </w:r>
    </w:p>
    <w:p>
      <w:pPr>
        <w:pStyle w:val="27"/>
        <w:ind w:firstLine="480"/>
      </w:pPr>
      <w:r>
        <w:t>设计中要充分考虑到暴雨的影响，按国家有关规定，考虑设计年和校核年暴雨的影响。</w:t>
      </w:r>
    </w:p>
    <w:p>
      <w:pPr>
        <w:pStyle w:val="27"/>
        <w:ind w:firstLine="480"/>
      </w:pPr>
      <w:r>
        <w:t>（</w:t>
      </w:r>
      <w:r>
        <w:rPr>
          <w:rFonts w:hint="eastAsia"/>
        </w:rPr>
        <w:t>3</w:t>
      </w:r>
      <w:r>
        <w:t>）输水管道渗漏预防措施</w:t>
      </w:r>
    </w:p>
    <w:p>
      <w:pPr>
        <w:pStyle w:val="27"/>
        <w:ind w:firstLine="480"/>
      </w:pPr>
      <w:r>
        <w:t>施工过程中确定工程质量，做好污水输送管道的防渗措施。运行期定期检查，一旦发现管道渗漏及时修复。</w:t>
      </w:r>
    </w:p>
    <w:p>
      <w:pPr>
        <w:pStyle w:val="27"/>
        <w:ind w:firstLine="480"/>
      </w:pPr>
      <w:r>
        <w:rPr>
          <w:rFonts w:hint="eastAsia"/>
        </w:rPr>
        <w:t>（4）</w:t>
      </w:r>
      <w:r>
        <w:t>地下水应急处置和应急预案</w:t>
      </w:r>
    </w:p>
    <w:p>
      <w:pPr>
        <w:pStyle w:val="27"/>
        <w:ind w:firstLine="480"/>
      </w:pPr>
      <w:r>
        <w:t>在制定全厂安全管理体制的基础上，制订专门的地下水污染事故的应急措施，并应与其它应急预案相协调。</w:t>
      </w:r>
    </w:p>
    <w:p>
      <w:pPr>
        <w:pStyle w:val="27"/>
        <w:ind w:firstLine="480"/>
      </w:pPr>
      <w:r>
        <w:t>一旦发现地下水发生异常情况，必须按照应急预案马上采取紧急措施：</w:t>
      </w:r>
    </w:p>
    <w:p>
      <w:pPr>
        <w:pStyle w:val="27"/>
        <w:ind w:firstLine="480"/>
      </w:pPr>
      <w:r>
        <w:t>1）当确定发生地下水异常情况时，按照</w:t>
      </w:r>
      <w:r>
        <w:rPr>
          <w:rFonts w:hint="eastAsia"/>
        </w:rPr>
        <w:t>制定</w:t>
      </w:r>
      <w:r>
        <w:t>的地下水应急预案，在第一时间内尽快上报主管领导，通知当地</w:t>
      </w:r>
      <w:r>
        <w:rPr>
          <w:rFonts w:hint="eastAsia"/>
        </w:rPr>
        <w:t>生态环境</w:t>
      </w:r>
      <w:r>
        <w:t>局、附近居民等地下水用户，密切关注地下水水质变化情况。</w:t>
      </w:r>
    </w:p>
    <w:p>
      <w:pPr>
        <w:pStyle w:val="27"/>
        <w:ind w:firstLine="480"/>
      </w:pPr>
      <w:r>
        <w:t>2）组织专业队伍对事故现场进行调查、监测，查找环境事故发生地点、分析事故原因，尽量将紧急事件局部化，如可能应予以消除，采取包括切断生产装置或设施等措施，防止事故的扩散、蔓延及连锁反应，尽量缩小地下水污染事故的影响。</w:t>
      </w:r>
    </w:p>
    <w:p>
      <w:pPr>
        <w:pStyle w:val="27"/>
        <w:ind w:firstLine="480"/>
      </w:pPr>
      <w:r>
        <w:t>3）当通过监测发现对周围地下水造成污染时，根据观测井的反馈信息，控制污染区地下水流场，防止污染物扩散。</w:t>
      </w:r>
    </w:p>
    <w:p>
      <w:pPr>
        <w:pStyle w:val="27"/>
        <w:ind w:firstLine="480"/>
      </w:pPr>
      <w:r>
        <w:t>地下水排水系统是根据建设项目对地下水可能产生影响而采取的被动防范措施，是建设项目环境工程的重要组成部分。当地下水污染事件发生后，启动地下水排水应急系统，将会有效抑制污染物向下游扩散速度，控制污染范围，使地下水质量得到尽快恢复。</w:t>
      </w:r>
    </w:p>
    <w:p>
      <w:pPr>
        <w:pStyle w:val="27"/>
        <w:ind w:firstLine="480"/>
      </w:pPr>
      <w:r>
        <w:t>当发现地下水受到范围污染时，首先确定污染的大致范围。根据污染的范围，在污染区的下游位置布置应急排水井</w:t>
      </w:r>
      <w:r>
        <w:rPr>
          <w:rFonts w:hint="eastAsia"/>
        </w:rPr>
        <w:t>，</w:t>
      </w:r>
      <w:r>
        <w:t>抽</w:t>
      </w:r>
      <w:r>
        <w:rPr>
          <w:rFonts w:hint="eastAsia"/>
        </w:rPr>
        <w:t>入</w:t>
      </w:r>
      <w:r>
        <w:t>污水送污水处理厂集中处理。</w:t>
      </w:r>
    </w:p>
    <w:p>
      <w:pPr>
        <w:pStyle w:val="27"/>
        <w:ind w:firstLine="480"/>
      </w:pPr>
      <w:r>
        <w:t>4）对事故后果进行评估，并制定防止类似事件发生的措施。</w:t>
      </w:r>
    </w:p>
    <w:p>
      <w:pPr>
        <w:pStyle w:val="27"/>
        <w:ind w:firstLine="480"/>
      </w:pPr>
      <w:r>
        <w:t>5）如果自身力量无法应对污染事故，应立即请求社会应急力量协助处理。</w:t>
      </w:r>
    </w:p>
    <w:p>
      <w:pPr>
        <w:pStyle w:val="27"/>
        <w:ind w:firstLine="480"/>
      </w:pPr>
      <w:r>
        <w:t>综上所述，污水处理工程存在一定的环境风险，包括对附近水域的污染影响，在设计中应</w:t>
      </w:r>
      <w:r>
        <w:rPr>
          <w:rFonts w:hint="eastAsia"/>
        </w:rPr>
        <w:t>充分考虑</w:t>
      </w:r>
      <w:r>
        <w:t>可能的风险事故并采取必要的措施，在日常工作中加强管理，预防和及时处理风险事故，减少可能的环境影响及经济损失</w:t>
      </w:r>
      <w:r>
        <w:rPr>
          <w:rFonts w:hint="eastAsia"/>
        </w:rPr>
        <w:t>。</w:t>
      </w:r>
    </w:p>
    <w:p>
      <w:pPr>
        <w:pStyle w:val="27"/>
        <w:ind w:firstLine="480"/>
      </w:pPr>
    </w:p>
    <w:p>
      <w:pPr>
        <w:pStyle w:val="27"/>
        <w:ind w:firstLine="480"/>
        <w:sectPr>
          <w:pgSz w:w="11906" w:h="16838"/>
          <w:pgMar w:top="1440" w:right="1800" w:bottom="1440" w:left="1800" w:header="851" w:footer="992" w:gutter="0"/>
          <w:cols w:space="425" w:num="1"/>
          <w:docGrid w:type="lines" w:linePitch="312" w:charSpace="0"/>
        </w:sectPr>
      </w:pPr>
    </w:p>
    <w:p>
      <w:pPr>
        <w:pStyle w:val="29"/>
        <w:rPr>
          <w:u w:val="single"/>
        </w:rPr>
      </w:pPr>
      <w:bookmarkStart w:id="110" w:name="_Toc161250506"/>
      <w:r>
        <w:rPr>
          <w:rFonts w:hint="eastAsia"/>
          <w:u w:val="single"/>
        </w:rPr>
        <w:t>8入河排污口设置合理性分析</w:t>
      </w:r>
      <w:bookmarkEnd w:id="110"/>
    </w:p>
    <w:p>
      <w:pPr>
        <w:pStyle w:val="32"/>
        <w:rPr>
          <w:u w:val="single"/>
        </w:rPr>
      </w:pPr>
      <w:bookmarkStart w:id="111" w:name="_Toc161250507"/>
      <w:r>
        <w:rPr>
          <w:rFonts w:hint="eastAsia"/>
          <w:u w:val="single"/>
        </w:rPr>
        <w:t>8</w:t>
      </w:r>
      <w:r>
        <w:rPr>
          <w:u w:val="single"/>
        </w:rPr>
        <w:t>.1</w:t>
      </w:r>
      <w:r>
        <w:rPr>
          <w:rFonts w:hint="eastAsia"/>
          <w:u w:val="single"/>
        </w:rPr>
        <w:t>产业政策、水域管理、第三者权益相符性分析</w:t>
      </w:r>
      <w:bookmarkEnd w:id="111"/>
    </w:p>
    <w:p>
      <w:pPr>
        <w:pStyle w:val="35"/>
        <w:rPr>
          <w:u w:val="single"/>
        </w:rPr>
      </w:pPr>
      <w:bookmarkStart w:id="112" w:name="_Toc161250508"/>
      <w:r>
        <w:rPr>
          <w:rFonts w:hint="eastAsia"/>
          <w:u w:val="single"/>
        </w:rPr>
        <w:t>8</w:t>
      </w:r>
      <w:r>
        <w:rPr>
          <w:u w:val="single"/>
        </w:rPr>
        <w:t>.1.1</w:t>
      </w:r>
      <w:r>
        <w:rPr>
          <w:rFonts w:hint="eastAsia"/>
          <w:u w:val="single"/>
        </w:rPr>
        <w:t>产业政策符合性分析</w:t>
      </w:r>
      <w:bookmarkEnd w:id="112"/>
    </w:p>
    <w:p>
      <w:pPr>
        <w:pStyle w:val="27"/>
        <w:ind w:firstLine="480"/>
        <w:rPr>
          <w:u w:val="single"/>
        </w:rPr>
      </w:pPr>
      <w:r>
        <w:rPr>
          <w:szCs w:val="24"/>
          <w:u w:val="single"/>
        </w:rPr>
        <w:t>根据国家计委、经贸委2000年第7号令《当前国家重点鼓励发展的产业、产品和技术目录（2000年修订）》，本项目属于城市基础设施及房地产“城镇水资源、自来水、排水及污水处理工程”条目，符合国家产业政策。</w:t>
      </w:r>
    </w:p>
    <w:p>
      <w:pPr>
        <w:pStyle w:val="35"/>
        <w:rPr>
          <w:u w:val="single"/>
        </w:rPr>
      </w:pPr>
      <w:bookmarkStart w:id="113" w:name="_Toc161250509"/>
      <w:r>
        <w:rPr>
          <w:rFonts w:hint="eastAsia"/>
          <w:u w:val="single"/>
        </w:rPr>
        <w:t>8</w:t>
      </w:r>
      <w:r>
        <w:rPr>
          <w:u w:val="single"/>
        </w:rPr>
        <w:t>.1.2</w:t>
      </w:r>
      <w:r>
        <w:rPr>
          <w:rFonts w:hint="eastAsia"/>
          <w:u w:val="single"/>
        </w:rPr>
        <w:t>与水域管理相符性分析</w:t>
      </w:r>
      <w:bookmarkEnd w:id="113"/>
    </w:p>
    <w:p>
      <w:pPr>
        <w:pStyle w:val="27"/>
        <w:ind w:firstLine="480"/>
        <w:rPr>
          <w:u w:val="single"/>
        </w:rPr>
      </w:pPr>
      <w:r>
        <w:rPr>
          <w:szCs w:val="24"/>
          <w:u w:val="single"/>
        </w:rPr>
        <w:t>本次拟建排污口所在的</w:t>
      </w:r>
      <w:r>
        <w:rPr>
          <w:rFonts w:hint="eastAsia"/>
          <w:u w:val="single"/>
        </w:rPr>
        <w:t>祁水河段为渔业用水区</w:t>
      </w:r>
      <w:r>
        <w:rPr>
          <w:szCs w:val="24"/>
          <w:u w:val="single"/>
        </w:rPr>
        <w:t>，执行《地表水环境质量标准》（GB3838-2002）</w:t>
      </w:r>
      <w:r>
        <w:rPr>
          <w:rFonts w:hint="eastAsia" w:ascii="宋体" w:hAnsi="宋体" w:cs="宋体"/>
          <w:szCs w:val="24"/>
          <w:u w:val="single"/>
        </w:rPr>
        <w:t>Ⅲ类</w:t>
      </w:r>
      <w:r>
        <w:rPr>
          <w:szCs w:val="24"/>
          <w:u w:val="single"/>
        </w:rPr>
        <w:t>水质目标。正常排放下，CODcr、NH</w:t>
      </w:r>
      <w:r>
        <w:rPr>
          <w:szCs w:val="24"/>
          <w:u w:val="single"/>
          <w:vertAlign w:val="subscript"/>
        </w:rPr>
        <w:t>3</w:t>
      </w:r>
      <w:r>
        <w:rPr>
          <w:szCs w:val="24"/>
          <w:u w:val="single"/>
        </w:rPr>
        <w:t>-N预测结果满足《地表水环境质量标准》（GB3838-2002）</w:t>
      </w:r>
      <w:r>
        <w:rPr>
          <w:rFonts w:hint="eastAsia"/>
          <w:szCs w:val="24"/>
          <w:u w:val="single"/>
        </w:rPr>
        <w:t>Ⅲ类</w:t>
      </w:r>
      <w:r>
        <w:rPr>
          <w:szCs w:val="24"/>
          <w:u w:val="single"/>
        </w:rPr>
        <w:t>标准限值。排污口的设置不改变排污口所处水功能区及下游水功能的使用功能，也不影响相邻水功能区的使用</w:t>
      </w:r>
      <w:r>
        <w:rPr>
          <w:rFonts w:hint="eastAsia"/>
          <w:szCs w:val="24"/>
          <w:u w:val="single"/>
        </w:rPr>
        <w:t>。</w:t>
      </w:r>
    </w:p>
    <w:p>
      <w:pPr>
        <w:pStyle w:val="35"/>
        <w:rPr>
          <w:u w:val="single"/>
        </w:rPr>
      </w:pPr>
      <w:bookmarkStart w:id="114" w:name="_Toc161250510"/>
      <w:r>
        <w:rPr>
          <w:rFonts w:hint="eastAsia"/>
          <w:u w:val="single"/>
        </w:rPr>
        <w:t>8</w:t>
      </w:r>
      <w:r>
        <w:rPr>
          <w:u w:val="single"/>
        </w:rPr>
        <w:t>.1.3</w:t>
      </w:r>
      <w:r>
        <w:rPr>
          <w:rFonts w:hint="eastAsia"/>
          <w:u w:val="single"/>
        </w:rPr>
        <w:t>第三者权益的相符性分析</w:t>
      </w:r>
      <w:bookmarkEnd w:id="114"/>
    </w:p>
    <w:p>
      <w:pPr>
        <w:pStyle w:val="27"/>
        <w:ind w:firstLine="480"/>
        <w:rPr>
          <w:u w:val="single"/>
        </w:rPr>
      </w:pPr>
      <w:r>
        <w:rPr>
          <w:rFonts w:hint="eastAsia"/>
          <w:u w:val="single"/>
        </w:rPr>
        <w:t>本项目尾水排放路径为通过管道排入东侧灌溉渠，灌溉渠宽度仅2m，汇水面积较小，无需考虑泄洪防洪，尾水经灌溉渠15km后汇入祁水，</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r>
        <w:rPr>
          <w:rFonts w:hint="eastAsia"/>
          <w:u w:val="single"/>
        </w:rPr>
        <w:t>不会影响祁水行洪功能，符合防洪要求。</w:t>
      </w:r>
    </w:p>
    <w:p>
      <w:pPr>
        <w:pStyle w:val="27"/>
        <w:ind w:firstLine="480"/>
        <w:rPr>
          <w:u w:val="single"/>
        </w:rPr>
      </w:pPr>
      <w:r>
        <w:rPr>
          <w:rFonts w:hint="eastAsia"/>
          <w:u w:val="single"/>
        </w:rPr>
        <w:t>凤歧坪乡污水处理工程尾水正常排放的水质能够满足《农田灌溉水质标准》（GB5084-2005）标准，不会对周边农业用水产生不利影响。</w:t>
      </w:r>
    </w:p>
    <w:p>
      <w:pPr>
        <w:pStyle w:val="27"/>
        <w:ind w:firstLine="480"/>
        <w:rPr>
          <w:u w:val="single"/>
        </w:rPr>
      </w:pPr>
      <w:r>
        <w:rPr>
          <w:rFonts w:hint="eastAsia"/>
          <w:u w:val="single"/>
        </w:rPr>
        <w:t>综上所述，</w:t>
      </w:r>
      <w:r>
        <w:rPr>
          <w:rFonts w:hint="eastAsia"/>
          <w:szCs w:val="24"/>
          <w:u w:val="single"/>
        </w:rPr>
        <w:t>本入河排污口的设置对下游第三者权益的影响较小。</w:t>
      </w:r>
    </w:p>
    <w:p>
      <w:pPr>
        <w:pStyle w:val="32"/>
        <w:rPr>
          <w:u w:val="single"/>
        </w:rPr>
      </w:pPr>
      <w:bookmarkStart w:id="115" w:name="_Toc161250511"/>
      <w:r>
        <w:rPr>
          <w:rFonts w:hint="eastAsia"/>
          <w:u w:val="single"/>
        </w:rPr>
        <w:t>8</w:t>
      </w:r>
      <w:r>
        <w:rPr>
          <w:u w:val="single"/>
        </w:rPr>
        <w:t>.2</w:t>
      </w:r>
      <w:r>
        <w:rPr>
          <w:rFonts w:hint="eastAsia"/>
          <w:u w:val="single"/>
        </w:rPr>
        <w:t>入河排污口河段河床稳定性和防洪影响</w:t>
      </w:r>
      <w:bookmarkEnd w:id="115"/>
    </w:p>
    <w:p>
      <w:pPr>
        <w:pStyle w:val="27"/>
        <w:ind w:firstLine="480"/>
        <w:rPr>
          <w:u w:val="single"/>
        </w:rPr>
      </w:pP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p>
    <w:p>
      <w:pPr>
        <w:pStyle w:val="27"/>
        <w:ind w:firstLine="480"/>
        <w:rPr>
          <w:u w:val="single"/>
        </w:rPr>
      </w:pPr>
      <w:r>
        <w:rPr>
          <w:rFonts w:hint="eastAsia"/>
          <w:u w:val="single"/>
        </w:rPr>
        <w:t>本入河排污口规划流</w:t>
      </w:r>
      <w:r>
        <w:rPr>
          <w:u w:val="single"/>
        </w:rPr>
        <w:t>量为</w:t>
      </w:r>
      <w:r>
        <w:rPr>
          <w:rFonts w:hint="eastAsia"/>
          <w:u w:val="single"/>
        </w:rPr>
        <w:t>0.0069</w:t>
      </w:r>
      <w:r>
        <w:rPr>
          <w:u w:val="single"/>
        </w:rPr>
        <w:t>m</w:t>
      </w:r>
      <w:r>
        <w:rPr>
          <w:u w:val="single"/>
          <w:vertAlign w:val="superscript"/>
        </w:rPr>
        <w:t>3</w:t>
      </w:r>
      <w:r>
        <w:rPr>
          <w:u w:val="single"/>
        </w:rPr>
        <w:t>/s，不会对河床产生冲刷和淤积影响</w:t>
      </w:r>
      <w:r>
        <w:rPr>
          <w:rFonts w:hint="eastAsia"/>
          <w:u w:val="single"/>
        </w:rPr>
        <w:t>，</w:t>
      </w:r>
      <w:r>
        <w:rPr>
          <w:u w:val="single"/>
        </w:rPr>
        <w:t>基本不会对河流行洪及防洪产生影响，符合防洪要求。</w:t>
      </w:r>
    </w:p>
    <w:p>
      <w:pPr>
        <w:pStyle w:val="32"/>
        <w:rPr>
          <w:u w:val="single"/>
        </w:rPr>
      </w:pPr>
      <w:bookmarkStart w:id="116" w:name="_Toc161250512"/>
      <w:r>
        <w:rPr>
          <w:rFonts w:hint="eastAsia"/>
          <w:u w:val="single"/>
        </w:rPr>
        <w:t>8</w:t>
      </w:r>
      <w:r>
        <w:rPr>
          <w:u w:val="single"/>
        </w:rPr>
        <w:t>.3</w:t>
      </w:r>
      <w:r>
        <w:rPr>
          <w:rFonts w:hint="eastAsia"/>
          <w:u w:val="single"/>
        </w:rPr>
        <w:t>入河排污口设置合理性分析</w:t>
      </w:r>
      <w:bookmarkEnd w:id="116"/>
    </w:p>
    <w:p>
      <w:pPr>
        <w:pStyle w:val="27"/>
        <w:ind w:firstLine="480"/>
        <w:rPr>
          <w:u w:val="single"/>
        </w:rPr>
      </w:pPr>
      <w:r>
        <w:rPr>
          <w:rFonts w:hint="eastAsia"/>
          <w:u w:val="single"/>
        </w:rPr>
        <w:t>城镇污水处理厂本身就是治理水污染的环境治理工程，是城镇的基础设施建设，符合国家的产业政策。凤歧坪乡污水处理工程的建设可有效的减轻对灌溉渠及祁水的污染，从而改善区域的水环境；</w:t>
      </w:r>
      <w:r>
        <w:rPr>
          <w:u w:val="single"/>
        </w:rPr>
        <w:t>本入河排污口位置、排放浓度和总量符合《水污染防治行动计划》、《入河排污口监督管理办法》、《地表水环境质量标准》（GB3838-2002）的要求，</w:t>
      </w:r>
      <w:r>
        <w:rPr>
          <w:rFonts w:hint="eastAsia"/>
          <w:u w:val="single"/>
        </w:rPr>
        <w:t>正常情况下本入河排污口不会对水功能区（水域）水质造成影响，对第三者影响较小。因此，凤歧坪乡污水处理工程生活污水入河排污口设置可行，入河排污口设置方案合理。</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117" w:name="_Toc161250513"/>
      <w:r>
        <w:rPr>
          <w:rFonts w:hint="eastAsia"/>
        </w:rPr>
        <w:t>9论证结论与建议</w:t>
      </w:r>
      <w:bookmarkEnd w:id="117"/>
    </w:p>
    <w:p>
      <w:pPr>
        <w:pStyle w:val="32"/>
      </w:pPr>
      <w:bookmarkStart w:id="118" w:name="_Toc161250514"/>
      <w:r>
        <w:rPr>
          <w:rFonts w:hint="eastAsia"/>
        </w:rPr>
        <w:t>9</w:t>
      </w:r>
      <w:r>
        <w:t>.1</w:t>
      </w:r>
      <w:r>
        <w:rPr>
          <w:rFonts w:hint="eastAsia"/>
        </w:rPr>
        <w:t>论证结论</w:t>
      </w:r>
      <w:bookmarkEnd w:id="118"/>
    </w:p>
    <w:p>
      <w:pPr>
        <w:pStyle w:val="35"/>
      </w:pPr>
      <w:bookmarkStart w:id="119" w:name="_Toc161250515"/>
      <w:r>
        <w:rPr>
          <w:rFonts w:hint="eastAsia"/>
        </w:rPr>
        <w:t>9</w:t>
      </w:r>
      <w:r>
        <w:t>.1.1</w:t>
      </w:r>
      <w:r>
        <w:rPr>
          <w:rFonts w:hint="eastAsia"/>
        </w:rPr>
        <w:t>入河排污口基本情况</w:t>
      </w:r>
      <w:bookmarkEnd w:id="119"/>
    </w:p>
    <w:p>
      <w:pPr>
        <w:pStyle w:val="27"/>
        <w:ind w:firstLine="480"/>
      </w:pPr>
      <w:r>
        <w:rPr>
          <w:rFonts w:hint="eastAsia"/>
        </w:rPr>
        <w:t>项目名称：凤歧坪乡污水处理工程</w:t>
      </w:r>
    </w:p>
    <w:p>
      <w:pPr>
        <w:pStyle w:val="27"/>
        <w:ind w:firstLine="480"/>
        <w:rPr>
          <w:szCs w:val="24"/>
        </w:rPr>
      </w:pPr>
      <w:r>
        <w:rPr>
          <w:rFonts w:hAnsi="宋体"/>
          <w:szCs w:val="24"/>
        </w:rPr>
        <w:t>建设性质：新建；</w:t>
      </w:r>
    </w:p>
    <w:p>
      <w:pPr>
        <w:pStyle w:val="27"/>
        <w:ind w:firstLine="480"/>
        <w:rPr>
          <w:szCs w:val="24"/>
        </w:rPr>
      </w:pPr>
      <w:r>
        <w:rPr>
          <w:rFonts w:hAnsi="宋体"/>
          <w:szCs w:val="24"/>
        </w:rPr>
        <w:t>建设单位：</w:t>
      </w:r>
      <w:r>
        <w:rPr>
          <w:rFonts w:hint="eastAsia"/>
        </w:rPr>
        <w:t>祁东县住房和城乡建设局</w:t>
      </w:r>
      <w:r>
        <w:rPr>
          <w:rFonts w:hAnsi="宋体"/>
          <w:szCs w:val="24"/>
        </w:rPr>
        <w:t>；</w:t>
      </w:r>
    </w:p>
    <w:p>
      <w:pPr>
        <w:pStyle w:val="27"/>
        <w:ind w:firstLine="480"/>
        <w:rPr>
          <w:rFonts w:hAnsi="宋体"/>
          <w:szCs w:val="24"/>
        </w:rPr>
      </w:pPr>
      <w:r>
        <w:rPr>
          <w:rFonts w:hAnsi="宋体"/>
        </w:rPr>
        <w:t>建设地点：</w:t>
      </w:r>
      <w:r>
        <w:rPr>
          <w:rFonts w:hint="eastAsia"/>
        </w:rPr>
        <w:t>凤歧坪乡凤歧坪村（地理位置详见附图1）</w:t>
      </w:r>
      <w:r>
        <w:rPr>
          <w:rFonts w:hAnsi="宋体"/>
          <w:szCs w:val="24"/>
        </w:rPr>
        <w:t>；</w:t>
      </w:r>
    </w:p>
    <w:p>
      <w:pPr>
        <w:pStyle w:val="27"/>
        <w:ind w:firstLine="480"/>
        <w:rPr>
          <w:rFonts w:hAnsi="宋体"/>
          <w:szCs w:val="24"/>
        </w:rPr>
      </w:pPr>
      <w:r>
        <w:rPr>
          <w:rFonts w:hAnsi="宋体"/>
          <w:szCs w:val="24"/>
        </w:rPr>
        <w:t>建设内容：建设</w:t>
      </w:r>
      <w:r>
        <w:rPr>
          <w:rFonts w:hint="eastAsia" w:hAnsi="宋体"/>
          <w:szCs w:val="24"/>
        </w:rPr>
        <w:t>凤歧坪乡污水处理</w:t>
      </w:r>
      <w:r>
        <w:rPr>
          <w:rFonts w:hAnsi="宋体"/>
          <w:szCs w:val="24"/>
        </w:rPr>
        <w:t>主体工程及污水收集</w:t>
      </w:r>
      <w:r>
        <w:rPr>
          <w:rFonts w:hint="eastAsia" w:hAnsi="宋体"/>
          <w:szCs w:val="24"/>
        </w:rPr>
        <w:t>专管</w:t>
      </w:r>
      <w:r>
        <w:rPr>
          <w:rFonts w:hAnsi="宋体"/>
          <w:szCs w:val="24"/>
        </w:rPr>
        <w:t>工程</w:t>
      </w:r>
      <w:r>
        <w:rPr>
          <w:rFonts w:hint="eastAsia" w:hAnsi="宋体"/>
          <w:szCs w:val="24"/>
        </w:rPr>
        <w:t>。</w:t>
      </w:r>
    </w:p>
    <w:p>
      <w:pPr>
        <w:pStyle w:val="27"/>
        <w:ind w:firstLine="480"/>
        <w:rPr>
          <w:rFonts w:hAnsi="宋体"/>
          <w:szCs w:val="24"/>
        </w:rPr>
      </w:pPr>
      <w:r>
        <w:rPr>
          <w:rFonts w:hAnsi="宋体"/>
          <w:szCs w:val="24"/>
          <w:u w:val="single"/>
        </w:rPr>
        <w:t>建设规模：项目</w:t>
      </w:r>
      <w:r>
        <w:rPr>
          <w:rFonts w:hint="eastAsia" w:hAnsi="宋体" w:cs="Calibri"/>
          <w:szCs w:val="24"/>
          <w:u w:val="single"/>
        </w:rPr>
        <w:t>占</w:t>
      </w:r>
      <w:r>
        <w:rPr>
          <w:rFonts w:hAnsi="宋体"/>
          <w:szCs w:val="24"/>
          <w:u w:val="single"/>
        </w:rPr>
        <w:t>地面积</w:t>
      </w:r>
      <w:r>
        <w:rPr>
          <w:rFonts w:hint="eastAsia" w:cs="Calibri"/>
          <w:szCs w:val="24"/>
          <w:u w:val="single"/>
        </w:rPr>
        <w:t>1352.0</w:t>
      </w:r>
      <w:r>
        <w:rPr>
          <w:szCs w:val="24"/>
          <w:u w:val="single"/>
        </w:rPr>
        <w:t>m</w:t>
      </w:r>
      <w:r>
        <w:rPr>
          <w:szCs w:val="24"/>
          <w:u w:val="single"/>
          <w:vertAlign w:val="superscript"/>
        </w:rPr>
        <w:t>2</w:t>
      </w:r>
      <w:r>
        <w:rPr>
          <w:rFonts w:hAnsi="宋体"/>
          <w:szCs w:val="24"/>
          <w:u w:val="single"/>
        </w:rPr>
        <w:t>，</w:t>
      </w:r>
      <w:r>
        <w:rPr>
          <w:rFonts w:hint="eastAsia" w:hAnsi="宋体"/>
          <w:szCs w:val="24"/>
          <w:u w:val="single"/>
        </w:rPr>
        <w:t>近期</w:t>
      </w:r>
      <w:r>
        <w:rPr>
          <w:rFonts w:hint="eastAsia" w:hAnsi="宋体" w:cs="Calibri"/>
          <w:szCs w:val="24"/>
          <w:u w:val="single"/>
        </w:rPr>
        <w:t>污水处理</w:t>
      </w:r>
      <w:r>
        <w:rPr>
          <w:rFonts w:hAnsi="宋体"/>
          <w:szCs w:val="24"/>
          <w:u w:val="single"/>
        </w:rPr>
        <w:t>规模为</w:t>
      </w:r>
      <w:r>
        <w:rPr>
          <w:rFonts w:hint="eastAsia" w:cs="Calibri"/>
          <w:szCs w:val="24"/>
          <w:u w:val="single"/>
        </w:rPr>
        <w:t>100</w:t>
      </w:r>
      <w:r>
        <w:rPr>
          <w:szCs w:val="24"/>
          <w:u w:val="single"/>
        </w:rPr>
        <w:t>m</w:t>
      </w:r>
      <w:r>
        <w:rPr>
          <w:szCs w:val="24"/>
          <w:u w:val="single"/>
          <w:vertAlign w:val="superscript"/>
        </w:rPr>
        <w:t>3</w:t>
      </w:r>
      <w:r>
        <w:rPr>
          <w:szCs w:val="24"/>
          <w:u w:val="single"/>
        </w:rPr>
        <w:t>/d</w:t>
      </w:r>
      <w:r>
        <w:rPr>
          <w:rFonts w:hint="eastAsia" w:hAnsi="宋体"/>
          <w:szCs w:val="24"/>
          <w:u w:val="single"/>
        </w:rPr>
        <w:t>，远期</w:t>
      </w:r>
      <w:r>
        <w:rPr>
          <w:rFonts w:hint="eastAsia" w:hAnsi="宋体" w:cs="Calibri"/>
          <w:szCs w:val="24"/>
          <w:u w:val="single"/>
        </w:rPr>
        <w:t>污水处理</w:t>
      </w:r>
      <w:r>
        <w:rPr>
          <w:rFonts w:hAnsi="宋体"/>
          <w:szCs w:val="24"/>
          <w:u w:val="single"/>
        </w:rPr>
        <w:t>规模为</w:t>
      </w:r>
      <w:r>
        <w:rPr>
          <w:rFonts w:hint="eastAsia" w:cs="Calibri"/>
          <w:szCs w:val="24"/>
          <w:u w:val="single"/>
        </w:rPr>
        <w:t>600</w:t>
      </w:r>
      <w:r>
        <w:rPr>
          <w:szCs w:val="24"/>
          <w:u w:val="single"/>
        </w:rPr>
        <w:t>m</w:t>
      </w:r>
      <w:r>
        <w:rPr>
          <w:szCs w:val="24"/>
          <w:u w:val="single"/>
          <w:vertAlign w:val="superscript"/>
        </w:rPr>
        <w:t>3</w:t>
      </w:r>
      <w:r>
        <w:rPr>
          <w:szCs w:val="24"/>
          <w:u w:val="single"/>
        </w:rPr>
        <w:t>/d</w:t>
      </w:r>
      <w:r>
        <w:rPr>
          <w:rFonts w:hint="eastAsia" w:hAnsi="宋体" w:cs="Calibri"/>
          <w:szCs w:val="24"/>
          <w:u w:val="single"/>
        </w:rPr>
        <w:t>，配套修建管网2237</w:t>
      </w:r>
      <w:r>
        <w:rPr>
          <w:rFonts w:hint="eastAsia"/>
          <w:kern w:val="0"/>
          <w:szCs w:val="24"/>
          <w:u w:val="single"/>
        </w:rPr>
        <w:t>m</w:t>
      </w:r>
      <w:r>
        <w:rPr>
          <w:rFonts w:hint="eastAsia" w:hAnsi="宋体" w:cs="Calibri"/>
          <w:szCs w:val="24"/>
        </w:rPr>
        <w:t>；</w:t>
      </w:r>
    </w:p>
    <w:p>
      <w:pPr>
        <w:pStyle w:val="27"/>
        <w:ind w:firstLine="480"/>
        <w:rPr>
          <w:rFonts w:hAnsi="宋体"/>
          <w:szCs w:val="24"/>
        </w:rPr>
      </w:pPr>
      <w:r>
        <w:rPr>
          <w:rFonts w:hint="eastAsia" w:hAnsi="宋体"/>
          <w:szCs w:val="24"/>
        </w:rPr>
        <w:t>纳污范围：</w:t>
      </w:r>
      <w:r>
        <w:rPr>
          <w:rFonts w:hint="eastAsia"/>
        </w:rPr>
        <w:t>凤歧坪乡</w:t>
      </w:r>
      <w:r>
        <w:rPr>
          <w:rFonts w:hint="eastAsia" w:hAnsi="宋体"/>
          <w:szCs w:val="24"/>
        </w:rPr>
        <w:t>镇区，服务面积0.64km</w:t>
      </w:r>
      <w:r>
        <w:rPr>
          <w:rFonts w:hint="eastAsia" w:hAnsi="宋体"/>
          <w:szCs w:val="24"/>
          <w:vertAlign w:val="superscript"/>
        </w:rPr>
        <w:t>2</w:t>
      </w:r>
      <w:r>
        <w:rPr>
          <w:rFonts w:hint="eastAsia" w:hAnsi="宋体"/>
          <w:szCs w:val="24"/>
        </w:rPr>
        <w:t>。</w:t>
      </w:r>
    </w:p>
    <w:p>
      <w:pPr>
        <w:pStyle w:val="27"/>
        <w:ind w:firstLine="480"/>
        <w:rPr>
          <w:rFonts w:hAnsi="宋体"/>
          <w:szCs w:val="24"/>
        </w:rPr>
      </w:pPr>
      <w:r>
        <w:rPr>
          <w:rFonts w:hAnsi="宋体"/>
          <w:szCs w:val="24"/>
        </w:rPr>
        <w:t>项目投资：</w:t>
      </w:r>
      <w:r>
        <w:rPr>
          <w:rFonts w:hint="eastAsia" w:hAnsi="宋体"/>
          <w:szCs w:val="24"/>
        </w:rPr>
        <w:t>工程</w:t>
      </w:r>
      <w:r>
        <w:rPr>
          <w:rFonts w:hAnsi="宋体"/>
          <w:szCs w:val="24"/>
        </w:rPr>
        <w:t>总投资</w:t>
      </w:r>
      <w:r>
        <w:rPr>
          <w:rFonts w:hint="eastAsia" w:hAnsi="宋体"/>
          <w:szCs w:val="24"/>
        </w:rPr>
        <w:t>926.5万元；</w:t>
      </w:r>
    </w:p>
    <w:p>
      <w:pPr>
        <w:pStyle w:val="27"/>
        <w:ind w:firstLine="480"/>
        <w:rPr>
          <w:rFonts w:hAnsi="宋体"/>
          <w:szCs w:val="24"/>
        </w:rPr>
      </w:pPr>
      <w:r>
        <w:rPr>
          <w:rFonts w:hint="eastAsia" w:hAnsi="宋体"/>
          <w:szCs w:val="24"/>
        </w:rPr>
        <w:t>建设进度：</w:t>
      </w:r>
      <w:r>
        <w:rPr>
          <w:rFonts w:hint="eastAsia"/>
        </w:rPr>
        <w:t>凤歧坪乡污水处理工程</w:t>
      </w:r>
      <w:r>
        <w:rPr>
          <w:rFonts w:hint="eastAsia" w:hAnsi="宋体"/>
          <w:szCs w:val="24"/>
        </w:rPr>
        <w:t>于2</w:t>
      </w:r>
      <w:r>
        <w:rPr>
          <w:rFonts w:hAnsi="宋体"/>
          <w:szCs w:val="24"/>
        </w:rPr>
        <w:t>023</w:t>
      </w:r>
      <w:r>
        <w:rPr>
          <w:rFonts w:hint="eastAsia" w:hAnsi="宋体"/>
          <w:szCs w:val="24"/>
        </w:rPr>
        <w:t>年6月开工，目前已完成场地平整、池体开挖及部分设备安装，目前仍在建设中，尚未竣工运营，预计2</w:t>
      </w:r>
      <w:r>
        <w:rPr>
          <w:rFonts w:hAnsi="宋体"/>
          <w:szCs w:val="24"/>
        </w:rPr>
        <w:t>024</w:t>
      </w:r>
      <w:r>
        <w:rPr>
          <w:rFonts w:hint="eastAsia" w:hAnsi="宋体"/>
          <w:szCs w:val="24"/>
        </w:rPr>
        <w:t>年6月竣工并投入运营。</w:t>
      </w:r>
    </w:p>
    <w:p>
      <w:pPr>
        <w:pStyle w:val="27"/>
        <w:ind w:firstLine="480"/>
        <w:rPr>
          <w:rFonts w:hAnsi="宋体"/>
          <w:szCs w:val="24"/>
        </w:rPr>
      </w:pPr>
      <w:r>
        <w:rPr>
          <w:rFonts w:hint="eastAsia" w:hAnsi="宋体"/>
          <w:szCs w:val="24"/>
        </w:rPr>
        <w:t>污水排放路径：项目污水处理达标后通过管道排入厂区东侧灌溉渠，之后经15km灌溉渠进入祁水。</w:t>
      </w:r>
    </w:p>
    <w:p>
      <w:pPr>
        <w:pStyle w:val="27"/>
        <w:ind w:firstLine="480"/>
        <w:rPr>
          <w:rFonts w:hAnsi="宋体"/>
          <w:szCs w:val="24"/>
        </w:rPr>
      </w:pPr>
      <w:r>
        <w:rPr>
          <w:rFonts w:hint="eastAsia" w:hAnsi="宋体"/>
          <w:szCs w:val="24"/>
        </w:rPr>
        <w:t>受纳地表水体：祁水，祁水为湘江一级支流。祁水项目纳污河段属于渔业用水区，水功能目标为III类水质，本次论证范围河段无生活用水及工业用水取水口，不涉及饮用水水源保护区。</w:t>
      </w:r>
    </w:p>
    <w:p>
      <w:pPr>
        <w:pStyle w:val="27"/>
        <w:ind w:firstLine="480"/>
        <w:rPr>
          <w:rFonts w:hAnsi="宋体"/>
          <w:szCs w:val="24"/>
        </w:rPr>
      </w:pPr>
      <w:r>
        <w:rPr>
          <w:rFonts w:hint="eastAsia" w:hAnsi="宋体"/>
          <w:szCs w:val="24"/>
        </w:rPr>
        <w:t>入河排污口设置位置：入河排污口设置位置位于东侧沟渠右岸，地理坐标为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p>
    <w:p>
      <w:pPr>
        <w:pStyle w:val="35"/>
      </w:pPr>
      <w:bookmarkStart w:id="120" w:name="_Toc161250516"/>
      <w:r>
        <w:rPr>
          <w:rFonts w:hint="eastAsia"/>
        </w:rPr>
        <w:t>9</w:t>
      </w:r>
      <w:r>
        <w:t>.1.2</w:t>
      </w:r>
      <w:r>
        <w:rPr>
          <w:rFonts w:hint="eastAsia"/>
        </w:rPr>
        <w:t>对水功能区水质影响分析</w:t>
      </w:r>
      <w:bookmarkEnd w:id="120"/>
    </w:p>
    <w:p>
      <w:pPr>
        <w:pStyle w:val="27"/>
        <w:ind w:firstLine="480"/>
        <w:rPr>
          <w:szCs w:val="24"/>
          <w:u w:val="single"/>
        </w:rPr>
      </w:pPr>
      <w:r>
        <w:rPr>
          <w:rFonts w:hint="eastAsia"/>
          <w:szCs w:val="24"/>
          <w:u w:val="single"/>
        </w:rPr>
        <w:t>（1）近期正常工况下：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10.002</w:t>
      </w:r>
      <w:r>
        <w:rPr>
          <w:szCs w:val="24"/>
          <w:u w:val="single"/>
        </w:rPr>
        <w:t>mg/L，氨氮最大浓度为</w:t>
      </w:r>
      <w:r>
        <w:rPr>
          <w:rFonts w:hint="eastAsia"/>
          <w:szCs w:val="24"/>
          <w:u w:val="single"/>
        </w:rPr>
        <w:t>0.336</w:t>
      </w:r>
      <w:r>
        <w:rPr>
          <w:szCs w:val="24"/>
          <w:u w:val="single"/>
        </w:rPr>
        <w:t>mg/L</w:t>
      </w:r>
      <w:r>
        <w:rPr>
          <w:rFonts w:hint="eastAsia"/>
          <w:szCs w:val="24"/>
          <w:u w:val="single"/>
        </w:rPr>
        <w:t>，总磷最大浓度0.060mg/L，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rPr>
          <w:szCs w:val="24"/>
          <w:u w:val="single"/>
        </w:rPr>
      </w:pPr>
      <w:r>
        <w:rPr>
          <w:rFonts w:hint="eastAsia"/>
          <w:szCs w:val="24"/>
          <w:u w:val="single"/>
        </w:rPr>
        <w:t>COD在下游50m处削减到9.999mg/L，恢复到上游来水浓度水平，其影响范围为50m；氨氮不考虑衰减，完全混合浓度0.336mg/L，正常工况下氨氮排放对祁水几乎无影响；正常工况下总磷不考虑衰减，完全混合浓度0.060mg/L，正常工况下总磷排放对祁水几乎无影响。</w:t>
      </w:r>
    </w:p>
    <w:p>
      <w:pPr>
        <w:pStyle w:val="27"/>
        <w:ind w:firstLine="480"/>
        <w:rPr>
          <w:szCs w:val="24"/>
          <w:u w:val="single"/>
        </w:rPr>
      </w:pPr>
      <w:r>
        <w:rPr>
          <w:rFonts w:hint="eastAsia"/>
          <w:szCs w:val="24"/>
          <w:u w:val="single"/>
        </w:rPr>
        <w:t>（2）远期正常工况下：</w:t>
      </w:r>
      <w:r>
        <w:rPr>
          <w:rFonts w:hint="eastAsia"/>
          <w:u w:val="single"/>
        </w:rPr>
        <w:t>凤歧坪乡污水处理工程</w:t>
      </w:r>
      <w:r>
        <w:rPr>
          <w:szCs w:val="24"/>
          <w:u w:val="single"/>
        </w:rPr>
        <w:t>尾水正常排放状态下，距离排污口下游10m处CODcr浓度为</w:t>
      </w:r>
      <w:r>
        <w:rPr>
          <w:rFonts w:hint="eastAsia"/>
          <w:szCs w:val="24"/>
          <w:u w:val="single"/>
        </w:rPr>
        <w:t>10.018</w:t>
      </w:r>
      <w:r>
        <w:rPr>
          <w:szCs w:val="24"/>
          <w:u w:val="single"/>
        </w:rPr>
        <w:t>mg/L，氨氮最大浓度为</w:t>
      </w:r>
      <w:r>
        <w:rPr>
          <w:rFonts w:hint="eastAsia"/>
          <w:szCs w:val="24"/>
          <w:u w:val="single"/>
        </w:rPr>
        <w:t>0.339</w:t>
      </w:r>
      <w:r>
        <w:rPr>
          <w:szCs w:val="24"/>
          <w:u w:val="single"/>
        </w:rPr>
        <w:t>mg/L</w:t>
      </w:r>
      <w:r>
        <w:rPr>
          <w:rFonts w:hint="eastAsia"/>
          <w:szCs w:val="24"/>
          <w:u w:val="single"/>
        </w:rPr>
        <w:t>，总磷最大浓度0.060mg/L，</w:t>
      </w:r>
      <w:r>
        <w:rPr>
          <w:szCs w:val="24"/>
          <w:u w:val="single"/>
        </w:rPr>
        <w:t>均未超出《地表水环境质量标准》（GB3838-2002）Ⅲ类标准（COD：20mg/L、氨氮：1.0mg/L</w:t>
      </w:r>
      <w:r>
        <w:rPr>
          <w:rFonts w:hint="eastAsia"/>
          <w:szCs w:val="24"/>
          <w:u w:val="single"/>
        </w:rPr>
        <w:t>、总磷0.2mg/L</w:t>
      </w:r>
      <w:r>
        <w:rPr>
          <w:szCs w:val="24"/>
          <w:u w:val="single"/>
        </w:rPr>
        <w:t>）要求。</w:t>
      </w:r>
    </w:p>
    <w:p>
      <w:pPr>
        <w:pStyle w:val="27"/>
        <w:ind w:firstLine="480"/>
      </w:pPr>
      <w:r>
        <w:rPr>
          <w:rFonts w:hint="eastAsia"/>
          <w:szCs w:val="24"/>
          <w:u w:val="single"/>
        </w:rPr>
        <w:t>COD在下游300m处削减到9.992mg/L，恢复到上游来水浓度水平，其影响范围为300m；氨氮在下游1000m处削减到0.336mg/L，恢复到上游来水浓度水平，其影响范围为1000m；正常工况下总磷不考虑衰减，完全混合浓度0.060mg/L，正常工况下总磷排放对祁水几乎无影响。</w:t>
      </w:r>
    </w:p>
    <w:p>
      <w:pPr>
        <w:pStyle w:val="35"/>
      </w:pPr>
      <w:bookmarkStart w:id="121" w:name="_Toc161250517"/>
      <w:r>
        <w:rPr>
          <w:rFonts w:hint="eastAsia"/>
        </w:rPr>
        <w:t>9</w:t>
      </w:r>
      <w:r>
        <w:t>.1.3</w:t>
      </w:r>
      <w:r>
        <w:rPr>
          <w:rFonts w:hint="eastAsia"/>
        </w:rPr>
        <w:t>对水生态影响分析</w:t>
      </w:r>
      <w:bookmarkEnd w:id="121"/>
    </w:p>
    <w:p>
      <w:pPr>
        <w:pStyle w:val="27"/>
        <w:ind w:firstLine="480"/>
      </w:pPr>
      <w:r>
        <w:rPr>
          <w:rFonts w:hint="eastAsia"/>
          <w:u w:val="single"/>
        </w:rPr>
        <w:t>凤歧坪乡污水处理工程建设运行后，尾水处理达标后排入祁水。项目建设改变了凤歧坪乡污水散乱排放的现象，使乡镇污水排放从无序变为有序，对改善水功能区的水质，实现水功能区的水质目标有利；经调查，论证范围内水域无珍稀水生生物和鱼类，本入河排污口处河段不属于水产种质资源保护区、鱼类“三场”及洄游通道，入河排污口位置不在自然保护区、风景名胜区及重要湿地等环境敏感区，因此本入河排污口不存在生态制约因素；乡镇污水处理厂正常情况下外排废水水质较简单，主要污染因子为COD、氨氮、总磷，总氮，不含第一类污染物。经降解稀释后可满足水质要求，不会对祁水鱼类等水生生物产生较大影响。根据预测结果可知，正常排放情况下水质类别没有发生显著变化，影响范围非常有限，不会对下游生物群落结构和生物量产生明显影响；在非正常排放情况下，影响范围和程度相对正常排放有所增大，可能会引起浮游植物与浮游动物数量和组成的变化，因此需要建设单位加强风险管控，杜绝废水的事故排放。祁水水质能达到《地表水环境质量标准》（GB3838-2002）Ⅲ类标准，水质较好，乡镇污水处理工程排放的污染物非典型营养盐类污染物，入河排污口污染物不会对水体造成富营养化影响。综上，本排口设置对祁水生态影响较小。</w:t>
      </w:r>
    </w:p>
    <w:p>
      <w:pPr>
        <w:pStyle w:val="35"/>
      </w:pPr>
      <w:bookmarkStart w:id="122" w:name="_Toc161250518"/>
      <w:r>
        <w:rPr>
          <w:rFonts w:hint="eastAsia"/>
        </w:rPr>
        <w:t>9</w:t>
      </w:r>
      <w:r>
        <w:t>.1.4</w:t>
      </w:r>
      <w:r>
        <w:rPr>
          <w:rFonts w:hint="eastAsia"/>
        </w:rPr>
        <w:t>对地下水影响分析</w:t>
      </w:r>
      <w:bookmarkEnd w:id="122"/>
    </w:p>
    <w:p>
      <w:pPr>
        <w:pStyle w:val="27"/>
        <w:ind w:firstLine="480"/>
      </w:pPr>
      <w:r>
        <w:rPr>
          <w:rFonts w:hint="eastAsia"/>
        </w:rPr>
        <w:t>凤歧坪乡污水处理工程为污水处理工程，处理后出水排入东侧灌溉渠，排放过程中产生外漏下渗的可能性很小，即使有微量废水外漏下渗，在下渗过程中经过表层粘土、粉土的分解和吸收，大部分污染物会进一步去除，不会造成地下水污染。且污水处理厂建设后，居民生活污水可集中收集处理，减少生活污水直排周边地表水体的量，间接的改善了周边的地下水环境，因此，正常工况下污水处理厂建设对地下水水质影响小。</w:t>
      </w:r>
    </w:p>
    <w:p>
      <w:pPr>
        <w:pStyle w:val="35"/>
      </w:pPr>
      <w:bookmarkStart w:id="123" w:name="_Toc161250519"/>
      <w:r>
        <w:rPr>
          <w:rFonts w:hint="eastAsia"/>
        </w:rPr>
        <w:t>9</w:t>
      </w:r>
      <w:r>
        <w:t>.1.5</w:t>
      </w:r>
      <w:r>
        <w:rPr>
          <w:rFonts w:hint="eastAsia"/>
        </w:rPr>
        <w:t>对第三者影响分析</w:t>
      </w:r>
      <w:bookmarkEnd w:id="123"/>
    </w:p>
    <w:p>
      <w:pPr>
        <w:pStyle w:val="27"/>
        <w:ind w:firstLine="480"/>
      </w:pPr>
      <w:r>
        <w:rPr>
          <w:rFonts w:hint="eastAsia"/>
        </w:rPr>
        <w:t>本项目尾水排放路径为通过管道排入东侧灌溉渠，灌溉渠宽度仅2m，汇水面积较小，无需考虑泄洪防洪，尾水经灌溉渠15km后汇入祁水，</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szCs w:val="24"/>
        </w:rPr>
        <w:t>。</w:t>
      </w:r>
      <w:r>
        <w:rPr>
          <w:rFonts w:hint="eastAsia"/>
        </w:rPr>
        <w:t>不会影响祁水行洪功能，符合防洪要求。</w:t>
      </w:r>
    </w:p>
    <w:p>
      <w:pPr>
        <w:pStyle w:val="27"/>
        <w:ind w:firstLine="480"/>
      </w:pPr>
      <w:r>
        <w:rPr>
          <w:rFonts w:hint="eastAsia"/>
        </w:rPr>
        <w:t>凤歧坪乡污水处理工程尾水正常排放的水质能够满足《农田灌溉水质标准》（GB5084-2005）标准，不会对周边农业用水产生不利影响。</w:t>
      </w:r>
    </w:p>
    <w:p>
      <w:pPr>
        <w:pStyle w:val="27"/>
        <w:ind w:firstLine="480"/>
      </w:pPr>
      <w:r>
        <w:rPr>
          <w:rFonts w:hint="eastAsia"/>
        </w:rPr>
        <w:t>综上所述，</w:t>
      </w:r>
      <w:r>
        <w:rPr>
          <w:rFonts w:hint="eastAsia"/>
          <w:szCs w:val="24"/>
        </w:rPr>
        <w:t>本入河排污口的设置对下游第三者权益的影响较小。</w:t>
      </w:r>
    </w:p>
    <w:p>
      <w:pPr>
        <w:pStyle w:val="35"/>
      </w:pPr>
      <w:bookmarkStart w:id="124" w:name="_Toc161250520"/>
      <w:r>
        <w:rPr>
          <w:rFonts w:hint="eastAsia"/>
        </w:rPr>
        <w:t>9</w:t>
      </w:r>
      <w:r>
        <w:t>.1.6</w:t>
      </w:r>
      <w:r>
        <w:rPr>
          <w:rFonts w:hint="eastAsia"/>
        </w:rPr>
        <w:t>相关政策符合性分析</w:t>
      </w:r>
      <w:bookmarkEnd w:id="124"/>
    </w:p>
    <w:p>
      <w:pPr>
        <w:pStyle w:val="27"/>
        <w:ind w:firstLine="480"/>
      </w:pPr>
      <w:r>
        <w:rPr>
          <w:rFonts w:hint="eastAsia"/>
        </w:rPr>
        <w:t>本项目尾水通过管道排入东侧灌溉渠，之后经15km灌溉渠排入祁水，污水入祁水口位于祁东县蒋家桥镇</w:t>
      </w:r>
      <w:r>
        <w:t>，</w:t>
      </w:r>
      <w:r>
        <w:rPr>
          <w:rFonts w:hint="eastAsia"/>
        </w:rPr>
        <w:t>本项目</w:t>
      </w:r>
      <w:r>
        <w:rPr>
          <w:rFonts w:hint="eastAsia" w:hAnsi="宋体"/>
          <w:szCs w:val="24"/>
        </w:rPr>
        <w:t>入河排污口设置位置位于东侧沟渠右岸，地理坐标为</w:t>
      </w:r>
      <w:r>
        <w:rPr>
          <w:rFonts w:hint="eastAsia"/>
          <w:szCs w:val="24"/>
        </w:rPr>
        <w:t>E</w:t>
      </w:r>
      <w:r>
        <w:rPr>
          <w:szCs w:val="36"/>
        </w:rPr>
        <w:t>111°40′12.87″,</w:t>
      </w:r>
      <w:r>
        <w:rPr>
          <w:rFonts w:hint="eastAsia"/>
          <w:szCs w:val="36"/>
        </w:rPr>
        <w:t>N</w:t>
      </w:r>
      <w:r>
        <w:rPr>
          <w:szCs w:val="36"/>
        </w:rPr>
        <w:t>27°01′16.49″</w:t>
      </w:r>
      <w:r>
        <w:rPr>
          <w:rFonts w:hint="eastAsia"/>
        </w:rPr>
        <w:t>，根据《衡阳市水功能区划》（2010~2020），祁水项目纳污河段为</w:t>
      </w:r>
      <w:r>
        <w:t>二级水功能区</w:t>
      </w:r>
      <w:r>
        <w:rPr>
          <w:rFonts w:hint="eastAsia"/>
        </w:rPr>
        <w:t>中渔业用水区，即按照</w:t>
      </w:r>
      <w:r>
        <w:t>《地表水环境质量标准》（GB3838-2002）规定的Ⅲ类水质标准或应按现状水质类别控制</w:t>
      </w:r>
      <w:r>
        <w:rPr>
          <w:rFonts w:hint="eastAsia"/>
        </w:rPr>
        <w:t>。论证范围不属于水产种质资源保护区、鱼类“三场”及洄游通道，入河排污口位置不在自然保护区、风景名胜区及重要湿地等环境敏感区，因此本入河排污口不存在生态制约因素。与</w:t>
      </w:r>
      <w:r>
        <w:t>《水污染防治行动计划》</w:t>
      </w:r>
      <w:r>
        <w:rPr>
          <w:rFonts w:hint="eastAsia"/>
        </w:rPr>
        <w:t>、</w:t>
      </w:r>
      <w:r>
        <w:t>《入河排污口监督管理办法》（水利部令第47号）</w:t>
      </w:r>
      <w:r>
        <w:rPr>
          <w:rFonts w:hint="eastAsia"/>
        </w:rPr>
        <w:t>及</w:t>
      </w:r>
      <w:r>
        <w:t>《湖南省入河排污口监督管理办法》（湘政办发〔2018〕44号）</w:t>
      </w:r>
      <w:r>
        <w:rPr>
          <w:rFonts w:hint="eastAsia"/>
        </w:rPr>
        <w:t>等相关政策相符。</w:t>
      </w:r>
    </w:p>
    <w:p>
      <w:pPr>
        <w:pStyle w:val="35"/>
      </w:pPr>
      <w:bookmarkStart w:id="125" w:name="_Toc161250521"/>
      <w:r>
        <w:rPr>
          <w:rFonts w:hint="eastAsia"/>
        </w:rPr>
        <w:t>9</w:t>
      </w:r>
      <w:r>
        <w:t>.1.7</w:t>
      </w:r>
      <w:r>
        <w:rPr>
          <w:rFonts w:hint="eastAsia"/>
        </w:rPr>
        <w:t>入河排污口设置最终结论</w:t>
      </w:r>
      <w:bookmarkEnd w:id="125"/>
    </w:p>
    <w:p>
      <w:pPr>
        <w:pStyle w:val="27"/>
        <w:ind w:firstLine="480"/>
      </w:pPr>
      <w:r>
        <w:t>综上所述，通过对排污口设置论证分析，本次污水处理厂建设将显著地削减收水范围内生活污水中污染物排放量，对于减轻水环境污染、改善水域环境质量、进而实现流域治理、保护区域内的生态环境、实现水功能区水质目标具有重要的意义。设置</w:t>
      </w:r>
      <w:r>
        <w:rPr>
          <w:rFonts w:hint="eastAsia"/>
        </w:rPr>
        <w:t>凤歧坪乡污水处理工程</w:t>
      </w:r>
      <w:r>
        <w:t>入河排污口不存在受纳水域环境容量不足的制约；项目排污对生态环境影响较小；对下游取水口、农业用水户等第三者权益影响较小；项目排污对所在区域地下水影响较小。因此，污水处理厂不存在《入河排污口监督管理办法》中不允许设置排污口的七种情况，入河排污口设置是可行的。</w:t>
      </w:r>
    </w:p>
    <w:p>
      <w:pPr>
        <w:pStyle w:val="32"/>
      </w:pPr>
      <w:bookmarkStart w:id="126" w:name="_Toc161250522"/>
      <w:r>
        <w:rPr>
          <w:rFonts w:hint="eastAsia"/>
        </w:rPr>
        <w:t>9</w:t>
      </w:r>
      <w:r>
        <w:t>.2</w:t>
      </w:r>
      <w:r>
        <w:rPr>
          <w:rFonts w:hint="eastAsia"/>
        </w:rPr>
        <w:t>建议</w:t>
      </w:r>
      <w:bookmarkEnd w:id="126"/>
    </w:p>
    <w:p>
      <w:pPr>
        <w:pStyle w:val="27"/>
        <w:ind w:firstLine="480"/>
      </w:pPr>
      <w:r>
        <w:t>（1）严格遵守法律法规和规章规程</w:t>
      </w:r>
    </w:p>
    <w:p>
      <w:pPr>
        <w:pStyle w:val="27"/>
        <w:ind w:firstLine="480"/>
      </w:pPr>
      <w:r>
        <w:t>建设单位和从业人员必须严格遵守国家有关法律、法规和规章，严格执行行业的强制性标准、各类技术规范及规程的要求，认真贯彻地方政府及管理部门的有关规章制度。</w:t>
      </w:r>
    </w:p>
    <w:p>
      <w:pPr>
        <w:pStyle w:val="27"/>
        <w:ind w:firstLine="480"/>
      </w:pPr>
      <w:r>
        <w:t>（2）加强对建设项目排放的污水进行长期监测，动态掌握排放污水水质，以便针对污水中的其他污染物及时采取处理措施。</w:t>
      </w:r>
    </w:p>
    <w:p>
      <w:pPr>
        <w:pStyle w:val="27"/>
        <w:ind w:firstLine="480"/>
      </w:pPr>
      <w:r>
        <w:t>（3）按照相关规范安装完成入河排污口标示牌并对排污口采取保护措施。排污单位应当在入河排污口处设立明显的标牌，标牌上应注明该入河排污口名称、编号、位置坐标以及排入水功能区、水质保护目标，排污口设置单位、监督单位名称及监督电话等，标牌的设置要符合《</w:t>
      </w:r>
      <w:r>
        <w:rPr>
          <w:rFonts w:hint="eastAsia"/>
        </w:rPr>
        <w:t>入河排污口管理技术导则</w:t>
      </w:r>
      <w:r>
        <w:t>》（</w:t>
      </w:r>
      <w:r>
        <w:rPr>
          <w:rFonts w:hint="eastAsia"/>
        </w:rPr>
        <w:t>SL532-2011</w:t>
      </w:r>
      <w:r>
        <w:t>）的有关要求。入河排污口设置安装在线计量和监控设施，确保入河排污“看得见、可测量、有监控”，定期对排污口巡检。</w:t>
      </w:r>
    </w:p>
    <w:p>
      <w:pPr>
        <w:pStyle w:val="27"/>
        <w:ind w:firstLine="480"/>
      </w:pPr>
      <w:r>
        <w:t>（4）制定详细的污水处理厂事故应急预案，加强地下水保护措施。</w:t>
      </w:r>
    </w:p>
    <w:p>
      <w:pPr>
        <w:pStyle w:val="27"/>
        <w:ind w:firstLine="480"/>
      </w:pPr>
      <w:r>
        <w:t>（5）如果入河排污口的排污量或排放污染物发生改变，应及时论证并报批。</w:t>
      </w:r>
    </w:p>
    <w:p>
      <w:pPr>
        <w:pStyle w:val="27"/>
        <w:ind w:firstLine="480"/>
      </w:pPr>
      <w:r>
        <w:rPr>
          <w:rFonts w:hint="eastAsia"/>
        </w:rPr>
        <w:t>（6）入河排污口标识牌应设置在入河口位置，不能设置在污水处理厂内，标识牌中的地理位置及经纬度坐标应与实际位置相符合。</w:t>
      </w:r>
    </w:p>
    <w:p>
      <w:pPr>
        <w:pStyle w:val="27"/>
        <w:ind w:firstLine="480"/>
        <w:sectPr>
          <w:pgSz w:w="11906" w:h="16838"/>
          <w:pgMar w:top="1440" w:right="1800" w:bottom="1440" w:left="1800" w:header="851" w:footer="992" w:gutter="0"/>
          <w:cols w:space="425" w:num="1"/>
          <w:docGrid w:type="lines" w:linePitch="312" w:charSpace="0"/>
        </w:sectPr>
      </w:pPr>
    </w:p>
    <w:p>
      <w:pPr>
        <w:pStyle w:val="29"/>
      </w:pPr>
      <w:bookmarkStart w:id="127" w:name="_Toc161250523"/>
      <w:r>
        <w:rPr>
          <w:rFonts w:hint="eastAsia"/>
        </w:rPr>
        <w:t>附件</w:t>
      </w:r>
      <w:bookmarkEnd w:id="127"/>
    </w:p>
    <w:p>
      <w:pPr>
        <w:pStyle w:val="32"/>
      </w:pPr>
      <w:bookmarkStart w:id="128" w:name="_Toc161250524"/>
      <w:r>
        <w:rPr>
          <w:rFonts w:hint="eastAsia"/>
        </w:rPr>
        <w:t>附件1：项目立项批复</w:t>
      </w:r>
      <w:bookmarkEnd w:id="128"/>
    </w:p>
    <w:p>
      <w:pPr>
        <w:pStyle w:val="40"/>
      </w:pPr>
      <w:r>
        <w:drawing>
          <wp:inline distT="0" distB="0" distL="0" distR="0">
            <wp:extent cx="5274310" cy="7524115"/>
            <wp:effectExtent l="0" t="0" r="2540" b="635"/>
            <wp:docPr id="11478822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882202" name="图片 1"/>
                    <pic:cNvPicPr>
                      <a:picLocks noChangeAspect="1"/>
                    </pic:cNvPicPr>
                  </pic:nvPicPr>
                  <pic:blipFill>
                    <a:blip r:embed="rId23"/>
                    <a:stretch>
                      <a:fillRect/>
                    </a:stretch>
                  </pic:blipFill>
                  <pic:spPr>
                    <a:xfrm>
                      <a:off x="0" y="0"/>
                      <a:ext cx="5274310" cy="7524115"/>
                    </a:xfrm>
                    <a:prstGeom prst="rect">
                      <a:avLst/>
                    </a:prstGeom>
                  </pic:spPr>
                </pic:pic>
              </a:graphicData>
            </a:graphic>
          </wp:inline>
        </w:drawing>
      </w:r>
      <w:r>
        <w:drawing>
          <wp:inline distT="0" distB="0" distL="0" distR="0">
            <wp:extent cx="5274310" cy="7524115"/>
            <wp:effectExtent l="0" t="0" r="2540" b="635"/>
            <wp:docPr id="1251277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736" name="图片 1"/>
                    <pic:cNvPicPr>
                      <a:picLocks noChangeAspect="1"/>
                    </pic:cNvPicPr>
                  </pic:nvPicPr>
                  <pic:blipFill>
                    <a:blip r:embed="rId24"/>
                    <a:stretch>
                      <a:fillRect/>
                    </a:stretch>
                  </pic:blipFill>
                  <pic:spPr>
                    <a:xfrm>
                      <a:off x="0" y="0"/>
                      <a:ext cx="5274310" cy="7524115"/>
                    </a:xfrm>
                    <a:prstGeom prst="rect">
                      <a:avLst/>
                    </a:prstGeom>
                  </pic:spPr>
                </pic:pic>
              </a:graphicData>
            </a:graphic>
          </wp:inline>
        </w:drawing>
      </w:r>
      <w:r>
        <w:drawing>
          <wp:inline distT="0" distB="0" distL="0" distR="0">
            <wp:extent cx="5274310" cy="7524115"/>
            <wp:effectExtent l="0" t="0" r="2540" b="635"/>
            <wp:docPr id="17997536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53675" name="图片 1"/>
                    <pic:cNvPicPr>
                      <a:picLocks noChangeAspect="1"/>
                    </pic:cNvPicPr>
                  </pic:nvPicPr>
                  <pic:blipFill>
                    <a:blip r:embed="rId25"/>
                    <a:stretch>
                      <a:fillRect/>
                    </a:stretch>
                  </pic:blipFill>
                  <pic:spPr>
                    <a:xfrm>
                      <a:off x="0" y="0"/>
                      <a:ext cx="5274310" cy="7524115"/>
                    </a:xfrm>
                    <a:prstGeom prst="rect">
                      <a:avLst/>
                    </a:prstGeom>
                  </pic:spPr>
                </pic:pic>
              </a:graphicData>
            </a:graphic>
          </wp:inline>
        </w:drawing>
      </w:r>
      <w:r>
        <w:t xml:space="preserve">  </w:t>
      </w:r>
    </w:p>
    <w:p>
      <w:pPr>
        <w:pStyle w:val="40"/>
        <w:sectPr>
          <w:pgSz w:w="11906" w:h="16838"/>
          <w:pgMar w:top="1440" w:right="1800" w:bottom="1440" w:left="1800" w:header="851" w:footer="992" w:gutter="0"/>
          <w:cols w:space="425" w:num="1"/>
          <w:docGrid w:type="lines" w:linePitch="312" w:charSpace="0"/>
        </w:sectPr>
      </w:pPr>
    </w:p>
    <w:p>
      <w:pPr>
        <w:pStyle w:val="32"/>
      </w:pPr>
      <w:bookmarkStart w:id="129" w:name="_Toc161250525"/>
      <w:r>
        <w:rPr>
          <w:rFonts w:hint="eastAsia"/>
        </w:rPr>
        <w:t>附件2：项目环评批复</w:t>
      </w:r>
      <w:bookmarkEnd w:id="129"/>
    </w:p>
    <w:p>
      <w:pPr>
        <w:pStyle w:val="40"/>
        <w:sectPr>
          <w:pgSz w:w="11906" w:h="16838"/>
          <w:pgMar w:top="1440" w:right="1800" w:bottom="1440" w:left="1800" w:header="851" w:footer="992" w:gutter="0"/>
          <w:cols w:space="425" w:num="1"/>
          <w:docGrid w:type="lines" w:linePitch="312" w:charSpace="0"/>
        </w:sectPr>
      </w:pPr>
      <w:r>
        <w:drawing>
          <wp:inline distT="0" distB="0" distL="0" distR="0">
            <wp:extent cx="5274310" cy="7032625"/>
            <wp:effectExtent l="0" t="0" r="2540" b="0"/>
            <wp:docPr id="206519597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195972" name="图片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drawing>
          <wp:inline distT="0" distB="0" distL="0" distR="0">
            <wp:extent cx="5274310" cy="7032625"/>
            <wp:effectExtent l="0" t="0" r="2540" b="0"/>
            <wp:docPr id="57565396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653962" name="图片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t xml:space="preserve"> </w:t>
      </w:r>
      <w:r>
        <w:drawing>
          <wp:inline distT="0" distB="0" distL="0" distR="0">
            <wp:extent cx="5274310" cy="7032625"/>
            <wp:effectExtent l="0" t="0" r="2540" b="0"/>
            <wp:docPr id="156472969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729697" name="图片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5274310" cy="7032625"/>
                    </a:xfrm>
                    <a:prstGeom prst="rect">
                      <a:avLst/>
                    </a:prstGeom>
                    <a:noFill/>
                    <a:ln>
                      <a:noFill/>
                    </a:ln>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2935996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599639" name="图片 1"/>
                    <pic:cNvPicPr>
                      <a:picLocks noChangeAspect="1"/>
                    </pic:cNvPicPr>
                  </pic:nvPicPr>
                  <pic:blipFill>
                    <a:blip r:embed="rId29"/>
                    <a:stretch>
                      <a:fillRect/>
                    </a:stretch>
                  </pic:blipFill>
                  <pic:spPr>
                    <a:xfrm>
                      <a:off x="0" y="0"/>
                      <a:ext cx="5274310" cy="7354570"/>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999565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65104" name="图片 1"/>
                    <pic:cNvPicPr>
                      <a:picLocks noChangeAspect="1"/>
                    </pic:cNvPicPr>
                  </pic:nvPicPr>
                  <pic:blipFill>
                    <a:blip r:embed="rId30"/>
                    <a:stretch>
                      <a:fillRect/>
                    </a:stretch>
                  </pic:blipFill>
                  <pic:spPr>
                    <a:xfrm>
                      <a:off x="0" y="0"/>
                      <a:ext cx="5274310" cy="7354570"/>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354570"/>
            <wp:effectExtent l="0" t="0" r="2540" b="0"/>
            <wp:docPr id="17820091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009132" name="图片 1"/>
                    <pic:cNvPicPr>
                      <a:picLocks noChangeAspect="1"/>
                    </pic:cNvPicPr>
                  </pic:nvPicPr>
                  <pic:blipFill>
                    <a:blip r:embed="rId31"/>
                    <a:stretch>
                      <a:fillRect/>
                    </a:stretch>
                  </pic:blipFill>
                  <pic:spPr>
                    <a:xfrm>
                      <a:off x="0" y="0"/>
                      <a:ext cx="5274310" cy="7354570"/>
                    </a:xfrm>
                    <a:prstGeom prst="rect">
                      <a:avLst/>
                    </a:prstGeom>
                  </pic:spPr>
                </pic:pic>
              </a:graphicData>
            </a:graphic>
          </wp:inline>
        </w:drawing>
      </w:r>
    </w:p>
    <w:p>
      <w:pPr>
        <w:pStyle w:val="32"/>
      </w:pPr>
      <w:bookmarkStart w:id="130" w:name="_Toc161250526"/>
      <w:r>
        <w:rPr>
          <w:rFonts w:hint="eastAsia"/>
        </w:rPr>
        <w:t>附件3：检测报告</w:t>
      </w:r>
      <w:bookmarkEnd w:id="130"/>
    </w:p>
    <w:p>
      <w:pPr>
        <w:pStyle w:val="40"/>
      </w:pPr>
      <w:r>
        <w:rPr>
          <w14:ligatures w14:val="standardContextual"/>
        </w:rPr>
        <w:drawing>
          <wp:inline distT="0" distB="0" distL="0" distR="0">
            <wp:extent cx="5274310" cy="7468235"/>
            <wp:effectExtent l="0" t="0" r="2540" b="0"/>
            <wp:docPr id="24597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442" name="图片 1"/>
                    <pic:cNvPicPr>
                      <a:picLocks noChangeAspect="1"/>
                    </pic:cNvPicPr>
                  </pic:nvPicPr>
                  <pic:blipFill>
                    <a:blip r:embed="rId32"/>
                    <a:stretch>
                      <a:fillRect/>
                    </a:stretch>
                  </pic:blipFill>
                  <pic:spPr>
                    <a:xfrm>
                      <a:off x="0" y="0"/>
                      <a:ext cx="5274310" cy="7468235"/>
                    </a:xfrm>
                    <a:prstGeom prst="rect">
                      <a:avLst/>
                    </a:prstGeom>
                  </pic:spPr>
                </pic:pic>
              </a:graphicData>
            </a:graphic>
          </wp:inline>
        </w:drawing>
      </w:r>
    </w:p>
    <w:p>
      <w:pPr>
        <w:pStyle w:val="40"/>
        <w:sectPr>
          <w:pgSz w:w="11906" w:h="16838"/>
          <w:pgMar w:top="1440" w:right="1800" w:bottom="1440" w:left="1800" w:header="851" w:footer="992" w:gutter="0"/>
          <w:cols w:space="425" w:num="1"/>
          <w:docGrid w:type="lines" w:linePitch="312" w:charSpace="0"/>
        </w:sectPr>
      </w:pPr>
      <w:r>
        <w:rPr>
          <w14:ligatures w14:val="standardContextual"/>
        </w:rPr>
        <w:drawing>
          <wp:inline distT="0" distB="0" distL="0" distR="0">
            <wp:extent cx="5274310" cy="7468235"/>
            <wp:effectExtent l="0" t="0" r="2540" b="0"/>
            <wp:docPr id="10409182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18275" name="图片 1"/>
                    <pic:cNvPicPr>
                      <a:picLocks noChangeAspect="1"/>
                    </pic:cNvPicPr>
                  </pic:nvPicPr>
                  <pic:blipFill>
                    <a:blip r:embed="rId33"/>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9285028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502846" name="图片 1"/>
                    <pic:cNvPicPr>
                      <a:picLocks noChangeAspect="1"/>
                    </pic:cNvPicPr>
                  </pic:nvPicPr>
                  <pic:blipFill>
                    <a:blip r:embed="rId34"/>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3431389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138924" name="图片 1"/>
                    <pic:cNvPicPr>
                      <a:picLocks noChangeAspect="1"/>
                    </pic:cNvPicPr>
                  </pic:nvPicPr>
                  <pic:blipFill>
                    <a:blip r:embed="rId35"/>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2227918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791874" name="图片 1"/>
                    <pic:cNvPicPr>
                      <a:picLocks noChangeAspect="1"/>
                    </pic:cNvPicPr>
                  </pic:nvPicPr>
                  <pic:blipFill>
                    <a:blip r:embed="rId36"/>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568603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03142" name="图片 1"/>
                    <pic:cNvPicPr>
                      <a:picLocks noChangeAspect="1"/>
                    </pic:cNvPicPr>
                  </pic:nvPicPr>
                  <pic:blipFill>
                    <a:blip r:embed="rId37"/>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1382390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239043" name="图片 1"/>
                    <pic:cNvPicPr>
                      <a:picLocks noChangeAspect="1"/>
                    </pic:cNvPicPr>
                  </pic:nvPicPr>
                  <pic:blipFill>
                    <a:blip r:embed="rId38"/>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5115124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512440" name="图片 1"/>
                    <pic:cNvPicPr>
                      <a:picLocks noChangeAspect="1"/>
                    </pic:cNvPicPr>
                  </pic:nvPicPr>
                  <pic:blipFill>
                    <a:blip r:embed="rId39"/>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2670677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067717" name="图片 1"/>
                    <pic:cNvPicPr>
                      <a:picLocks noChangeAspect="1"/>
                    </pic:cNvPicPr>
                  </pic:nvPicPr>
                  <pic:blipFill>
                    <a:blip r:embed="rId40"/>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20518938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93863" name="图片 1"/>
                    <pic:cNvPicPr>
                      <a:picLocks noChangeAspect="1"/>
                    </pic:cNvPicPr>
                  </pic:nvPicPr>
                  <pic:blipFill>
                    <a:blip r:embed="rId41"/>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82615298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152988" name="图片 1"/>
                    <pic:cNvPicPr>
                      <a:picLocks noChangeAspect="1"/>
                    </pic:cNvPicPr>
                  </pic:nvPicPr>
                  <pic:blipFill>
                    <a:blip r:embed="rId42"/>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75970582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705820" name="图片 1"/>
                    <pic:cNvPicPr>
                      <a:picLocks noChangeAspect="1"/>
                    </pic:cNvPicPr>
                  </pic:nvPicPr>
                  <pic:blipFill>
                    <a:blip r:embed="rId43"/>
                    <a:stretch>
                      <a:fillRect/>
                    </a:stretch>
                  </pic:blipFill>
                  <pic:spPr>
                    <a:xfrm>
                      <a:off x="0" y="0"/>
                      <a:ext cx="5274310" cy="7468235"/>
                    </a:xfrm>
                    <a:prstGeom prst="rect">
                      <a:avLst/>
                    </a:prstGeom>
                  </pic:spPr>
                </pic:pic>
              </a:graphicData>
            </a:graphic>
          </wp:inline>
        </w:drawing>
      </w:r>
      <w:r>
        <w:rPr>
          <w14:ligatures w14:val="standardContextual"/>
        </w:rPr>
        <w:t xml:space="preserve"> </w:t>
      </w:r>
      <w:r>
        <w:rPr>
          <w14:ligatures w14:val="standardContextual"/>
        </w:rPr>
        <w:drawing>
          <wp:inline distT="0" distB="0" distL="0" distR="0">
            <wp:extent cx="5274310" cy="7468235"/>
            <wp:effectExtent l="0" t="0" r="2540" b="0"/>
            <wp:docPr id="16023777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377756" name="图片 1"/>
                    <pic:cNvPicPr>
                      <a:picLocks noChangeAspect="1"/>
                    </pic:cNvPicPr>
                  </pic:nvPicPr>
                  <pic:blipFill>
                    <a:blip r:embed="rId44"/>
                    <a:stretch>
                      <a:fillRect/>
                    </a:stretch>
                  </pic:blipFill>
                  <pic:spPr>
                    <a:xfrm>
                      <a:off x="0" y="0"/>
                      <a:ext cx="5274310" cy="7468235"/>
                    </a:xfrm>
                    <a:prstGeom prst="rect">
                      <a:avLst/>
                    </a:prstGeom>
                  </pic:spPr>
                </pic:pic>
              </a:graphicData>
            </a:graphic>
          </wp:inline>
        </w:drawing>
      </w:r>
    </w:p>
    <w:p>
      <w:pPr>
        <w:pStyle w:val="29"/>
      </w:pPr>
      <w:bookmarkStart w:id="131" w:name="_Toc161250527"/>
      <w:r>
        <w:rPr>
          <w:rFonts w:hint="eastAsia"/>
        </w:rPr>
        <w:t>附图</w:t>
      </w:r>
      <w:bookmarkEnd w:id="131"/>
    </w:p>
    <w:p>
      <w:pPr>
        <w:pStyle w:val="32"/>
      </w:pPr>
      <w:bookmarkStart w:id="132" w:name="_Toc161250528"/>
      <w:r>
        <w:rPr>
          <w:rFonts w:hint="eastAsia"/>
        </w:rPr>
        <w:t>附图1：地理位置图</w:t>
      </w:r>
      <w:bookmarkEnd w:id="132"/>
    </w:p>
    <w:p>
      <w:pPr>
        <w:pStyle w:val="40"/>
        <w:sectPr>
          <w:pgSz w:w="16838" w:h="11906" w:orient="landscape"/>
          <w:pgMar w:top="1800" w:right="1440" w:bottom="1800" w:left="1440" w:header="851" w:footer="992" w:gutter="0"/>
          <w:cols w:space="425" w:num="1"/>
          <w:docGrid w:type="lines" w:linePitch="312" w:charSpace="0"/>
        </w:sectPr>
      </w:pPr>
      <w:r>
        <w:rPr>
          <w14:ligatures w14:val="standardContextual"/>
        </w:rPr>
        <mc:AlternateContent>
          <mc:Choice Requires="wps">
            <w:drawing>
              <wp:anchor distT="0" distB="0" distL="114300" distR="114300" simplePos="0" relativeHeight="251665408" behindDoc="0" locked="0" layoutInCell="1" allowOverlap="1">
                <wp:simplePos x="0" y="0"/>
                <wp:positionH relativeFrom="column">
                  <wp:posOffset>781050</wp:posOffset>
                </wp:positionH>
                <wp:positionV relativeFrom="paragraph">
                  <wp:posOffset>859155</wp:posOffset>
                </wp:positionV>
                <wp:extent cx="1294765" cy="255905"/>
                <wp:effectExtent l="0" t="228600" r="743585" b="10795"/>
                <wp:wrapNone/>
                <wp:docPr id="519053983" name="对话气泡: 矩形 29"/>
                <wp:cNvGraphicFramePr/>
                <a:graphic xmlns:a="http://schemas.openxmlformats.org/drawingml/2006/main">
                  <a:graphicData uri="http://schemas.microsoft.com/office/word/2010/wordprocessingShape">
                    <wps:wsp>
                      <wps:cNvSpPr/>
                      <wps:spPr>
                        <a:xfrm>
                          <a:off x="0" y="0"/>
                          <a:ext cx="1294765" cy="255905"/>
                        </a:xfrm>
                        <a:prstGeom prst="wedgeRectCallout">
                          <a:avLst>
                            <a:gd name="adj1" fmla="val 102016"/>
                            <a:gd name="adj2" fmla="val -131406"/>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29" o:spid="_x0000_s1026" o:spt="61" type="#_x0000_t61" style="position:absolute;left:0pt;margin-left:61.5pt;margin-top:67.65pt;height:20.15pt;width:101.95pt;z-index:251665408;v-text-anchor:middle;mso-width-relative:page;mso-height-relative:page;" fillcolor="#FFFFFF [3201]" filled="t" stroked="t" coordsize="21600,21600" o:gfxdata="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LEeuXzaAAAACwEAAA8A&#10;AAAAAAAAAQAgAAAAIgAAAGRycy9kb3ducmV2LnhtbFBLAQIUABQAAAAIAIdO4kDEps3pwAIAAHYF&#10;AAAOAAAAAAAAAAEAIAAAACkBAABkcnMvZTJvRG9jLnhtbFBLBQYAAAAABgAGAFkBAABbBgAAAAA=&#10;" adj="32835,-17584">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w:rPr>
          <w14:ligatures w14:val="standardContextual"/>
        </w:rPr>
        <mc:AlternateContent>
          <mc:Choice Requires="wps">
            <w:drawing>
              <wp:anchor distT="0" distB="0" distL="114300" distR="114300" simplePos="0" relativeHeight="251664384" behindDoc="0" locked="0" layoutInCell="1" allowOverlap="1">
                <wp:simplePos x="0" y="0"/>
                <wp:positionH relativeFrom="column">
                  <wp:posOffset>2652395</wp:posOffset>
                </wp:positionH>
                <wp:positionV relativeFrom="paragraph">
                  <wp:posOffset>548005</wp:posOffset>
                </wp:positionV>
                <wp:extent cx="153670" cy="153670"/>
                <wp:effectExtent l="19050" t="38100" r="37465" b="37465"/>
                <wp:wrapNone/>
                <wp:docPr id="1050825210" name="星形: 五角 28"/>
                <wp:cNvGraphicFramePr/>
                <a:graphic xmlns:a="http://schemas.openxmlformats.org/drawingml/2006/main">
                  <a:graphicData uri="http://schemas.microsoft.com/office/word/2010/wordprocessingShape">
                    <wps:wsp>
                      <wps:cNvSpPr/>
                      <wps:spPr>
                        <a:xfrm>
                          <a:off x="0" y="0"/>
                          <a:ext cx="153619" cy="153619"/>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28" o:spid="_x0000_s1026" style="position:absolute;left:0pt;margin-left:208.85pt;margin-top:43.15pt;height:12.1pt;width:12.1pt;z-index:251664384;v-text-anchor:middle;mso-width-relative:page;mso-height-relative:page;" fillcolor="#FF0000" filled="t" stroked="t" coordsize="153619,153619" o:gfxdata="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TplubaAAAACgEAAA8AAAAAAAAAAQAg&#10;AAAAIgAAAGRycy9kb3ducmV2LnhtbFBLAQIUABQAAAAIAIdO4kA+j1WZfgIAAAYFAAAOAAAAAAAA&#10;AAEAIAAAACkBAABkcnMvZTJvRG9jLnhtbFBLBQYAAAAABgAGAFkBAAAZBgAAAAA=&#10;" path="m0,58677l58677,58677,76809,0,94941,58677,153618,58677,106147,94941,124280,153618,76809,117353,29338,153618,47471,94941xe">
                <v:path o:connectlocs="76809,0;0,58677;29338,153618;124280,153618;153618,58677" o:connectangles="247,164,82,82,0"/>
                <v:fill on="t" focussize="0,0"/>
                <v:stroke weight="1pt" color="#FF0000 [3204]" miterlimit="8" joinstyle="miter"/>
                <v:imagedata o:title=""/>
                <o:lock v:ext="edit" aspectratio="f"/>
              </v:shape>
            </w:pict>
          </mc:Fallback>
        </mc:AlternateContent>
      </w:r>
      <w:r>
        <w:rPr>
          <w14:ligatures w14:val="standardContextual"/>
        </w:rPr>
        <w:drawing>
          <wp:anchor distT="0" distB="0" distL="114300" distR="114300" simplePos="0" relativeHeight="251670528" behindDoc="0" locked="0" layoutInCell="1" allowOverlap="1">
            <wp:simplePos x="0" y="0"/>
            <wp:positionH relativeFrom="column">
              <wp:posOffset>6780530</wp:posOffset>
            </wp:positionH>
            <wp:positionV relativeFrom="paragraph">
              <wp:posOffset>88900</wp:posOffset>
            </wp:positionV>
            <wp:extent cx="676910" cy="709295"/>
            <wp:effectExtent l="0" t="0" r="8890" b="0"/>
            <wp:wrapNone/>
            <wp:docPr id="4263433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343398"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drawing>
          <wp:inline distT="0" distB="0" distL="0" distR="0">
            <wp:extent cx="6283325" cy="4556125"/>
            <wp:effectExtent l="0" t="0" r="3175" b="0"/>
            <wp:docPr id="91270078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700788" name="图片 27"/>
                    <pic:cNvPicPr>
                      <a:picLocks noChangeAspect="1" noChangeArrowheads="1"/>
                    </pic:cNvPicPr>
                  </pic:nvPicPr>
                  <pic:blipFill>
                    <a:blip r:embed="rId46" cstate="print">
                      <a:extLst>
                        <a:ext uri="{28A0092B-C50C-407E-A947-70E740481C1C}">
                          <a14:useLocalDpi xmlns:a14="http://schemas.microsoft.com/office/drawing/2010/main" val="0"/>
                        </a:ext>
                      </a:extLst>
                    </a:blip>
                    <a:srcRect l="5181" t="3883" r="5162" b="3880"/>
                    <a:stretch>
                      <a:fillRect/>
                    </a:stretch>
                  </pic:blipFill>
                  <pic:spPr>
                    <a:xfrm>
                      <a:off x="0" y="0"/>
                      <a:ext cx="6296356" cy="4565352"/>
                    </a:xfrm>
                    <a:prstGeom prst="rect">
                      <a:avLst/>
                    </a:prstGeom>
                    <a:noFill/>
                    <a:ln>
                      <a:noFill/>
                    </a:ln>
                  </pic:spPr>
                </pic:pic>
              </a:graphicData>
            </a:graphic>
          </wp:inline>
        </w:drawing>
      </w:r>
      <w:r>
        <w:rPr>
          <w14:ligatures w14:val="standardContextual"/>
        </w:rPr>
        <w:t xml:space="preserve"> </w:t>
      </w:r>
      <w:r>
        <w:rPr>
          <w14:ligatures w14:val="standardContextual"/>
        </w:rPr>
        <mc:AlternateContent>
          <mc:Choice Requires="wps">
            <w:drawing>
              <wp:anchor distT="0" distB="0" distL="114300" distR="114300" simplePos="0" relativeHeight="251666432" behindDoc="0" locked="0" layoutInCell="1" allowOverlap="1">
                <wp:simplePos x="0" y="0"/>
                <wp:positionH relativeFrom="column">
                  <wp:posOffset>4398645</wp:posOffset>
                </wp:positionH>
                <wp:positionV relativeFrom="paragraph">
                  <wp:posOffset>2799715</wp:posOffset>
                </wp:positionV>
                <wp:extent cx="197485" cy="197485"/>
                <wp:effectExtent l="19050" t="38100" r="31115" b="31115"/>
                <wp:wrapNone/>
                <wp:docPr id="505619996" name="星形: 五角 30"/>
                <wp:cNvGraphicFramePr/>
                <a:graphic xmlns:a="http://schemas.openxmlformats.org/drawingml/2006/main">
                  <a:graphicData uri="http://schemas.microsoft.com/office/word/2010/wordprocessingShape">
                    <wps:wsp>
                      <wps:cNvSpPr/>
                      <wps:spPr>
                        <a:xfrm>
                          <a:off x="0" y="0"/>
                          <a:ext cx="197510" cy="197510"/>
                        </a:xfrm>
                        <a:prstGeom prst="star5">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星形: 五角 30" o:spid="_x0000_s1026" style="position:absolute;left:0pt;margin-left:346.35pt;margin-top:220.45pt;height:15.55pt;width:15.55pt;z-index:251666432;v-text-anchor:middle;mso-width-relative:page;mso-height-relative:page;" fillcolor="#FF0000" filled="t" stroked="t" coordsize="197510,197510" o:gfxdata="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B8GUazXAAAACwEAAA8AAAAAAAAAAQAgAAAA&#10;IgAAAGRycy9kb3ducmV2LnhtbFBLAQIUABQAAAAIAIdO4kAWuc8ZfgIAAAUFAAAOAAAAAAAAAAEA&#10;IAAAACYBAABkcnMvZTJvRG9jLnhtbFBLBQYAAAAABgAGAFkBAAAWBgAAAAA=&#10;" path="m0,75441l75442,75442,98755,0,122067,75442,197509,75441,136475,122067,159788,197509,98755,150883,37721,197509,61034,122067xe">
                <v:path o:connectlocs="98755,0;0,75441;37721,197509;159788,197509;197509,75441" o:connectangles="247,164,82,82,0"/>
                <v:fill on="t" focussize="0,0"/>
                <v:stroke weight="1pt" color="#FF0000 [3204]" miterlimit="8" joinstyle="miter"/>
                <v:imagedata o:title=""/>
                <o:lock v:ext="edit" aspectratio="f"/>
              </v:shape>
            </w:pict>
          </mc:Fallback>
        </mc:AlternateContent>
      </w:r>
      <w:r>
        <w:rPr>
          <w14:ligatures w14:val="standardContextual"/>
        </w:rPr>
        <mc:AlternateContent>
          <mc:Choice Requires="wps">
            <w:drawing>
              <wp:anchor distT="0" distB="0" distL="114300" distR="114300" simplePos="0" relativeHeight="251667456" behindDoc="0" locked="0" layoutInCell="1" allowOverlap="1">
                <wp:simplePos x="0" y="0"/>
                <wp:positionH relativeFrom="column">
                  <wp:posOffset>2886710</wp:posOffset>
                </wp:positionH>
                <wp:positionV relativeFrom="paragraph">
                  <wp:posOffset>2330450</wp:posOffset>
                </wp:positionV>
                <wp:extent cx="1097280" cy="299720"/>
                <wp:effectExtent l="0" t="0" r="617220" b="271780"/>
                <wp:wrapNone/>
                <wp:docPr id="527356665" name="对话气泡: 矩形 31"/>
                <wp:cNvGraphicFramePr/>
                <a:graphic xmlns:a="http://schemas.openxmlformats.org/drawingml/2006/main">
                  <a:graphicData uri="http://schemas.microsoft.com/office/word/2010/wordprocessingShape">
                    <wps:wsp>
                      <wps:cNvSpPr/>
                      <wps:spPr>
                        <a:xfrm>
                          <a:off x="0" y="0"/>
                          <a:ext cx="1097280" cy="299720"/>
                        </a:xfrm>
                        <a:prstGeom prst="wedgeRectCallout">
                          <a:avLst>
                            <a:gd name="adj1" fmla="val 97167"/>
                            <a:gd name="adj2" fmla="val 123517"/>
                          </a:avLst>
                        </a:prstGeom>
                      </wps:spPr>
                      <wps:style>
                        <a:lnRef idx="2">
                          <a:schemeClr val="dk1"/>
                        </a:lnRef>
                        <a:fillRef idx="1">
                          <a:schemeClr val="lt1"/>
                        </a:fillRef>
                        <a:effectRef idx="0">
                          <a:schemeClr val="dk1"/>
                        </a:effectRef>
                        <a:fontRef idx="minor">
                          <a:schemeClr val="dk1"/>
                        </a:fontRef>
                      </wps:style>
                      <wps:txbx>
                        <w:txbxContent>
                          <w:p>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31" o:spid="_x0000_s1026" o:spt="61" type="#_x0000_t61" style="position:absolute;left:0pt;margin-left:227.3pt;margin-top:183.5pt;height:23.6pt;width:86.4pt;z-index:251667456;v-text-anchor:middle;mso-width-relative:page;mso-height-relative:page;" fillcolor="#FFFFFF [3201]" filled="t" stroked="t" coordsize="21600,21600" o:gfxdata="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C0rJDzZAAAACwEAAA8AAAAA&#10;AAAAAQAgAAAAIgAAAGRycy9kb3ducmV2LnhtbFBLAQIUABQAAAAIAIdO4kDrzwg0vgIAAHQFAAAO&#10;AAAAAAAAAAEAIAAAACgBAABkcnMvZTJvRG9jLnhtbFBLBQYAAAAABgAGAFkBAABYBgAAAAA=&#10;" adj="31788,37480">
                <v:fill on="t" focussize="0,0"/>
                <v:stroke weight="1pt" color="#000000 [3200]" miterlimit="8" joinstyle="miter"/>
                <v:imagedata o:title=""/>
                <o:lock v:ext="edit" aspectratio="f"/>
                <v:textbox>
                  <w:txbxContent>
                    <w:p>
                      <w:pPr>
                        <w:jc w:val="center"/>
                      </w:pPr>
                      <w:r>
                        <w:rPr>
                          <w:rFonts w:hint="eastAsia"/>
                        </w:rPr>
                        <w:t>本项目位置</w:t>
                      </w:r>
                    </w:p>
                  </w:txbxContent>
                </v:textbox>
              </v:shape>
            </w:pict>
          </mc:Fallback>
        </mc:AlternateContent>
      </w:r>
      <w:r>
        <w:rPr>
          <w14:ligatures w14:val="standardContextual"/>
        </w:rPr>
        <w:drawing>
          <wp:anchor distT="0" distB="0" distL="114300" distR="114300" simplePos="0" relativeHeight="251669504" behindDoc="0" locked="0" layoutInCell="1" allowOverlap="1">
            <wp:simplePos x="0" y="0"/>
            <wp:positionH relativeFrom="column">
              <wp:posOffset>7754620</wp:posOffset>
            </wp:positionH>
            <wp:positionV relativeFrom="paragraph">
              <wp:posOffset>4857115</wp:posOffset>
            </wp:positionV>
            <wp:extent cx="849630" cy="295275"/>
            <wp:effectExtent l="0" t="0" r="8255" b="0"/>
            <wp:wrapNone/>
            <wp:docPr id="18270459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045991" name="图片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849600" cy="295200"/>
                    </a:xfrm>
                    <a:prstGeom prst="rect">
                      <a:avLst/>
                    </a:prstGeom>
                  </pic:spPr>
                </pic:pic>
              </a:graphicData>
            </a:graphic>
          </wp:anchor>
        </w:drawing>
      </w:r>
      <w:r>
        <w:rPr>
          <w14:ligatures w14:val="standardContextual"/>
        </w:rPr>
        <w:drawing>
          <wp:inline distT="0" distB="0" distL="0" distR="0">
            <wp:extent cx="8863330" cy="5245100"/>
            <wp:effectExtent l="0" t="0" r="0" b="0"/>
            <wp:docPr id="18249734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973424" name="图片 1"/>
                    <pic:cNvPicPr>
                      <a:picLocks noChangeAspect="1"/>
                    </pic:cNvPicPr>
                  </pic:nvPicPr>
                  <pic:blipFill>
                    <a:blip r:embed="rId48"/>
                    <a:stretch>
                      <a:fillRect/>
                    </a:stretch>
                  </pic:blipFill>
                  <pic:spPr>
                    <a:xfrm>
                      <a:off x="0" y="0"/>
                      <a:ext cx="8863330" cy="5245100"/>
                    </a:xfrm>
                    <a:prstGeom prst="rect">
                      <a:avLst/>
                    </a:prstGeom>
                  </pic:spPr>
                </pic:pic>
              </a:graphicData>
            </a:graphic>
          </wp:inline>
        </w:drawing>
      </w:r>
      <w:r>
        <w:rPr>
          <w14:ligatures w14:val="standardContextual"/>
        </w:rPr>
        <w:drawing>
          <wp:anchor distT="0" distB="0" distL="114300" distR="114300" simplePos="0" relativeHeight="251668480" behindDoc="0" locked="0" layoutInCell="1" allowOverlap="1">
            <wp:simplePos x="0" y="0"/>
            <wp:positionH relativeFrom="column">
              <wp:posOffset>8141335</wp:posOffset>
            </wp:positionH>
            <wp:positionV relativeFrom="paragraph">
              <wp:posOffset>48895</wp:posOffset>
            </wp:positionV>
            <wp:extent cx="676910" cy="709295"/>
            <wp:effectExtent l="0" t="0" r="8890" b="0"/>
            <wp:wrapNone/>
            <wp:docPr id="279823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823786"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p>
    <w:p>
      <w:pPr>
        <w:pStyle w:val="32"/>
      </w:pPr>
      <w:bookmarkStart w:id="133" w:name="_Toc161250529"/>
      <w:r>
        <w:rPr>
          <w:rFonts w:hint="eastAsia"/>
        </w:rPr>
        <w:t>附图2：总平面布置图</w:t>
      </w:r>
      <w:bookmarkEnd w:id="133"/>
    </w:p>
    <w:p>
      <w:pPr>
        <w:pStyle w:val="40"/>
        <w:sectPr>
          <w:pgSz w:w="16838" w:h="11906" w:orient="landscape"/>
          <w:pgMar w:top="1440" w:right="1080" w:bottom="1440" w:left="1080" w:header="851" w:footer="794" w:gutter="0"/>
          <w:cols w:space="425" w:num="1"/>
          <w:docGrid w:type="lines" w:linePitch="312" w:charSpace="0"/>
        </w:sectPr>
      </w:pPr>
      <w:r>
        <w:drawing>
          <wp:inline distT="0" distB="0" distL="0" distR="0">
            <wp:extent cx="7917815" cy="5219700"/>
            <wp:effectExtent l="19050" t="19050" r="26035" b="19050"/>
            <wp:docPr id="20310887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88739" name="图片 13"/>
                    <pic:cNvPicPr>
                      <a:picLocks noChangeAspect="1" noChangeArrowheads="1"/>
                    </pic:cNvPicPr>
                  </pic:nvPicPr>
                  <pic:blipFill>
                    <a:blip r:embed="rId49" cstate="print">
                      <a:extLst>
                        <a:ext uri="{28A0092B-C50C-407E-A947-70E740481C1C}">
                          <a14:useLocalDpi xmlns:a14="http://schemas.microsoft.com/office/drawing/2010/main" val="0"/>
                        </a:ext>
                      </a:extLst>
                    </a:blip>
                    <a:srcRect l="9990" t="5983" r="6214" b="15909"/>
                    <a:stretch>
                      <a:fillRect/>
                    </a:stretch>
                  </pic:blipFill>
                  <pic:spPr>
                    <a:xfrm>
                      <a:off x="0" y="0"/>
                      <a:ext cx="7926871" cy="5225286"/>
                    </a:xfrm>
                    <a:prstGeom prst="rect">
                      <a:avLst/>
                    </a:prstGeom>
                    <a:noFill/>
                    <a:ln>
                      <a:solidFill>
                        <a:schemeClr val="tx1"/>
                      </a:solidFill>
                    </a:ln>
                  </pic:spPr>
                </pic:pic>
              </a:graphicData>
            </a:graphic>
          </wp:inline>
        </w:drawing>
      </w:r>
    </w:p>
    <w:p>
      <w:pPr>
        <w:pStyle w:val="32"/>
      </w:pPr>
      <w:bookmarkStart w:id="134" w:name="_Toc161250530"/>
      <w:r>
        <w:rPr>
          <w:rFonts w:hint="eastAsia"/>
        </w:rPr>
        <w:t>附图3：污水处理工程污水收集专管布置图</w:t>
      </w:r>
      <w:bookmarkEnd w:id="134"/>
    </w:p>
    <w:p>
      <w:pPr>
        <w:pStyle w:val="40"/>
        <w:sectPr>
          <w:pgSz w:w="16838" w:h="11906" w:orient="landscape"/>
          <w:pgMar w:top="1440" w:right="1080" w:bottom="1440" w:left="1080" w:header="851" w:footer="680" w:gutter="0"/>
          <w:cols w:space="425" w:num="1"/>
          <w:docGrid w:type="lines" w:linePitch="312" w:charSpace="0"/>
        </w:sectPr>
      </w:pPr>
      <w:r>
        <w:drawing>
          <wp:inline distT="0" distB="0" distL="0" distR="0">
            <wp:extent cx="7482840" cy="5210175"/>
            <wp:effectExtent l="19050" t="19050" r="22860" b="9525"/>
            <wp:docPr id="136899040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990400" name="图片 14"/>
                    <pic:cNvPicPr>
                      <a:picLocks noChangeAspect="1" noChangeArrowheads="1"/>
                    </pic:cNvPicPr>
                  </pic:nvPicPr>
                  <pic:blipFill>
                    <a:blip r:embed="rId50" cstate="print">
                      <a:extLst>
                        <a:ext uri="{28A0092B-C50C-407E-A947-70E740481C1C}">
                          <a14:useLocalDpi xmlns:a14="http://schemas.microsoft.com/office/drawing/2010/main" val="0"/>
                        </a:ext>
                      </a:extLst>
                    </a:blip>
                    <a:srcRect l="9873" t="5817" r="5391" b="10757"/>
                    <a:stretch>
                      <a:fillRect/>
                    </a:stretch>
                  </pic:blipFill>
                  <pic:spPr>
                    <a:xfrm>
                      <a:off x="0" y="0"/>
                      <a:ext cx="7490624" cy="5215386"/>
                    </a:xfrm>
                    <a:prstGeom prst="rect">
                      <a:avLst/>
                    </a:prstGeom>
                    <a:noFill/>
                    <a:ln>
                      <a:solidFill>
                        <a:schemeClr val="tx1"/>
                      </a:solidFill>
                    </a:ln>
                  </pic:spPr>
                </pic:pic>
              </a:graphicData>
            </a:graphic>
          </wp:inline>
        </w:drawing>
      </w:r>
    </w:p>
    <w:p>
      <w:pPr>
        <w:pStyle w:val="32"/>
      </w:pPr>
      <w:bookmarkStart w:id="135" w:name="_Toc161250531"/>
      <w:r>
        <w:rPr>
          <w:rFonts w:hint="eastAsia"/>
        </w:rPr>
        <w:t>附图4：污水处理工程污水分区图</w:t>
      </w:r>
      <w:bookmarkEnd w:id="135"/>
    </w:p>
    <w:p>
      <w:pPr>
        <w:pStyle w:val="40"/>
        <w:sectPr>
          <w:pgSz w:w="16838" w:h="11906" w:orient="landscape"/>
          <w:pgMar w:top="1440" w:right="1080" w:bottom="1440" w:left="1080" w:header="851" w:footer="992" w:gutter="0"/>
          <w:cols w:space="425" w:num="1"/>
          <w:docGrid w:type="lines" w:linePitch="312" w:charSpace="0"/>
        </w:sectPr>
      </w:pPr>
      <w:r>
        <w:drawing>
          <wp:inline distT="0" distB="0" distL="0" distR="0">
            <wp:extent cx="7433945" cy="5172075"/>
            <wp:effectExtent l="19050" t="19050" r="14605" b="9525"/>
            <wp:docPr id="8183098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09875" name="图片 15"/>
                    <pic:cNvPicPr>
                      <a:picLocks noChangeAspect="1" noChangeArrowheads="1"/>
                    </pic:cNvPicPr>
                  </pic:nvPicPr>
                  <pic:blipFill>
                    <a:blip r:embed="rId51" cstate="print">
                      <a:extLst>
                        <a:ext uri="{28A0092B-C50C-407E-A947-70E740481C1C}">
                          <a14:useLocalDpi xmlns:a14="http://schemas.microsoft.com/office/drawing/2010/main" val="0"/>
                        </a:ext>
                      </a:extLst>
                    </a:blip>
                    <a:srcRect l="10108" t="5817" r="4921" b="10591"/>
                    <a:stretch>
                      <a:fillRect/>
                    </a:stretch>
                  </pic:blipFill>
                  <pic:spPr>
                    <a:xfrm>
                      <a:off x="0" y="0"/>
                      <a:ext cx="7437516" cy="5174372"/>
                    </a:xfrm>
                    <a:prstGeom prst="rect">
                      <a:avLst/>
                    </a:prstGeom>
                    <a:noFill/>
                    <a:ln>
                      <a:solidFill>
                        <a:schemeClr val="tx1"/>
                      </a:solidFill>
                    </a:ln>
                  </pic:spPr>
                </pic:pic>
              </a:graphicData>
            </a:graphic>
          </wp:inline>
        </w:drawing>
      </w:r>
    </w:p>
    <w:p>
      <w:pPr>
        <w:pStyle w:val="32"/>
      </w:pPr>
      <w:bookmarkStart w:id="136" w:name="_Toc161250532"/>
      <w:r>
        <w:rPr>
          <w:rFonts w:hint="eastAsia"/>
        </w:rPr>
        <w:t>附图5：排污口设置位置及排污路径图</w:t>
      </w:r>
      <w:bookmarkEnd w:id="136"/>
    </w:p>
    <w:p>
      <w:pPr>
        <w:pStyle w:val="40"/>
        <w:sectPr>
          <w:pgSz w:w="11906" w:h="16838"/>
          <w:pgMar w:top="1080" w:right="1440" w:bottom="1080" w:left="1440" w:header="851" w:footer="992" w:gutter="0"/>
          <w:cols w:space="425" w:num="1"/>
          <w:docGrid w:type="lines" w:linePitch="312" w:charSpace="0"/>
        </w:sectPr>
      </w:pPr>
      <w:r>
        <w:drawing>
          <wp:inline distT="0" distB="0" distL="0" distR="0">
            <wp:extent cx="5657850" cy="7677150"/>
            <wp:effectExtent l="0" t="0" r="0" b="0"/>
            <wp:docPr id="5895584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558485" name="图片 1"/>
                    <pic:cNvPicPr>
                      <a:picLocks noChangeAspect="1"/>
                    </pic:cNvPicPr>
                  </pic:nvPicPr>
                  <pic:blipFill>
                    <a:blip r:embed="rId5"/>
                    <a:stretch>
                      <a:fillRect/>
                    </a:stretch>
                  </pic:blipFill>
                  <pic:spPr>
                    <a:xfrm>
                      <a:off x="0" y="0"/>
                      <a:ext cx="5657850" cy="7677150"/>
                    </a:xfrm>
                    <a:prstGeom prst="rect">
                      <a:avLst/>
                    </a:prstGeom>
                  </pic:spPr>
                </pic:pic>
              </a:graphicData>
            </a:graphic>
          </wp:inline>
        </w:drawing>
      </w:r>
      <w:r>
        <w:rPr>
          <w14:ligatures w14:val="standardContextual"/>
        </w:rPr>
        <w:drawing>
          <wp:anchor distT="0" distB="0" distL="114300" distR="114300" simplePos="0" relativeHeight="251703296" behindDoc="0" locked="0" layoutInCell="1" allowOverlap="1">
            <wp:simplePos x="0" y="0"/>
            <wp:positionH relativeFrom="column">
              <wp:posOffset>5052060</wp:posOffset>
            </wp:positionH>
            <wp:positionV relativeFrom="paragraph">
              <wp:posOffset>30480</wp:posOffset>
            </wp:positionV>
            <wp:extent cx="676910" cy="709295"/>
            <wp:effectExtent l="0" t="0" r="8890" b="0"/>
            <wp:wrapNone/>
            <wp:docPr id="8857246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724668"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Pr>
          <w14:ligatures w14:val="standardContextual"/>
        </w:rPr>
        <w:drawing>
          <wp:anchor distT="0" distB="0" distL="114300" distR="114300" simplePos="0" relativeHeight="251671552" behindDoc="0" locked="0" layoutInCell="1" allowOverlap="1">
            <wp:simplePos x="0" y="0"/>
            <wp:positionH relativeFrom="column">
              <wp:posOffset>8573135</wp:posOffset>
            </wp:positionH>
            <wp:positionV relativeFrom="paragraph">
              <wp:posOffset>79375</wp:posOffset>
            </wp:positionV>
            <wp:extent cx="676910" cy="709295"/>
            <wp:effectExtent l="0" t="0" r="8890" b="0"/>
            <wp:wrapNone/>
            <wp:docPr id="5782966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6617"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p>
    <w:p>
      <w:pPr>
        <w:pStyle w:val="32"/>
      </w:pPr>
      <w:bookmarkStart w:id="137" w:name="_Toc161250533"/>
      <w:r>
        <w:rPr>
          <w:rFonts w:hint="eastAsia"/>
        </w:rPr>
        <w:t>附图6：区域水系图</w:t>
      </w:r>
      <w:bookmarkEnd w:id="137"/>
    </w:p>
    <w:p>
      <w:pPr>
        <w:pStyle w:val="40"/>
        <w:sectPr>
          <w:pgSz w:w="11906" w:h="16838"/>
          <w:pgMar w:top="1080" w:right="1440" w:bottom="1080" w:left="1440" w:header="851" w:footer="992" w:gutter="0"/>
          <w:cols w:space="425" w:num="1"/>
          <w:docGrid w:type="lines" w:linePitch="312" w:charSpace="0"/>
        </w:sectPr>
      </w:pPr>
      <w:r>
        <w:rPr>
          <w14:ligatures w14:val="standardContextual"/>
        </w:rPr>
        <w:drawing>
          <wp:anchor distT="0" distB="0" distL="114300" distR="114300" simplePos="0" relativeHeight="251704320" behindDoc="0" locked="0" layoutInCell="1" allowOverlap="1">
            <wp:simplePos x="0" y="0"/>
            <wp:positionH relativeFrom="column">
              <wp:posOffset>4961255</wp:posOffset>
            </wp:positionH>
            <wp:positionV relativeFrom="paragraph">
              <wp:posOffset>118110</wp:posOffset>
            </wp:positionV>
            <wp:extent cx="676910" cy="709295"/>
            <wp:effectExtent l="0" t="0" r="8890" b="0"/>
            <wp:wrapNone/>
            <wp:docPr id="208236419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364190"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drawing>
          <wp:inline distT="0" distB="0" distL="0" distR="0">
            <wp:extent cx="5399405" cy="7470140"/>
            <wp:effectExtent l="19050" t="19050" r="10795" b="16510"/>
            <wp:docPr id="8739614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961442" name="图片 1"/>
                    <pic:cNvPicPr>
                      <a:picLocks noChangeAspect="1"/>
                    </pic:cNvPicPr>
                  </pic:nvPicPr>
                  <pic:blipFill>
                    <a:blip r:embed="rId52"/>
                    <a:stretch>
                      <a:fillRect/>
                    </a:stretch>
                  </pic:blipFill>
                  <pic:spPr>
                    <a:xfrm>
                      <a:off x="0" y="0"/>
                      <a:ext cx="5400000" cy="7470162"/>
                    </a:xfrm>
                    <a:prstGeom prst="rect">
                      <a:avLst/>
                    </a:prstGeom>
                    <a:ln>
                      <a:solidFill>
                        <a:schemeClr val="tx1"/>
                      </a:solidFill>
                    </a:ln>
                  </pic:spPr>
                </pic:pic>
              </a:graphicData>
            </a:graphic>
          </wp:inline>
        </w:drawing>
      </w:r>
    </w:p>
    <w:p>
      <w:pPr>
        <w:pStyle w:val="32"/>
      </w:pPr>
      <w:bookmarkStart w:id="138" w:name="_Toc161250534"/>
      <w:r>
        <w:rPr>
          <w:rFonts w:hint="eastAsia"/>
        </w:rPr>
        <w:t>附图7：监测点位图</w:t>
      </w:r>
      <w:bookmarkEnd w:id="138"/>
    </w:p>
    <w:p>
      <w:pPr>
        <w:pStyle w:val="40"/>
        <w:sectPr>
          <w:pgSz w:w="11906" w:h="16838"/>
          <w:pgMar w:top="1440" w:right="1080" w:bottom="1440" w:left="1080" w:header="851" w:footer="992" w:gutter="0"/>
          <w:cols w:space="425" w:num="1"/>
          <w:docGrid w:type="lines" w:linePitch="312" w:charSpace="0"/>
        </w:sectPr>
      </w:pPr>
      <w:r>
        <w:rPr>
          <w14:ligatures w14:val="standardContextual"/>
        </w:rPr>
        <w:drawing>
          <wp:anchor distT="0" distB="0" distL="114300" distR="114300" simplePos="0" relativeHeight="251705344" behindDoc="0" locked="0" layoutInCell="1" allowOverlap="1">
            <wp:simplePos x="0" y="0"/>
            <wp:positionH relativeFrom="column">
              <wp:posOffset>5449570</wp:posOffset>
            </wp:positionH>
            <wp:positionV relativeFrom="paragraph">
              <wp:posOffset>72390</wp:posOffset>
            </wp:positionV>
            <wp:extent cx="676910" cy="709295"/>
            <wp:effectExtent l="0" t="0" r="8890" b="0"/>
            <wp:wrapNone/>
            <wp:docPr id="138211185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11859"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r>
        <w:rPr>
          <w14:ligatures w14:val="standardContextual"/>
        </w:rPr>
        <w:drawing>
          <wp:inline distT="0" distB="0" distL="0" distR="0">
            <wp:extent cx="6188710" cy="7879715"/>
            <wp:effectExtent l="0" t="0" r="2540" b="6985"/>
            <wp:docPr id="184876968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769689" name="图片 1"/>
                    <pic:cNvPicPr>
                      <a:picLocks noChangeAspect="1"/>
                    </pic:cNvPicPr>
                  </pic:nvPicPr>
                  <pic:blipFill>
                    <a:blip r:embed="rId53"/>
                    <a:stretch>
                      <a:fillRect/>
                    </a:stretch>
                  </pic:blipFill>
                  <pic:spPr>
                    <a:xfrm>
                      <a:off x="0" y="0"/>
                      <a:ext cx="6188710" cy="7879715"/>
                    </a:xfrm>
                    <a:prstGeom prst="rect">
                      <a:avLst/>
                    </a:prstGeom>
                  </pic:spPr>
                </pic:pic>
              </a:graphicData>
            </a:graphic>
          </wp:inline>
        </w:drawing>
      </w:r>
      <w:r>
        <w:rPr>
          <w14:ligatures w14:val="standardContextual"/>
        </w:rPr>
        <w:drawing>
          <wp:anchor distT="0" distB="0" distL="114300" distR="114300" simplePos="0" relativeHeight="251672576" behindDoc="0" locked="0" layoutInCell="1" allowOverlap="1">
            <wp:simplePos x="0" y="0"/>
            <wp:positionH relativeFrom="column">
              <wp:posOffset>8119745</wp:posOffset>
            </wp:positionH>
            <wp:positionV relativeFrom="paragraph">
              <wp:posOffset>174625</wp:posOffset>
            </wp:positionV>
            <wp:extent cx="676910" cy="709295"/>
            <wp:effectExtent l="0" t="0" r="8890" b="0"/>
            <wp:wrapNone/>
            <wp:docPr id="9153604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360428" name="图片 1"/>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676930" cy="709574"/>
                    </a:xfrm>
                    <a:prstGeom prst="rect">
                      <a:avLst/>
                    </a:prstGeom>
                  </pic:spPr>
                </pic:pic>
              </a:graphicData>
            </a:graphic>
          </wp:anchor>
        </w:drawing>
      </w:r>
    </w:p>
    <w:p>
      <w:pPr>
        <w:pStyle w:val="32"/>
      </w:pPr>
      <w:bookmarkStart w:id="139" w:name="_Toc161250535"/>
      <w:r>
        <w:rPr>
          <w:rFonts w:hint="eastAsia"/>
        </w:rPr>
        <w:t>附图8：现场照片</w:t>
      </w:r>
      <w:bookmarkEnd w:id="139"/>
    </w:p>
    <w:tbl>
      <w:tblPr>
        <w:tblStyle w:val="2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1"/>
        <w:gridCol w:w="42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pStyle w:val="40"/>
              <w:rPr>
                <w:kern w:val="0"/>
              </w:rPr>
            </w:pPr>
            <w:r>
              <w:rPr>
                <w:kern w:val="0"/>
              </w:rPr>
              <w:drawing>
                <wp:inline distT="0" distB="0" distL="0" distR="0">
                  <wp:extent cx="2699385" cy="2025650"/>
                  <wp:effectExtent l="0" t="0" r="5715" b="0"/>
                  <wp:docPr id="140096848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968485" name="图片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c>
          <w:tcPr>
            <w:tcW w:w="4148" w:type="dxa"/>
          </w:tcPr>
          <w:p>
            <w:pPr>
              <w:pStyle w:val="40"/>
              <w:rPr>
                <w:kern w:val="0"/>
              </w:rPr>
            </w:pPr>
            <w:r>
              <w:rPr>
                <w:kern w:val="0"/>
              </w:rPr>
              <w:drawing>
                <wp:inline distT="0" distB="0" distL="0" distR="0">
                  <wp:extent cx="2699385" cy="2025650"/>
                  <wp:effectExtent l="0" t="0" r="5715" b="0"/>
                  <wp:docPr id="10534783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478355" name="图片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pStyle w:val="40"/>
              <w:rPr>
                <w:kern w:val="0"/>
              </w:rPr>
            </w:pPr>
            <w:r>
              <w:rPr>
                <w:rFonts w:hint="eastAsia"/>
                <w:kern w:val="0"/>
              </w:rPr>
              <w:t>凤歧坪乡污水处理工程建设现状</w:t>
            </w:r>
          </w:p>
        </w:tc>
        <w:tc>
          <w:tcPr>
            <w:tcW w:w="4148" w:type="dxa"/>
          </w:tcPr>
          <w:p>
            <w:pPr>
              <w:pStyle w:val="40"/>
              <w:rPr>
                <w:kern w:val="0"/>
              </w:rPr>
            </w:pPr>
            <w:r>
              <w:rPr>
                <w:rFonts w:hint="eastAsia"/>
                <w:kern w:val="0"/>
              </w:rPr>
              <w:t>凤歧坪乡污水处理工程建设现状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pStyle w:val="40"/>
              <w:rPr>
                <w:kern w:val="0"/>
              </w:rPr>
            </w:pPr>
            <w:r>
              <w:rPr>
                <w:kern w:val="0"/>
              </w:rPr>
              <w:drawing>
                <wp:inline distT="0" distB="0" distL="0" distR="0">
                  <wp:extent cx="2699385" cy="2025650"/>
                  <wp:effectExtent l="0" t="0" r="5715" b="0"/>
                  <wp:docPr id="167439209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392095" name="图片 1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c>
          <w:tcPr>
            <w:tcW w:w="4148" w:type="dxa"/>
          </w:tcPr>
          <w:p>
            <w:pPr>
              <w:pStyle w:val="40"/>
              <w:rPr>
                <w:kern w:val="0"/>
              </w:rPr>
            </w:pPr>
            <w:r>
              <w:rPr>
                <w:kern w:val="0"/>
              </w:rPr>
              <w:drawing>
                <wp:inline distT="0" distB="0" distL="0" distR="0">
                  <wp:extent cx="2699385" cy="2025650"/>
                  <wp:effectExtent l="0" t="0" r="5715" b="0"/>
                  <wp:docPr id="102714075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140750" name="图片 2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pStyle w:val="40"/>
              <w:rPr>
                <w:kern w:val="0"/>
              </w:rPr>
            </w:pPr>
            <w:r>
              <w:rPr>
                <w:rFonts w:hint="eastAsia"/>
                <w:kern w:val="0"/>
              </w:rPr>
              <w:t>东侧灌溉渠</w:t>
            </w:r>
          </w:p>
        </w:tc>
        <w:tc>
          <w:tcPr>
            <w:tcW w:w="4148" w:type="dxa"/>
          </w:tcPr>
          <w:p>
            <w:pPr>
              <w:pStyle w:val="40"/>
              <w:rPr>
                <w:kern w:val="0"/>
              </w:rPr>
            </w:pPr>
            <w:r>
              <w:rPr>
                <w:rFonts w:hint="eastAsia"/>
                <w:kern w:val="0"/>
              </w:rPr>
              <w:t>东侧灌溉渠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48" w:type="dxa"/>
          </w:tcPr>
          <w:p>
            <w:pPr>
              <w:pStyle w:val="40"/>
              <w:rPr>
                <w:kern w:val="0"/>
              </w:rPr>
            </w:pPr>
            <w:r>
              <w:rPr>
                <w:kern w:val="0"/>
              </w:rPr>
              <w:drawing>
                <wp:inline distT="0" distB="0" distL="0" distR="0">
                  <wp:extent cx="2699385" cy="2025650"/>
                  <wp:effectExtent l="0" t="0" r="5715" b="0"/>
                  <wp:docPr id="5451001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10016" name="图片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c>
          <w:tcPr>
            <w:tcW w:w="4148" w:type="dxa"/>
          </w:tcPr>
          <w:p>
            <w:pPr>
              <w:pStyle w:val="40"/>
              <w:rPr>
                <w:kern w:val="0"/>
              </w:rPr>
            </w:pPr>
            <w:r>
              <w:rPr>
                <w:kern w:val="0"/>
              </w:rPr>
              <w:drawing>
                <wp:inline distT="0" distB="0" distL="0" distR="0">
                  <wp:extent cx="2699385" cy="2025650"/>
                  <wp:effectExtent l="0" t="0" r="5715" b="0"/>
                  <wp:docPr id="190993055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930554" name="图片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a:xfrm>
                            <a:off x="0" y="0"/>
                            <a:ext cx="2700000" cy="2025813"/>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8" w:type="dxa"/>
          </w:tcPr>
          <w:p>
            <w:pPr>
              <w:pStyle w:val="40"/>
              <w:rPr>
                <w:kern w:val="0"/>
              </w:rPr>
            </w:pPr>
            <w:r>
              <w:rPr>
                <w:rFonts w:hint="eastAsia"/>
                <w:kern w:val="0"/>
              </w:rPr>
              <w:t>灌溉渠下游</w:t>
            </w:r>
          </w:p>
        </w:tc>
        <w:tc>
          <w:tcPr>
            <w:tcW w:w="4148" w:type="dxa"/>
          </w:tcPr>
          <w:p>
            <w:pPr>
              <w:pStyle w:val="40"/>
              <w:rPr>
                <w:kern w:val="0"/>
              </w:rPr>
            </w:pPr>
            <w:r>
              <w:rPr>
                <w:rFonts w:hint="eastAsia"/>
                <w:kern w:val="0"/>
              </w:rPr>
              <w:t>灌溉渠下游</w:t>
            </w:r>
          </w:p>
        </w:tc>
      </w:tr>
    </w:tbl>
    <w:p>
      <w:pPr>
        <w:pStyle w:val="27"/>
        <w:ind w:firstLine="0" w:firstLineChars="0"/>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ialMT">
    <w:altName w:val="Arial"/>
    <w:panose1 w:val="00000000000000000000"/>
    <w:charset w:val="00"/>
    <w:family w:val="swiss"/>
    <w:pitch w:val="default"/>
    <w:sig w:usb0="00000000" w:usb1="00000000" w:usb2="00000000" w:usb3="00000000" w:csb0="00000001" w:csb1="00000000"/>
  </w:font>
  <w:font w:name="Segoe UI Symbol">
    <w:panose1 w:val="020B0502040204020203"/>
    <w:charset w:val="00"/>
    <w:family w:val="swiss"/>
    <w:pitch w:val="default"/>
    <w:sig w:usb0="800001E3" w:usb1="1200FFEF" w:usb2="00040000" w:usb3="04000000" w:csb0="00000001" w:csb1="40000000"/>
  </w:font>
  <w:font w:name="Sim Sun+ 2">
    <w:altName w:val="微软雅黑"/>
    <w:panose1 w:val="00000000000000000000"/>
    <w:charset w:val="86"/>
    <w:family w:val="swiss"/>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281225647"/>
      <w:docPartObj>
        <w:docPartGallery w:val="autotext"/>
      </w:docPartObj>
    </w:sdtPr>
    <w:sdtContent>
      <w:p>
        <w:pPr>
          <w:pStyle w:val="12"/>
          <w:jc w:val="center"/>
        </w:pPr>
        <w:r>
          <w:fldChar w:fldCharType="begin"/>
        </w:r>
        <w:r>
          <w:instrText xml:space="preserve">PAGE   \* MERGEFORMAT</w:instrText>
        </w:r>
        <w:r>
          <w:fldChar w:fldCharType="separate"/>
        </w:r>
        <w:r>
          <w:rPr>
            <w:lang w:val="zh-CN"/>
          </w:rPr>
          <w:t>2</w:t>
        </w:r>
        <w:r>
          <w:fldChar w:fldCharType="end"/>
        </w:r>
      </w:p>
    </w:sdtContent>
  </w:sdt>
  <w:p>
    <w:pPr>
      <w:pStyle w:val="12"/>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4"/>
  <w:bordersDoNotSurroundHeader w:val="1"/>
  <w:bordersDoNotSurroundFooter w:val="1"/>
  <w:documentProtection w:enforcement="0"/>
  <w:defaultTabStop w:val="420"/>
  <w:drawingGridHorizontalSpacing w:val="10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GJjNmQxYjM4ZTM0ZjAwY2E5MzIxZDk1YTRhNGQ1OTQifQ=="/>
    <w:docVar w:name="KSO_WPS_MARK_KEY" w:val="4fb57602-4374-4425-85a4-ab71dafb5844"/>
  </w:docVars>
  <w:rsids>
    <w:rsidRoot w:val="008E0829"/>
    <w:rsid w:val="000015FF"/>
    <w:rsid w:val="000244B3"/>
    <w:rsid w:val="00031094"/>
    <w:rsid w:val="00057748"/>
    <w:rsid w:val="00067435"/>
    <w:rsid w:val="00074A1A"/>
    <w:rsid w:val="000818D9"/>
    <w:rsid w:val="000A7EEC"/>
    <w:rsid w:val="000C20FA"/>
    <w:rsid w:val="000E46F3"/>
    <w:rsid w:val="00101ED6"/>
    <w:rsid w:val="00114070"/>
    <w:rsid w:val="00117753"/>
    <w:rsid w:val="0012628E"/>
    <w:rsid w:val="001548DA"/>
    <w:rsid w:val="00167EA8"/>
    <w:rsid w:val="001A5F22"/>
    <w:rsid w:val="001B06A9"/>
    <w:rsid w:val="001B7029"/>
    <w:rsid w:val="00216FC5"/>
    <w:rsid w:val="002234B1"/>
    <w:rsid w:val="00232257"/>
    <w:rsid w:val="0023536B"/>
    <w:rsid w:val="00237905"/>
    <w:rsid w:val="00282819"/>
    <w:rsid w:val="002B4A45"/>
    <w:rsid w:val="002D07DD"/>
    <w:rsid w:val="002E0FF8"/>
    <w:rsid w:val="002F50A2"/>
    <w:rsid w:val="00307EF2"/>
    <w:rsid w:val="00310C1F"/>
    <w:rsid w:val="00323BD3"/>
    <w:rsid w:val="003B1665"/>
    <w:rsid w:val="0040677E"/>
    <w:rsid w:val="00437084"/>
    <w:rsid w:val="00450067"/>
    <w:rsid w:val="00473B2E"/>
    <w:rsid w:val="004B3DC3"/>
    <w:rsid w:val="004C63F8"/>
    <w:rsid w:val="004D20BE"/>
    <w:rsid w:val="004D66F9"/>
    <w:rsid w:val="005526DA"/>
    <w:rsid w:val="005618C1"/>
    <w:rsid w:val="005651F0"/>
    <w:rsid w:val="005723C8"/>
    <w:rsid w:val="00595D3D"/>
    <w:rsid w:val="005A15D2"/>
    <w:rsid w:val="005D33C9"/>
    <w:rsid w:val="005D4DA3"/>
    <w:rsid w:val="005D6D8A"/>
    <w:rsid w:val="005E3E57"/>
    <w:rsid w:val="00623735"/>
    <w:rsid w:val="006E1F5F"/>
    <w:rsid w:val="006F35C2"/>
    <w:rsid w:val="006F3CBD"/>
    <w:rsid w:val="007204B9"/>
    <w:rsid w:val="007536B2"/>
    <w:rsid w:val="00761114"/>
    <w:rsid w:val="0077646B"/>
    <w:rsid w:val="00792600"/>
    <w:rsid w:val="007B4530"/>
    <w:rsid w:val="007D32FB"/>
    <w:rsid w:val="00834F96"/>
    <w:rsid w:val="00850BBF"/>
    <w:rsid w:val="008C7FB7"/>
    <w:rsid w:val="008E0829"/>
    <w:rsid w:val="008F588C"/>
    <w:rsid w:val="00920CCA"/>
    <w:rsid w:val="009575FD"/>
    <w:rsid w:val="00991FCA"/>
    <w:rsid w:val="009F6E76"/>
    <w:rsid w:val="00A45547"/>
    <w:rsid w:val="00A708EC"/>
    <w:rsid w:val="00A94129"/>
    <w:rsid w:val="00AA7561"/>
    <w:rsid w:val="00AB02A3"/>
    <w:rsid w:val="00B30F09"/>
    <w:rsid w:val="00B3151D"/>
    <w:rsid w:val="00B374C6"/>
    <w:rsid w:val="00B426CF"/>
    <w:rsid w:val="00B53F85"/>
    <w:rsid w:val="00B66E84"/>
    <w:rsid w:val="00BC3FFA"/>
    <w:rsid w:val="00BD110C"/>
    <w:rsid w:val="00BD465C"/>
    <w:rsid w:val="00BE7D1C"/>
    <w:rsid w:val="00C2458E"/>
    <w:rsid w:val="00C60BB8"/>
    <w:rsid w:val="00C618C0"/>
    <w:rsid w:val="00CB1D75"/>
    <w:rsid w:val="00CC1C77"/>
    <w:rsid w:val="00D00247"/>
    <w:rsid w:val="00D06642"/>
    <w:rsid w:val="00E244B8"/>
    <w:rsid w:val="00E459A9"/>
    <w:rsid w:val="00ED4AE2"/>
    <w:rsid w:val="00EE0FC3"/>
    <w:rsid w:val="00EE445F"/>
    <w:rsid w:val="00EF0FAB"/>
    <w:rsid w:val="00F16D81"/>
    <w:rsid w:val="00F25487"/>
    <w:rsid w:val="00F6458D"/>
    <w:rsid w:val="00FC4383"/>
    <w:rsid w:val="03785950"/>
    <w:rsid w:val="2F572C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nhideWhenUsed="0" w:uiPriority="9" w:semiHidden="0" w:name="heading 1"/>
    <w:lsdException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uiPriority="39" w:semiHidden="0" w:name="toc 2"/>
    <w:lsdException w:qFormat="1" w:uiPriority="39" w:semiHidden="0" w:name="toc 3"/>
    <w:lsdException w:uiPriority="39" w:semiHidden="0" w:name="toc 4"/>
    <w:lsdException w:qFormat="1" w:uiPriority="39" w:semiHidden="0" w:name="toc 5"/>
    <w:lsdException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unhideWhenUsed="0" w:uiPriority="10" w:semiHidden="0" w:name="Title"/>
    <w:lsdException w:uiPriority="99" w:name="Closing"/>
    <w:lsdException w:uiPriority="99" w:name="Signature"/>
    <w:lsdException w:uiPriority="1" w:name="Default Paragraph Font"/>
    <w:lsdException w:qFormat="1"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11" w:semiHidden="0" w:name="Subtitle"/>
    <w:lsdException w:uiPriority="99" w:name="Salutation"/>
    <w:lsdException w:uiPriority="99" w:name="Date"/>
    <w:lsdException w:qFormat="1" w:uiPriority="99" w:semiHidden="0"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unhideWhenUsed="0" w:uiPriority="22" w:semiHidden="0" w:name="Strong"/>
    <w:lsdException w:unhideWhenUsed="0" w:uiPriority="20" w:semiHidden="0" w:name="Emphasis"/>
    <w:lsdException w:uiPriority="99" w:name="Document Map"/>
    <w:lsdException w:qFormat="1" w:unhideWhenUsed="0" w:uiPriority="99" w:semiHidden="0"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lang w:val="en-US" w:eastAsia="zh-CN" w:bidi="ar-SA"/>
    </w:rPr>
  </w:style>
  <w:style w:type="paragraph" w:styleId="2">
    <w:name w:val="heading 1"/>
    <w:basedOn w:val="1"/>
    <w:next w:val="1"/>
    <w:link w:val="30"/>
    <w:uiPriority w:val="9"/>
    <w:pPr>
      <w:keepNext/>
      <w:keepLines/>
      <w:spacing w:before="340" w:after="330" w:line="578" w:lineRule="auto"/>
      <w:outlineLvl w:val="0"/>
    </w:pPr>
    <w:rPr>
      <w:b/>
      <w:bCs/>
      <w:kern w:val="44"/>
      <w:sz w:val="44"/>
      <w:szCs w:val="44"/>
    </w:rPr>
  </w:style>
  <w:style w:type="paragraph" w:styleId="3">
    <w:name w:val="heading 2"/>
    <w:basedOn w:val="1"/>
    <w:next w:val="1"/>
    <w:link w:val="33"/>
    <w:semiHidden/>
    <w:unhideWhenUsed/>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4">
    <w:name w:val="heading 3"/>
    <w:basedOn w:val="1"/>
    <w:next w:val="1"/>
    <w:link w:val="36"/>
    <w:semiHidden/>
    <w:unhideWhenUsed/>
    <w:qFormat/>
    <w:uiPriority w:val="9"/>
    <w:pPr>
      <w:keepNext/>
      <w:keepLines/>
      <w:spacing w:before="260" w:after="260" w:line="416" w:lineRule="auto"/>
      <w:outlineLvl w:val="2"/>
    </w:pPr>
    <w:rPr>
      <w:b/>
      <w:bCs/>
      <w:sz w:val="32"/>
      <w:szCs w:val="32"/>
    </w:rPr>
  </w:style>
  <w:style w:type="paragraph" w:styleId="5">
    <w:name w:val="heading 4"/>
    <w:basedOn w:val="1"/>
    <w:next w:val="1"/>
    <w:link w:val="49"/>
    <w:semiHidden/>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character" w:default="1" w:styleId="22">
    <w:name w:val="Default Paragraph Font"/>
    <w:semiHidden/>
    <w:unhideWhenUsed/>
    <w:uiPriority w:val="1"/>
  </w:style>
  <w:style w:type="table" w:default="1" w:styleId="20">
    <w:name w:val="Normal Table"/>
    <w:semiHidden/>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rPr>
      <w:rFonts w:asciiTheme="minorHAnsi" w:hAnsiTheme="minorHAnsi" w:eastAsiaTheme="minorEastAsia" w:cstheme="minorBidi"/>
      <w:sz w:val="21"/>
      <w:szCs w:val="22"/>
      <w14:ligatures w14:val="standardContextual"/>
    </w:rPr>
  </w:style>
  <w:style w:type="paragraph" w:styleId="7">
    <w:name w:val="Body Text"/>
    <w:basedOn w:val="1"/>
    <w:link w:val="42"/>
    <w:semiHidden/>
    <w:unhideWhenUsed/>
    <w:qFormat/>
    <w:uiPriority w:val="99"/>
    <w:pPr>
      <w:spacing w:after="120"/>
    </w:pPr>
  </w:style>
  <w:style w:type="paragraph" w:styleId="8">
    <w:name w:val="toc 5"/>
    <w:basedOn w:val="1"/>
    <w:next w:val="1"/>
    <w:unhideWhenUsed/>
    <w:qFormat/>
    <w:uiPriority w:val="39"/>
    <w:pPr>
      <w:ind w:left="1680" w:leftChars="800"/>
    </w:pPr>
    <w:rPr>
      <w:rFonts w:asciiTheme="minorHAnsi" w:hAnsiTheme="minorHAnsi" w:eastAsiaTheme="minorEastAsia" w:cstheme="minorBidi"/>
      <w:sz w:val="21"/>
      <w:szCs w:val="22"/>
      <w14:ligatures w14:val="standardContextual"/>
    </w:rPr>
  </w:style>
  <w:style w:type="paragraph" w:styleId="9">
    <w:name w:val="toc 3"/>
    <w:basedOn w:val="1"/>
    <w:next w:val="1"/>
    <w:unhideWhenUsed/>
    <w:qFormat/>
    <w:uiPriority w:val="39"/>
    <w:pPr>
      <w:ind w:left="840" w:leftChars="400"/>
    </w:pPr>
  </w:style>
  <w:style w:type="paragraph" w:styleId="10">
    <w:name w:val="Plain Text"/>
    <w:basedOn w:val="1"/>
    <w:link w:val="50"/>
    <w:qFormat/>
    <w:uiPriority w:val="99"/>
    <w:pPr>
      <w:spacing w:line="360" w:lineRule="auto"/>
      <w:ind w:firstLine="200" w:firstLineChars="200"/>
    </w:pPr>
    <w:rPr>
      <w:rFonts w:ascii="ArialMT" w:hAnsi="等线 Light"/>
      <w:kern w:val="0"/>
    </w:rPr>
  </w:style>
  <w:style w:type="paragraph" w:styleId="11">
    <w:name w:val="toc 8"/>
    <w:basedOn w:val="1"/>
    <w:next w:val="1"/>
    <w:unhideWhenUsed/>
    <w:qFormat/>
    <w:uiPriority w:val="39"/>
    <w:pPr>
      <w:ind w:left="2940" w:leftChars="1400"/>
    </w:pPr>
    <w:rPr>
      <w:rFonts w:asciiTheme="minorHAnsi" w:hAnsiTheme="minorHAnsi" w:eastAsiaTheme="minorEastAsia" w:cstheme="minorBidi"/>
      <w:sz w:val="21"/>
      <w:szCs w:val="22"/>
      <w14:ligatures w14:val="standardContextual"/>
    </w:rPr>
  </w:style>
  <w:style w:type="paragraph" w:styleId="12">
    <w:name w:val="footer"/>
    <w:basedOn w:val="1"/>
    <w:link w:val="26"/>
    <w:unhideWhenUsed/>
    <w:qFormat/>
    <w:uiPriority w:val="99"/>
    <w:pPr>
      <w:tabs>
        <w:tab w:val="center" w:pos="4153"/>
        <w:tab w:val="right" w:pos="8306"/>
      </w:tabs>
      <w:snapToGrid w:val="0"/>
      <w:jc w:val="left"/>
    </w:pPr>
    <w:rPr>
      <w:sz w:val="18"/>
      <w:szCs w:val="18"/>
    </w:rPr>
  </w:style>
  <w:style w:type="paragraph" w:styleId="13">
    <w:name w:val="header"/>
    <w:basedOn w:val="1"/>
    <w:link w:val="25"/>
    <w:unhideWhenUsed/>
    <w:qFormat/>
    <w:uiPriority w:val="99"/>
    <w:pPr>
      <w:tabs>
        <w:tab w:val="center" w:pos="4153"/>
        <w:tab w:val="right" w:pos="8306"/>
      </w:tabs>
      <w:snapToGrid w:val="0"/>
      <w:jc w:val="center"/>
    </w:pPr>
    <w:rPr>
      <w:sz w:val="18"/>
      <w:szCs w:val="18"/>
    </w:rPr>
  </w:style>
  <w:style w:type="paragraph" w:styleId="14">
    <w:name w:val="toc 1"/>
    <w:basedOn w:val="1"/>
    <w:next w:val="1"/>
    <w:unhideWhenUsed/>
    <w:uiPriority w:val="39"/>
  </w:style>
  <w:style w:type="paragraph" w:styleId="15">
    <w:name w:val="toc 4"/>
    <w:basedOn w:val="1"/>
    <w:next w:val="1"/>
    <w:unhideWhenUsed/>
    <w:uiPriority w:val="39"/>
    <w:pPr>
      <w:ind w:left="1260" w:leftChars="600"/>
    </w:pPr>
    <w:rPr>
      <w:rFonts w:asciiTheme="minorHAnsi" w:hAnsiTheme="minorHAnsi" w:eastAsiaTheme="minorEastAsia" w:cstheme="minorBidi"/>
      <w:sz w:val="21"/>
      <w:szCs w:val="22"/>
      <w14:ligatures w14:val="standardContextual"/>
    </w:rPr>
  </w:style>
  <w:style w:type="paragraph" w:styleId="16">
    <w:name w:val="toc 6"/>
    <w:basedOn w:val="1"/>
    <w:next w:val="1"/>
    <w:unhideWhenUsed/>
    <w:uiPriority w:val="39"/>
    <w:pPr>
      <w:ind w:left="2100" w:leftChars="1000"/>
    </w:pPr>
    <w:rPr>
      <w:rFonts w:asciiTheme="minorHAnsi" w:hAnsiTheme="minorHAnsi" w:eastAsiaTheme="minorEastAsia" w:cstheme="minorBidi"/>
      <w:sz w:val="21"/>
      <w:szCs w:val="22"/>
      <w14:ligatures w14:val="standardContextual"/>
    </w:rPr>
  </w:style>
  <w:style w:type="paragraph" w:styleId="17">
    <w:name w:val="toc 2"/>
    <w:basedOn w:val="1"/>
    <w:next w:val="1"/>
    <w:unhideWhenUsed/>
    <w:uiPriority w:val="39"/>
    <w:pPr>
      <w:ind w:left="420" w:leftChars="200"/>
    </w:pPr>
  </w:style>
  <w:style w:type="paragraph" w:styleId="18">
    <w:name w:val="toc 9"/>
    <w:basedOn w:val="1"/>
    <w:next w:val="1"/>
    <w:unhideWhenUsed/>
    <w:qFormat/>
    <w:uiPriority w:val="39"/>
    <w:pPr>
      <w:ind w:left="3360" w:leftChars="1600"/>
    </w:pPr>
    <w:rPr>
      <w:rFonts w:asciiTheme="minorHAnsi" w:hAnsiTheme="minorHAnsi" w:eastAsiaTheme="minorEastAsia" w:cstheme="minorBidi"/>
      <w:sz w:val="21"/>
      <w:szCs w:val="22"/>
      <w14:ligatures w14:val="standardContextual"/>
    </w:rPr>
  </w:style>
  <w:style w:type="paragraph" w:styleId="19">
    <w:name w:val="Body Text First Indent"/>
    <w:basedOn w:val="7"/>
    <w:link w:val="43"/>
    <w:unhideWhenUsed/>
    <w:qFormat/>
    <w:uiPriority w:val="99"/>
    <w:pPr>
      <w:spacing w:after="0" w:line="360" w:lineRule="auto"/>
      <w:ind w:firstLine="420" w:firstLineChars="100"/>
    </w:pPr>
    <w:rPr>
      <w:rFonts w:eastAsia="仿宋_GB2312"/>
      <w:sz w:val="28"/>
      <w:szCs w:val="24"/>
    </w:rPr>
  </w:style>
  <w:style w:type="table" w:styleId="21">
    <w:name w:val="Table Grid"/>
    <w:basedOn w:val="20"/>
    <w:qFormat/>
    <w:uiPriority w:val="0"/>
    <w:pPr>
      <w:widowControl w:val="0"/>
      <w:jc w:val="both"/>
    </w:pPr>
    <w:rPr>
      <w:rFonts w:ascii="Times New Roman" w:hAnsi="Times New Roman" w:eastAsia="宋体" w:cs="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3">
    <w:name w:val="Hyperlink"/>
    <w:basedOn w:val="22"/>
    <w:unhideWhenUsed/>
    <w:qFormat/>
    <w:uiPriority w:val="99"/>
    <w:rPr>
      <w:color w:val="0000FF"/>
      <w:u w:val="single"/>
    </w:rPr>
  </w:style>
  <w:style w:type="table" w:customStyle="1" w:styleId="24">
    <w:name w:val="表格-易恒"/>
    <w:basedOn w:val="20"/>
    <w:qFormat/>
    <w:uiPriority w:val="99"/>
    <w:rPr>
      <w:rFonts w:ascii="Times New Roman" w:hAnsi="Times New Roman" w:eastAsia="宋体"/>
    </w:rPr>
  </w:style>
  <w:style w:type="character" w:customStyle="1" w:styleId="25">
    <w:name w:val="页眉 字符"/>
    <w:basedOn w:val="22"/>
    <w:link w:val="13"/>
    <w:qFormat/>
    <w:uiPriority w:val="99"/>
    <w:rPr>
      <w:sz w:val="18"/>
      <w:szCs w:val="18"/>
    </w:rPr>
  </w:style>
  <w:style w:type="character" w:customStyle="1" w:styleId="26">
    <w:name w:val="页脚 字符"/>
    <w:basedOn w:val="22"/>
    <w:link w:val="12"/>
    <w:qFormat/>
    <w:uiPriority w:val="99"/>
    <w:rPr>
      <w:sz w:val="18"/>
      <w:szCs w:val="18"/>
    </w:rPr>
  </w:style>
  <w:style w:type="paragraph" w:customStyle="1" w:styleId="27">
    <w:name w:val="正文-易恒"/>
    <w:basedOn w:val="1"/>
    <w:link w:val="28"/>
    <w:qFormat/>
    <w:uiPriority w:val="0"/>
    <w:pPr>
      <w:spacing w:line="360" w:lineRule="auto"/>
      <w:ind w:firstLine="200" w:firstLineChars="200"/>
    </w:pPr>
    <w:rPr>
      <w:sz w:val="24"/>
    </w:rPr>
  </w:style>
  <w:style w:type="character" w:customStyle="1" w:styleId="28">
    <w:name w:val="正文-易恒 字符"/>
    <w:basedOn w:val="22"/>
    <w:link w:val="27"/>
    <w:qFormat/>
    <w:uiPriority w:val="0"/>
    <w:rPr>
      <w:rFonts w:ascii="Times New Roman" w:hAnsi="Times New Roman" w:eastAsia="宋体"/>
      <w:sz w:val="24"/>
    </w:rPr>
  </w:style>
  <w:style w:type="paragraph" w:customStyle="1" w:styleId="29">
    <w:name w:val="标题1-易恒"/>
    <w:basedOn w:val="2"/>
    <w:next w:val="27"/>
    <w:link w:val="31"/>
    <w:qFormat/>
    <w:uiPriority w:val="0"/>
    <w:pPr>
      <w:spacing w:before="0" w:after="0" w:line="360" w:lineRule="auto"/>
    </w:pPr>
    <w:rPr>
      <w:sz w:val="28"/>
    </w:rPr>
  </w:style>
  <w:style w:type="character" w:customStyle="1" w:styleId="30">
    <w:name w:val="标题 1 字符"/>
    <w:basedOn w:val="22"/>
    <w:link w:val="2"/>
    <w:uiPriority w:val="9"/>
    <w:rPr>
      <w:b/>
      <w:bCs/>
      <w:kern w:val="44"/>
      <w:sz w:val="44"/>
      <w:szCs w:val="44"/>
    </w:rPr>
  </w:style>
  <w:style w:type="character" w:customStyle="1" w:styleId="31">
    <w:name w:val="标题1-易恒 字符"/>
    <w:basedOn w:val="30"/>
    <w:link w:val="29"/>
    <w:uiPriority w:val="0"/>
    <w:rPr>
      <w:rFonts w:ascii="Times New Roman" w:hAnsi="Times New Roman" w:eastAsia="宋体"/>
      <w:kern w:val="44"/>
      <w:sz w:val="28"/>
      <w:szCs w:val="44"/>
    </w:rPr>
  </w:style>
  <w:style w:type="paragraph" w:customStyle="1" w:styleId="32">
    <w:name w:val="标题2-易恒"/>
    <w:basedOn w:val="3"/>
    <w:next w:val="27"/>
    <w:link w:val="34"/>
    <w:qFormat/>
    <w:uiPriority w:val="0"/>
    <w:pPr>
      <w:spacing w:before="0" w:after="0" w:line="360" w:lineRule="auto"/>
    </w:pPr>
    <w:rPr>
      <w:rFonts w:ascii="Times New Roman" w:hAnsi="Times New Roman" w:eastAsia="宋体"/>
      <w:sz w:val="24"/>
    </w:rPr>
  </w:style>
  <w:style w:type="character" w:customStyle="1" w:styleId="33">
    <w:name w:val="标题 2 字符"/>
    <w:basedOn w:val="22"/>
    <w:link w:val="3"/>
    <w:semiHidden/>
    <w:qFormat/>
    <w:uiPriority w:val="9"/>
    <w:rPr>
      <w:rFonts w:asciiTheme="majorHAnsi" w:hAnsiTheme="majorHAnsi" w:eastAsiaTheme="majorEastAsia" w:cstheme="majorBidi"/>
      <w:b/>
      <w:bCs/>
      <w:sz w:val="32"/>
      <w:szCs w:val="32"/>
    </w:rPr>
  </w:style>
  <w:style w:type="character" w:customStyle="1" w:styleId="34">
    <w:name w:val="标题2-易恒 字符"/>
    <w:basedOn w:val="33"/>
    <w:link w:val="32"/>
    <w:qFormat/>
    <w:uiPriority w:val="0"/>
    <w:rPr>
      <w:rFonts w:ascii="Times New Roman" w:hAnsi="Times New Roman" w:eastAsia="宋体" w:cstheme="majorBidi"/>
      <w:sz w:val="24"/>
      <w:szCs w:val="32"/>
    </w:rPr>
  </w:style>
  <w:style w:type="paragraph" w:customStyle="1" w:styleId="35">
    <w:name w:val="标题3-易恒"/>
    <w:basedOn w:val="4"/>
    <w:next w:val="27"/>
    <w:link w:val="37"/>
    <w:qFormat/>
    <w:uiPriority w:val="0"/>
    <w:pPr>
      <w:spacing w:before="0" w:after="0" w:line="360" w:lineRule="auto"/>
    </w:pPr>
    <w:rPr>
      <w:sz w:val="24"/>
    </w:rPr>
  </w:style>
  <w:style w:type="character" w:customStyle="1" w:styleId="36">
    <w:name w:val="标题 3 字符"/>
    <w:basedOn w:val="22"/>
    <w:link w:val="4"/>
    <w:semiHidden/>
    <w:qFormat/>
    <w:uiPriority w:val="9"/>
    <w:rPr>
      <w:b/>
      <w:bCs/>
      <w:sz w:val="32"/>
      <w:szCs w:val="32"/>
    </w:rPr>
  </w:style>
  <w:style w:type="character" w:customStyle="1" w:styleId="37">
    <w:name w:val="标题3-易恒 字符"/>
    <w:basedOn w:val="36"/>
    <w:link w:val="35"/>
    <w:qFormat/>
    <w:uiPriority w:val="0"/>
    <w:rPr>
      <w:rFonts w:ascii="Times New Roman" w:hAnsi="Times New Roman" w:eastAsia="宋体"/>
      <w:sz w:val="24"/>
      <w:szCs w:val="32"/>
    </w:rPr>
  </w:style>
  <w:style w:type="paragraph" w:customStyle="1" w:styleId="38">
    <w:name w:val="表头-易恒"/>
    <w:basedOn w:val="27"/>
    <w:next w:val="27"/>
    <w:link w:val="39"/>
    <w:qFormat/>
    <w:uiPriority w:val="0"/>
    <w:pPr>
      <w:spacing w:line="240" w:lineRule="auto"/>
      <w:ind w:firstLine="0" w:firstLineChars="0"/>
      <w:jc w:val="center"/>
    </w:pPr>
    <w:rPr>
      <w:b/>
    </w:rPr>
  </w:style>
  <w:style w:type="character" w:customStyle="1" w:styleId="39">
    <w:name w:val="表头-易恒 字符"/>
    <w:basedOn w:val="28"/>
    <w:link w:val="38"/>
    <w:qFormat/>
    <w:uiPriority w:val="0"/>
    <w:rPr>
      <w:rFonts w:ascii="Times New Roman" w:hAnsi="Times New Roman" w:eastAsia="宋体"/>
      <w:b/>
      <w:sz w:val="24"/>
    </w:rPr>
  </w:style>
  <w:style w:type="paragraph" w:customStyle="1" w:styleId="40">
    <w:name w:val="表格1-易恒"/>
    <w:basedOn w:val="27"/>
    <w:link w:val="41"/>
    <w:qFormat/>
    <w:uiPriority w:val="0"/>
    <w:pPr>
      <w:spacing w:line="240" w:lineRule="auto"/>
      <w:ind w:firstLine="0" w:firstLineChars="0"/>
      <w:jc w:val="center"/>
    </w:pPr>
    <w:rPr>
      <w:sz w:val="21"/>
    </w:rPr>
  </w:style>
  <w:style w:type="character" w:customStyle="1" w:styleId="41">
    <w:name w:val="表格1-易恒 字符"/>
    <w:basedOn w:val="28"/>
    <w:link w:val="40"/>
    <w:qFormat/>
    <w:uiPriority w:val="0"/>
    <w:rPr>
      <w:rFonts w:ascii="Times New Roman" w:hAnsi="Times New Roman" w:eastAsia="宋体"/>
      <w:sz w:val="24"/>
    </w:rPr>
  </w:style>
  <w:style w:type="character" w:customStyle="1" w:styleId="42">
    <w:name w:val="正文文本 字符"/>
    <w:basedOn w:val="22"/>
    <w:link w:val="7"/>
    <w:semiHidden/>
    <w:qFormat/>
    <w:uiPriority w:val="99"/>
    <w:rPr>
      <w:rFonts w:ascii="Times New Roman" w:hAnsi="Times New Roman" w:eastAsia="宋体" w:cs="Times New Roman"/>
      <w:sz w:val="20"/>
      <w:szCs w:val="20"/>
      <w14:ligatures w14:val="none"/>
    </w:rPr>
  </w:style>
  <w:style w:type="character" w:customStyle="1" w:styleId="43">
    <w:name w:val="正文文本首行缩进 字符"/>
    <w:basedOn w:val="42"/>
    <w:link w:val="19"/>
    <w:qFormat/>
    <w:uiPriority w:val="99"/>
    <w:rPr>
      <w:rFonts w:ascii="Times New Roman" w:hAnsi="Times New Roman" w:eastAsia="仿宋_GB2312" w:cs="Times New Roman"/>
      <w:sz w:val="28"/>
      <w:szCs w:val="24"/>
      <w14:ligatures w14:val="none"/>
    </w:rPr>
  </w:style>
  <w:style w:type="paragraph" w:styleId="44">
    <w:name w:val="List Paragraph"/>
    <w:basedOn w:val="1"/>
    <w:qFormat/>
    <w:uiPriority w:val="34"/>
    <w:pPr>
      <w:widowControl/>
      <w:spacing w:line="360" w:lineRule="auto"/>
      <w:ind w:left="720" w:firstLine="720" w:firstLineChars="200"/>
      <w:contextualSpacing/>
      <w:jc w:val="left"/>
    </w:pPr>
    <w:rPr>
      <w:kern w:val="0"/>
      <w:sz w:val="24"/>
      <w:szCs w:val="24"/>
      <w:lang w:eastAsia="en-US" w:bidi="en-US"/>
    </w:rPr>
  </w:style>
  <w:style w:type="paragraph" w:customStyle="1" w:styleId="45">
    <w:name w:val="表格文字"/>
    <w:basedOn w:val="19"/>
    <w:link w:val="46"/>
    <w:qFormat/>
    <w:uiPriority w:val="0"/>
    <w:pPr>
      <w:adjustRightInd w:val="0"/>
      <w:snapToGrid w:val="0"/>
      <w:spacing w:line="240" w:lineRule="auto"/>
      <w:ind w:firstLine="0" w:firstLineChars="0"/>
      <w:jc w:val="center"/>
    </w:pPr>
    <w:rPr>
      <w:rFonts w:eastAsia="宋体"/>
      <w:sz w:val="21"/>
      <w:szCs w:val="20"/>
      <w:lang w:val="zh-CN"/>
    </w:rPr>
  </w:style>
  <w:style w:type="character" w:customStyle="1" w:styleId="46">
    <w:name w:val="表格文字 Char"/>
    <w:link w:val="45"/>
    <w:qFormat/>
    <w:uiPriority w:val="0"/>
    <w:rPr>
      <w:rFonts w:ascii="Times New Roman" w:hAnsi="Times New Roman" w:eastAsia="宋体" w:cs="Times New Roman"/>
      <w:szCs w:val="20"/>
      <w:lang w:val="zh-CN" w:eastAsia="zh-CN"/>
      <w14:ligatures w14:val="none"/>
    </w:rPr>
  </w:style>
  <w:style w:type="character" w:customStyle="1" w:styleId="47">
    <w:name w:val="text_brbij"/>
    <w:basedOn w:val="22"/>
    <w:uiPriority w:val="0"/>
  </w:style>
  <w:style w:type="character" w:customStyle="1" w:styleId="48">
    <w:name w:val="supwrap_fdxan"/>
    <w:basedOn w:val="22"/>
    <w:uiPriority w:val="0"/>
  </w:style>
  <w:style w:type="character" w:customStyle="1" w:styleId="49">
    <w:name w:val="标题 4 字符"/>
    <w:basedOn w:val="22"/>
    <w:link w:val="5"/>
    <w:uiPriority w:val="0"/>
    <w:rPr>
      <w:rFonts w:asciiTheme="majorHAnsi" w:hAnsiTheme="majorHAnsi" w:eastAsiaTheme="majorEastAsia" w:cstheme="majorBidi"/>
      <w:b/>
      <w:bCs/>
      <w:sz w:val="28"/>
      <w:szCs w:val="28"/>
      <w14:ligatures w14:val="none"/>
    </w:rPr>
  </w:style>
  <w:style w:type="character" w:customStyle="1" w:styleId="50">
    <w:name w:val="纯文本 字符"/>
    <w:basedOn w:val="22"/>
    <w:link w:val="10"/>
    <w:qFormat/>
    <w:uiPriority w:val="99"/>
    <w:rPr>
      <w:rFonts w:ascii="ArialMT" w:hAnsi="等线 Light" w:eastAsia="宋体" w:cs="Times New Roman"/>
      <w:kern w:val="0"/>
      <w:sz w:val="20"/>
      <w:szCs w:val="20"/>
      <w14:ligatures w14:val="none"/>
    </w:rPr>
  </w:style>
  <w:style w:type="paragraph" w:customStyle="1" w:styleId="51">
    <w:name w:val="RAINYON的段落"/>
    <w:qFormat/>
    <w:uiPriority w:val="0"/>
    <w:pPr>
      <w:widowControl w:val="0"/>
      <w:suppressAutoHyphens/>
      <w:topLinePunct/>
      <w:autoSpaceDE w:val="0"/>
      <w:spacing w:line="540" w:lineRule="exact"/>
      <w:ind w:firstLine="200" w:firstLineChars="200"/>
    </w:pPr>
    <w:rPr>
      <w:rFonts w:ascii="Times New Roman" w:hAnsi="Times New Roman" w:eastAsia="宋体" w:cs="Times New Roman"/>
      <w:color w:val="000000"/>
      <w:sz w:val="28"/>
      <w:szCs w:val="28"/>
      <w:lang w:val="en-US" w:eastAsia="zh-CN" w:bidi="ar-SA"/>
    </w:rPr>
  </w:style>
  <w:style w:type="paragraph" w:customStyle="1" w:styleId="52">
    <w:name w:val="TOC 标题1"/>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bCs w:val="0"/>
      <w:color w:val="2F5597" w:themeColor="accent1" w:themeShade="BF"/>
      <w:kern w:val="0"/>
      <w:sz w:val="32"/>
      <w:szCs w:val="32"/>
    </w:rPr>
  </w:style>
  <w:style w:type="character" w:customStyle="1" w:styleId="53">
    <w:name w:val="未处理的提及1"/>
    <w:basedOn w:val="22"/>
    <w:semiHidden/>
    <w:unhideWhenUsed/>
    <w:uiPriority w:val="99"/>
    <w:rPr>
      <w:color w:val="605E5C"/>
      <w:shd w:val="clear" w:color="auto" w:fill="E1DFDD"/>
    </w:rPr>
  </w:style>
  <w:style w:type="paragraph" w:customStyle="1" w:styleId="54">
    <w:name w:val="B正文"/>
    <w:basedOn w:val="1"/>
    <w:qFormat/>
    <w:uiPriority w:val="0"/>
    <w:pPr>
      <w:spacing w:line="240" w:lineRule="exact"/>
      <w:ind w:left="20" w:leftChars="20" w:right="20" w:rightChars="20" w:firstLine="720" w:firstLineChars="200"/>
      <w:jc w:val="center"/>
    </w:pPr>
    <w:rPr>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2" Type="http://schemas.openxmlformats.org/officeDocument/2006/relationships/fontTable" Target="fontTable.xml"/><Relationship Id="rId61" Type="http://schemas.openxmlformats.org/officeDocument/2006/relationships/customXml" Target="../customXml/item2.xml"/><Relationship Id="rId60" Type="http://schemas.openxmlformats.org/officeDocument/2006/relationships/customXml" Target="../customXml/item1.xml"/><Relationship Id="rId6" Type="http://schemas.openxmlformats.org/officeDocument/2006/relationships/image" Target="media/image2.png"/><Relationship Id="rId59" Type="http://schemas.openxmlformats.org/officeDocument/2006/relationships/image" Target="media/image55.jpeg"/><Relationship Id="rId58" Type="http://schemas.openxmlformats.org/officeDocument/2006/relationships/image" Target="media/image54.jpe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pn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jpe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E6AEC98-C973-4515-9FC5-EB0879B964AC}">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36272</Words>
  <Characters>42945</Characters>
  <Lines>381</Lines>
  <Paragraphs>107</Paragraphs>
  <TotalTime>98</TotalTime>
  <ScaleCrop>false</ScaleCrop>
  <LinksUpToDate>false</LinksUpToDate>
  <CharactersWithSpaces>43444</CharactersWithSpaces>
  <Application>WPS Office_11.1.0.12598_F1E327BC-269C-435d-A152-05C5408002CA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2024-03-06T03:12:00Z</dcterms:created>
  <dc:creator>wenzhiliang</dc:creator>
  <cp:lastModifiedBy>蒋阔</cp:lastModifiedBy>
  <dcterms:modified xsi:type="dcterms:W3CDTF">2025-02-10T03:34:13Z</dcterms:modified>
  <cp:revision>24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2052-11.1.0.12598</vt:lpwstr>
  </property>
  <property fmtid="{D5CDD505-2E9C-101B-9397-08002B2CF9AE}" pid="3" name="ICV">
    <vt:lpwstr>B04B923967A74F8F9882A97415E763C6_12</vt:lpwstr>
  </property>
</Properties>
</file>