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sz w:val="36"/>
          <w:szCs w:val="44"/>
        </w:rPr>
      </w:pPr>
    </w:p>
    <w:p>
      <w:pPr>
        <w:jc w:val="center"/>
        <w:rPr>
          <w:b/>
          <w:bCs/>
          <w:sz w:val="56"/>
          <w:szCs w:val="56"/>
        </w:rPr>
      </w:pPr>
      <w:r>
        <w:rPr>
          <w:rFonts w:hint="eastAsia"/>
          <w:b/>
          <w:bCs/>
          <w:sz w:val="56"/>
          <w:szCs w:val="56"/>
        </w:rPr>
        <w:t>鸟江镇污水处理工程</w:t>
      </w:r>
      <w:bookmarkStart w:id="0" w:name="_Toc146"/>
    </w:p>
    <w:p>
      <w:pPr>
        <w:jc w:val="center"/>
        <w:rPr>
          <w:b/>
          <w:bCs/>
          <w:sz w:val="56"/>
          <w:szCs w:val="56"/>
        </w:rPr>
      </w:pPr>
      <w:r>
        <w:rPr>
          <w:rFonts w:hint="eastAsia"/>
          <w:b/>
          <w:bCs/>
          <w:sz w:val="56"/>
          <w:szCs w:val="56"/>
        </w:rPr>
        <w:t>入河排污口设置论证报告</w:t>
      </w:r>
      <w:bookmarkEnd w:id="0"/>
    </w:p>
    <w:p>
      <w:pPr>
        <w:jc w:val="center"/>
        <w:rPr>
          <w:szCs w:val="96"/>
        </w:rPr>
      </w:pPr>
      <w:r>
        <w:rPr>
          <w:rFonts w:hint="eastAsia"/>
          <w:b/>
          <w:bCs/>
          <w:sz w:val="56"/>
          <w:szCs w:val="56"/>
        </w:rPr>
        <w:t>（报批稿）</w:t>
      </w:r>
    </w:p>
    <w:p>
      <w:pPr>
        <w:ind w:firstLine="1120"/>
        <w:jc w:val="center"/>
        <w:rPr>
          <w:sz w:val="56"/>
          <w:szCs w:val="96"/>
        </w:rPr>
      </w:pPr>
      <w:bookmarkStart w:id="131" w:name="_GoBack"/>
      <w:bookmarkEnd w:id="131"/>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4"/>
        <w:jc w:val="center"/>
        <w:rPr>
          <w:b/>
          <w:bCs/>
          <w:sz w:val="56"/>
          <w:szCs w:val="96"/>
        </w:rPr>
      </w:pPr>
    </w:p>
    <w:p>
      <w:pPr>
        <w:ind w:firstLine="1124"/>
        <w:jc w:val="center"/>
        <w:rPr>
          <w:b/>
          <w:bCs/>
          <w:sz w:val="56"/>
          <w:szCs w:val="96"/>
        </w:rPr>
      </w:pPr>
    </w:p>
    <w:p>
      <w:pPr>
        <w:ind w:firstLine="1124"/>
        <w:jc w:val="center"/>
        <w:rPr>
          <w:b/>
          <w:bCs/>
          <w:sz w:val="56"/>
          <w:szCs w:val="96"/>
        </w:rPr>
      </w:pPr>
    </w:p>
    <w:p>
      <w:pPr>
        <w:ind w:left="800" w:leftChars="400"/>
        <w:jc w:val="left"/>
        <w:rPr>
          <w:b/>
          <w:bCs/>
          <w:sz w:val="40"/>
          <w:szCs w:val="40"/>
        </w:rPr>
      </w:pPr>
      <w:r>
        <w:rPr>
          <w:rFonts w:hint="eastAsia"/>
          <w:b/>
          <w:bCs/>
          <w:sz w:val="40"/>
          <w:szCs w:val="40"/>
        </w:rPr>
        <w:t>建设单位：祁东县住房和城乡建设局</w:t>
      </w:r>
    </w:p>
    <w:p>
      <w:pPr>
        <w:ind w:left="800" w:leftChars="400"/>
        <w:jc w:val="left"/>
        <w:rPr>
          <w:b/>
          <w:bCs/>
          <w:sz w:val="40"/>
          <w:szCs w:val="40"/>
        </w:rPr>
      </w:pPr>
      <w:bookmarkStart w:id="1" w:name="_Toc18619"/>
      <w:r>
        <w:rPr>
          <w:rFonts w:hint="eastAsia"/>
          <w:b/>
          <w:bCs/>
          <w:sz w:val="40"/>
          <w:szCs w:val="40"/>
        </w:rPr>
        <w:t>编制单位：</w:t>
      </w:r>
      <w:bookmarkEnd w:id="1"/>
      <w:r>
        <w:rPr>
          <w:rFonts w:hint="eastAsia"/>
          <w:b/>
          <w:bCs/>
          <w:sz w:val="40"/>
          <w:szCs w:val="40"/>
        </w:rPr>
        <w:t>湖南易恒环保科技有限公司</w:t>
      </w:r>
    </w:p>
    <w:p>
      <w:pPr>
        <w:jc w:val="center"/>
        <w:rPr>
          <w:b/>
          <w:bCs/>
          <w:sz w:val="40"/>
          <w:szCs w:val="40"/>
        </w:rPr>
      </w:pPr>
      <w:r>
        <w:rPr>
          <w:rFonts w:hint="eastAsia"/>
          <w:b/>
          <w:bCs/>
          <w:sz w:val="40"/>
          <w:szCs w:val="40"/>
        </w:rPr>
        <w:t>202</w:t>
      </w:r>
      <w:r>
        <w:rPr>
          <w:b/>
          <w:bCs/>
          <w:sz w:val="40"/>
          <w:szCs w:val="40"/>
        </w:rPr>
        <w:t>4</w:t>
      </w:r>
      <w:r>
        <w:rPr>
          <w:rFonts w:hint="eastAsia"/>
          <w:b/>
          <w:bCs/>
          <w:sz w:val="40"/>
          <w:szCs w:val="40"/>
        </w:rPr>
        <w:t>年</w:t>
      </w:r>
      <w:r>
        <w:rPr>
          <w:b/>
          <w:bCs/>
          <w:sz w:val="40"/>
          <w:szCs w:val="40"/>
        </w:rPr>
        <w:t>3</w:t>
      </w:r>
      <w:r>
        <w:rPr>
          <w:rFonts w:hint="eastAsia"/>
          <w:b/>
          <w:bCs/>
          <w:sz w:val="40"/>
          <w:szCs w:val="40"/>
        </w:rPr>
        <w:t>月</w:t>
      </w:r>
    </w:p>
    <w:p>
      <w:pPr>
        <w:pStyle w:val="43"/>
        <w:sectPr>
          <w:pgSz w:w="11906" w:h="16838"/>
          <w:pgMar w:top="1440" w:right="1800" w:bottom="1440" w:left="1800" w:header="851" w:footer="992" w:gutter="0"/>
          <w:cols w:space="425" w:num="1"/>
          <w:docGrid w:type="lines" w:linePitch="312" w:charSpace="0"/>
        </w:sectPr>
      </w:pPr>
    </w:p>
    <w:tbl>
      <w:tblPr>
        <w:tblStyle w:val="22"/>
        <w:tblW w:w="10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928"/>
        <w:gridCol w:w="937"/>
        <w:gridCol w:w="252"/>
        <w:gridCol w:w="647"/>
        <w:gridCol w:w="1292"/>
        <w:gridCol w:w="1375"/>
        <w:gridCol w:w="603"/>
        <w:gridCol w:w="34"/>
        <w:gridCol w:w="1169"/>
        <w:gridCol w:w="152"/>
        <w:gridCol w:w="2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610" w:type="dxa"/>
            <w:gridSpan w:val="12"/>
            <w:vAlign w:val="center"/>
          </w:tcPr>
          <w:p>
            <w:pPr>
              <w:pStyle w:val="43"/>
            </w:pPr>
            <w:r>
              <w:rPr>
                <w:rFonts w:hint="eastAsia"/>
                <w:sz w:val="36"/>
                <w:szCs w:val="44"/>
              </w:rPr>
              <w:br w:type="page"/>
            </w:r>
            <w:r>
              <w:rPr>
                <w:rFonts w:hint="eastAsia"/>
              </w:rPr>
              <w:t>入河口基本情况表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3"/>
            </w:pPr>
            <w:r>
              <w:t>基本</w:t>
            </w:r>
          </w:p>
          <w:p>
            <w:pPr>
              <w:pStyle w:val="43"/>
            </w:pPr>
            <w:r>
              <w:t>情况</w:t>
            </w:r>
          </w:p>
        </w:tc>
        <w:tc>
          <w:tcPr>
            <w:tcW w:w="2117" w:type="dxa"/>
            <w:gridSpan w:val="3"/>
            <w:vAlign w:val="center"/>
          </w:tcPr>
          <w:p>
            <w:pPr>
              <w:pStyle w:val="43"/>
            </w:pPr>
            <w:r>
              <w:t>项目名称</w:t>
            </w:r>
          </w:p>
        </w:tc>
        <w:tc>
          <w:tcPr>
            <w:tcW w:w="3314" w:type="dxa"/>
            <w:gridSpan w:val="3"/>
            <w:vAlign w:val="center"/>
          </w:tcPr>
          <w:p>
            <w:pPr>
              <w:pStyle w:val="43"/>
            </w:pPr>
            <w:r>
              <w:rPr>
                <w:rFonts w:hint="eastAsia"/>
              </w:rPr>
              <w:t>鸟江镇污水处理工程</w:t>
            </w:r>
          </w:p>
        </w:tc>
        <w:tc>
          <w:tcPr>
            <w:tcW w:w="1958" w:type="dxa"/>
            <w:gridSpan w:val="4"/>
            <w:vAlign w:val="center"/>
          </w:tcPr>
          <w:p>
            <w:pPr>
              <w:pStyle w:val="43"/>
            </w:pPr>
            <w:r>
              <w:rPr>
                <w:rFonts w:hint="eastAsia"/>
              </w:rPr>
              <w:t>项目位置</w:t>
            </w:r>
          </w:p>
        </w:tc>
        <w:tc>
          <w:tcPr>
            <w:tcW w:w="2585" w:type="dxa"/>
            <w:vAlign w:val="center"/>
          </w:tcPr>
          <w:p>
            <w:pPr>
              <w:pStyle w:val="43"/>
            </w:pPr>
            <w:r>
              <w:rPr>
                <w:rFonts w:hint="eastAsia"/>
              </w:rPr>
              <w:t>鸟江镇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t>项目性质</w:t>
            </w:r>
          </w:p>
        </w:tc>
        <w:tc>
          <w:tcPr>
            <w:tcW w:w="3314" w:type="dxa"/>
            <w:gridSpan w:val="3"/>
            <w:vAlign w:val="center"/>
          </w:tcPr>
          <w:p>
            <w:pPr>
              <w:pStyle w:val="43"/>
            </w:pPr>
            <w:r>
              <w:rPr>
                <w:rFonts w:hint="eastAsia"/>
              </w:rPr>
              <w:t>新建</w:t>
            </w:r>
          </w:p>
        </w:tc>
        <w:tc>
          <w:tcPr>
            <w:tcW w:w="1958" w:type="dxa"/>
            <w:gridSpan w:val="4"/>
            <w:vAlign w:val="center"/>
          </w:tcPr>
          <w:p>
            <w:pPr>
              <w:pStyle w:val="43"/>
            </w:pPr>
            <w:r>
              <w:rPr>
                <w:rFonts w:hint="eastAsia"/>
              </w:rPr>
              <w:t>所属行业</w:t>
            </w:r>
          </w:p>
        </w:tc>
        <w:tc>
          <w:tcPr>
            <w:tcW w:w="2585" w:type="dxa"/>
            <w:vAlign w:val="center"/>
          </w:tcPr>
          <w:p>
            <w:pPr>
              <w:pStyle w:val="43"/>
            </w:pPr>
            <w:r>
              <w:rPr>
                <w:rFonts w:hint="eastAsia"/>
              </w:rPr>
              <w:t>D4620污水处理及其再生利用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建设规模</w:t>
            </w:r>
          </w:p>
        </w:tc>
        <w:tc>
          <w:tcPr>
            <w:tcW w:w="3314" w:type="dxa"/>
            <w:gridSpan w:val="3"/>
            <w:vAlign w:val="center"/>
          </w:tcPr>
          <w:p>
            <w:pPr>
              <w:pStyle w:val="43"/>
            </w:pPr>
            <w:r>
              <w:rPr>
                <w:rFonts w:hint="eastAsia"/>
              </w:rPr>
              <w:t>近期外排废水量200m</w:t>
            </w:r>
            <w:r>
              <w:rPr>
                <w:rFonts w:hint="eastAsia"/>
                <w:vertAlign w:val="superscript"/>
              </w:rPr>
              <w:t>3</w:t>
            </w:r>
            <w:r>
              <w:rPr>
                <w:rFonts w:hint="eastAsia"/>
              </w:rPr>
              <w:t>/d，远期外排废水量400m</w:t>
            </w:r>
            <w:r>
              <w:rPr>
                <w:rFonts w:hint="eastAsia"/>
                <w:vertAlign w:val="superscript"/>
              </w:rPr>
              <w:t>3</w:t>
            </w:r>
            <w:r>
              <w:rPr>
                <w:rFonts w:hint="eastAsia"/>
              </w:rPr>
              <w:t>/d</w:t>
            </w:r>
          </w:p>
        </w:tc>
        <w:tc>
          <w:tcPr>
            <w:tcW w:w="1958" w:type="dxa"/>
            <w:gridSpan w:val="4"/>
            <w:vAlign w:val="center"/>
          </w:tcPr>
          <w:p>
            <w:pPr>
              <w:pStyle w:val="43"/>
            </w:pPr>
            <w:r>
              <w:rPr>
                <w:rFonts w:hint="eastAsia"/>
              </w:rPr>
              <w:t>项目单位</w:t>
            </w:r>
          </w:p>
        </w:tc>
        <w:tc>
          <w:tcPr>
            <w:tcW w:w="2585" w:type="dxa"/>
            <w:vAlign w:val="center"/>
          </w:tcPr>
          <w:p>
            <w:pPr>
              <w:pStyle w:val="43"/>
            </w:pPr>
            <w:r>
              <w:rPr>
                <w:rFonts w:hint="eastAsia"/>
              </w:rPr>
              <w:t>祁东县住房和城乡建设局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建设项目的审批机关</w:t>
            </w:r>
          </w:p>
        </w:tc>
        <w:tc>
          <w:tcPr>
            <w:tcW w:w="3314" w:type="dxa"/>
            <w:gridSpan w:val="3"/>
            <w:vAlign w:val="center"/>
          </w:tcPr>
          <w:p>
            <w:pPr>
              <w:pStyle w:val="43"/>
            </w:pPr>
            <w:r>
              <w:rPr>
                <w:rFonts w:hint="eastAsia"/>
              </w:rPr>
              <w:t>衡阳市生态环境局祁东分局</w:t>
            </w:r>
          </w:p>
        </w:tc>
        <w:tc>
          <w:tcPr>
            <w:tcW w:w="1958" w:type="dxa"/>
            <w:gridSpan w:val="4"/>
            <w:vAlign w:val="center"/>
          </w:tcPr>
          <w:p>
            <w:pPr>
              <w:pStyle w:val="43"/>
            </w:pPr>
            <w:r>
              <w:rPr>
                <w:rFonts w:hint="eastAsia"/>
              </w:rPr>
              <w:t>入河排污口审核机关</w:t>
            </w:r>
          </w:p>
        </w:tc>
        <w:tc>
          <w:tcPr>
            <w:tcW w:w="2585" w:type="dxa"/>
            <w:vAlign w:val="center"/>
          </w:tcPr>
          <w:p>
            <w:pPr>
              <w:pStyle w:val="43"/>
            </w:pPr>
            <w:r>
              <w:rPr>
                <w:rFonts w:hint="eastAsia"/>
              </w:rPr>
              <w:t>衡阳市生态环境局祁东分局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报告书编制合同委托单位</w:t>
            </w:r>
          </w:p>
        </w:tc>
        <w:tc>
          <w:tcPr>
            <w:tcW w:w="3314" w:type="dxa"/>
            <w:gridSpan w:val="3"/>
            <w:vAlign w:val="center"/>
          </w:tcPr>
          <w:p>
            <w:pPr>
              <w:pStyle w:val="43"/>
            </w:pPr>
            <w:r>
              <w:rPr>
                <w:rFonts w:hint="eastAsia"/>
              </w:rPr>
              <w:t>祁东县住房和城乡建设局</w:t>
            </w:r>
          </w:p>
        </w:tc>
        <w:tc>
          <w:tcPr>
            <w:tcW w:w="1958" w:type="dxa"/>
            <w:gridSpan w:val="4"/>
            <w:vAlign w:val="center"/>
          </w:tcPr>
          <w:p>
            <w:pPr>
              <w:pStyle w:val="43"/>
            </w:pPr>
            <w:r>
              <w:rPr>
                <w:rFonts w:hint="eastAsia"/>
              </w:rPr>
              <w:t>报告书编制单位及证书号</w:t>
            </w:r>
          </w:p>
        </w:tc>
        <w:tc>
          <w:tcPr>
            <w:tcW w:w="2585" w:type="dxa"/>
            <w:vAlign w:val="center"/>
          </w:tcPr>
          <w:p>
            <w:pPr>
              <w:pStyle w:val="43"/>
            </w:pPr>
            <w:r>
              <w:rPr>
                <w:rFonts w:hint="eastAsia"/>
              </w:rPr>
              <w:t>湖南易恒环保科技有限公司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论证工作等级</w:t>
            </w:r>
          </w:p>
        </w:tc>
        <w:tc>
          <w:tcPr>
            <w:tcW w:w="3314" w:type="dxa"/>
            <w:gridSpan w:val="3"/>
            <w:vAlign w:val="center"/>
          </w:tcPr>
          <w:p>
            <w:pPr>
              <w:pStyle w:val="43"/>
            </w:pPr>
            <w:r>
              <w:rPr>
                <w:rFonts w:hint="eastAsia"/>
              </w:rPr>
              <w:t>二级</w:t>
            </w:r>
          </w:p>
        </w:tc>
        <w:tc>
          <w:tcPr>
            <w:tcW w:w="1958" w:type="dxa"/>
            <w:gridSpan w:val="4"/>
            <w:vAlign w:val="center"/>
          </w:tcPr>
          <w:p>
            <w:pPr>
              <w:pStyle w:val="43"/>
            </w:pPr>
            <w:r>
              <w:rPr>
                <w:rFonts w:hint="eastAsia"/>
              </w:rPr>
              <w:t>工作范围</w:t>
            </w:r>
          </w:p>
        </w:tc>
        <w:tc>
          <w:tcPr>
            <w:tcW w:w="2585" w:type="dxa"/>
            <w:vAlign w:val="center"/>
          </w:tcPr>
          <w:p>
            <w:pPr>
              <w:pStyle w:val="43"/>
            </w:pPr>
            <w:r>
              <w:rPr>
                <w:rFonts w:hint="eastAsia"/>
              </w:rPr>
              <w:t>东侧沟渠、白河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论证范围</w:t>
            </w:r>
          </w:p>
        </w:tc>
        <w:tc>
          <w:tcPr>
            <w:tcW w:w="3314" w:type="dxa"/>
            <w:gridSpan w:val="3"/>
            <w:vAlign w:val="center"/>
          </w:tcPr>
          <w:p>
            <w:pPr>
              <w:pStyle w:val="43"/>
            </w:pPr>
            <w:r>
              <w:t>入河排污口</w:t>
            </w:r>
            <w:r>
              <w:rPr>
                <w:rFonts w:hint="eastAsia"/>
              </w:rPr>
              <w:t>至汇入白河后下游完全混合断面1280m</w:t>
            </w:r>
          </w:p>
        </w:tc>
        <w:tc>
          <w:tcPr>
            <w:tcW w:w="1958" w:type="dxa"/>
            <w:gridSpan w:val="4"/>
            <w:vAlign w:val="center"/>
          </w:tcPr>
          <w:p>
            <w:pPr>
              <w:pStyle w:val="43"/>
            </w:pPr>
            <w:r>
              <w:rPr>
                <w:rFonts w:hint="eastAsia"/>
              </w:rPr>
              <w:t>水平年（现状—规划）</w:t>
            </w:r>
          </w:p>
        </w:tc>
        <w:tc>
          <w:tcPr>
            <w:tcW w:w="2585" w:type="dxa"/>
            <w:vAlign w:val="center"/>
          </w:tcPr>
          <w:p>
            <w:pPr>
              <w:pStyle w:val="43"/>
            </w:pPr>
            <w:r>
              <w:t>20</w:t>
            </w:r>
            <w:r>
              <w:rPr>
                <w:rFonts w:hint="eastAsia"/>
              </w:rPr>
              <w:t>23—</w:t>
            </w:r>
            <w:r>
              <w:t>20</w:t>
            </w: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3"/>
            </w:pPr>
            <w:r>
              <w:rPr>
                <w:rFonts w:hint="eastAsia"/>
              </w:rPr>
              <w:t>分析范围内控制指标情况</w:t>
            </w:r>
          </w:p>
        </w:tc>
        <w:tc>
          <w:tcPr>
            <w:tcW w:w="2117" w:type="dxa"/>
            <w:gridSpan w:val="3"/>
            <w:vAlign w:val="center"/>
          </w:tcPr>
          <w:p>
            <w:pPr>
              <w:pStyle w:val="43"/>
            </w:pPr>
            <w:r>
              <w:rPr>
                <w:rFonts w:hint="eastAsia"/>
              </w:rPr>
              <w:t>取用水总量控制指标</w:t>
            </w:r>
          </w:p>
        </w:tc>
        <w:tc>
          <w:tcPr>
            <w:tcW w:w="3314" w:type="dxa"/>
            <w:gridSpan w:val="3"/>
            <w:vAlign w:val="center"/>
          </w:tcPr>
          <w:p>
            <w:pPr>
              <w:pStyle w:val="43"/>
            </w:pPr>
            <w:r>
              <w:t>—</w:t>
            </w:r>
          </w:p>
        </w:tc>
        <w:tc>
          <w:tcPr>
            <w:tcW w:w="1958" w:type="dxa"/>
            <w:gridSpan w:val="4"/>
            <w:vAlign w:val="center"/>
          </w:tcPr>
          <w:p>
            <w:pPr>
              <w:pStyle w:val="43"/>
            </w:pPr>
            <w:r>
              <w:rPr>
                <w:rFonts w:hint="eastAsia"/>
              </w:rPr>
              <w:t>实际取用水量</w:t>
            </w:r>
          </w:p>
        </w:tc>
        <w:tc>
          <w:tcPr>
            <w:tcW w:w="2585" w:type="dxa"/>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用水效率控制指标</w:t>
            </w:r>
          </w:p>
        </w:tc>
        <w:tc>
          <w:tcPr>
            <w:tcW w:w="3314" w:type="dxa"/>
            <w:gridSpan w:val="3"/>
            <w:vAlign w:val="center"/>
          </w:tcPr>
          <w:p>
            <w:pPr>
              <w:pStyle w:val="43"/>
            </w:pPr>
            <w:r>
              <w:t>—</w:t>
            </w:r>
          </w:p>
        </w:tc>
        <w:tc>
          <w:tcPr>
            <w:tcW w:w="1958" w:type="dxa"/>
            <w:gridSpan w:val="4"/>
            <w:vAlign w:val="center"/>
          </w:tcPr>
          <w:p>
            <w:pPr>
              <w:pStyle w:val="43"/>
            </w:pPr>
            <w:r>
              <w:rPr>
                <w:rFonts w:hint="eastAsia"/>
              </w:rPr>
              <w:t>实际用水效率指标</w:t>
            </w:r>
          </w:p>
        </w:tc>
        <w:tc>
          <w:tcPr>
            <w:tcW w:w="2585" w:type="dxa"/>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纳污水域水功能区限制纳污总量指标</w:t>
            </w:r>
          </w:p>
        </w:tc>
        <w:tc>
          <w:tcPr>
            <w:tcW w:w="3314" w:type="dxa"/>
            <w:gridSpan w:val="3"/>
            <w:vAlign w:val="center"/>
          </w:tcPr>
          <w:p>
            <w:pPr>
              <w:pStyle w:val="43"/>
            </w:pPr>
            <w:r>
              <w:t>—</w:t>
            </w:r>
          </w:p>
        </w:tc>
        <w:tc>
          <w:tcPr>
            <w:tcW w:w="1958" w:type="dxa"/>
            <w:gridSpan w:val="4"/>
            <w:vAlign w:val="center"/>
          </w:tcPr>
          <w:p>
            <w:pPr>
              <w:pStyle w:val="43"/>
            </w:pPr>
            <w:r>
              <w:rPr>
                <w:rFonts w:hint="eastAsia"/>
              </w:rPr>
              <w:t>纳污水域水功能区实际排污总量</w:t>
            </w:r>
          </w:p>
        </w:tc>
        <w:tc>
          <w:tcPr>
            <w:tcW w:w="2585" w:type="dxa"/>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纳污水域水功能区水质达标率指标</w:t>
            </w:r>
          </w:p>
        </w:tc>
        <w:tc>
          <w:tcPr>
            <w:tcW w:w="3314" w:type="dxa"/>
            <w:gridSpan w:val="3"/>
            <w:vAlign w:val="center"/>
          </w:tcPr>
          <w:p>
            <w:pPr>
              <w:pStyle w:val="43"/>
            </w:pPr>
            <w:r>
              <w:rPr>
                <w:rFonts w:hint="eastAsia"/>
              </w:rPr>
              <w:t>COD、氨氮、总磷</w:t>
            </w:r>
          </w:p>
        </w:tc>
        <w:tc>
          <w:tcPr>
            <w:tcW w:w="1958" w:type="dxa"/>
            <w:gridSpan w:val="4"/>
            <w:vAlign w:val="center"/>
          </w:tcPr>
          <w:p>
            <w:pPr>
              <w:pStyle w:val="43"/>
            </w:pPr>
            <w:r>
              <w:rPr>
                <w:rFonts w:hint="eastAsia"/>
              </w:rPr>
              <w:t>纳污水域水功能区水质达标率</w:t>
            </w:r>
          </w:p>
        </w:tc>
        <w:tc>
          <w:tcPr>
            <w:tcW w:w="2585" w:type="dxa"/>
            <w:vAlign w:val="center"/>
          </w:tcPr>
          <w:p>
            <w:pPr>
              <w:pStyle w:val="43"/>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3"/>
            </w:pPr>
            <w:r>
              <w:rPr>
                <w:rFonts w:hint="eastAsia"/>
              </w:rPr>
              <w:t>入河排污口设置申请</w:t>
            </w:r>
            <w:r>
              <w:t>单</w:t>
            </w:r>
            <w:r>
              <w:rPr>
                <w:rFonts w:hint="eastAsia"/>
              </w:rPr>
              <w:t>位</w:t>
            </w:r>
          </w:p>
          <w:p>
            <w:pPr>
              <w:pStyle w:val="43"/>
            </w:pPr>
            <w:r>
              <w:rPr>
                <w:rFonts w:hint="eastAsia"/>
              </w:rPr>
              <w:t>概况</w:t>
            </w:r>
          </w:p>
        </w:tc>
        <w:tc>
          <w:tcPr>
            <w:tcW w:w="928" w:type="dxa"/>
            <w:vAlign w:val="center"/>
          </w:tcPr>
          <w:p>
            <w:pPr>
              <w:pStyle w:val="43"/>
            </w:pPr>
            <w:r>
              <w:t>名称</w:t>
            </w:r>
          </w:p>
        </w:tc>
        <w:tc>
          <w:tcPr>
            <w:tcW w:w="5106" w:type="dxa"/>
            <w:gridSpan w:val="6"/>
            <w:vAlign w:val="center"/>
          </w:tcPr>
          <w:p>
            <w:pPr>
              <w:pStyle w:val="43"/>
            </w:pPr>
            <w:r>
              <w:rPr>
                <w:rFonts w:hint="eastAsia"/>
              </w:rPr>
              <w:t>祁东县住房和城乡建设局</w:t>
            </w:r>
          </w:p>
        </w:tc>
        <w:tc>
          <w:tcPr>
            <w:tcW w:w="1203" w:type="dxa"/>
            <w:gridSpan w:val="2"/>
            <w:vAlign w:val="center"/>
          </w:tcPr>
          <w:p>
            <w:pPr>
              <w:pStyle w:val="43"/>
            </w:pPr>
            <w:r>
              <w:t>法人代表</w:t>
            </w:r>
          </w:p>
        </w:tc>
        <w:tc>
          <w:tcPr>
            <w:tcW w:w="2737" w:type="dxa"/>
            <w:gridSpan w:val="2"/>
            <w:vAlign w:val="center"/>
          </w:tcPr>
          <w:p>
            <w:pPr>
              <w:pStyle w:val="43"/>
            </w:pPr>
            <w:r>
              <w:rPr>
                <w:rFonts w:hint="eastAsia"/>
              </w:rPr>
              <w:t>彭中华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928" w:type="dxa"/>
            <w:vAlign w:val="center"/>
          </w:tcPr>
          <w:p>
            <w:pPr>
              <w:pStyle w:val="43"/>
            </w:pPr>
            <w:r>
              <w:t>隶属关系</w:t>
            </w:r>
          </w:p>
        </w:tc>
        <w:tc>
          <w:tcPr>
            <w:tcW w:w="5106" w:type="dxa"/>
            <w:gridSpan w:val="6"/>
            <w:vAlign w:val="center"/>
          </w:tcPr>
          <w:p>
            <w:pPr>
              <w:pStyle w:val="43"/>
            </w:pPr>
            <w:r>
              <w:t>—</w:t>
            </w:r>
          </w:p>
        </w:tc>
        <w:tc>
          <w:tcPr>
            <w:tcW w:w="1203" w:type="dxa"/>
            <w:gridSpan w:val="2"/>
            <w:vAlign w:val="center"/>
          </w:tcPr>
          <w:p>
            <w:pPr>
              <w:pStyle w:val="43"/>
            </w:pPr>
            <w:r>
              <w:t>行业类别</w:t>
            </w:r>
          </w:p>
        </w:tc>
        <w:tc>
          <w:tcPr>
            <w:tcW w:w="2737" w:type="dxa"/>
            <w:gridSpan w:val="2"/>
            <w:vAlign w:val="center"/>
          </w:tcPr>
          <w:p>
            <w:pPr>
              <w:pStyle w:val="43"/>
            </w:pPr>
            <w:r>
              <w:t>污水处理及其再生利用（D4620）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928" w:type="dxa"/>
            <w:vAlign w:val="center"/>
          </w:tcPr>
          <w:p>
            <w:pPr>
              <w:pStyle w:val="43"/>
            </w:pPr>
            <w:r>
              <w:t>企业规模</w:t>
            </w:r>
          </w:p>
        </w:tc>
        <w:tc>
          <w:tcPr>
            <w:tcW w:w="5106" w:type="dxa"/>
            <w:gridSpan w:val="6"/>
            <w:vAlign w:val="center"/>
          </w:tcPr>
          <w:p>
            <w:pPr>
              <w:pStyle w:val="43"/>
            </w:pPr>
            <w:r>
              <w:t>—</w:t>
            </w:r>
          </w:p>
        </w:tc>
        <w:tc>
          <w:tcPr>
            <w:tcW w:w="1203" w:type="dxa"/>
            <w:gridSpan w:val="2"/>
            <w:vAlign w:val="center"/>
          </w:tcPr>
          <w:p>
            <w:pPr>
              <w:pStyle w:val="43"/>
            </w:pPr>
            <w:r>
              <w:t>职工总数</w:t>
            </w:r>
          </w:p>
        </w:tc>
        <w:tc>
          <w:tcPr>
            <w:tcW w:w="2737" w:type="dxa"/>
            <w:gridSpan w:val="2"/>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928" w:type="dxa"/>
            <w:vAlign w:val="center"/>
          </w:tcPr>
          <w:p>
            <w:pPr>
              <w:pStyle w:val="43"/>
            </w:pPr>
            <w:r>
              <w:t>地</w:t>
            </w:r>
            <w:r>
              <w:rPr>
                <w:rFonts w:hint="eastAsia"/>
              </w:rPr>
              <w:t xml:space="preserve">  </w:t>
            </w:r>
            <w:r>
              <w:t>址</w:t>
            </w:r>
          </w:p>
        </w:tc>
        <w:tc>
          <w:tcPr>
            <w:tcW w:w="5106" w:type="dxa"/>
            <w:gridSpan w:val="6"/>
            <w:vAlign w:val="center"/>
          </w:tcPr>
          <w:p>
            <w:pPr>
              <w:pStyle w:val="43"/>
            </w:pPr>
            <w:r>
              <w:rPr>
                <w:rFonts w:hint="eastAsia"/>
              </w:rPr>
              <w:t>祁东县县正西路216号</w:t>
            </w:r>
          </w:p>
        </w:tc>
        <w:tc>
          <w:tcPr>
            <w:tcW w:w="1203" w:type="dxa"/>
            <w:gridSpan w:val="2"/>
            <w:vAlign w:val="center"/>
          </w:tcPr>
          <w:p>
            <w:pPr>
              <w:pStyle w:val="43"/>
            </w:pPr>
            <w:r>
              <w:t>邮</w:t>
            </w:r>
            <w:r>
              <w:rPr>
                <w:rFonts w:hint="eastAsia"/>
              </w:rPr>
              <w:t xml:space="preserve">  </w:t>
            </w:r>
            <w:r>
              <w:t>编</w:t>
            </w:r>
          </w:p>
        </w:tc>
        <w:tc>
          <w:tcPr>
            <w:tcW w:w="2737" w:type="dxa"/>
            <w:gridSpan w:val="2"/>
            <w:vAlign w:val="center"/>
          </w:tcPr>
          <w:p>
            <w:pPr>
              <w:pStyle w:val="43"/>
            </w:pPr>
            <w:r>
              <w:t>421600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928" w:type="dxa"/>
            <w:vAlign w:val="center"/>
          </w:tcPr>
          <w:p>
            <w:pPr>
              <w:pStyle w:val="43"/>
            </w:pPr>
            <w:r>
              <w:t>联系人</w:t>
            </w:r>
          </w:p>
        </w:tc>
        <w:tc>
          <w:tcPr>
            <w:tcW w:w="937" w:type="dxa"/>
            <w:vAlign w:val="center"/>
          </w:tcPr>
          <w:p>
            <w:pPr>
              <w:pStyle w:val="43"/>
            </w:pPr>
            <w:r>
              <w:rPr>
                <w:rFonts w:hint="eastAsia"/>
              </w:rPr>
              <w:t>蒋帆</w:t>
            </w:r>
          </w:p>
        </w:tc>
        <w:tc>
          <w:tcPr>
            <w:tcW w:w="899" w:type="dxa"/>
            <w:gridSpan w:val="2"/>
            <w:vAlign w:val="center"/>
          </w:tcPr>
          <w:p>
            <w:pPr>
              <w:pStyle w:val="43"/>
            </w:pPr>
            <w:r>
              <w:t>电话</w:t>
            </w:r>
          </w:p>
        </w:tc>
        <w:tc>
          <w:tcPr>
            <w:tcW w:w="3270" w:type="dxa"/>
            <w:gridSpan w:val="3"/>
            <w:vAlign w:val="center"/>
          </w:tcPr>
          <w:p>
            <w:pPr>
              <w:pStyle w:val="43"/>
            </w:pPr>
            <w:r>
              <w:rPr>
                <w:rFonts w:hint="eastAsia"/>
              </w:rPr>
              <w:t>1</w:t>
            </w:r>
            <w:r>
              <w:t>9807340123</w:t>
            </w:r>
          </w:p>
        </w:tc>
        <w:tc>
          <w:tcPr>
            <w:tcW w:w="1203" w:type="dxa"/>
            <w:gridSpan w:val="2"/>
            <w:vAlign w:val="center"/>
          </w:tcPr>
          <w:p>
            <w:pPr>
              <w:pStyle w:val="43"/>
            </w:pPr>
            <w:r>
              <w:t>邮</w:t>
            </w:r>
            <w:r>
              <w:rPr>
                <w:rFonts w:hint="eastAsia"/>
              </w:rPr>
              <w:t xml:space="preserve">  </w:t>
            </w:r>
            <w:r>
              <w:t>箱</w:t>
            </w:r>
          </w:p>
        </w:tc>
        <w:tc>
          <w:tcPr>
            <w:tcW w:w="2737" w:type="dxa"/>
            <w:gridSpan w:val="2"/>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restart"/>
            <w:vAlign w:val="center"/>
          </w:tcPr>
          <w:p>
            <w:pPr>
              <w:pStyle w:val="43"/>
            </w:pPr>
            <w:r>
              <w:rPr>
                <w:rFonts w:hint="eastAsia"/>
              </w:rPr>
              <w:t>建设项目主要原辅材料消耗</w:t>
            </w:r>
          </w:p>
        </w:tc>
        <w:tc>
          <w:tcPr>
            <w:tcW w:w="1865" w:type="dxa"/>
            <w:gridSpan w:val="2"/>
            <w:vAlign w:val="center"/>
          </w:tcPr>
          <w:p>
            <w:pPr>
              <w:pStyle w:val="43"/>
            </w:pPr>
            <w:r>
              <w:rPr>
                <w:rFonts w:hint="eastAsia"/>
              </w:rPr>
              <w:t>名称</w:t>
            </w:r>
          </w:p>
        </w:tc>
        <w:tc>
          <w:tcPr>
            <w:tcW w:w="899" w:type="dxa"/>
            <w:gridSpan w:val="2"/>
            <w:vAlign w:val="center"/>
          </w:tcPr>
          <w:p>
            <w:pPr>
              <w:pStyle w:val="43"/>
            </w:pPr>
            <w:r>
              <w:rPr>
                <w:rFonts w:hint="eastAsia"/>
              </w:rPr>
              <w:t>/</w:t>
            </w:r>
          </w:p>
        </w:tc>
        <w:tc>
          <w:tcPr>
            <w:tcW w:w="3270" w:type="dxa"/>
            <w:gridSpan w:val="3"/>
            <w:vAlign w:val="center"/>
          </w:tcPr>
          <w:p>
            <w:pPr>
              <w:pStyle w:val="43"/>
            </w:pPr>
            <w:r>
              <w:rPr>
                <w:rFonts w:hint="eastAsia"/>
              </w:rPr>
              <w:t>/</w:t>
            </w:r>
          </w:p>
        </w:tc>
        <w:tc>
          <w:tcPr>
            <w:tcW w:w="1203" w:type="dxa"/>
            <w:gridSpan w:val="2"/>
            <w:vAlign w:val="center"/>
          </w:tcPr>
          <w:p>
            <w:pPr>
              <w:pStyle w:val="43"/>
            </w:pPr>
            <w:r>
              <w:rPr>
                <w:rFonts w:hint="eastAsia"/>
              </w:rPr>
              <w:t>/</w:t>
            </w:r>
          </w:p>
        </w:tc>
        <w:tc>
          <w:tcPr>
            <w:tcW w:w="2737" w:type="dxa"/>
            <w:gridSpan w:val="2"/>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continue"/>
            <w:vAlign w:val="center"/>
          </w:tcPr>
          <w:p>
            <w:pPr>
              <w:pStyle w:val="43"/>
            </w:pPr>
          </w:p>
        </w:tc>
        <w:tc>
          <w:tcPr>
            <w:tcW w:w="1865" w:type="dxa"/>
            <w:gridSpan w:val="2"/>
            <w:vAlign w:val="center"/>
          </w:tcPr>
          <w:p>
            <w:pPr>
              <w:pStyle w:val="43"/>
            </w:pPr>
            <w:r>
              <w:rPr>
                <w:rFonts w:hint="eastAsia"/>
              </w:rPr>
              <w:t>单位</w:t>
            </w:r>
          </w:p>
        </w:tc>
        <w:tc>
          <w:tcPr>
            <w:tcW w:w="899" w:type="dxa"/>
            <w:gridSpan w:val="2"/>
            <w:vAlign w:val="center"/>
          </w:tcPr>
          <w:p>
            <w:pPr>
              <w:pStyle w:val="43"/>
            </w:pPr>
            <w:r>
              <w:rPr>
                <w:rFonts w:hint="eastAsia"/>
              </w:rPr>
              <w:t>/</w:t>
            </w:r>
          </w:p>
        </w:tc>
        <w:tc>
          <w:tcPr>
            <w:tcW w:w="3270" w:type="dxa"/>
            <w:gridSpan w:val="3"/>
            <w:vAlign w:val="center"/>
          </w:tcPr>
          <w:p>
            <w:pPr>
              <w:pStyle w:val="43"/>
            </w:pPr>
            <w:r>
              <w:rPr>
                <w:rFonts w:hint="eastAsia"/>
              </w:rPr>
              <w:t>/</w:t>
            </w:r>
          </w:p>
        </w:tc>
        <w:tc>
          <w:tcPr>
            <w:tcW w:w="1203" w:type="dxa"/>
            <w:gridSpan w:val="2"/>
            <w:vAlign w:val="center"/>
          </w:tcPr>
          <w:p>
            <w:pPr>
              <w:pStyle w:val="43"/>
            </w:pPr>
            <w:r>
              <w:rPr>
                <w:rFonts w:hint="eastAsia"/>
              </w:rPr>
              <w:t>/</w:t>
            </w:r>
          </w:p>
        </w:tc>
        <w:tc>
          <w:tcPr>
            <w:tcW w:w="2737" w:type="dxa"/>
            <w:gridSpan w:val="2"/>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continue"/>
            <w:vAlign w:val="center"/>
          </w:tcPr>
          <w:p>
            <w:pPr>
              <w:pStyle w:val="43"/>
            </w:pPr>
          </w:p>
        </w:tc>
        <w:tc>
          <w:tcPr>
            <w:tcW w:w="1865" w:type="dxa"/>
            <w:gridSpan w:val="2"/>
            <w:vAlign w:val="center"/>
          </w:tcPr>
          <w:p>
            <w:pPr>
              <w:pStyle w:val="43"/>
            </w:pPr>
            <w:r>
              <w:rPr>
                <w:rFonts w:hint="eastAsia"/>
              </w:rPr>
              <w:t>数量</w:t>
            </w:r>
          </w:p>
        </w:tc>
        <w:tc>
          <w:tcPr>
            <w:tcW w:w="899" w:type="dxa"/>
            <w:gridSpan w:val="2"/>
            <w:vAlign w:val="center"/>
          </w:tcPr>
          <w:p>
            <w:pPr>
              <w:pStyle w:val="43"/>
            </w:pPr>
            <w:r>
              <w:rPr>
                <w:rFonts w:hint="eastAsia"/>
              </w:rPr>
              <w:t>/</w:t>
            </w:r>
          </w:p>
        </w:tc>
        <w:tc>
          <w:tcPr>
            <w:tcW w:w="3270" w:type="dxa"/>
            <w:gridSpan w:val="3"/>
            <w:vAlign w:val="center"/>
          </w:tcPr>
          <w:p>
            <w:pPr>
              <w:pStyle w:val="43"/>
            </w:pPr>
            <w:r>
              <w:rPr>
                <w:rFonts w:hint="eastAsia"/>
              </w:rPr>
              <w:t>/</w:t>
            </w:r>
          </w:p>
        </w:tc>
        <w:tc>
          <w:tcPr>
            <w:tcW w:w="1203" w:type="dxa"/>
            <w:gridSpan w:val="2"/>
            <w:vAlign w:val="center"/>
          </w:tcPr>
          <w:p>
            <w:pPr>
              <w:pStyle w:val="43"/>
            </w:pPr>
            <w:r>
              <w:rPr>
                <w:rFonts w:hint="eastAsia"/>
              </w:rPr>
              <w:t>/</w:t>
            </w:r>
          </w:p>
        </w:tc>
        <w:tc>
          <w:tcPr>
            <w:tcW w:w="2737" w:type="dxa"/>
            <w:gridSpan w:val="2"/>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restart"/>
            <w:vAlign w:val="center"/>
          </w:tcPr>
          <w:p>
            <w:pPr>
              <w:pStyle w:val="43"/>
            </w:pPr>
            <w:r>
              <w:rPr>
                <w:rFonts w:hint="eastAsia"/>
              </w:rPr>
              <w:t>主要产品</w:t>
            </w:r>
          </w:p>
        </w:tc>
        <w:tc>
          <w:tcPr>
            <w:tcW w:w="1865" w:type="dxa"/>
            <w:gridSpan w:val="2"/>
            <w:vAlign w:val="center"/>
          </w:tcPr>
          <w:p>
            <w:pPr>
              <w:pStyle w:val="43"/>
            </w:pPr>
            <w:r>
              <w:rPr>
                <w:rFonts w:hint="eastAsia"/>
              </w:rPr>
              <w:t>名称</w:t>
            </w:r>
          </w:p>
        </w:tc>
        <w:tc>
          <w:tcPr>
            <w:tcW w:w="899" w:type="dxa"/>
            <w:gridSpan w:val="2"/>
            <w:vAlign w:val="center"/>
          </w:tcPr>
          <w:p>
            <w:pPr>
              <w:pStyle w:val="43"/>
            </w:pPr>
            <w:r>
              <w:rPr>
                <w:rFonts w:hint="eastAsia"/>
              </w:rPr>
              <w:t>/</w:t>
            </w:r>
          </w:p>
        </w:tc>
        <w:tc>
          <w:tcPr>
            <w:tcW w:w="3270" w:type="dxa"/>
            <w:gridSpan w:val="3"/>
            <w:vAlign w:val="center"/>
          </w:tcPr>
          <w:p>
            <w:pPr>
              <w:pStyle w:val="43"/>
            </w:pPr>
            <w:r>
              <w:rPr>
                <w:rFonts w:hint="eastAsia"/>
              </w:rPr>
              <w:t>/</w:t>
            </w:r>
          </w:p>
        </w:tc>
        <w:tc>
          <w:tcPr>
            <w:tcW w:w="1203" w:type="dxa"/>
            <w:gridSpan w:val="2"/>
            <w:vAlign w:val="center"/>
          </w:tcPr>
          <w:p>
            <w:pPr>
              <w:pStyle w:val="43"/>
            </w:pPr>
            <w:r>
              <w:rPr>
                <w:rFonts w:hint="eastAsia"/>
              </w:rPr>
              <w:t>/</w:t>
            </w:r>
          </w:p>
        </w:tc>
        <w:tc>
          <w:tcPr>
            <w:tcW w:w="2737" w:type="dxa"/>
            <w:gridSpan w:val="2"/>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continue"/>
            <w:vAlign w:val="center"/>
          </w:tcPr>
          <w:p>
            <w:pPr>
              <w:pStyle w:val="43"/>
            </w:pPr>
          </w:p>
        </w:tc>
        <w:tc>
          <w:tcPr>
            <w:tcW w:w="1865" w:type="dxa"/>
            <w:gridSpan w:val="2"/>
            <w:vAlign w:val="center"/>
          </w:tcPr>
          <w:p>
            <w:pPr>
              <w:pStyle w:val="43"/>
            </w:pPr>
            <w:r>
              <w:rPr>
                <w:rFonts w:hint="eastAsia"/>
              </w:rPr>
              <w:t>单位</w:t>
            </w:r>
          </w:p>
        </w:tc>
        <w:tc>
          <w:tcPr>
            <w:tcW w:w="899" w:type="dxa"/>
            <w:gridSpan w:val="2"/>
            <w:vAlign w:val="center"/>
          </w:tcPr>
          <w:p>
            <w:pPr>
              <w:pStyle w:val="43"/>
            </w:pPr>
            <w:r>
              <w:rPr>
                <w:rFonts w:hint="eastAsia"/>
              </w:rPr>
              <w:t>/</w:t>
            </w:r>
          </w:p>
        </w:tc>
        <w:tc>
          <w:tcPr>
            <w:tcW w:w="3270" w:type="dxa"/>
            <w:gridSpan w:val="3"/>
            <w:vAlign w:val="center"/>
          </w:tcPr>
          <w:p>
            <w:pPr>
              <w:pStyle w:val="43"/>
            </w:pPr>
            <w:r>
              <w:rPr>
                <w:rFonts w:hint="eastAsia"/>
              </w:rPr>
              <w:t>/</w:t>
            </w:r>
          </w:p>
        </w:tc>
        <w:tc>
          <w:tcPr>
            <w:tcW w:w="1203" w:type="dxa"/>
            <w:gridSpan w:val="2"/>
            <w:vAlign w:val="center"/>
          </w:tcPr>
          <w:p>
            <w:pPr>
              <w:pStyle w:val="43"/>
            </w:pPr>
            <w:r>
              <w:rPr>
                <w:rFonts w:hint="eastAsia"/>
              </w:rPr>
              <w:t>/</w:t>
            </w:r>
          </w:p>
        </w:tc>
        <w:tc>
          <w:tcPr>
            <w:tcW w:w="2737" w:type="dxa"/>
            <w:gridSpan w:val="2"/>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continue"/>
            <w:vAlign w:val="center"/>
          </w:tcPr>
          <w:p>
            <w:pPr>
              <w:pStyle w:val="43"/>
            </w:pPr>
          </w:p>
        </w:tc>
        <w:tc>
          <w:tcPr>
            <w:tcW w:w="1865" w:type="dxa"/>
            <w:gridSpan w:val="2"/>
            <w:vAlign w:val="center"/>
          </w:tcPr>
          <w:p>
            <w:pPr>
              <w:pStyle w:val="43"/>
            </w:pPr>
            <w:r>
              <w:rPr>
                <w:rFonts w:hint="eastAsia"/>
              </w:rPr>
              <w:t>数量</w:t>
            </w:r>
          </w:p>
        </w:tc>
        <w:tc>
          <w:tcPr>
            <w:tcW w:w="899" w:type="dxa"/>
            <w:gridSpan w:val="2"/>
            <w:vAlign w:val="center"/>
          </w:tcPr>
          <w:p>
            <w:pPr>
              <w:pStyle w:val="43"/>
            </w:pPr>
            <w:r>
              <w:rPr>
                <w:rFonts w:hint="eastAsia"/>
              </w:rPr>
              <w:t>/</w:t>
            </w:r>
          </w:p>
        </w:tc>
        <w:tc>
          <w:tcPr>
            <w:tcW w:w="3270" w:type="dxa"/>
            <w:gridSpan w:val="3"/>
            <w:vAlign w:val="center"/>
          </w:tcPr>
          <w:p>
            <w:pPr>
              <w:pStyle w:val="43"/>
            </w:pPr>
            <w:r>
              <w:rPr>
                <w:rFonts w:hint="eastAsia"/>
              </w:rPr>
              <w:t>/</w:t>
            </w:r>
          </w:p>
        </w:tc>
        <w:tc>
          <w:tcPr>
            <w:tcW w:w="1203" w:type="dxa"/>
            <w:gridSpan w:val="2"/>
            <w:vAlign w:val="center"/>
          </w:tcPr>
          <w:p>
            <w:pPr>
              <w:pStyle w:val="43"/>
            </w:pPr>
            <w:r>
              <w:rPr>
                <w:rFonts w:hint="eastAsia"/>
              </w:rPr>
              <w:t>/</w:t>
            </w:r>
          </w:p>
        </w:tc>
        <w:tc>
          <w:tcPr>
            <w:tcW w:w="2737" w:type="dxa"/>
            <w:gridSpan w:val="2"/>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Align w:val="center"/>
          </w:tcPr>
          <w:p>
            <w:pPr>
              <w:pStyle w:val="43"/>
            </w:pPr>
            <w:r>
              <w:rPr>
                <w:rFonts w:hint="eastAsia"/>
              </w:rPr>
              <w:t>主要产污环节</w:t>
            </w:r>
          </w:p>
        </w:tc>
        <w:tc>
          <w:tcPr>
            <w:tcW w:w="9974" w:type="dxa"/>
            <w:gridSpan w:val="11"/>
            <w:vAlign w:val="center"/>
          </w:tcPr>
          <w:p>
            <w:pPr>
              <w:pStyle w:val="43"/>
            </w:pPr>
            <w:r>
              <w:rPr>
                <w:rFonts w:hint="eastAsia"/>
              </w:rPr>
              <w:t>污水处理站尾水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636" w:type="dxa"/>
            <w:vMerge w:val="restart"/>
            <w:vAlign w:val="center"/>
          </w:tcPr>
          <w:p>
            <w:pPr>
              <w:pStyle w:val="43"/>
            </w:pPr>
            <w:r>
              <w:rPr>
                <w:rFonts w:hint="eastAsia"/>
              </w:rPr>
              <w:t>取水情况</w:t>
            </w:r>
          </w:p>
        </w:tc>
        <w:tc>
          <w:tcPr>
            <w:tcW w:w="2764" w:type="dxa"/>
            <w:gridSpan w:val="4"/>
            <w:vAlign w:val="center"/>
          </w:tcPr>
          <w:p>
            <w:pPr>
              <w:pStyle w:val="43"/>
            </w:pPr>
            <w:r>
              <w:t>水源</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36" w:type="dxa"/>
            <w:vMerge w:val="continue"/>
            <w:vAlign w:val="center"/>
          </w:tcPr>
          <w:p>
            <w:pPr>
              <w:pStyle w:val="43"/>
            </w:pPr>
          </w:p>
        </w:tc>
        <w:tc>
          <w:tcPr>
            <w:tcW w:w="2764" w:type="dxa"/>
            <w:gridSpan w:val="4"/>
            <w:vAlign w:val="center"/>
          </w:tcPr>
          <w:p>
            <w:pPr>
              <w:pStyle w:val="43"/>
            </w:pPr>
            <w:r>
              <w:t>取水许可证编号</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36" w:type="dxa"/>
            <w:vMerge w:val="continue"/>
            <w:vAlign w:val="center"/>
          </w:tcPr>
          <w:p>
            <w:pPr>
              <w:pStyle w:val="43"/>
            </w:pPr>
          </w:p>
        </w:tc>
        <w:tc>
          <w:tcPr>
            <w:tcW w:w="2764" w:type="dxa"/>
            <w:gridSpan w:val="4"/>
            <w:vAlign w:val="center"/>
          </w:tcPr>
          <w:p>
            <w:pPr>
              <w:pStyle w:val="43"/>
            </w:pPr>
            <w:r>
              <w:t>审批机关</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36" w:type="dxa"/>
            <w:vMerge w:val="continue"/>
            <w:vAlign w:val="center"/>
          </w:tcPr>
          <w:p>
            <w:pPr>
              <w:pStyle w:val="43"/>
            </w:pPr>
          </w:p>
        </w:tc>
        <w:tc>
          <w:tcPr>
            <w:tcW w:w="2764" w:type="dxa"/>
            <w:gridSpan w:val="4"/>
            <w:vAlign w:val="center"/>
          </w:tcPr>
          <w:p>
            <w:pPr>
              <w:pStyle w:val="43"/>
            </w:pPr>
            <w:r>
              <w:t>取水方式</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36" w:type="dxa"/>
            <w:vMerge w:val="continue"/>
            <w:vAlign w:val="center"/>
          </w:tcPr>
          <w:p>
            <w:pPr>
              <w:pStyle w:val="43"/>
            </w:pPr>
          </w:p>
        </w:tc>
        <w:tc>
          <w:tcPr>
            <w:tcW w:w="2764" w:type="dxa"/>
            <w:gridSpan w:val="4"/>
            <w:vAlign w:val="center"/>
          </w:tcPr>
          <w:p>
            <w:pPr>
              <w:pStyle w:val="43"/>
            </w:pPr>
            <w:r>
              <w:t>用途</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36" w:type="dxa"/>
            <w:vMerge w:val="continue"/>
            <w:vAlign w:val="center"/>
          </w:tcPr>
          <w:p>
            <w:pPr>
              <w:pStyle w:val="43"/>
            </w:pPr>
          </w:p>
        </w:tc>
        <w:tc>
          <w:tcPr>
            <w:tcW w:w="2764" w:type="dxa"/>
            <w:gridSpan w:val="4"/>
            <w:vAlign w:val="center"/>
          </w:tcPr>
          <w:p>
            <w:pPr>
              <w:pStyle w:val="43"/>
            </w:pPr>
            <w:r>
              <w:t>年审批取水量（万m</w:t>
            </w:r>
            <w:r>
              <w:rPr>
                <w:vertAlign w:val="superscript"/>
              </w:rPr>
              <w:t>3</w:t>
            </w:r>
            <w:r>
              <w:t>）</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636" w:type="dxa"/>
            <w:vMerge w:val="continue"/>
            <w:vAlign w:val="center"/>
          </w:tcPr>
          <w:p>
            <w:pPr>
              <w:pStyle w:val="43"/>
            </w:pPr>
          </w:p>
        </w:tc>
        <w:tc>
          <w:tcPr>
            <w:tcW w:w="2764" w:type="dxa"/>
            <w:gridSpan w:val="4"/>
            <w:vAlign w:val="center"/>
          </w:tcPr>
          <w:p>
            <w:pPr>
              <w:pStyle w:val="43"/>
            </w:pPr>
            <w:r>
              <w:t>年实际取水量（万m</w:t>
            </w:r>
            <w:r>
              <w:rPr>
                <w:vertAlign w:val="superscript"/>
              </w:rPr>
              <w:t>3</w:t>
            </w:r>
            <w:r>
              <w:t>）</w:t>
            </w:r>
          </w:p>
        </w:tc>
        <w:tc>
          <w:tcPr>
            <w:tcW w:w="7210" w:type="dxa"/>
            <w:gridSpan w:val="7"/>
            <w:vAlign w:val="center"/>
          </w:tcPr>
          <w:p>
            <w:pPr>
              <w:pStyle w:val="4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3"/>
            </w:pPr>
            <w:r>
              <w:t>排</w:t>
            </w:r>
            <w:r>
              <w:rPr>
                <w:rFonts w:hint="eastAsia"/>
              </w:rPr>
              <w:t>污</w:t>
            </w:r>
          </w:p>
          <w:p>
            <w:pPr>
              <w:pStyle w:val="43"/>
            </w:pPr>
            <w:r>
              <w:rPr>
                <w:rFonts w:hint="eastAsia"/>
              </w:rPr>
              <w:t>口基</w:t>
            </w:r>
          </w:p>
          <w:p>
            <w:pPr>
              <w:pStyle w:val="43"/>
            </w:pPr>
            <w:r>
              <w:rPr>
                <w:rFonts w:hint="eastAsia"/>
              </w:rPr>
              <w:t>本情</w:t>
            </w:r>
          </w:p>
          <w:p>
            <w:pPr>
              <w:pStyle w:val="43"/>
            </w:pPr>
            <w:r>
              <w:rPr>
                <w:rFonts w:hint="eastAsia"/>
              </w:rPr>
              <w:t>况</w:t>
            </w:r>
          </w:p>
        </w:tc>
        <w:tc>
          <w:tcPr>
            <w:tcW w:w="2117" w:type="dxa"/>
            <w:gridSpan w:val="3"/>
            <w:vAlign w:val="center"/>
          </w:tcPr>
          <w:p>
            <w:pPr>
              <w:pStyle w:val="43"/>
            </w:pPr>
            <w:r>
              <w:rPr>
                <w:rFonts w:hint="eastAsia"/>
              </w:rPr>
              <w:t>排污口名称</w:t>
            </w:r>
          </w:p>
        </w:tc>
        <w:tc>
          <w:tcPr>
            <w:tcW w:w="7857" w:type="dxa"/>
            <w:gridSpan w:val="8"/>
            <w:vAlign w:val="center"/>
          </w:tcPr>
          <w:p>
            <w:pPr>
              <w:pStyle w:val="43"/>
            </w:pPr>
            <w:r>
              <w:rPr>
                <w:rFonts w:hint="eastAsia"/>
              </w:rPr>
              <w:t>鸟江镇污水处理工程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排污口行政地址</w:t>
            </w:r>
          </w:p>
        </w:tc>
        <w:tc>
          <w:tcPr>
            <w:tcW w:w="7857" w:type="dxa"/>
            <w:gridSpan w:val="8"/>
            <w:vAlign w:val="center"/>
          </w:tcPr>
          <w:p>
            <w:pPr>
              <w:pStyle w:val="43"/>
            </w:pPr>
            <w:r>
              <w:rPr>
                <w:rFonts w:hint="eastAsia"/>
              </w:rPr>
              <w:t>衡阳市祁东县鸟江镇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所在水功能区概况</w:t>
            </w:r>
          </w:p>
        </w:tc>
        <w:tc>
          <w:tcPr>
            <w:tcW w:w="7857" w:type="dxa"/>
            <w:gridSpan w:val="8"/>
            <w:vAlign w:val="center"/>
          </w:tcPr>
          <w:p>
            <w:pPr>
              <w:pStyle w:val="43"/>
            </w:pPr>
            <w:r>
              <w:rPr>
                <w:rFonts w:hint="eastAsia"/>
              </w:rPr>
              <w:t>渔业用水，水质管理目标Ⅲ类，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排污口经纬度</w:t>
            </w:r>
          </w:p>
        </w:tc>
        <w:tc>
          <w:tcPr>
            <w:tcW w:w="7857" w:type="dxa"/>
            <w:gridSpan w:val="8"/>
            <w:vAlign w:val="center"/>
          </w:tcPr>
          <w:p>
            <w:pPr>
              <w:pStyle w:val="43"/>
            </w:pPr>
            <w:r>
              <w:rPr>
                <w:rFonts w:hint="eastAsia"/>
              </w:rPr>
              <w:t>E</w:t>
            </w:r>
            <w:r>
              <w:t>112°12′5.1″,</w:t>
            </w:r>
            <w:r>
              <w:rPr>
                <w:rFonts w:hint="eastAsia"/>
              </w:rPr>
              <w:t>N</w:t>
            </w:r>
            <w:r>
              <w:t>26°36′55.77″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排污口类型</w:t>
            </w:r>
          </w:p>
        </w:tc>
        <w:tc>
          <w:tcPr>
            <w:tcW w:w="7857" w:type="dxa"/>
            <w:gridSpan w:val="8"/>
            <w:vAlign w:val="center"/>
          </w:tcPr>
          <w:p>
            <w:pPr>
              <w:pStyle w:val="43"/>
            </w:pPr>
            <w:r>
              <w:rPr>
                <w:rFonts w:hint="eastAsia"/>
              </w:rPr>
              <w:t>新建（</w:t>
            </w:r>
            <w:r>
              <w:t xml:space="preserve"> √</w:t>
            </w:r>
            <w:r>
              <w:rPr>
                <w:rFonts w:hint="eastAsia"/>
              </w:rPr>
              <w:t xml:space="preserve"> ）     改建（   ）      扩大（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废污水年排放量(m</w:t>
            </w:r>
            <w:r>
              <w:rPr>
                <w:rFonts w:hint="eastAsia"/>
                <w:vertAlign w:val="superscript"/>
              </w:rPr>
              <w:t>3</w:t>
            </w:r>
            <w:r>
              <w:rPr>
                <w:rFonts w:hint="eastAsia"/>
              </w:rPr>
              <w:t>)</w:t>
            </w:r>
          </w:p>
        </w:tc>
        <w:tc>
          <w:tcPr>
            <w:tcW w:w="7857" w:type="dxa"/>
            <w:gridSpan w:val="8"/>
            <w:vAlign w:val="center"/>
          </w:tcPr>
          <w:p>
            <w:pPr>
              <w:pStyle w:val="43"/>
            </w:pPr>
            <w:r>
              <w:rPr>
                <w:rFonts w:hint="eastAsia"/>
              </w:rPr>
              <w:t>近期73000，远期146000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restart"/>
            <w:vAlign w:val="center"/>
          </w:tcPr>
          <w:p>
            <w:pPr>
              <w:pStyle w:val="43"/>
            </w:pPr>
            <w:r>
              <w:rPr>
                <w:rFonts w:hint="eastAsia"/>
              </w:rPr>
              <w:t>主</w:t>
            </w:r>
          </w:p>
          <w:p>
            <w:pPr>
              <w:pStyle w:val="43"/>
            </w:pPr>
            <w:r>
              <w:rPr>
                <w:rFonts w:hint="eastAsia"/>
              </w:rPr>
              <w:t>要</w:t>
            </w:r>
          </w:p>
          <w:p>
            <w:pPr>
              <w:pStyle w:val="43"/>
            </w:pPr>
            <w:r>
              <w:rPr>
                <w:rFonts w:hint="eastAsia"/>
              </w:rPr>
              <w:t>污</w:t>
            </w:r>
          </w:p>
          <w:p>
            <w:pPr>
              <w:pStyle w:val="43"/>
            </w:pPr>
            <w:r>
              <w:rPr>
                <w:rFonts w:hint="eastAsia"/>
              </w:rPr>
              <w:t>染</w:t>
            </w:r>
          </w:p>
          <w:p>
            <w:pPr>
              <w:pStyle w:val="43"/>
            </w:pPr>
            <w:r>
              <w:t>物</w:t>
            </w:r>
          </w:p>
        </w:tc>
        <w:tc>
          <w:tcPr>
            <w:tcW w:w="1939" w:type="dxa"/>
            <w:gridSpan w:val="2"/>
            <w:vAlign w:val="center"/>
          </w:tcPr>
          <w:p>
            <w:pPr>
              <w:pStyle w:val="43"/>
            </w:pPr>
            <w:r>
              <w:t>项</w:t>
            </w:r>
            <w:r>
              <w:rPr>
                <w:rFonts w:hint="eastAsia"/>
              </w:rPr>
              <w:t xml:space="preserve">  </w:t>
            </w:r>
            <w:r>
              <w:t>目</w:t>
            </w:r>
          </w:p>
        </w:tc>
        <w:tc>
          <w:tcPr>
            <w:tcW w:w="2012" w:type="dxa"/>
            <w:gridSpan w:val="3"/>
            <w:vAlign w:val="center"/>
          </w:tcPr>
          <w:p>
            <w:pPr>
              <w:pStyle w:val="43"/>
            </w:pPr>
            <w:r>
              <w:rPr>
                <w:rFonts w:hint="eastAsia"/>
              </w:rPr>
              <w:t>日最高</w:t>
            </w:r>
            <w:r>
              <w:t>排放浓度</w:t>
            </w:r>
            <w:r>
              <w:rPr>
                <w:rFonts w:hint="eastAsia"/>
              </w:rPr>
              <w:t>（mg/l）</w:t>
            </w:r>
          </w:p>
        </w:tc>
        <w:tc>
          <w:tcPr>
            <w:tcW w:w="1169" w:type="dxa"/>
            <w:vAlign w:val="center"/>
          </w:tcPr>
          <w:p>
            <w:pPr>
              <w:pStyle w:val="43"/>
            </w:pPr>
            <w:r>
              <w:rPr>
                <w:rFonts w:hint="eastAsia"/>
              </w:rPr>
              <w:t>月平均排放浓度</w:t>
            </w:r>
          </w:p>
        </w:tc>
        <w:tc>
          <w:tcPr>
            <w:tcW w:w="2737" w:type="dxa"/>
            <w:gridSpan w:val="2"/>
            <w:vAlign w:val="center"/>
          </w:tcPr>
          <w:p>
            <w:pPr>
              <w:pStyle w:val="43"/>
            </w:pPr>
            <w:r>
              <w:rPr>
                <w:rFonts w:hint="eastAsia"/>
              </w:rPr>
              <w:t>最大</w:t>
            </w:r>
            <w:r>
              <w:t>年排放量</w:t>
            </w:r>
            <w:r>
              <w:rPr>
                <w:rFonts w:hint="eastAsia"/>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CODcr</w:t>
            </w:r>
          </w:p>
        </w:tc>
        <w:tc>
          <w:tcPr>
            <w:tcW w:w="2012" w:type="dxa"/>
            <w:gridSpan w:val="3"/>
            <w:vAlign w:val="center"/>
          </w:tcPr>
          <w:p>
            <w:pPr>
              <w:pStyle w:val="43"/>
            </w:pPr>
            <w:r>
              <w:rPr>
                <w:rFonts w:hint="eastAsia"/>
              </w:rPr>
              <w:t>6</w:t>
            </w:r>
            <w:r>
              <w:t>0</w:t>
            </w:r>
          </w:p>
        </w:tc>
        <w:tc>
          <w:tcPr>
            <w:tcW w:w="1169" w:type="dxa"/>
            <w:vAlign w:val="center"/>
          </w:tcPr>
          <w:p>
            <w:pPr>
              <w:pStyle w:val="43"/>
            </w:pPr>
            <w:r>
              <w:rPr>
                <w:rFonts w:hint="eastAsia"/>
              </w:rPr>
              <w:t>6</w:t>
            </w:r>
            <w:r>
              <w:t>0</w:t>
            </w:r>
          </w:p>
        </w:tc>
        <w:tc>
          <w:tcPr>
            <w:tcW w:w="2737" w:type="dxa"/>
            <w:gridSpan w:val="2"/>
            <w:vAlign w:val="center"/>
          </w:tcPr>
          <w:p>
            <w:pPr>
              <w:widowControl/>
              <w:jc w:val="center"/>
              <w:textAlignment w:val="center"/>
              <w:rPr>
                <w:sz w:val="21"/>
                <w:szCs w:val="21"/>
              </w:rPr>
            </w:pPr>
            <w:r>
              <w:rPr>
                <w:rFonts w:hint="eastAsia"/>
                <w:color w:val="000000"/>
                <w:kern w:val="0"/>
                <w:sz w:val="21"/>
                <w:szCs w:val="21"/>
                <w:lang w:bidi="ar"/>
              </w:rPr>
              <w:t>近期4.38，远期</w:t>
            </w:r>
            <w:r>
              <w:rPr>
                <w:color w:val="000000"/>
                <w:kern w:val="0"/>
                <w:sz w:val="21"/>
                <w:szCs w:val="21"/>
                <w:lang w:bidi="ar"/>
              </w:rPr>
              <w:t>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BOD</w:t>
            </w:r>
            <w:r>
              <w:rPr>
                <w:vertAlign w:val="subscript"/>
              </w:rPr>
              <w:t>5</w:t>
            </w:r>
          </w:p>
        </w:tc>
        <w:tc>
          <w:tcPr>
            <w:tcW w:w="2012" w:type="dxa"/>
            <w:gridSpan w:val="3"/>
            <w:vAlign w:val="center"/>
          </w:tcPr>
          <w:p>
            <w:pPr>
              <w:pStyle w:val="43"/>
            </w:pPr>
            <w:r>
              <w:rPr>
                <w:rFonts w:hint="eastAsia"/>
              </w:rPr>
              <w:t>2</w:t>
            </w:r>
            <w:r>
              <w:t>0</w:t>
            </w:r>
          </w:p>
        </w:tc>
        <w:tc>
          <w:tcPr>
            <w:tcW w:w="1169" w:type="dxa"/>
            <w:vAlign w:val="center"/>
          </w:tcPr>
          <w:p>
            <w:pPr>
              <w:pStyle w:val="43"/>
            </w:pPr>
            <w:r>
              <w:rPr>
                <w:rFonts w:hint="eastAsia"/>
              </w:rPr>
              <w:t>2</w:t>
            </w:r>
            <w:r>
              <w:t>0</w:t>
            </w:r>
          </w:p>
        </w:tc>
        <w:tc>
          <w:tcPr>
            <w:tcW w:w="2737" w:type="dxa"/>
            <w:gridSpan w:val="2"/>
            <w:vAlign w:val="center"/>
          </w:tcPr>
          <w:p>
            <w:pPr>
              <w:widowControl/>
              <w:jc w:val="center"/>
              <w:textAlignment w:val="center"/>
              <w:rPr>
                <w:sz w:val="21"/>
                <w:szCs w:val="21"/>
              </w:rPr>
            </w:pPr>
            <w:r>
              <w:rPr>
                <w:rFonts w:hint="eastAsia"/>
                <w:color w:val="000000"/>
                <w:kern w:val="0"/>
                <w:sz w:val="21"/>
                <w:szCs w:val="21"/>
                <w:lang w:bidi="ar"/>
              </w:rPr>
              <w:t>近期1.46，远期</w:t>
            </w: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SS</w:t>
            </w:r>
          </w:p>
        </w:tc>
        <w:tc>
          <w:tcPr>
            <w:tcW w:w="2012" w:type="dxa"/>
            <w:gridSpan w:val="3"/>
            <w:vAlign w:val="center"/>
          </w:tcPr>
          <w:p>
            <w:pPr>
              <w:pStyle w:val="43"/>
            </w:pPr>
            <w:r>
              <w:rPr>
                <w:rFonts w:hint="eastAsia"/>
              </w:rPr>
              <w:t>2</w:t>
            </w:r>
            <w:r>
              <w:t>0</w:t>
            </w:r>
          </w:p>
        </w:tc>
        <w:tc>
          <w:tcPr>
            <w:tcW w:w="1169" w:type="dxa"/>
            <w:vAlign w:val="center"/>
          </w:tcPr>
          <w:p>
            <w:pPr>
              <w:pStyle w:val="43"/>
            </w:pPr>
            <w:r>
              <w:rPr>
                <w:rFonts w:hint="eastAsia"/>
              </w:rPr>
              <w:t>2</w:t>
            </w:r>
            <w:r>
              <w:t>0</w:t>
            </w:r>
          </w:p>
        </w:tc>
        <w:tc>
          <w:tcPr>
            <w:tcW w:w="2737" w:type="dxa"/>
            <w:gridSpan w:val="2"/>
            <w:vAlign w:val="center"/>
          </w:tcPr>
          <w:p>
            <w:pPr>
              <w:widowControl/>
              <w:jc w:val="center"/>
              <w:textAlignment w:val="center"/>
              <w:rPr>
                <w:sz w:val="21"/>
                <w:szCs w:val="21"/>
              </w:rPr>
            </w:pPr>
            <w:r>
              <w:rPr>
                <w:rFonts w:hint="eastAsia"/>
                <w:color w:val="000000"/>
                <w:kern w:val="0"/>
                <w:sz w:val="21"/>
                <w:szCs w:val="21"/>
                <w:lang w:bidi="ar"/>
              </w:rPr>
              <w:t>近期1.46，远期</w:t>
            </w: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NH3-N</w:t>
            </w:r>
          </w:p>
        </w:tc>
        <w:tc>
          <w:tcPr>
            <w:tcW w:w="2012" w:type="dxa"/>
            <w:gridSpan w:val="3"/>
            <w:vAlign w:val="center"/>
          </w:tcPr>
          <w:p>
            <w:pPr>
              <w:pStyle w:val="43"/>
            </w:pPr>
            <w:r>
              <w:rPr>
                <w:rFonts w:hint="eastAsia"/>
              </w:rPr>
              <w:t>8</w:t>
            </w:r>
          </w:p>
        </w:tc>
        <w:tc>
          <w:tcPr>
            <w:tcW w:w="1169" w:type="dxa"/>
            <w:vAlign w:val="center"/>
          </w:tcPr>
          <w:p>
            <w:pPr>
              <w:pStyle w:val="43"/>
            </w:pPr>
            <w:r>
              <w:rPr>
                <w:rFonts w:hint="eastAsia"/>
              </w:rPr>
              <w:t>8</w:t>
            </w:r>
          </w:p>
        </w:tc>
        <w:tc>
          <w:tcPr>
            <w:tcW w:w="2737" w:type="dxa"/>
            <w:gridSpan w:val="2"/>
            <w:vAlign w:val="center"/>
          </w:tcPr>
          <w:p>
            <w:pPr>
              <w:widowControl/>
              <w:jc w:val="center"/>
              <w:textAlignment w:val="center"/>
              <w:rPr>
                <w:sz w:val="21"/>
                <w:szCs w:val="21"/>
              </w:rPr>
            </w:pPr>
            <w:r>
              <w:rPr>
                <w:rFonts w:hint="eastAsia"/>
                <w:color w:val="000000"/>
                <w:kern w:val="0"/>
                <w:sz w:val="21"/>
                <w:szCs w:val="21"/>
                <w:lang w:bidi="ar"/>
              </w:rPr>
              <w:t>近期0.584，远期</w:t>
            </w:r>
            <w:r>
              <w:rPr>
                <w:color w:val="000000"/>
                <w:kern w:val="0"/>
                <w:sz w:val="21"/>
                <w:szCs w:val="21"/>
                <w:lang w:bidi="ar"/>
              </w:rPr>
              <w:t>1.1</w:t>
            </w:r>
            <w:r>
              <w:rPr>
                <w:rFonts w:hint="eastAsia"/>
                <w:color w:val="000000"/>
                <w:kern w:val="0"/>
                <w:sz w:val="21"/>
                <w:szCs w:val="21"/>
                <w:lang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TN</w:t>
            </w:r>
          </w:p>
        </w:tc>
        <w:tc>
          <w:tcPr>
            <w:tcW w:w="2012" w:type="dxa"/>
            <w:gridSpan w:val="3"/>
            <w:vAlign w:val="center"/>
          </w:tcPr>
          <w:p>
            <w:pPr>
              <w:pStyle w:val="43"/>
            </w:pPr>
            <w:r>
              <w:rPr>
                <w:rFonts w:hint="eastAsia"/>
              </w:rPr>
              <w:t>20</w:t>
            </w:r>
          </w:p>
        </w:tc>
        <w:tc>
          <w:tcPr>
            <w:tcW w:w="1169" w:type="dxa"/>
            <w:vAlign w:val="center"/>
          </w:tcPr>
          <w:p>
            <w:pPr>
              <w:pStyle w:val="43"/>
            </w:pPr>
            <w:r>
              <w:rPr>
                <w:rFonts w:hint="eastAsia"/>
              </w:rPr>
              <w:t>20</w:t>
            </w:r>
          </w:p>
        </w:tc>
        <w:tc>
          <w:tcPr>
            <w:tcW w:w="2737" w:type="dxa"/>
            <w:gridSpan w:val="2"/>
            <w:vAlign w:val="center"/>
          </w:tcPr>
          <w:p>
            <w:pPr>
              <w:widowControl/>
              <w:jc w:val="center"/>
              <w:textAlignment w:val="center"/>
              <w:rPr>
                <w:sz w:val="21"/>
                <w:szCs w:val="21"/>
              </w:rPr>
            </w:pPr>
            <w:r>
              <w:rPr>
                <w:rFonts w:hint="eastAsia"/>
                <w:color w:val="000000"/>
                <w:kern w:val="0"/>
                <w:sz w:val="21"/>
                <w:szCs w:val="21"/>
                <w:lang w:bidi="ar"/>
              </w:rPr>
              <w:t>近期1.46，远期</w:t>
            </w: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TP</w:t>
            </w:r>
          </w:p>
        </w:tc>
        <w:tc>
          <w:tcPr>
            <w:tcW w:w="2012" w:type="dxa"/>
            <w:gridSpan w:val="3"/>
            <w:vAlign w:val="center"/>
          </w:tcPr>
          <w:p>
            <w:pPr>
              <w:pStyle w:val="43"/>
            </w:pPr>
            <w:r>
              <w:rPr>
                <w:rFonts w:hint="eastAsia"/>
              </w:rPr>
              <w:t>1</w:t>
            </w:r>
          </w:p>
        </w:tc>
        <w:tc>
          <w:tcPr>
            <w:tcW w:w="1169" w:type="dxa"/>
            <w:vAlign w:val="center"/>
          </w:tcPr>
          <w:p>
            <w:pPr>
              <w:pStyle w:val="43"/>
            </w:pPr>
            <w:r>
              <w:rPr>
                <w:rFonts w:hint="eastAsia"/>
              </w:rPr>
              <w:t>1</w:t>
            </w:r>
          </w:p>
        </w:tc>
        <w:tc>
          <w:tcPr>
            <w:tcW w:w="2737" w:type="dxa"/>
            <w:gridSpan w:val="2"/>
            <w:vAlign w:val="center"/>
          </w:tcPr>
          <w:p>
            <w:pPr>
              <w:widowControl/>
              <w:jc w:val="center"/>
              <w:textAlignment w:val="center"/>
              <w:rPr>
                <w:sz w:val="21"/>
                <w:szCs w:val="21"/>
              </w:rPr>
            </w:pPr>
            <w:r>
              <w:rPr>
                <w:rFonts w:hint="eastAsia"/>
                <w:color w:val="000000"/>
                <w:kern w:val="0"/>
                <w:sz w:val="21"/>
                <w:szCs w:val="21"/>
                <w:lang w:bidi="ar"/>
              </w:rPr>
              <w:t>近期0.07，远期</w:t>
            </w:r>
            <w:r>
              <w:rPr>
                <w:color w:val="000000"/>
                <w:kern w:val="0"/>
                <w:sz w:val="21"/>
                <w:szCs w:val="21"/>
                <w:lang w:bidi="ar"/>
              </w:rPr>
              <w:t>0.1</w:t>
            </w:r>
            <w:r>
              <w:rPr>
                <w:rFonts w:hint="eastAsia"/>
                <w:color w:val="000000"/>
                <w:kern w:val="0"/>
                <w:sz w:val="21"/>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计量设施安装状况</w:t>
            </w:r>
          </w:p>
        </w:tc>
        <w:tc>
          <w:tcPr>
            <w:tcW w:w="7857" w:type="dxa"/>
            <w:gridSpan w:val="8"/>
            <w:vAlign w:val="center"/>
          </w:tcPr>
          <w:p>
            <w:pPr>
              <w:pStyle w:val="43"/>
            </w:pPr>
            <w:r>
              <w:rPr>
                <w:rFonts w:hint="eastAsia"/>
              </w:rPr>
              <w:t xml:space="preserve">废污水计量设施（ </w:t>
            </w:r>
            <w:r>
              <w:t>√</w:t>
            </w:r>
            <w:r>
              <w:rPr>
                <w:rFonts w:hint="eastAsia"/>
              </w:rPr>
              <w:t xml:space="preserve">  ）   水质在线监测设施（</w:t>
            </w:r>
            <w:r>
              <w:t>√</w:t>
            </w:r>
            <w:r>
              <w:rPr>
                <w:rFonts w:hint="eastAsi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污水性质</w:t>
            </w:r>
          </w:p>
        </w:tc>
        <w:tc>
          <w:tcPr>
            <w:tcW w:w="7857" w:type="dxa"/>
            <w:gridSpan w:val="8"/>
            <w:vAlign w:val="center"/>
          </w:tcPr>
          <w:p>
            <w:pPr>
              <w:pStyle w:val="43"/>
            </w:pPr>
            <w:r>
              <w:rPr>
                <w:rFonts w:hint="eastAsia"/>
              </w:rPr>
              <w:t>工业（  ）  生活（   ）  混合（ √ ）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废污水入河方式</w:t>
            </w:r>
          </w:p>
        </w:tc>
        <w:tc>
          <w:tcPr>
            <w:tcW w:w="7857" w:type="dxa"/>
            <w:gridSpan w:val="8"/>
            <w:vAlign w:val="center"/>
          </w:tcPr>
          <w:p>
            <w:pPr>
              <w:pStyle w:val="43"/>
            </w:pPr>
            <w:r>
              <w:rPr>
                <w:rFonts w:hint="eastAsia"/>
              </w:rPr>
              <w:t xml:space="preserve">管道（ </w:t>
            </w:r>
            <w:r>
              <w:t>√</w:t>
            </w:r>
            <w:r>
              <w:rPr>
                <w:rFonts w:hint="eastAsia"/>
              </w:rPr>
              <w:t xml:space="preserve"> ）      明渠（  ）      涵闸（   ）</w:t>
            </w:r>
          </w:p>
          <w:p>
            <w:pPr>
              <w:pStyle w:val="43"/>
            </w:pPr>
            <w:r>
              <w:rPr>
                <w:rFonts w:hint="eastAsia"/>
              </w:rPr>
              <w:t>阴沟（   ）      干沟（   ）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废污水排放方式</w:t>
            </w:r>
          </w:p>
        </w:tc>
        <w:tc>
          <w:tcPr>
            <w:tcW w:w="7857" w:type="dxa"/>
            <w:gridSpan w:val="8"/>
            <w:vAlign w:val="center"/>
          </w:tcPr>
          <w:p>
            <w:pPr>
              <w:pStyle w:val="43"/>
            </w:pPr>
            <w:r>
              <w:rPr>
                <w:rFonts w:hint="eastAsia"/>
              </w:rPr>
              <w:t>连续（</w:t>
            </w:r>
            <w:r>
              <w:t>√</w:t>
            </w:r>
            <w:r>
              <w:rPr>
                <w:rFonts w:hint="eastAsia"/>
              </w:rPr>
              <w:t xml:space="preserve"> </w:t>
            </w:r>
            <w:r>
              <w:t xml:space="preserve"> </w:t>
            </w:r>
            <w:r>
              <w:rPr>
                <w:rFonts w:hint="eastAsia"/>
              </w:rPr>
              <w:t>）</w:t>
            </w:r>
            <w:r>
              <w:t xml:space="preserve">      </w:t>
            </w:r>
            <w:r>
              <w:rPr>
                <w:rFonts w:hint="eastAsia"/>
              </w:rPr>
              <w:t>间歇（</w:t>
            </w:r>
            <w:r>
              <w:t xml:space="preserve">  </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Align w:val="center"/>
          </w:tcPr>
          <w:p>
            <w:pPr>
              <w:pStyle w:val="43"/>
            </w:pPr>
            <w:r>
              <w:rPr>
                <w:rFonts w:hint="eastAsia"/>
              </w:rPr>
              <w:t>排污河道、排污口平面位置示意图</w:t>
            </w:r>
          </w:p>
        </w:tc>
        <w:tc>
          <w:tcPr>
            <w:tcW w:w="9974" w:type="dxa"/>
            <w:gridSpan w:val="11"/>
            <w:vAlign w:val="center"/>
          </w:tcPr>
          <w:p>
            <w:pPr>
              <w:pStyle w:val="43"/>
            </w:pPr>
            <w:r>
              <w:drawing>
                <wp:inline distT="0" distB="0" distL="0" distR="0">
                  <wp:extent cx="6196330" cy="3538220"/>
                  <wp:effectExtent l="0" t="0" r="0" b="5080"/>
                  <wp:docPr id="1600462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62693" name="图片 1"/>
                          <pic:cNvPicPr>
                            <a:picLocks noChangeAspect="1"/>
                          </pic:cNvPicPr>
                        </pic:nvPicPr>
                        <pic:blipFill>
                          <a:blip r:embed="rId5"/>
                          <a:stretch>
                            <a:fillRect/>
                          </a:stretch>
                        </pic:blipFill>
                        <pic:spPr>
                          <a:xfrm>
                            <a:off x="0" y="0"/>
                            <a:ext cx="6202425" cy="354178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3"/>
            </w:pPr>
            <w:r>
              <w:t>退</w:t>
            </w:r>
          </w:p>
          <w:p>
            <w:pPr>
              <w:pStyle w:val="43"/>
            </w:pPr>
            <w:r>
              <w:t>水</w:t>
            </w:r>
          </w:p>
          <w:p>
            <w:pPr>
              <w:pStyle w:val="43"/>
            </w:pPr>
            <w:r>
              <w:rPr>
                <w:rFonts w:hint="eastAsia"/>
              </w:rPr>
              <w:t>及</w:t>
            </w:r>
          </w:p>
          <w:p>
            <w:pPr>
              <w:pStyle w:val="43"/>
            </w:pPr>
            <w:r>
              <w:rPr>
                <w:rFonts w:hint="eastAsia"/>
              </w:rPr>
              <w:t>影</w:t>
            </w:r>
          </w:p>
          <w:p>
            <w:pPr>
              <w:pStyle w:val="43"/>
            </w:pPr>
            <w:r>
              <w:rPr>
                <w:rFonts w:hint="eastAsia"/>
              </w:rPr>
              <w:t>响</w:t>
            </w:r>
          </w:p>
        </w:tc>
        <w:tc>
          <w:tcPr>
            <w:tcW w:w="2117" w:type="dxa"/>
            <w:gridSpan w:val="3"/>
            <w:vAlign w:val="center"/>
          </w:tcPr>
          <w:p>
            <w:pPr>
              <w:pStyle w:val="43"/>
            </w:pPr>
            <w:r>
              <w:rPr>
                <w:rFonts w:hint="eastAsia"/>
              </w:rPr>
              <w:t>废污水</w:t>
            </w:r>
            <w:r>
              <w:t>是否经过处理</w:t>
            </w:r>
          </w:p>
        </w:tc>
        <w:tc>
          <w:tcPr>
            <w:tcW w:w="7857" w:type="dxa"/>
            <w:gridSpan w:val="8"/>
            <w:vAlign w:val="center"/>
          </w:tcPr>
          <w:p>
            <w:pPr>
              <w:pStyle w:val="43"/>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废污水处理</w:t>
            </w:r>
            <w:r>
              <w:t>方式及处理工艺</w:t>
            </w:r>
          </w:p>
        </w:tc>
        <w:tc>
          <w:tcPr>
            <w:tcW w:w="7857" w:type="dxa"/>
            <w:gridSpan w:val="8"/>
            <w:vAlign w:val="center"/>
          </w:tcPr>
          <w:p>
            <w:pPr>
              <w:pStyle w:val="43"/>
            </w:pPr>
            <w:r>
              <w:rPr>
                <w:rFonts w:hint="eastAsia"/>
              </w:rPr>
              <w:t>污水处理工艺均为“组合池+一体化污水处理站”，其中一体化污水处理站工艺采用A</w:t>
            </w:r>
            <w:r>
              <w:rPr>
                <w:rFonts w:hint="eastAsia"/>
                <w:vertAlign w:val="superscript"/>
              </w:rPr>
              <w:t>2</w:t>
            </w:r>
            <w:r>
              <w:rPr>
                <w:rFonts w:hint="eastAsia"/>
              </w:rPr>
              <w:t>/O工艺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restart"/>
            <w:vAlign w:val="center"/>
          </w:tcPr>
          <w:p>
            <w:pPr>
              <w:pStyle w:val="43"/>
            </w:pPr>
            <w:r>
              <w:rPr>
                <w:rFonts w:hint="eastAsia"/>
              </w:rPr>
              <w:t>排放</w:t>
            </w:r>
          </w:p>
          <w:p>
            <w:pPr>
              <w:pStyle w:val="43"/>
            </w:pPr>
            <w:r>
              <w:t>浓度</w:t>
            </w:r>
            <w:r>
              <w:rPr>
                <w:rFonts w:hint="eastAsia"/>
              </w:rPr>
              <w:t>及排放量</w:t>
            </w:r>
          </w:p>
        </w:tc>
        <w:tc>
          <w:tcPr>
            <w:tcW w:w="1939" w:type="dxa"/>
            <w:gridSpan w:val="2"/>
            <w:vAlign w:val="center"/>
          </w:tcPr>
          <w:p>
            <w:pPr>
              <w:pStyle w:val="43"/>
            </w:pPr>
            <w:r>
              <w:t>项</w:t>
            </w:r>
            <w:r>
              <w:rPr>
                <w:rFonts w:hint="eastAsia"/>
              </w:rPr>
              <w:t xml:space="preserve">  </w:t>
            </w:r>
            <w:r>
              <w:t>目</w:t>
            </w:r>
          </w:p>
        </w:tc>
        <w:tc>
          <w:tcPr>
            <w:tcW w:w="3181" w:type="dxa"/>
            <w:gridSpan w:val="4"/>
            <w:vAlign w:val="center"/>
          </w:tcPr>
          <w:p>
            <w:pPr>
              <w:pStyle w:val="43"/>
            </w:pPr>
            <w:r>
              <w:rPr>
                <w:rFonts w:hint="eastAsia"/>
              </w:rPr>
              <w:t>排放</w:t>
            </w:r>
            <w:r>
              <w:t>浓度</w:t>
            </w:r>
            <w:r>
              <w:rPr>
                <w:rFonts w:hint="eastAsia"/>
              </w:rPr>
              <w:t>（mg/l）</w:t>
            </w:r>
          </w:p>
        </w:tc>
        <w:tc>
          <w:tcPr>
            <w:tcW w:w="2737" w:type="dxa"/>
            <w:gridSpan w:val="2"/>
            <w:vAlign w:val="center"/>
          </w:tcPr>
          <w:p>
            <w:pPr>
              <w:pStyle w:val="43"/>
            </w:pPr>
            <w:r>
              <w:rPr>
                <w:rFonts w:hint="eastAsia"/>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CODcr</w:t>
            </w:r>
          </w:p>
        </w:tc>
        <w:tc>
          <w:tcPr>
            <w:tcW w:w="3181" w:type="dxa"/>
            <w:gridSpan w:val="4"/>
            <w:vAlign w:val="center"/>
          </w:tcPr>
          <w:p>
            <w:pPr>
              <w:pStyle w:val="43"/>
            </w:pPr>
            <w:r>
              <w:rPr>
                <w:rFonts w:hint="eastAsia"/>
              </w:rPr>
              <w:t>6</w:t>
            </w:r>
            <w:r>
              <w:t>0</w:t>
            </w:r>
          </w:p>
        </w:tc>
        <w:tc>
          <w:tcPr>
            <w:tcW w:w="2737" w:type="dxa"/>
            <w:gridSpan w:val="2"/>
            <w:vAlign w:val="center"/>
          </w:tcPr>
          <w:p>
            <w:pPr>
              <w:widowControl/>
              <w:jc w:val="center"/>
              <w:textAlignment w:val="center"/>
            </w:pPr>
            <w:r>
              <w:rPr>
                <w:rFonts w:hint="eastAsia"/>
                <w:color w:val="000000"/>
                <w:kern w:val="0"/>
                <w:sz w:val="21"/>
                <w:szCs w:val="21"/>
                <w:lang w:bidi="ar"/>
              </w:rPr>
              <w:t>近期4.38，远期</w:t>
            </w:r>
            <w:r>
              <w:rPr>
                <w:color w:val="000000"/>
                <w:kern w:val="0"/>
                <w:sz w:val="21"/>
                <w:szCs w:val="21"/>
                <w:lang w:bidi="ar"/>
              </w:rPr>
              <w:t>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BOD</w:t>
            </w:r>
            <w:r>
              <w:rPr>
                <w:vertAlign w:val="subscript"/>
              </w:rPr>
              <w:t>5</w:t>
            </w:r>
          </w:p>
        </w:tc>
        <w:tc>
          <w:tcPr>
            <w:tcW w:w="3181" w:type="dxa"/>
            <w:gridSpan w:val="4"/>
            <w:vAlign w:val="center"/>
          </w:tcPr>
          <w:p>
            <w:pPr>
              <w:pStyle w:val="43"/>
            </w:pPr>
            <w:r>
              <w:rPr>
                <w:rFonts w:hint="eastAsia"/>
              </w:rPr>
              <w:t>2</w:t>
            </w:r>
            <w:r>
              <w:t>0</w:t>
            </w:r>
          </w:p>
        </w:tc>
        <w:tc>
          <w:tcPr>
            <w:tcW w:w="2737" w:type="dxa"/>
            <w:gridSpan w:val="2"/>
            <w:vAlign w:val="center"/>
          </w:tcPr>
          <w:p>
            <w:pPr>
              <w:widowControl/>
              <w:jc w:val="center"/>
              <w:textAlignment w:val="center"/>
            </w:pPr>
            <w:r>
              <w:rPr>
                <w:rFonts w:hint="eastAsia"/>
                <w:color w:val="000000"/>
                <w:kern w:val="0"/>
                <w:sz w:val="21"/>
                <w:szCs w:val="21"/>
                <w:lang w:bidi="ar"/>
              </w:rPr>
              <w:t>近期1.46，远期</w:t>
            </w: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SS</w:t>
            </w:r>
          </w:p>
        </w:tc>
        <w:tc>
          <w:tcPr>
            <w:tcW w:w="3181" w:type="dxa"/>
            <w:gridSpan w:val="4"/>
            <w:vAlign w:val="center"/>
          </w:tcPr>
          <w:p>
            <w:pPr>
              <w:pStyle w:val="43"/>
            </w:pPr>
            <w:r>
              <w:rPr>
                <w:rFonts w:hint="eastAsia"/>
              </w:rPr>
              <w:t>2</w:t>
            </w:r>
            <w:r>
              <w:t>0</w:t>
            </w:r>
          </w:p>
        </w:tc>
        <w:tc>
          <w:tcPr>
            <w:tcW w:w="2737" w:type="dxa"/>
            <w:gridSpan w:val="2"/>
            <w:vAlign w:val="center"/>
          </w:tcPr>
          <w:p>
            <w:pPr>
              <w:widowControl/>
              <w:jc w:val="center"/>
              <w:textAlignment w:val="center"/>
            </w:pPr>
            <w:r>
              <w:rPr>
                <w:rFonts w:hint="eastAsia"/>
                <w:color w:val="000000"/>
                <w:kern w:val="0"/>
                <w:sz w:val="21"/>
                <w:szCs w:val="21"/>
                <w:lang w:bidi="ar"/>
              </w:rPr>
              <w:t>近期1.46，远期</w:t>
            </w: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NH</w:t>
            </w:r>
            <w:r>
              <w:rPr>
                <w:vertAlign w:val="subscript"/>
              </w:rPr>
              <w:t>3</w:t>
            </w:r>
            <w:r>
              <w:t>-N</w:t>
            </w:r>
          </w:p>
        </w:tc>
        <w:tc>
          <w:tcPr>
            <w:tcW w:w="3181" w:type="dxa"/>
            <w:gridSpan w:val="4"/>
            <w:vAlign w:val="center"/>
          </w:tcPr>
          <w:p>
            <w:pPr>
              <w:pStyle w:val="43"/>
            </w:pPr>
            <w:r>
              <w:rPr>
                <w:rFonts w:hint="eastAsia"/>
              </w:rPr>
              <w:t>8</w:t>
            </w:r>
          </w:p>
        </w:tc>
        <w:tc>
          <w:tcPr>
            <w:tcW w:w="2737" w:type="dxa"/>
            <w:gridSpan w:val="2"/>
            <w:vAlign w:val="center"/>
          </w:tcPr>
          <w:p>
            <w:pPr>
              <w:widowControl/>
              <w:jc w:val="center"/>
              <w:textAlignment w:val="center"/>
            </w:pPr>
            <w:r>
              <w:rPr>
                <w:rFonts w:hint="eastAsia"/>
                <w:color w:val="000000"/>
                <w:kern w:val="0"/>
                <w:sz w:val="21"/>
                <w:szCs w:val="21"/>
                <w:lang w:bidi="ar"/>
              </w:rPr>
              <w:t>近期0.58，远期</w:t>
            </w:r>
            <w:r>
              <w:rPr>
                <w:color w:val="000000"/>
                <w:kern w:val="0"/>
                <w:sz w:val="21"/>
                <w:szCs w:val="21"/>
                <w:lang w:bidi="ar"/>
              </w:rPr>
              <w:t>1.1</w:t>
            </w:r>
            <w:r>
              <w:rPr>
                <w:rFonts w:hint="eastAsia"/>
                <w:color w:val="000000"/>
                <w:kern w:val="0"/>
                <w:sz w:val="21"/>
                <w:szCs w:val="21"/>
                <w:lang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TN</w:t>
            </w:r>
          </w:p>
        </w:tc>
        <w:tc>
          <w:tcPr>
            <w:tcW w:w="3181" w:type="dxa"/>
            <w:gridSpan w:val="4"/>
            <w:vAlign w:val="center"/>
          </w:tcPr>
          <w:p>
            <w:pPr>
              <w:pStyle w:val="43"/>
            </w:pPr>
            <w:r>
              <w:rPr>
                <w:rFonts w:hint="eastAsia"/>
              </w:rPr>
              <w:t>20</w:t>
            </w:r>
          </w:p>
        </w:tc>
        <w:tc>
          <w:tcPr>
            <w:tcW w:w="2737" w:type="dxa"/>
            <w:gridSpan w:val="2"/>
            <w:vAlign w:val="center"/>
          </w:tcPr>
          <w:p>
            <w:pPr>
              <w:widowControl/>
              <w:jc w:val="center"/>
              <w:textAlignment w:val="center"/>
            </w:pPr>
            <w:r>
              <w:rPr>
                <w:rFonts w:hint="eastAsia"/>
                <w:color w:val="000000"/>
                <w:kern w:val="0"/>
                <w:sz w:val="21"/>
                <w:szCs w:val="21"/>
                <w:lang w:bidi="ar"/>
              </w:rPr>
              <w:t>近期1.46，远期</w:t>
            </w: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1939" w:type="dxa"/>
            <w:gridSpan w:val="2"/>
            <w:vAlign w:val="center"/>
          </w:tcPr>
          <w:p>
            <w:pPr>
              <w:pStyle w:val="43"/>
            </w:pPr>
            <w:r>
              <w:t>TP</w:t>
            </w:r>
          </w:p>
        </w:tc>
        <w:tc>
          <w:tcPr>
            <w:tcW w:w="3181" w:type="dxa"/>
            <w:gridSpan w:val="4"/>
            <w:vAlign w:val="center"/>
          </w:tcPr>
          <w:p>
            <w:pPr>
              <w:pStyle w:val="43"/>
            </w:pPr>
            <w:r>
              <w:rPr>
                <w:rFonts w:hint="eastAsia"/>
              </w:rPr>
              <w:t>1</w:t>
            </w:r>
          </w:p>
        </w:tc>
        <w:tc>
          <w:tcPr>
            <w:tcW w:w="2737" w:type="dxa"/>
            <w:gridSpan w:val="2"/>
            <w:vAlign w:val="center"/>
          </w:tcPr>
          <w:p>
            <w:pPr>
              <w:widowControl/>
              <w:jc w:val="center"/>
              <w:textAlignment w:val="center"/>
            </w:pPr>
            <w:r>
              <w:rPr>
                <w:rFonts w:hint="eastAsia"/>
                <w:color w:val="000000"/>
                <w:kern w:val="0"/>
                <w:sz w:val="21"/>
                <w:szCs w:val="21"/>
                <w:lang w:bidi="ar"/>
              </w:rPr>
              <w:t>近期0.07，远期</w:t>
            </w:r>
            <w:r>
              <w:rPr>
                <w:color w:val="000000"/>
                <w:kern w:val="0"/>
                <w:sz w:val="21"/>
                <w:szCs w:val="21"/>
                <w:lang w:bidi="ar"/>
              </w:rPr>
              <w:t>0.1</w:t>
            </w:r>
            <w:r>
              <w:rPr>
                <w:rFonts w:hint="eastAsia"/>
                <w:color w:val="000000"/>
                <w:kern w:val="0"/>
                <w:sz w:val="21"/>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水文、水质数据三性检查</w:t>
            </w:r>
          </w:p>
        </w:tc>
        <w:tc>
          <w:tcPr>
            <w:tcW w:w="7857" w:type="dxa"/>
            <w:gridSpan w:val="8"/>
            <w:vAlign w:val="center"/>
          </w:tcPr>
          <w:p>
            <w:pPr>
              <w:pStyle w:val="43"/>
            </w:pPr>
            <w:r>
              <w:rPr>
                <w:rFonts w:hint="eastAsia"/>
              </w:rPr>
              <w:t>数据引用于通过专家评审的环评报告，且根据现场实际情况进行复核，可靠、一致、具有代表性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水污染物输移时间及混合区实验情况</w:t>
            </w:r>
          </w:p>
        </w:tc>
        <w:tc>
          <w:tcPr>
            <w:tcW w:w="7857" w:type="dxa"/>
            <w:gridSpan w:val="8"/>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水生态调查及污水急性毒性试验情况</w:t>
            </w:r>
          </w:p>
        </w:tc>
        <w:tc>
          <w:tcPr>
            <w:tcW w:w="7857" w:type="dxa"/>
            <w:gridSpan w:val="8"/>
            <w:vAlign w:val="center"/>
          </w:tcPr>
          <w:p>
            <w:pPr>
              <w:pStyle w:val="43"/>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设计水文条件选取及计算方法，拟入河废污水、纳污水体水污染物浓度可能最大值计算方法，水质模型选取</w:t>
            </w:r>
          </w:p>
        </w:tc>
        <w:tc>
          <w:tcPr>
            <w:tcW w:w="7857" w:type="dxa"/>
            <w:gridSpan w:val="8"/>
            <w:vAlign w:val="center"/>
          </w:tcPr>
          <w:p>
            <w:pPr>
              <w:pStyle w:val="43"/>
            </w:pPr>
            <w:r>
              <w:rPr>
                <w:rFonts w:hint="eastAsia"/>
              </w:rPr>
              <w:t>纳污水体浓度，</w:t>
            </w:r>
            <w:r>
              <w:t>水域纳污能力计算按规范采用</w:t>
            </w:r>
            <w:r>
              <w:rPr>
                <w:rFonts w:hint="eastAsia"/>
              </w:rPr>
              <w:t>河流一维模型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排入</w:t>
            </w:r>
            <w:r>
              <w:t>水功能区及水质目标</w:t>
            </w:r>
          </w:p>
        </w:tc>
        <w:tc>
          <w:tcPr>
            <w:tcW w:w="7857" w:type="dxa"/>
            <w:gridSpan w:val="8"/>
            <w:vAlign w:val="center"/>
          </w:tcPr>
          <w:p>
            <w:pPr>
              <w:pStyle w:val="43"/>
            </w:pPr>
            <w:r>
              <w:rPr>
                <w:rFonts w:hint="eastAsia"/>
              </w:rPr>
              <w:t>根据《湖南省主要地表水系水环境功能区划》（DB43/023-2005）可知，白河的花尾乡老龙潭至归阳状元桥水域（87km）为渔业用水区，水质目标为《地表水环境质量标准》</w:t>
            </w:r>
            <w:r>
              <w:t>（GB3838-2002) Ⅲ</w:t>
            </w:r>
            <w:r>
              <w:rPr>
                <w:rFonts w:hint="eastAsia"/>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t>对水功能区水质影响</w:t>
            </w:r>
          </w:p>
        </w:tc>
        <w:tc>
          <w:tcPr>
            <w:tcW w:w="7857" w:type="dxa"/>
            <w:gridSpan w:val="8"/>
            <w:vAlign w:val="center"/>
          </w:tcPr>
          <w:p>
            <w:pPr>
              <w:pStyle w:val="43"/>
            </w:pPr>
            <w:r>
              <w:rPr>
                <w:rFonts w:hint="eastAsia"/>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rPr>
                <w:lang w:val="fr-FR"/>
              </w:rPr>
            </w:pPr>
          </w:p>
        </w:tc>
        <w:tc>
          <w:tcPr>
            <w:tcW w:w="2117" w:type="dxa"/>
            <w:gridSpan w:val="3"/>
            <w:vAlign w:val="center"/>
          </w:tcPr>
          <w:p>
            <w:pPr>
              <w:pStyle w:val="43"/>
            </w:pPr>
            <w:r>
              <w:t>是否满足水功能区要求</w:t>
            </w:r>
          </w:p>
        </w:tc>
        <w:tc>
          <w:tcPr>
            <w:tcW w:w="7857" w:type="dxa"/>
            <w:gridSpan w:val="8"/>
            <w:vAlign w:val="center"/>
          </w:tcPr>
          <w:p>
            <w:pPr>
              <w:pStyle w:val="43"/>
            </w:pPr>
            <w:r>
              <w:rPr>
                <w:rFonts w:hint="eastAsia"/>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t>对下游</w:t>
            </w:r>
            <w:r>
              <w:rPr>
                <w:rFonts w:hint="eastAsia"/>
              </w:rPr>
              <w:t>取水及生态敏感点</w:t>
            </w:r>
            <w:r>
              <w:t>的影响</w:t>
            </w:r>
          </w:p>
        </w:tc>
        <w:tc>
          <w:tcPr>
            <w:tcW w:w="7857" w:type="dxa"/>
            <w:gridSpan w:val="8"/>
            <w:vAlign w:val="center"/>
          </w:tcPr>
          <w:p>
            <w:pPr>
              <w:pStyle w:val="43"/>
            </w:pPr>
            <w:r>
              <w:rPr>
                <w:rFonts w:hint="eastAsia"/>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对</w:t>
            </w:r>
            <w:r>
              <w:t>重要第三方</w:t>
            </w:r>
            <w:r>
              <w:rPr>
                <w:rFonts w:hint="eastAsia"/>
              </w:rPr>
              <w:t>的影响</w:t>
            </w:r>
          </w:p>
        </w:tc>
        <w:tc>
          <w:tcPr>
            <w:tcW w:w="7857" w:type="dxa"/>
            <w:gridSpan w:val="8"/>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3"/>
            </w:pPr>
            <w:r>
              <w:t>水资</w:t>
            </w:r>
          </w:p>
          <w:p>
            <w:pPr>
              <w:pStyle w:val="43"/>
            </w:pPr>
            <w:r>
              <w:t>源保</w:t>
            </w:r>
          </w:p>
          <w:p>
            <w:pPr>
              <w:pStyle w:val="43"/>
            </w:pPr>
            <w:r>
              <w:t>护措</w:t>
            </w:r>
          </w:p>
          <w:p>
            <w:pPr>
              <w:pStyle w:val="43"/>
            </w:pPr>
            <w:r>
              <w:t>施</w:t>
            </w:r>
          </w:p>
        </w:tc>
        <w:tc>
          <w:tcPr>
            <w:tcW w:w="2117" w:type="dxa"/>
            <w:gridSpan w:val="3"/>
            <w:vAlign w:val="center"/>
          </w:tcPr>
          <w:p>
            <w:pPr>
              <w:pStyle w:val="43"/>
            </w:pPr>
            <w:r>
              <w:t>管理措施</w:t>
            </w:r>
          </w:p>
        </w:tc>
        <w:tc>
          <w:tcPr>
            <w:tcW w:w="7857" w:type="dxa"/>
            <w:gridSpan w:val="8"/>
            <w:vAlign w:val="center"/>
          </w:tcPr>
          <w:p>
            <w:pPr>
              <w:pStyle w:val="43"/>
            </w:pPr>
            <w:r>
              <w:t>（1）严格执行《</w:t>
            </w:r>
            <w:r>
              <w:rPr>
                <w:rFonts w:hint="eastAsia"/>
                <w:lang w:eastAsia="zh-CN"/>
              </w:rPr>
              <w:t>排污许可管理条例</w:t>
            </w:r>
            <w:r>
              <w:t>》，坚持依法排污，并按规定缴纳排污费，环境保护行政主管部门应定期将持证排污者主要污染物排放情况向社会公布，接受公众监督；</w:t>
            </w:r>
          </w:p>
          <w:p>
            <w:pPr>
              <w:pStyle w:val="43"/>
            </w:pPr>
            <w:r>
              <w:t>（2）严格按项目环评及批复的相关要求，执行和落实保护措施及补偿措施。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t>技术措施</w:t>
            </w:r>
          </w:p>
        </w:tc>
        <w:tc>
          <w:tcPr>
            <w:tcW w:w="7857" w:type="dxa"/>
            <w:gridSpan w:val="8"/>
            <w:vAlign w:val="center"/>
          </w:tcPr>
          <w:p>
            <w:pPr>
              <w:pStyle w:val="43"/>
            </w:pPr>
            <w:r>
              <w:t>污水排放浓度执行《城镇污水处理厂污染物排放标准》（GB18918-2002）中一级</w:t>
            </w:r>
            <w:r>
              <w:rPr>
                <w:rFonts w:hint="eastAsia"/>
              </w:rPr>
              <w:t>B</w:t>
            </w:r>
            <w:r>
              <w:t>标准</w:t>
            </w:r>
            <w:r>
              <w:rPr>
                <w:rFonts w:hint="eastAsia"/>
              </w:rPr>
              <w:t>（河流总氮不考核）</w:t>
            </w:r>
            <w:r>
              <w:t>，排污口设置在线监测装置。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污染物总量控制意见</w:t>
            </w:r>
          </w:p>
        </w:tc>
        <w:tc>
          <w:tcPr>
            <w:tcW w:w="7857" w:type="dxa"/>
            <w:gridSpan w:val="8"/>
            <w:vAlign w:val="center"/>
          </w:tcPr>
          <w:p>
            <w:pPr>
              <w:pStyle w:val="43"/>
            </w:pPr>
            <w:r>
              <w:t>CODcr</w:t>
            </w:r>
            <w:r>
              <w:rPr>
                <w:rFonts w:hint="eastAsia"/>
                <w:lang w:bidi="ar"/>
              </w:rPr>
              <w:t>近期4.38t/a，远期</w:t>
            </w:r>
            <w:r>
              <w:rPr>
                <w:lang w:bidi="ar"/>
              </w:rPr>
              <w:t>8.76</w:t>
            </w:r>
            <w:r>
              <w:rPr>
                <w:rFonts w:hint="eastAsia"/>
                <w:lang w:bidi="ar"/>
              </w:rPr>
              <w:t>t/a</w:t>
            </w:r>
            <w:r>
              <w:rPr>
                <w:rFonts w:hint="eastAsia"/>
              </w:rPr>
              <w:t>；</w:t>
            </w:r>
            <w:r>
              <w:t>NH</w:t>
            </w:r>
            <w:r>
              <w:rPr>
                <w:vertAlign w:val="subscript"/>
              </w:rPr>
              <w:t>3</w:t>
            </w:r>
            <w:r>
              <w:t>-N</w:t>
            </w:r>
            <w:r>
              <w:rPr>
                <w:rFonts w:hint="eastAsia"/>
                <w:lang w:bidi="ar"/>
              </w:rPr>
              <w:t>近期0.584t/a，远期</w:t>
            </w:r>
            <w:r>
              <w:rPr>
                <w:lang w:bidi="ar"/>
              </w:rPr>
              <w:t>1.1</w:t>
            </w:r>
            <w:r>
              <w:rPr>
                <w:rFonts w:hint="eastAsia"/>
                <w:lang w:bidi="ar"/>
              </w:rPr>
              <w:t>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36" w:type="dxa"/>
            <w:vMerge w:val="continue"/>
            <w:vAlign w:val="center"/>
          </w:tcPr>
          <w:p>
            <w:pPr>
              <w:pStyle w:val="43"/>
            </w:pPr>
          </w:p>
        </w:tc>
        <w:tc>
          <w:tcPr>
            <w:tcW w:w="2117" w:type="dxa"/>
            <w:gridSpan w:val="3"/>
            <w:vMerge w:val="restart"/>
            <w:vAlign w:val="center"/>
          </w:tcPr>
          <w:p>
            <w:pPr>
              <w:pStyle w:val="43"/>
            </w:pPr>
            <w:r>
              <w:rPr>
                <w:rFonts w:hint="eastAsia"/>
              </w:rPr>
              <w:t>基于水质目标的水污染物排放限值</w:t>
            </w:r>
          </w:p>
        </w:tc>
        <w:tc>
          <w:tcPr>
            <w:tcW w:w="7857" w:type="dxa"/>
            <w:gridSpan w:val="8"/>
            <w:vAlign w:val="center"/>
          </w:tcPr>
          <w:p>
            <w:pPr>
              <w:pStyle w:val="43"/>
            </w:pPr>
            <w:r>
              <w:t>COD≤</w:t>
            </w:r>
            <w:r>
              <w:rPr>
                <w:rFonts w:hint="eastAsia"/>
              </w:rPr>
              <w:t>6</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7857" w:type="dxa"/>
            <w:gridSpan w:val="8"/>
            <w:vAlign w:val="center"/>
          </w:tcPr>
          <w:p>
            <w:pPr>
              <w:pStyle w:val="43"/>
            </w:pPr>
            <w:r>
              <w:t>BOD≤</w:t>
            </w: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7857" w:type="dxa"/>
            <w:gridSpan w:val="8"/>
            <w:vAlign w:val="center"/>
          </w:tcPr>
          <w:p>
            <w:pPr>
              <w:pStyle w:val="43"/>
            </w:pPr>
            <w:r>
              <w:t>SS≤</w:t>
            </w: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7857" w:type="dxa"/>
            <w:gridSpan w:val="8"/>
            <w:vAlign w:val="center"/>
          </w:tcPr>
          <w:p>
            <w:pPr>
              <w:pStyle w:val="43"/>
            </w:pPr>
            <w:r>
              <w:t>NH</w:t>
            </w:r>
            <w:r>
              <w:rPr>
                <w:vertAlign w:val="subscript"/>
              </w:rPr>
              <w:t>3</w:t>
            </w:r>
            <w:r>
              <w:t>-N≤</w:t>
            </w: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7857" w:type="dxa"/>
            <w:gridSpan w:val="8"/>
            <w:vAlign w:val="center"/>
          </w:tcPr>
          <w:p>
            <w:pPr>
              <w:pStyle w:val="43"/>
            </w:pPr>
            <w:r>
              <w:t>TP≤</w:t>
            </w: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636" w:type="dxa"/>
            <w:vMerge w:val="continue"/>
            <w:vAlign w:val="center"/>
          </w:tcPr>
          <w:p>
            <w:pPr>
              <w:pStyle w:val="43"/>
            </w:pPr>
          </w:p>
        </w:tc>
        <w:tc>
          <w:tcPr>
            <w:tcW w:w="2117" w:type="dxa"/>
            <w:gridSpan w:val="3"/>
            <w:vMerge w:val="continue"/>
            <w:vAlign w:val="center"/>
          </w:tcPr>
          <w:p>
            <w:pPr>
              <w:pStyle w:val="43"/>
            </w:pPr>
          </w:p>
        </w:tc>
        <w:tc>
          <w:tcPr>
            <w:tcW w:w="7857" w:type="dxa"/>
            <w:gridSpan w:val="8"/>
            <w:vAlign w:val="center"/>
          </w:tcPr>
          <w:p>
            <w:pPr>
              <w:pStyle w:val="43"/>
            </w:pPr>
            <w:r>
              <w:t>TN≤</w:t>
            </w: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t>污水排放监控</w:t>
            </w:r>
            <w:r>
              <w:rPr>
                <w:rFonts w:hint="eastAsia"/>
              </w:rPr>
              <w:t>要求</w:t>
            </w:r>
          </w:p>
        </w:tc>
        <w:tc>
          <w:tcPr>
            <w:tcW w:w="7857" w:type="dxa"/>
            <w:gridSpan w:val="8"/>
            <w:vAlign w:val="center"/>
          </w:tcPr>
          <w:p>
            <w:pPr>
              <w:pStyle w:val="43"/>
            </w:pPr>
            <w:r>
              <w:rPr>
                <w:rFonts w:hint="eastAsia"/>
              </w:rPr>
              <w:t>在线监测流量、p</w:t>
            </w:r>
            <w:r>
              <w:t>H、CODcr、NH</w:t>
            </w:r>
            <w:r>
              <w:rPr>
                <w:vertAlign w:val="subscript"/>
              </w:rPr>
              <w:t>3</w:t>
            </w:r>
            <w:r>
              <w:t>-N、TN、TP</w:t>
            </w:r>
            <w:r>
              <w:rPr>
                <w:rFonts w:hint="eastAsia"/>
              </w:rPr>
              <w:t>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3"/>
            </w:pPr>
          </w:p>
        </w:tc>
        <w:tc>
          <w:tcPr>
            <w:tcW w:w="2117" w:type="dxa"/>
            <w:gridSpan w:val="3"/>
            <w:vAlign w:val="center"/>
          </w:tcPr>
          <w:p>
            <w:pPr>
              <w:pStyle w:val="43"/>
            </w:pPr>
            <w:r>
              <w:rPr>
                <w:rFonts w:hint="eastAsia"/>
              </w:rPr>
              <w:t>突发水污染事件应急预案</w:t>
            </w:r>
          </w:p>
        </w:tc>
        <w:tc>
          <w:tcPr>
            <w:tcW w:w="7857" w:type="dxa"/>
            <w:gridSpan w:val="8"/>
            <w:vAlign w:val="center"/>
          </w:tcPr>
          <w:p>
            <w:pPr>
              <w:pStyle w:val="43"/>
            </w:pPr>
            <w:r>
              <w:t>制定突发环境事件应急预案</w:t>
            </w:r>
          </w:p>
        </w:tc>
      </w:tr>
    </w:tbl>
    <w:p>
      <w:pPr>
        <w:pStyle w:val="43"/>
        <w:sectPr>
          <w:pgSz w:w="11906" w:h="16838"/>
          <w:pgMar w:top="1440" w:right="1800" w:bottom="1440" w:left="1800" w:header="851" w:footer="992" w:gutter="0"/>
          <w:cols w:space="425" w:num="1"/>
          <w:docGrid w:type="lines" w:linePitch="312" w:charSpace="0"/>
        </w:sectPr>
      </w:pPr>
    </w:p>
    <w:sdt>
      <w:sdtPr>
        <w:rPr>
          <w:rFonts w:ascii="Times New Roman" w:hAnsi="Times New Roman" w:eastAsia="宋体" w:cs="Times New Roman"/>
          <w:color w:val="auto"/>
          <w:kern w:val="2"/>
          <w:sz w:val="20"/>
          <w:szCs w:val="20"/>
          <w:lang w:val="zh-CN"/>
        </w:rPr>
        <w:id w:val="61457794"/>
        <w:docPartObj>
          <w:docPartGallery w:val="Table of Contents"/>
          <w:docPartUnique/>
        </w:docPartObj>
      </w:sdtPr>
      <w:sdtEndPr>
        <w:rPr>
          <w:rFonts w:ascii="Times New Roman" w:hAnsi="Times New Roman" w:eastAsia="宋体" w:cs="Times New Roman"/>
          <w:b/>
          <w:bCs/>
          <w:color w:val="auto"/>
          <w:kern w:val="2"/>
          <w:sz w:val="20"/>
          <w:szCs w:val="20"/>
          <w:lang w:val="zh-CN"/>
        </w:rPr>
      </w:sdtEndPr>
      <w:sdtContent>
        <w:p>
          <w:pPr>
            <w:pStyle w:val="55"/>
            <w:jc w:val="center"/>
          </w:pPr>
          <w:r>
            <w:rPr>
              <w:lang w:val="zh-CN"/>
            </w:rPr>
            <w:t>目录</w:t>
          </w:r>
        </w:p>
        <w:p>
          <w:pPr>
            <w:pStyle w:val="15"/>
            <w:tabs>
              <w:tab w:val="right" w:leader="dot" w:pos="8306"/>
            </w:tabs>
            <w:rPr>
              <w:sz w:val="21"/>
              <w:szCs w:val="21"/>
            </w:rPr>
          </w:pPr>
          <w:r>
            <w:fldChar w:fldCharType="begin"/>
          </w:r>
          <w:r>
            <w:instrText xml:space="preserve"> TOC \o "1-3" \h \z \u </w:instrText>
          </w:r>
          <w:r>
            <w:fldChar w:fldCharType="separate"/>
          </w:r>
          <w:r>
            <w:fldChar w:fldCharType="begin"/>
          </w:r>
          <w:r>
            <w:instrText xml:space="preserve"> HYPERLINK \l "_Toc32438" </w:instrText>
          </w:r>
          <w:r>
            <w:fldChar w:fldCharType="separate"/>
          </w:r>
          <w:r>
            <w:rPr>
              <w:rFonts w:hint="eastAsia"/>
              <w:sz w:val="21"/>
              <w:szCs w:val="21"/>
            </w:rPr>
            <w:t>1总则</w:t>
          </w:r>
          <w:r>
            <w:rPr>
              <w:sz w:val="21"/>
              <w:szCs w:val="21"/>
            </w:rPr>
            <w:tab/>
          </w:r>
          <w:r>
            <w:rPr>
              <w:sz w:val="21"/>
              <w:szCs w:val="21"/>
            </w:rPr>
            <w:fldChar w:fldCharType="begin"/>
          </w:r>
          <w:r>
            <w:rPr>
              <w:sz w:val="21"/>
              <w:szCs w:val="21"/>
            </w:rPr>
            <w:instrText xml:space="preserve"> PAGEREF _Toc32438 \h </w:instrText>
          </w:r>
          <w:r>
            <w:rPr>
              <w:sz w:val="21"/>
              <w:szCs w:val="21"/>
            </w:rPr>
            <w:fldChar w:fldCharType="separate"/>
          </w:r>
          <w:r>
            <w:rPr>
              <w:sz w:val="21"/>
              <w:szCs w:val="21"/>
            </w:rPr>
            <w:t>1</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"_Toc8065" </w:instrText>
          </w:r>
          <w:r>
            <w:fldChar w:fldCharType="separate"/>
          </w:r>
          <w:r>
            <w:rPr>
              <w:rFonts w:hint="eastAsia"/>
              <w:sz w:val="21"/>
              <w:szCs w:val="21"/>
            </w:rPr>
            <w:t>1</w:t>
          </w:r>
          <w:r>
            <w:rPr>
              <w:sz w:val="21"/>
              <w:szCs w:val="21"/>
            </w:rPr>
            <w:t>.1</w:t>
          </w:r>
          <w:r>
            <w:rPr>
              <w:rFonts w:hint="eastAsia"/>
              <w:sz w:val="21"/>
              <w:szCs w:val="21"/>
            </w:rPr>
            <w:t>论证背景</w:t>
          </w:r>
          <w:r>
            <w:rPr>
              <w:sz w:val="21"/>
              <w:szCs w:val="21"/>
            </w:rPr>
            <w:tab/>
          </w:r>
          <w:r>
            <w:rPr>
              <w:sz w:val="21"/>
              <w:szCs w:val="21"/>
            </w:rPr>
            <w:fldChar w:fldCharType="begin"/>
          </w:r>
          <w:r>
            <w:rPr>
              <w:sz w:val="21"/>
              <w:szCs w:val="21"/>
            </w:rPr>
            <w:instrText xml:space="preserve"> PAGEREF _Toc8065 \h </w:instrText>
          </w:r>
          <w:r>
            <w:rPr>
              <w:sz w:val="21"/>
              <w:szCs w:val="21"/>
            </w:rPr>
            <w:fldChar w:fldCharType="separate"/>
          </w:r>
          <w:r>
            <w:rPr>
              <w:sz w:val="21"/>
              <w:szCs w:val="21"/>
            </w:rPr>
            <w:t>1</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"_Toc28013" </w:instrText>
          </w:r>
          <w:r>
            <w:fldChar w:fldCharType="separate"/>
          </w:r>
          <w:r>
            <w:rPr>
              <w:rFonts w:hint="eastAsia"/>
              <w:sz w:val="21"/>
              <w:szCs w:val="21"/>
            </w:rPr>
            <w:t>1</w:t>
          </w:r>
          <w:r>
            <w:rPr>
              <w:sz w:val="21"/>
              <w:szCs w:val="21"/>
            </w:rPr>
            <w:t>.2</w:t>
          </w:r>
          <w:r>
            <w:rPr>
              <w:rFonts w:hint="eastAsia"/>
              <w:sz w:val="21"/>
              <w:szCs w:val="21"/>
            </w:rPr>
            <w:t>论证目的</w:t>
          </w:r>
          <w:r>
            <w:rPr>
              <w:sz w:val="21"/>
              <w:szCs w:val="21"/>
            </w:rPr>
            <w:tab/>
          </w:r>
          <w:r>
            <w:rPr>
              <w:sz w:val="21"/>
              <w:szCs w:val="21"/>
            </w:rPr>
            <w:fldChar w:fldCharType="begin"/>
          </w:r>
          <w:r>
            <w:rPr>
              <w:sz w:val="21"/>
              <w:szCs w:val="21"/>
            </w:rPr>
            <w:instrText xml:space="preserve"> PAGEREF _Toc28013 \h </w:instrText>
          </w:r>
          <w:r>
            <w:rPr>
              <w:sz w:val="21"/>
              <w:szCs w:val="21"/>
            </w:rPr>
            <w:fldChar w:fldCharType="separate"/>
          </w:r>
          <w:r>
            <w:rPr>
              <w:sz w:val="21"/>
              <w:szCs w:val="21"/>
            </w:rPr>
            <w:t>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"_Toc7600" </w:instrText>
          </w:r>
          <w:r>
            <w:fldChar w:fldCharType="separate"/>
          </w:r>
          <w:r>
            <w:rPr>
              <w:rFonts w:hint="eastAsia"/>
              <w:sz w:val="21"/>
              <w:szCs w:val="21"/>
            </w:rPr>
            <w:t>1</w:t>
          </w:r>
          <w:r>
            <w:rPr>
              <w:sz w:val="21"/>
              <w:szCs w:val="21"/>
            </w:rPr>
            <w:t>.3</w:t>
          </w:r>
          <w:r>
            <w:rPr>
              <w:rFonts w:hint="eastAsia"/>
              <w:sz w:val="21"/>
              <w:szCs w:val="21"/>
            </w:rPr>
            <w:t>论证依据</w:t>
          </w:r>
          <w:r>
            <w:rPr>
              <w:sz w:val="21"/>
              <w:szCs w:val="21"/>
            </w:rPr>
            <w:tab/>
          </w:r>
          <w:r>
            <w:rPr>
              <w:sz w:val="21"/>
              <w:szCs w:val="21"/>
            </w:rPr>
            <w:fldChar w:fldCharType="begin"/>
          </w:r>
          <w:r>
            <w:rPr>
              <w:sz w:val="21"/>
              <w:szCs w:val="21"/>
            </w:rPr>
            <w:instrText xml:space="preserve"> PAGEREF _Toc7600 \h </w:instrText>
          </w:r>
          <w:r>
            <w:rPr>
              <w:sz w:val="21"/>
              <w:szCs w:val="21"/>
            </w:rPr>
            <w:fldChar w:fldCharType="separate"/>
          </w:r>
          <w:r>
            <w:rPr>
              <w:sz w:val="21"/>
              <w:szCs w:val="21"/>
            </w:rPr>
            <w:t>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"_Toc32262" </w:instrText>
          </w:r>
          <w:r>
            <w:fldChar w:fldCharType="separate"/>
          </w:r>
          <w:r>
            <w:rPr>
              <w:rFonts w:hint="eastAsia"/>
              <w:sz w:val="21"/>
              <w:szCs w:val="21"/>
            </w:rPr>
            <w:t>1</w:t>
          </w:r>
          <w:r>
            <w:rPr>
              <w:sz w:val="21"/>
              <w:szCs w:val="21"/>
            </w:rPr>
            <w:t>.3.1</w:t>
          </w:r>
          <w:r>
            <w:rPr>
              <w:rFonts w:hint="eastAsia"/>
              <w:sz w:val="21"/>
              <w:szCs w:val="21"/>
            </w:rPr>
            <w:t>法律法规</w:t>
          </w:r>
          <w:r>
            <w:rPr>
              <w:sz w:val="21"/>
              <w:szCs w:val="21"/>
            </w:rPr>
            <w:tab/>
          </w:r>
          <w:r>
            <w:rPr>
              <w:sz w:val="21"/>
              <w:szCs w:val="21"/>
            </w:rPr>
            <w:fldChar w:fldCharType="begin"/>
          </w:r>
          <w:r>
            <w:rPr>
              <w:sz w:val="21"/>
              <w:szCs w:val="21"/>
            </w:rPr>
            <w:instrText xml:space="preserve"> PAGEREF _Toc32262 \h </w:instrText>
          </w:r>
          <w:r>
            <w:rPr>
              <w:sz w:val="21"/>
              <w:szCs w:val="21"/>
            </w:rPr>
            <w:fldChar w:fldCharType="separate"/>
          </w:r>
          <w:r>
            <w:rPr>
              <w:sz w:val="21"/>
              <w:szCs w:val="21"/>
            </w:rPr>
            <w:t>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"_Toc3098" </w:instrText>
          </w:r>
          <w:r>
            <w:fldChar w:fldCharType="separate"/>
          </w:r>
          <w:r>
            <w:rPr>
              <w:rFonts w:hint="eastAsia"/>
              <w:sz w:val="21"/>
              <w:szCs w:val="21"/>
            </w:rPr>
            <w:t>1</w:t>
          </w:r>
          <w:r>
            <w:rPr>
              <w:sz w:val="21"/>
              <w:szCs w:val="21"/>
            </w:rPr>
            <w:t>.3.2</w:t>
          </w:r>
          <w:r>
            <w:rPr>
              <w:rFonts w:hint="eastAsia"/>
              <w:sz w:val="21"/>
              <w:szCs w:val="21"/>
            </w:rPr>
            <w:t>技术标准、规范、规程</w:t>
          </w:r>
          <w:r>
            <w:rPr>
              <w:sz w:val="21"/>
              <w:szCs w:val="21"/>
            </w:rPr>
            <w:tab/>
          </w:r>
          <w:r>
            <w:rPr>
              <w:sz w:val="21"/>
              <w:szCs w:val="21"/>
            </w:rPr>
            <w:fldChar w:fldCharType="begin"/>
          </w:r>
          <w:r>
            <w:rPr>
              <w:sz w:val="21"/>
              <w:szCs w:val="21"/>
            </w:rPr>
            <w:instrText xml:space="preserve"> PAGEREF _Toc3098 \h </w:instrText>
          </w:r>
          <w:r>
            <w:rPr>
              <w:sz w:val="21"/>
              <w:szCs w:val="21"/>
            </w:rPr>
            <w:fldChar w:fldCharType="separate"/>
          </w:r>
          <w:r>
            <w:rPr>
              <w:sz w:val="21"/>
              <w:szCs w:val="21"/>
            </w:rPr>
            <w:t>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"_Toc3402" </w:instrText>
          </w:r>
          <w:r>
            <w:fldChar w:fldCharType="separate"/>
          </w:r>
          <w:r>
            <w:rPr>
              <w:rFonts w:hint="eastAsia"/>
              <w:sz w:val="21"/>
              <w:szCs w:val="21"/>
            </w:rPr>
            <w:t>1</w:t>
          </w:r>
          <w:r>
            <w:rPr>
              <w:sz w:val="21"/>
              <w:szCs w:val="21"/>
            </w:rPr>
            <w:t>.3.3</w:t>
          </w:r>
          <w:r>
            <w:rPr>
              <w:rFonts w:hint="eastAsia"/>
              <w:sz w:val="21"/>
              <w:szCs w:val="21"/>
            </w:rPr>
            <w:t>其他资料</w:t>
          </w:r>
          <w:r>
            <w:rPr>
              <w:sz w:val="21"/>
              <w:szCs w:val="21"/>
            </w:rPr>
            <w:tab/>
          </w:r>
          <w:r>
            <w:rPr>
              <w:sz w:val="21"/>
              <w:szCs w:val="21"/>
            </w:rPr>
            <w:fldChar w:fldCharType="begin"/>
          </w:r>
          <w:r>
            <w:rPr>
              <w:sz w:val="21"/>
              <w:szCs w:val="21"/>
            </w:rPr>
            <w:instrText xml:space="preserve"> PAGEREF _Toc3402 \h </w:instrText>
          </w:r>
          <w:r>
            <w:rPr>
              <w:sz w:val="21"/>
              <w:szCs w:val="21"/>
            </w:rPr>
            <w:fldChar w:fldCharType="separate"/>
          </w:r>
          <w:r>
            <w:rPr>
              <w:sz w:val="21"/>
              <w:szCs w:val="21"/>
            </w:rPr>
            <w:t>3</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"_Toc7523" </w:instrText>
          </w:r>
          <w:r>
            <w:fldChar w:fldCharType="separate"/>
          </w:r>
          <w:r>
            <w:rPr>
              <w:rFonts w:hint="eastAsia"/>
              <w:sz w:val="21"/>
              <w:szCs w:val="21"/>
            </w:rPr>
            <w:t>1</w:t>
          </w:r>
          <w:r>
            <w:rPr>
              <w:sz w:val="21"/>
              <w:szCs w:val="21"/>
            </w:rPr>
            <w:t>.4</w:t>
          </w:r>
          <w:r>
            <w:rPr>
              <w:rFonts w:hint="eastAsia"/>
              <w:sz w:val="21"/>
              <w:szCs w:val="21"/>
            </w:rPr>
            <w:t>论证原则</w:t>
          </w:r>
          <w:r>
            <w:rPr>
              <w:sz w:val="21"/>
              <w:szCs w:val="21"/>
            </w:rPr>
            <w:tab/>
          </w:r>
          <w:r>
            <w:rPr>
              <w:sz w:val="21"/>
              <w:szCs w:val="21"/>
            </w:rPr>
            <w:fldChar w:fldCharType="begin"/>
          </w:r>
          <w:r>
            <w:rPr>
              <w:sz w:val="21"/>
              <w:szCs w:val="21"/>
            </w:rPr>
            <w:instrText xml:space="preserve"> PAGEREF _Toc7523 \h </w:instrText>
          </w:r>
          <w:r>
            <w:rPr>
              <w:sz w:val="21"/>
              <w:szCs w:val="21"/>
            </w:rPr>
            <w:fldChar w:fldCharType="separate"/>
          </w:r>
          <w:r>
            <w:rPr>
              <w:sz w:val="21"/>
              <w:szCs w:val="21"/>
            </w:rPr>
            <w:t>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"_Toc12364" </w:instrText>
          </w:r>
          <w:r>
            <w:fldChar w:fldCharType="separate"/>
          </w:r>
          <w:r>
            <w:rPr>
              <w:rFonts w:hint="eastAsia"/>
              <w:sz w:val="21"/>
              <w:szCs w:val="21"/>
            </w:rPr>
            <w:t>1</w:t>
          </w:r>
          <w:r>
            <w:rPr>
              <w:sz w:val="21"/>
              <w:szCs w:val="21"/>
            </w:rPr>
            <w:t>.5</w:t>
          </w:r>
          <w:r>
            <w:rPr>
              <w:rFonts w:hint="eastAsia"/>
              <w:sz w:val="21"/>
              <w:szCs w:val="21"/>
            </w:rPr>
            <w:t>论证范围</w:t>
          </w:r>
          <w:r>
            <w:rPr>
              <w:sz w:val="21"/>
              <w:szCs w:val="21"/>
            </w:rPr>
            <w:tab/>
          </w:r>
          <w:r>
            <w:rPr>
              <w:sz w:val="21"/>
              <w:szCs w:val="21"/>
            </w:rPr>
            <w:fldChar w:fldCharType="begin"/>
          </w:r>
          <w:r>
            <w:rPr>
              <w:sz w:val="21"/>
              <w:szCs w:val="21"/>
            </w:rPr>
            <w:instrText xml:space="preserve"> PAGEREF _Toc12364 \h </w:instrText>
          </w:r>
          <w:r>
            <w:rPr>
              <w:sz w:val="21"/>
              <w:szCs w:val="21"/>
            </w:rPr>
            <w:fldChar w:fldCharType="separate"/>
          </w:r>
          <w:r>
            <w:rPr>
              <w:sz w:val="21"/>
              <w:szCs w:val="21"/>
            </w:rPr>
            <w:t>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"_Toc29545" </w:instrText>
          </w:r>
          <w:r>
            <w:fldChar w:fldCharType="separate"/>
          </w:r>
          <w:r>
            <w:rPr>
              <w:rFonts w:hint="eastAsia"/>
              <w:sz w:val="21"/>
              <w:szCs w:val="21"/>
            </w:rPr>
            <w:t>1</w:t>
          </w:r>
          <w:r>
            <w:rPr>
              <w:sz w:val="21"/>
              <w:szCs w:val="21"/>
            </w:rPr>
            <w:t>.6</w:t>
          </w:r>
          <w:r>
            <w:rPr>
              <w:rFonts w:hint="eastAsia"/>
              <w:sz w:val="21"/>
              <w:szCs w:val="21"/>
            </w:rPr>
            <w:t>论证工作程序</w:t>
          </w:r>
          <w:r>
            <w:rPr>
              <w:sz w:val="21"/>
              <w:szCs w:val="21"/>
            </w:rPr>
            <w:tab/>
          </w:r>
          <w:r>
            <w:rPr>
              <w:sz w:val="21"/>
              <w:szCs w:val="21"/>
            </w:rPr>
            <w:fldChar w:fldCharType="begin"/>
          </w:r>
          <w:r>
            <w:rPr>
              <w:sz w:val="21"/>
              <w:szCs w:val="21"/>
            </w:rPr>
            <w:instrText xml:space="preserve"> PAGEREF _Toc29545 \h </w:instrText>
          </w:r>
          <w:r>
            <w:rPr>
              <w:sz w:val="21"/>
              <w:szCs w:val="21"/>
            </w:rPr>
            <w:fldChar w:fldCharType="separate"/>
          </w:r>
          <w:r>
            <w:rPr>
              <w:sz w:val="21"/>
              <w:szCs w:val="21"/>
            </w:rPr>
            <w:t>5</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"_Toc9784" </w:instrText>
          </w:r>
          <w:r>
            <w:fldChar w:fldCharType="separate"/>
          </w:r>
          <w:r>
            <w:rPr>
              <w:rFonts w:hint="eastAsia"/>
              <w:sz w:val="21"/>
              <w:szCs w:val="21"/>
            </w:rPr>
            <w:t>1</w:t>
          </w:r>
          <w:r>
            <w:rPr>
              <w:sz w:val="21"/>
              <w:szCs w:val="21"/>
            </w:rPr>
            <w:t>.7</w:t>
          </w:r>
          <w:r>
            <w:rPr>
              <w:rFonts w:hint="eastAsia"/>
              <w:sz w:val="21"/>
              <w:szCs w:val="21"/>
            </w:rPr>
            <w:t>论证主要内容</w:t>
          </w:r>
          <w:r>
            <w:rPr>
              <w:sz w:val="21"/>
              <w:szCs w:val="21"/>
            </w:rPr>
            <w:tab/>
          </w:r>
          <w:r>
            <w:rPr>
              <w:sz w:val="21"/>
              <w:szCs w:val="21"/>
            </w:rPr>
            <w:fldChar w:fldCharType="begin"/>
          </w:r>
          <w:r>
            <w:rPr>
              <w:sz w:val="21"/>
              <w:szCs w:val="21"/>
            </w:rPr>
            <w:instrText xml:space="preserve"> PAGEREF _Toc9784 \h </w:instrText>
          </w:r>
          <w:r>
            <w:rPr>
              <w:sz w:val="21"/>
              <w:szCs w:val="21"/>
            </w:rPr>
            <w:fldChar w:fldCharType="separate"/>
          </w:r>
          <w:r>
            <w:rPr>
              <w:sz w:val="21"/>
              <w:szCs w:val="21"/>
            </w:rPr>
            <w:t>6</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"_Toc2629" </w:instrText>
          </w:r>
          <w:r>
            <w:fldChar w:fldCharType="separate"/>
          </w:r>
          <w:r>
            <w:rPr>
              <w:rFonts w:hint="eastAsia"/>
              <w:sz w:val="21"/>
              <w:szCs w:val="21"/>
            </w:rPr>
            <w:t>1.8论证水平年</w:t>
          </w:r>
          <w:r>
            <w:rPr>
              <w:sz w:val="21"/>
              <w:szCs w:val="21"/>
            </w:rPr>
            <w:tab/>
          </w:r>
          <w:r>
            <w:rPr>
              <w:sz w:val="21"/>
              <w:szCs w:val="21"/>
            </w:rPr>
            <w:fldChar w:fldCharType="begin"/>
          </w:r>
          <w:r>
            <w:rPr>
              <w:sz w:val="21"/>
              <w:szCs w:val="21"/>
            </w:rPr>
            <w:instrText xml:space="preserve"> PAGEREF _Toc2629 \h </w:instrText>
          </w:r>
          <w:r>
            <w:rPr>
              <w:sz w:val="21"/>
              <w:szCs w:val="21"/>
            </w:rPr>
            <w:fldChar w:fldCharType="separate"/>
          </w:r>
          <w:r>
            <w:rPr>
              <w:sz w:val="21"/>
              <w:szCs w:val="21"/>
            </w:rPr>
            <w:t>7</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"_Toc21985" </w:instrText>
          </w:r>
          <w:r>
            <w:fldChar w:fldCharType="separate"/>
          </w:r>
          <w:r>
            <w:rPr>
              <w:rFonts w:hint="eastAsia"/>
              <w:sz w:val="21"/>
              <w:szCs w:val="21"/>
            </w:rPr>
            <w:t>1.9论证工作等级</w:t>
          </w:r>
          <w:r>
            <w:rPr>
              <w:sz w:val="21"/>
              <w:szCs w:val="21"/>
            </w:rPr>
            <w:tab/>
          </w:r>
          <w:r>
            <w:rPr>
              <w:sz w:val="21"/>
              <w:szCs w:val="21"/>
            </w:rPr>
            <w:fldChar w:fldCharType="begin"/>
          </w:r>
          <w:r>
            <w:rPr>
              <w:sz w:val="21"/>
              <w:szCs w:val="21"/>
            </w:rPr>
            <w:instrText xml:space="preserve"> PAGEREF _Toc21985 \h </w:instrText>
          </w:r>
          <w:r>
            <w:rPr>
              <w:sz w:val="21"/>
              <w:szCs w:val="21"/>
            </w:rPr>
            <w:fldChar w:fldCharType="separate"/>
          </w:r>
          <w:r>
            <w:rPr>
              <w:sz w:val="21"/>
              <w:szCs w:val="21"/>
            </w:rPr>
            <w:t>7</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"_Toc1074" </w:instrText>
          </w:r>
          <w:r>
            <w:fldChar w:fldCharType="separate"/>
          </w:r>
          <w:r>
            <w:rPr>
              <w:rFonts w:hint="eastAsia"/>
              <w:sz w:val="21"/>
              <w:szCs w:val="21"/>
            </w:rPr>
            <w:t>2项目概况</w:t>
          </w:r>
          <w:r>
            <w:rPr>
              <w:sz w:val="21"/>
              <w:szCs w:val="21"/>
            </w:rPr>
            <w:tab/>
          </w:r>
          <w:r>
            <w:rPr>
              <w:sz w:val="21"/>
              <w:szCs w:val="21"/>
            </w:rPr>
            <w:fldChar w:fldCharType="begin"/>
          </w:r>
          <w:r>
            <w:rPr>
              <w:sz w:val="21"/>
              <w:szCs w:val="21"/>
            </w:rPr>
            <w:instrText xml:space="preserve"> PAGEREF _Toc1074 \h </w:instrText>
          </w:r>
          <w:r>
            <w:rPr>
              <w:sz w:val="21"/>
              <w:szCs w:val="21"/>
            </w:rPr>
            <w:fldChar w:fldCharType="separate"/>
          </w:r>
          <w:r>
            <w:rPr>
              <w:sz w:val="21"/>
              <w:szCs w:val="21"/>
            </w:rPr>
            <w:t>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"_Toc7294" </w:instrText>
          </w:r>
          <w:r>
            <w:fldChar w:fldCharType="separate"/>
          </w:r>
          <w:r>
            <w:rPr>
              <w:rFonts w:hint="eastAsia"/>
              <w:sz w:val="21"/>
              <w:szCs w:val="21"/>
            </w:rPr>
            <w:t>2</w:t>
          </w:r>
          <w:r>
            <w:rPr>
              <w:sz w:val="21"/>
              <w:szCs w:val="21"/>
            </w:rPr>
            <w:t>.1</w:t>
          </w:r>
          <w:r>
            <w:rPr>
              <w:rFonts w:hint="eastAsia"/>
              <w:sz w:val="21"/>
              <w:szCs w:val="21"/>
            </w:rPr>
            <w:t>项目的基本情况</w:t>
          </w:r>
          <w:r>
            <w:rPr>
              <w:sz w:val="21"/>
              <w:szCs w:val="21"/>
            </w:rPr>
            <w:tab/>
          </w:r>
          <w:r>
            <w:rPr>
              <w:sz w:val="21"/>
              <w:szCs w:val="21"/>
            </w:rPr>
            <w:fldChar w:fldCharType="begin"/>
          </w:r>
          <w:r>
            <w:rPr>
              <w:sz w:val="21"/>
              <w:szCs w:val="21"/>
            </w:rPr>
            <w:instrText xml:space="preserve"> PAGEREF _Toc7294 \h </w:instrText>
          </w:r>
          <w:r>
            <w:rPr>
              <w:sz w:val="21"/>
              <w:szCs w:val="21"/>
            </w:rPr>
            <w:fldChar w:fldCharType="separate"/>
          </w:r>
          <w:r>
            <w:rPr>
              <w:sz w:val="21"/>
              <w:szCs w:val="21"/>
            </w:rPr>
            <w:t>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"_Toc9680" </w:instrText>
          </w:r>
          <w:r>
            <w:fldChar w:fldCharType="separate"/>
          </w:r>
          <w:r>
            <w:rPr>
              <w:rFonts w:hint="eastAsia"/>
              <w:sz w:val="21"/>
              <w:szCs w:val="21"/>
            </w:rPr>
            <w:t>2</w:t>
          </w:r>
          <w:r>
            <w:rPr>
              <w:sz w:val="21"/>
              <w:szCs w:val="21"/>
            </w:rPr>
            <w:t>.1.1</w:t>
          </w:r>
          <w:r>
            <w:rPr>
              <w:rFonts w:hint="eastAsia"/>
              <w:sz w:val="21"/>
              <w:szCs w:val="21"/>
            </w:rPr>
            <w:t>项目基本情况</w:t>
          </w:r>
          <w:r>
            <w:rPr>
              <w:sz w:val="21"/>
              <w:szCs w:val="21"/>
            </w:rPr>
            <w:tab/>
          </w:r>
          <w:r>
            <w:rPr>
              <w:sz w:val="21"/>
              <w:szCs w:val="21"/>
            </w:rPr>
            <w:fldChar w:fldCharType="begin"/>
          </w:r>
          <w:r>
            <w:rPr>
              <w:sz w:val="21"/>
              <w:szCs w:val="21"/>
            </w:rPr>
            <w:instrText xml:space="preserve"> PAGEREF _Toc9680 \h </w:instrText>
          </w:r>
          <w:r>
            <w:rPr>
              <w:sz w:val="21"/>
              <w:szCs w:val="21"/>
            </w:rPr>
            <w:fldChar w:fldCharType="separate"/>
          </w:r>
          <w:r>
            <w:rPr>
              <w:sz w:val="21"/>
              <w:szCs w:val="21"/>
            </w:rPr>
            <w:t>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"_Toc8041" </w:instrText>
          </w:r>
          <w:r>
            <w:fldChar w:fldCharType="separate"/>
          </w:r>
          <w:r>
            <w:rPr>
              <w:rFonts w:hint="eastAsia"/>
              <w:sz w:val="21"/>
              <w:szCs w:val="21"/>
            </w:rPr>
            <w:t>2</w:t>
          </w:r>
          <w:r>
            <w:rPr>
              <w:sz w:val="21"/>
              <w:szCs w:val="21"/>
            </w:rPr>
            <w:t>.1.2</w:t>
          </w:r>
          <w:r>
            <w:rPr>
              <w:rFonts w:hint="eastAsia"/>
              <w:sz w:val="21"/>
              <w:szCs w:val="21"/>
            </w:rPr>
            <w:t>主要建设内容及规模</w:t>
          </w:r>
          <w:r>
            <w:rPr>
              <w:sz w:val="21"/>
              <w:szCs w:val="21"/>
            </w:rPr>
            <w:tab/>
          </w:r>
          <w:r>
            <w:rPr>
              <w:sz w:val="21"/>
              <w:szCs w:val="21"/>
            </w:rPr>
            <w:fldChar w:fldCharType="begin"/>
          </w:r>
          <w:r>
            <w:rPr>
              <w:sz w:val="21"/>
              <w:szCs w:val="21"/>
            </w:rPr>
            <w:instrText xml:space="preserve"> PAGEREF _Toc8041 \h </w:instrText>
          </w:r>
          <w:r>
            <w:rPr>
              <w:sz w:val="21"/>
              <w:szCs w:val="21"/>
            </w:rPr>
            <w:fldChar w:fldCharType="separate"/>
          </w:r>
          <w:r>
            <w:rPr>
              <w:sz w:val="21"/>
              <w:szCs w:val="21"/>
            </w:rPr>
            <w:t>11</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"_Toc3423" </w:instrText>
          </w:r>
          <w:r>
            <w:fldChar w:fldCharType="separate"/>
          </w:r>
          <w:r>
            <w:rPr>
              <w:rFonts w:hint="eastAsia"/>
              <w:sz w:val="21"/>
              <w:szCs w:val="21"/>
            </w:rPr>
            <w:t>2</w:t>
          </w:r>
          <w:r>
            <w:rPr>
              <w:sz w:val="21"/>
              <w:szCs w:val="21"/>
            </w:rPr>
            <w:t>.1.3</w:t>
          </w:r>
          <w:r>
            <w:rPr>
              <w:rFonts w:hint="eastAsia"/>
              <w:sz w:val="21"/>
              <w:szCs w:val="21"/>
            </w:rPr>
            <w:t>服务范围</w:t>
          </w:r>
          <w:r>
            <w:rPr>
              <w:sz w:val="21"/>
              <w:szCs w:val="21"/>
            </w:rPr>
            <w:tab/>
          </w:r>
          <w:r>
            <w:rPr>
              <w:sz w:val="21"/>
              <w:szCs w:val="21"/>
            </w:rPr>
            <w:fldChar w:fldCharType="begin"/>
          </w:r>
          <w:r>
            <w:rPr>
              <w:sz w:val="21"/>
              <w:szCs w:val="21"/>
            </w:rPr>
            <w:instrText xml:space="preserve"> PAGEREF _Toc3423 \h </w:instrText>
          </w:r>
          <w:r>
            <w:rPr>
              <w:sz w:val="21"/>
              <w:szCs w:val="21"/>
            </w:rPr>
            <w:fldChar w:fldCharType="separate"/>
          </w:r>
          <w:r>
            <w:rPr>
              <w:sz w:val="21"/>
              <w:szCs w:val="21"/>
            </w:rPr>
            <w:t>13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"_Toc8429" </w:instrText>
          </w:r>
          <w:r>
            <w:fldChar w:fldCharType="separate"/>
          </w:r>
          <w:r>
            <w:rPr>
              <w:rFonts w:hint="eastAsia"/>
              <w:sz w:val="21"/>
              <w:szCs w:val="21"/>
            </w:rPr>
            <w:t>2</w:t>
          </w:r>
          <w:r>
            <w:rPr>
              <w:sz w:val="21"/>
              <w:szCs w:val="21"/>
            </w:rPr>
            <w:t>.1.4</w:t>
          </w:r>
          <w:r>
            <w:rPr>
              <w:rFonts w:hint="eastAsia"/>
              <w:sz w:val="21"/>
              <w:szCs w:val="21"/>
            </w:rPr>
            <w:t>污水量预测</w:t>
          </w:r>
          <w:r>
            <w:rPr>
              <w:sz w:val="21"/>
              <w:szCs w:val="21"/>
            </w:rPr>
            <w:tab/>
          </w:r>
          <w:r>
            <w:rPr>
              <w:sz w:val="21"/>
              <w:szCs w:val="21"/>
            </w:rPr>
            <w:fldChar w:fldCharType="begin"/>
          </w:r>
          <w:r>
            <w:rPr>
              <w:sz w:val="21"/>
              <w:szCs w:val="21"/>
            </w:rPr>
            <w:instrText xml:space="preserve"> PAGEREF _Toc8429 \h </w:instrText>
          </w:r>
          <w:r>
            <w:rPr>
              <w:sz w:val="21"/>
              <w:szCs w:val="21"/>
            </w:rPr>
            <w:fldChar w:fldCharType="separate"/>
          </w:r>
          <w:r>
            <w:rPr>
              <w:sz w:val="21"/>
              <w:szCs w:val="21"/>
            </w:rPr>
            <w:t>13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"_Toc17632" </w:instrText>
          </w:r>
          <w:r>
            <w:fldChar w:fldCharType="separate"/>
          </w:r>
          <w:r>
            <w:rPr>
              <w:rFonts w:hint="eastAsia"/>
              <w:sz w:val="21"/>
              <w:szCs w:val="21"/>
            </w:rPr>
            <w:t>2</w:t>
          </w:r>
          <w:r>
            <w:rPr>
              <w:sz w:val="21"/>
              <w:szCs w:val="21"/>
            </w:rPr>
            <w:t>.1.5</w:t>
          </w:r>
          <w:r>
            <w:rPr>
              <w:rFonts w:hint="eastAsia"/>
              <w:sz w:val="21"/>
              <w:szCs w:val="21"/>
            </w:rPr>
            <w:t>设计进出水质</w:t>
          </w:r>
          <w:r>
            <w:rPr>
              <w:sz w:val="21"/>
              <w:szCs w:val="21"/>
            </w:rPr>
            <w:tab/>
          </w:r>
          <w:r>
            <w:rPr>
              <w:sz w:val="21"/>
              <w:szCs w:val="21"/>
            </w:rPr>
            <w:fldChar w:fldCharType="begin"/>
          </w:r>
          <w:r>
            <w:rPr>
              <w:sz w:val="21"/>
              <w:szCs w:val="21"/>
            </w:rPr>
            <w:instrText xml:space="preserve"> PAGEREF _Toc17632 \h </w:instrText>
          </w:r>
          <w:r>
            <w:rPr>
              <w:sz w:val="21"/>
              <w:szCs w:val="21"/>
            </w:rPr>
            <w:fldChar w:fldCharType="separate"/>
          </w:r>
          <w:r>
            <w:rPr>
              <w:sz w:val="21"/>
              <w:szCs w:val="21"/>
            </w:rPr>
            <w:t>13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"_Toc6240" </w:instrText>
          </w:r>
          <w:r>
            <w:fldChar w:fldCharType="separate"/>
          </w:r>
          <w:r>
            <w:rPr>
              <w:rFonts w:hint="eastAsia"/>
              <w:sz w:val="21"/>
              <w:szCs w:val="21"/>
            </w:rPr>
            <w:t>2</w:t>
          </w:r>
          <w:r>
            <w:rPr>
              <w:sz w:val="21"/>
              <w:szCs w:val="21"/>
            </w:rPr>
            <w:t>.1.6</w:t>
          </w:r>
          <w:r>
            <w:rPr>
              <w:rFonts w:hint="eastAsia"/>
              <w:sz w:val="21"/>
              <w:szCs w:val="21"/>
            </w:rPr>
            <w:t>污水处理工艺</w:t>
          </w:r>
          <w:r>
            <w:rPr>
              <w:sz w:val="21"/>
              <w:szCs w:val="21"/>
            </w:rPr>
            <w:tab/>
          </w:r>
          <w:r>
            <w:rPr>
              <w:sz w:val="21"/>
              <w:szCs w:val="21"/>
            </w:rPr>
            <w:fldChar w:fldCharType="begin"/>
          </w:r>
          <w:r>
            <w:rPr>
              <w:sz w:val="21"/>
              <w:szCs w:val="21"/>
            </w:rPr>
            <w:instrText xml:space="preserve"> PAGEREF _Toc6240 \h </w:instrText>
          </w:r>
          <w:r>
            <w:rPr>
              <w:sz w:val="21"/>
              <w:szCs w:val="21"/>
            </w:rPr>
            <w:fldChar w:fldCharType="separate"/>
          </w:r>
          <w:r>
            <w:rPr>
              <w:sz w:val="21"/>
              <w:szCs w:val="21"/>
            </w:rPr>
            <w:t>14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"_Toc3653" </w:instrText>
          </w:r>
          <w:r>
            <w:fldChar w:fldCharType="separate"/>
          </w:r>
          <w:r>
            <w:rPr>
              <w:rFonts w:hint="eastAsia"/>
              <w:sz w:val="21"/>
              <w:szCs w:val="21"/>
            </w:rPr>
            <w:t>2</w:t>
          </w:r>
          <w:r>
            <w:rPr>
              <w:sz w:val="21"/>
              <w:szCs w:val="21"/>
            </w:rPr>
            <w:t>.2</w:t>
          </w:r>
          <w:r>
            <w:rPr>
              <w:rFonts w:hint="eastAsia"/>
              <w:sz w:val="21"/>
              <w:szCs w:val="21"/>
            </w:rPr>
            <w:t>项目所在区域概况</w:t>
          </w:r>
          <w:r>
            <w:rPr>
              <w:sz w:val="21"/>
              <w:szCs w:val="21"/>
            </w:rPr>
            <w:tab/>
          </w:r>
          <w:r>
            <w:rPr>
              <w:sz w:val="21"/>
              <w:szCs w:val="21"/>
            </w:rPr>
            <w:fldChar w:fldCharType="begin"/>
          </w:r>
          <w:r>
            <w:rPr>
              <w:sz w:val="21"/>
              <w:szCs w:val="21"/>
            </w:rPr>
            <w:instrText xml:space="preserve"> PAGEREF _Toc3653 \h </w:instrText>
          </w:r>
          <w:r>
            <w:rPr>
              <w:sz w:val="21"/>
              <w:szCs w:val="21"/>
            </w:rPr>
            <w:fldChar w:fldCharType="separate"/>
          </w:r>
          <w:r>
            <w:rPr>
              <w:sz w:val="21"/>
              <w:szCs w:val="21"/>
            </w:rPr>
            <w:t>16</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"_Toc4118" </w:instrText>
          </w:r>
          <w:r>
            <w:fldChar w:fldCharType="separate"/>
          </w:r>
          <w:r>
            <w:rPr>
              <w:rFonts w:hint="eastAsia"/>
              <w:sz w:val="21"/>
              <w:szCs w:val="21"/>
            </w:rPr>
            <w:t>2</w:t>
          </w:r>
          <w:r>
            <w:rPr>
              <w:sz w:val="21"/>
              <w:szCs w:val="21"/>
            </w:rPr>
            <w:t>.2.1</w:t>
          </w:r>
          <w:r>
            <w:rPr>
              <w:rFonts w:hint="eastAsia"/>
              <w:sz w:val="21"/>
              <w:szCs w:val="21"/>
            </w:rPr>
            <w:t>地理位置</w:t>
          </w:r>
          <w:r>
            <w:rPr>
              <w:sz w:val="21"/>
              <w:szCs w:val="21"/>
            </w:rPr>
            <w:tab/>
          </w:r>
          <w:r>
            <w:rPr>
              <w:sz w:val="21"/>
              <w:szCs w:val="21"/>
            </w:rPr>
            <w:fldChar w:fldCharType="begin"/>
          </w:r>
          <w:r>
            <w:rPr>
              <w:sz w:val="21"/>
              <w:szCs w:val="21"/>
            </w:rPr>
            <w:instrText xml:space="preserve"> PAGEREF _Toc4118 \h </w:instrText>
          </w:r>
          <w:r>
            <w:rPr>
              <w:sz w:val="21"/>
              <w:szCs w:val="21"/>
            </w:rPr>
            <w:fldChar w:fldCharType="separate"/>
          </w:r>
          <w:r>
            <w:rPr>
              <w:sz w:val="21"/>
              <w:szCs w:val="21"/>
            </w:rPr>
            <w:t>16</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"_Toc533" </w:instrText>
          </w:r>
          <w:r>
            <w:fldChar w:fldCharType="separate"/>
          </w:r>
          <w:r>
            <w:rPr>
              <w:rFonts w:hint="eastAsia"/>
              <w:sz w:val="21"/>
              <w:szCs w:val="21"/>
            </w:rPr>
            <w:t>2</w:t>
          </w:r>
          <w:r>
            <w:rPr>
              <w:sz w:val="21"/>
              <w:szCs w:val="21"/>
            </w:rPr>
            <w:t>.2.2</w:t>
          </w:r>
          <w:r>
            <w:rPr>
              <w:rFonts w:hint="eastAsia"/>
              <w:sz w:val="21"/>
              <w:szCs w:val="21"/>
            </w:rPr>
            <w:t>地形地貌地质</w:t>
          </w:r>
          <w:r>
            <w:rPr>
              <w:sz w:val="21"/>
              <w:szCs w:val="21"/>
            </w:rPr>
            <w:tab/>
          </w:r>
          <w:r>
            <w:rPr>
              <w:sz w:val="21"/>
              <w:szCs w:val="21"/>
            </w:rPr>
            <w:fldChar w:fldCharType="begin"/>
          </w:r>
          <w:r>
            <w:rPr>
              <w:sz w:val="21"/>
              <w:szCs w:val="21"/>
            </w:rPr>
            <w:instrText xml:space="preserve"> PAGEREF _Toc533 \h </w:instrText>
          </w:r>
          <w:r>
            <w:rPr>
              <w:sz w:val="21"/>
              <w:szCs w:val="21"/>
            </w:rPr>
            <w:fldChar w:fldCharType="separate"/>
          </w:r>
          <w:r>
            <w:rPr>
              <w:sz w:val="21"/>
              <w:szCs w:val="21"/>
            </w:rPr>
            <w:t>17</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"_Toc8182" </w:instrText>
          </w:r>
          <w:r>
            <w:fldChar w:fldCharType="separate"/>
          </w:r>
          <w:r>
            <w:rPr>
              <w:rFonts w:hint="eastAsia"/>
              <w:sz w:val="21"/>
              <w:szCs w:val="21"/>
            </w:rPr>
            <w:t>2</w:t>
          </w:r>
          <w:r>
            <w:rPr>
              <w:sz w:val="21"/>
              <w:szCs w:val="21"/>
            </w:rPr>
            <w:t>.2.3</w:t>
          </w:r>
          <w:r>
            <w:rPr>
              <w:rFonts w:hint="eastAsia"/>
              <w:sz w:val="21"/>
              <w:szCs w:val="21"/>
            </w:rPr>
            <w:t>气候气象</w:t>
          </w:r>
          <w:r>
            <w:rPr>
              <w:sz w:val="21"/>
              <w:szCs w:val="21"/>
            </w:rPr>
            <w:tab/>
          </w:r>
          <w:r>
            <w:rPr>
              <w:sz w:val="21"/>
              <w:szCs w:val="21"/>
            </w:rPr>
            <w:fldChar w:fldCharType="begin"/>
          </w:r>
          <w:r>
            <w:rPr>
              <w:sz w:val="21"/>
              <w:szCs w:val="21"/>
            </w:rPr>
            <w:instrText xml:space="preserve"> PAGEREF _Toc8182 \h </w:instrText>
          </w:r>
          <w:r>
            <w:rPr>
              <w:sz w:val="21"/>
              <w:szCs w:val="21"/>
            </w:rPr>
            <w:fldChar w:fldCharType="separate"/>
          </w:r>
          <w:r>
            <w:rPr>
              <w:sz w:val="21"/>
              <w:szCs w:val="21"/>
            </w:rPr>
            <w:t>18</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"_Toc7209" </w:instrText>
          </w:r>
          <w:r>
            <w:fldChar w:fldCharType="separate"/>
          </w:r>
          <w:r>
            <w:rPr>
              <w:rFonts w:hint="eastAsia"/>
              <w:sz w:val="21"/>
              <w:szCs w:val="21"/>
            </w:rPr>
            <w:t>2</w:t>
          </w:r>
          <w:r>
            <w:rPr>
              <w:sz w:val="21"/>
              <w:szCs w:val="21"/>
            </w:rPr>
            <w:t>.2.4</w:t>
          </w:r>
          <w:r>
            <w:rPr>
              <w:rFonts w:hint="eastAsia"/>
              <w:sz w:val="21"/>
              <w:szCs w:val="21"/>
            </w:rPr>
            <w:t>水文条件</w:t>
          </w:r>
          <w:r>
            <w:rPr>
              <w:sz w:val="21"/>
              <w:szCs w:val="21"/>
            </w:rPr>
            <w:tab/>
          </w:r>
          <w:r>
            <w:rPr>
              <w:sz w:val="21"/>
              <w:szCs w:val="21"/>
            </w:rPr>
            <w:fldChar w:fldCharType="begin"/>
          </w:r>
          <w:r>
            <w:rPr>
              <w:sz w:val="21"/>
              <w:szCs w:val="21"/>
            </w:rPr>
            <w:instrText xml:space="preserve"> PAGEREF _Toc7209 \h </w:instrText>
          </w:r>
          <w:r>
            <w:rPr>
              <w:sz w:val="21"/>
              <w:szCs w:val="21"/>
            </w:rPr>
            <w:fldChar w:fldCharType="separate"/>
          </w:r>
          <w:r>
            <w:rPr>
              <w:sz w:val="21"/>
              <w:szCs w:val="21"/>
            </w:rPr>
            <w:t>18</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"_Toc20922" </w:instrText>
          </w:r>
          <w:r>
            <w:fldChar w:fldCharType="separate"/>
          </w:r>
          <w:r>
            <w:rPr>
              <w:rFonts w:hint="eastAsia"/>
              <w:sz w:val="21"/>
              <w:szCs w:val="21"/>
            </w:rPr>
            <w:t>2</w:t>
          </w:r>
          <w:r>
            <w:rPr>
              <w:sz w:val="21"/>
              <w:szCs w:val="21"/>
            </w:rPr>
            <w:t>.2.5</w:t>
          </w:r>
          <w:r>
            <w:rPr>
              <w:rFonts w:hint="eastAsia"/>
              <w:sz w:val="21"/>
              <w:szCs w:val="21"/>
            </w:rPr>
            <w:t>区域水资源开发利用情况</w:t>
          </w:r>
          <w:r>
            <w:rPr>
              <w:sz w:val="21"/>
              <w:szCs w:val="21"/>
            </w:rPr>
            <w:tab/>
          </w:r>
          <w:r>
            <w:rPr>
              <w:sz w:val="21"/>
              <w:szCs w:val="21"/>
            </w:rPr>
            <w:fldChar w:fldCharType="begin"/>
          </w:r>
          <w:r>
            <w:rPr>
              <w:sz w:val="21"/>
              <w:szCs w:val="21"/>
            </w:rPr>
            <w:instrText xml:space="preserve"> PAGEREF _Toc20922 \h </w:instrText>
          </w:r>
          <w:r>
            <w:rPr>
              <w:sz w:val="21"/>
              <w:szCs w:val="21"/>
            </w:rPr>
            <w:fldChar w:fldCharType="separate"/>
          </w:r>
          <w:r>
            <w:rPr>
              <w:sz w:val="21"/>
              <w:szCs w:val="21"/>
            </w:rPr>
            <w:t>20</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"_Toc28536" </w:instrText>
          </w:r>
          <w:r>
            <w:fldChar w:fldCharType="separate"/>
          </w:r>
          <w:r>
            <w:rPr>
              <w:rFonts w:hint="eastAsia"/>
              <w:sz w:val="21"/>
              <w:szCs w:val="21"/>
            </w:rPr>
            <w:t>2</w:t>
          </w:r>
          <w:r>
            <w:rPr>
              <w:sz w:val="21"/>
              <w:szCs w:val="21"/>
            </w:rPr>
            <w:t>.2.6</w:t>
          </w:r>
          <w:r>
            <w:rPr>
              <w:rFonts w:hint="eastAsia"/>
              <w:sz w:val="21"/>
              <w:szCs w:val="21"/>
            </w:rPr>
            <w:t>生物多样性</w:t>
          </w:r>
          <w:r>
            <w:rPr>
              <w:sz w:val="21"/>
              <w:szCs w:val="21"/>
            </w:rPr>
            <w:tab/>
          </w:r>
          <w:r>
            <w:rPr>
              <w:sz w:val="21"/>
              <w:szCs w:val="21"/>
            </w:rPr>
            <w:fldChar w:fldCharType="begin"/>
          </w:r>
          <w:r>
            <w:rPr>
              <w:sz w:val="21"/>
              <w:szCs w:val="21"/>
            </w:rPr>
            <w:instrText xml:space="preserve"> PAGEREF _Toc28536 \h </w:instrText>
          </w:r>
          <w:r>
            <w:rPr>
              <w:sz w:val="21"/>
              <w:szCs w:val="21"/>
            </w:rPr>
            <w:fldChar w:fldCharType="separate"/>
          </w:r>
          <w:r>
            <w:rPr>
              <w:sz w:val="21"/>
              <w:szCs w:val="21"/>
            </w:rPr>
            <w:t>20</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"_Toc25629" </w:instrText>
          </w:r>
          <w:r>
            <w:fldChar w:fldCharType="separate"/>
          </w:r>
          <w:r>
            <w:rPr>
              <w:rFonts w:hint="eastAsia"/>
              <w:sz w:val="21"/>
              <w:szCs w:val="21"/>
            </w:rPr>
            <w:t>3水功能区（水域）管理要求和现有取排水状况</w:t>
          </w:r>
          <w:r>
            <w:rPr>
              <w:sz w:val="21"/>
              <w:szCs w:val="21"/>
            </w:rPr>
            <w:tab/>
          </w:r>
          <w:r>
            <w:rPr>
              <w:sz w:val="21"/>
              <w:szCs w:val="21"/>
            </w:rPr>
            <w:fldChar w:fldCharType="begin"/>
          </w:r>
          <w:r>
            <w:rPr>
              <w:sz w:val="21"/>
              <w:szCs w:val="21"/>
            </w:rPr>
            <w:instrText xml:space="preserve"> PAGEREF _Toc25629 \h </w:instrText>
          </w:r>
          <w:r>
            <w:rPr>
              <w:sz w:val="21"/>
              <w:szCs w:val="21"/>
            </w:rPr>
            <w:fldChar w:fldCharType="separate"/>
          </w:r>
          <w:r>
            <w:rPr>
              <w:sz w:val="21"/>
              <w:szCs w:val="21"/>
            </w:rPr>
            <w:t>22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"_Toc16643" </w:instrText>
          </w:r>
          <w:r>
            <w:fldChar w:fldCharType="separate"/>
          </w:r>
          <w:r>
            <w:rPr>
              <w:rFonts w:hint="eastAsia"/>
              <w:sz w:val="21"/>
              <w:szCs w:val="21"/>
            </w:rPr>
            <w:t>3</w:t>
          </w:r>
          <w:r>
            <w:rPr>
              <w:sz w:val="21"/>
              <w:szCs w:val="21"/>
            </w:rPr>
            <w:t>.1</w:t>
          </w:r>
          <w:r>
            <w:rPr>
              <w:rFonts w:hint="eastAsia"/>
              <w:sz w:val="21"/>
              <w:szCs w:val="21"/>
            </w:rPr>
            <w:t>水功能区（水域）保护水质管理目标与要求</w:t>
          </w:r>
          <w:r>
            <w:rPr>
              <w:sz w:val="21"/>
              <w:szCs w:val="21"/>
            </w:rPr>
            <w:tab/>
          </w:r>
          <w:r>
            <w:rPr>
              <w:sz w:val="21"/>
              <w:szCs w:val="21"/>
            </w:rPr>
            <w:fldChar w:fldCharType="begin"/>
          </w:r>
          <w:r>
            <w:rPr>
              <w:sz w:val="21"/>
              <w:szCs w:val="21"/>
            </w:rPr>
            <w:instrText xml:space="preserve"> PAGEREF _Toc16643 \h </w:instrText>
          </w:r>
          <w:r>
            <w:rPr>
              <w:sz w:val="21"/>
              <w:szCs w:val="21"/>
            </w:rPr>
            <w:fldChar w:fldCharType="separate"/>
          </w:r>
          <w:r>
            <w:rPr>
              <w:sz w:val="21"/>
              <w:szCs w:val="21"/>
            </w:rPr>
            <w:t>22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"_Toc19586" </w:instrText>
          </w:r>
          <w:r>
            <w:fldChar w:fldCharType="separate"/>
          </w:r>
          <w:r>
            <w:rPr>
              <w:rFonts w:hint="eastAsia"/>
              <w:sz w:val="21"/>
              <w:szCs w:val="21"/>
            </w:rPr>
            <w:t>3</w:t>
          </w:r>
          <w:r>
            <w:rPr>
              <w:sz w:val="21"/>
              <w:szCs w:val="21"/>
            </w:rPr>
            <w:t>.2</w:t>
          </w:r>
          <w:r>
            <w:rPr>
              <w:rFonts w:hint="eastAsia"/>
              <w:sz w:val="21"/>
              <w:szCs w:val="21"/>
            </w:rPr>
            <w:t>水功能区（水域）纳污能力及限制排放总量</w:t>
          </w:r>
          <w:r>
            <w:rPr>
              <w:sz w:val="21"/>
              <w:szCs w:val="21"/>
            </w:rPr>
            <w:tab/>
          </w:r>
          <w:r>
            <w:rPr>
              <w:sz w:val="21"/>
              <w:szCs w:val="21"/>
            </w:rPr>
            <w:fldChar w:fldCharType="begin"/>
          </w:r>
          <w:r>
            <w:rPr>
              <w:sz w:val="21"/>
              <w:szCs w:val="21"/>
            </w:rPr>
            <w:instrText xml:space="preserve"> PAGEREF _Toc19586 \h </w:instrText>
          </w:r>
          <w:r>
            <w:rPr>
              <w:sz w:val="21"/>
              <w:szCs w:val="21"/>
            </w:rPr>
            <w:fldChar w:fldCharType="separate"/>
          </w:r>
          <w:r>
            <w:rPr>
              <w:sz w:val="21"/>
              <w:szCs w:val="21"/>
            </w:rPr>
            <w:t>23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"_Toc2913" </w:instrText>
          </w:r>
          <w:r>
            <w:fldChar w:fldCharType="separate"/>
          </w:r>
          <w:r>
            <w:rPr>
              <w:rFonts w:hint="eastAsia"/>
              <w:sz w:val="21"/>
              <w:szCs w:val="21"/>
            </w:rPr>
            <w:t>3</w:t>
          </w:r>
          <w:r>
            <w:rPr>
              <w:sz w:val="21"/>
              <w:szCs w:val="21"/>
            </w:rPr>
            <w:t>.2.1</w:t>
          </w:r>
          <w:r>
            <w:rPr>
              <w:rFonts w:hint="eastAsia"/>
              <w:sz w:val="21"/>
              <w:szCs w:val="21"/>
            </w:rPr>
            <w:t>计算方法及模型选定</w:t>
          </w:r>
          <w:r>
            <w:rPr>
              <w:sz w:val="21"/>
              <w:szCs w:val="21"/>
            </w:rPr>
            <w:tab/>
          </w:r>
          <w:r>
            <w:rPr>
              <w:sz w:val="21"/>
              <w:szCs w:val="21"/>
            </w:rPr>
            <w:fldChar w:fldCharType="begin"/>
          </w:r>
          <w:r>
            <w:rPr>
              <w:sz w:val="21"/>
              <w:szCs w:val="21"/>
            </w:rPr>
            <w:instrText xml:space="preserve"> PAGEREF _Toc2913 \h </w:instrText>
          </w:r>
          <w:r>
            <w:rPr>
              <w:sz w:val="21"/>
              <w:szCs w:val="21"/>
            </w:rPr>
            <w:fldChar w:fldCharType="separate"/>
          </w:r>
          <w:r>
            <w:rPr>
              <w:sz w:val="21"/>
              <w:szCs w:val="21"/>
            </w:rPr>
            <w:t>23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"_Toc4832" </w:instrText>
          </w:r>
          <w:r>
            <w:fldChar w:fldCharType="separate"/>
          </w:r>
          <w:r>
            <w:rPr>
              <w:rFonts w:hint="eastAsia"/>
              <w:sz w:val="21"/>
              <w:szCs w:val="21"/>
            </w:rPr>
            <w:t>3</w:t>
          </w:r>
          <w:r>
            <w:rPr>
              <w:sz w:val="21"/>
              <w:szCs w:val="21"/>
            </w:rPr>
            <w:t>.2.2</w:t>
          </w:r>
          <w:r>
            <w:rPr>
              <w:rFonts w:hint="eastAsia"/>
              <w:sz w:val="21"/>
              <w:szCs w:val="21"/>
            </w:rPr>
            <w:t>各计算参数的确定</w:t>
          </w:r>
          <w:r>
            <w:rPr>
              <w:sz w:val="21"/>
              <w:szCs w:val="21"/>
            </w:rPr>
            <w:tab/>
          </w:r>
          <w:r>
            <w:rPr>
              <w:sz w:val="21"/>
              <w:szCs w:val="21"/>
            </w:rPr>
            <w:fldChar w:fldCharType="begin"/>
          </w:r>
          <w:r>
            <w:rPr>
              <w:sz w:val="21"/>
              <w:szCs w:val="21"/>
            </w:rPr>
            <w:instrText xml:space="preserve"> PAGEREF _Toc4832 \h </w:instrText>
          </w:r>
          <w:r>
            <w:rPr>
              <w:sz w:val="21"/>
              <w:szCs w:val="21"/>
            </w:rPr>
            <w:fldChar w:fldCharType="separate"/>
          </w:r>
          <w:r>
            <w:rPr>
              <w:sz w:val="21"/>
              <w:szCs w:val="21"/>
            </w:rPr>
            <w:t>24</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"_Toc14209" </w:instrText>
          </w:r>
          <w:r>
            <w:fldChar w:fldCharType="separate"/>
          </w:r>
          <w:r>
            <w:rPr>
              <w:rFonts w:hint="eastAsia"/>
              <w:sz w:val="21"/>
              <w:szCs w:val="21"/>
            </w:rPr>
            <w:t>3</w:t>
          </w:r>
          <w:r>
            <w:rPr>
              <w:sz w:val="21"/>
              <w:szCs w:val="21"/>
            </w:rPr>
            <w:t>.2.3</w:t>
          </w:r>
          <w:r>
            <w:rPr>
              <w:rFonts w:hint="eastAsia"/>
              <w:sz w:val="21"/>
              <w:szCs w:val="21"/>
            </w:rPr>
            <w:t>河段纳污能力结果分析</w:t>
          </w:r>
          <w:r>
            <w:rPr>
              <w:sz w:val="21"/>
              <w:szCs w:val="21"/>
            </w:rPr>
            <w:tab/>
          </w:r>
          <w:r>
            <w:rPr>
              <w:sz w:val="21"/>
              <w:szCs w:val="21"/>
            </w:rPr>
            <w:fldChar w:fldCharType="begin"/>
          </w:r>
          <w:r>
            <w:rPr>
              <w:sz w:val="21"/>
              <w:szCs w:val="21"/>
            </w:rPr>
            <w:instrText xml:space="preserve"> PAGEREF _Toc14209 \h </w:instrText>
          </w:r>
          <w:r>
            <w:rPr>
              <w:sz w:val="21"/>
              <w:szCs w:val="21"/>
            </w:rPr>
            <w:fldChar w:fldCharType="separate"/>
          </w:r>
          <w:r>
            <w:rPr>
              <w:sz w:val="21"/>
              <w:szCs w:val="21"/>
            </w:rPr>
            <w:t>24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"_Toc16880" </w:instrText>
          </w:r>
          <w:r>
            <w:fldChar w:fldCharType="separate"/>
          </w:r>
          <w:r>
            <w:rPr>
              <w:rFonts w:hint="eastAsia"/>
              <w:sz w:val="21"/>
              <w:szCs w:val="21"/>
            </w:rPr>
            <w:t>3</w:t>
          </w:r>
          <w:r>
            <w:rPr>
              <w:sz w:val="21"/>
              <w:szCs w:val="21"/>
            </w:rPr>
            <w:t>.3</w:t>
          </w:r>
          <w:r>
            <w:rPr>
              <w:rFonts w:hint="eastAsia"/>
              <w:sz w:val="21"/>
              <w:szCs w:val="21"/>
            </w:rPr>
            <w:t>论证水功能区（水域）现有取排水状况</w:t>
          </w:r>
          <w:r>
            <w:rPr>
              <w:sz w:val="21"/>
              <w:szCs w:val="21"/>
            </w:rPr>
            <w:tab/>
          </w:r>
          <w:r>
            <w:rPr>
              <w:sz w:val="21"/>
              <w:szCs w:val="21"/>
            </w:rPr>
            <w:fldChar w:fldCharType="begin"/>
          </w:r>
          <w:r>
            <w:rPr>
              <w:sz w:val="21"/>
              <w:szCs w:val="21"/>
            </w:rPr>
            <w:instrText xml:space="preserve"> PAGEREF _Toc16880 \h </w:instrText>
          </w:r>
          <w:r>
            <w:rPr>
              <w:sz w:val="21"/>
              <w:szCs w:val="21"/>
            </w:rPr>
            <w:fldChar w:fldCharType="separate"/>
          </w:r>
          <w:r>
            <w:rPr>
              <w:sz w:val="21"/>
              <w:szCs w:val="21"/>
            </w:rPr>
            <w:t>25</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"_Toc31896" </w:instrText>
          </w:r>
          <w:r>
            <w:fldChar w:fldCharType="separate"/>
          </w:r>
          <w:r>
            <w:rPr>
              <w:rFonts w:hint="eastAsia"/>
              <w:sz w:val="21"/>
              <w:szCs w:val="21"/>
            </w:rPr>
            <w:t>4入河排污口所在水功能区（水域）水质现状及纳污状况</w:t>
          </w:r>
          <w:r>
            <w:rPr>
              <w:sz w:val="21"/>
              <w:szCs w:val="21"/>
            </w:rPr>
            <w:tab/>
          </w:r>
          <w:r>
            <w:rPr>
              <w:sz w:val="21"/>
              <w:szCs w:val="21"/>
            </w:rPr>
            <w:fldChar w:fldCharType="begin"/>
          </w:r>
          <w:r>
            <w:rPr>
              <w:sz w:val="21"/>
              <w:szCs w:val="21"/>
            </w:rPr>
            <w:instrText xml:space="preserve"> PAGEREF _Toc31896 \h </w:instrText>
          </w:r>
          <w:r>
            <w:rPr>
              <w:sz w:val="21"/>
              <w:szCs w:val="21"/>
            </w:rPr>
            <w:fldChar w:fldCharType="separate"/>
          </w:r>
          <w:r>
            <w:rPr>
              <w:sz w:val="21"/>
              <w:szCs w:val="21"/>
            </w:rPr>
            <w:t>26</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"_Toc13814" </w:instrText>
          </w:r>
          <w:r>
            <w:fldChar w:fldCharType="separate"/>
          </w:r>
          <w:r>
            <w:rPr>
              <w:rFonts w:hint="eastAsia"/>
              <w:sz w:val="21"/>
              <w:szCs w:val="21"/>
            </w:rPr>
            <w:t>4</w:t>
          </w:r>
          <w:r>
            <w:rPr>
              <w:sz w:val="21"/>
              <w:szCs w:val="21"/>
            </w:rPr>
            <w:t>.1</w:t>
          </w:r>
          <w:r>
            <w:rPr>
              <w:rFonts w:hint="eastAsia"/>
              <w:sz w:val="21"/>
              <w:szCs w:val="21"/>
            </w:rPr>
            <w:t>水功能区（水域）管理要求</w:t>
          </w:r>
          <w:r>
            <w:rPr>
              <w:sz w:val="21"/>
              <w:szCs w:val="21"/>
            </w:rPr>
            <w:tab/>
          </w:r>
          <w:r>
            <w:rPr>
              <w:sz w:val="21"/>
              <w:szCs w:val="21"/>
            </w:rPr>
            <w:fldChar w:fldCharType="begin"/>
          </w:r>
          <w:r>
            <w:rPr>
              <w:sz w:val="21"/>
              <w:szCs w:val="21"/>
            </w:rPr>
            <w:instrText xml:space="preserve"> PAGEREF _Toc13814 \h </w:instrText>
          </w:r>
          <w:r>
            <w:rPr>
              <w:sz w:val="21"/>
              <w:szCs w:val="21"/>
            </w:rPr>
            <w:fldChar w:fldCharType="separate"/>
          </w:r>
          <w:r>
            <w:rPr>
              <w:sz w:val="21"/>
              <w:szCs w:val="21"/>
            </w:rPr>
            <w:t>26</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"_Toc10319" </w:instrText>
          </w:r>
          <w:r>
            <w:fldChar w:fldCharType="separate"/>
          </w:r>
          <w:r>
            <w:rPr>
              <w:rFonts w:hint="eastAsia"/>
              <w:sz w:val="21"/>
              <w:szCs w:val="21"/>
            </w:rPr>
            <w:t>4</w:t>
          </w:r>
          <w:r>
            <w:rPr>
              <w:sz w:val="21"/>
              <w:szCs w:val="21"/>
            </w:rPr>
            <w:t>.2</w:t>
          </w:r>
          <w:r>
            <w:rPr>
              <w:rFonts w:hint="eastAsia"/>
              <w:sz w:val="21"/>
              <w:szCs w:val="21"/>
            </w:rPr>
            <w:t>水功能区（水域）水质现状</w:t>
          </w:r>
          <w:r>
            <w:rPr>
              <w:sz w:val="21"/>
              <w:szCs w:val="21"/>
            </w:rPr>
            <w:tab/>
          </w:r>
          <w:r>
            <w:rPr>
              <w:sz w:val="21"/>
              <w:szCs w:val="21"/>
            </w:rPr>
            <w:fldChar w:fldCharType="begin"/>
          </w:r>
          <w:r>
            <w:rPr>
              <w:sz w:val="21"/>
              <w:szCs w:val="21"/>
            </w:rPr>
            <w:instrText xml:space="preserve"> PAGEREF _Toc10319 \h </w:instrText>
          </w:r>
          <w:r>
            <w:rPr>
              <w:sz w:val="21"/>
              <w:szCs w:val="21"/>
            </w:rPr>
            <w:fldChar w:fldCharType="separate"/>
          </w:r>
          <w:r>
            <w:rPr>
              <w:sz w:val="21"/>
              <w:szCs w:val="21"/>
            </w:rPr>
            <w:t>26</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"_Toc9878" </w:instrText>
          </w:r>
          <w:r>
            <w:fldChar w:fldCharType="separate"/>
          </w:r>
          <w:r>
            <w:rPr>
              <w:rFonts w:hint="eastAsia"/>
              <w:sz w:val="21"/>
              <w:szCs w:val="21"/>
            </w:rPr>
            <w:t>4</w:t>
          </w:r>
          <w:r>
            <w:rPr>
              <w:sz w:val="21"/>
              <w:szCs w:val="21"/>
            </w:rPr>
            <w:t>.3</w:t>
          </w:r>
          <w:r>
            <w:rPr>
              <w:rFonts w:hint="eastAsia"/>
              <w:sz w:val="21"/>
              <w:szCs w:val="21"/>
            </w:rPr>
            <w:t>所在水功能区（水域）纳污状况</w:t>
          </w:r>
          <w:r>
            <w:rPr>
              <w:sz w:val="21"/>
              <w:szCs w:val="21"/>
            </w:rPr>
            <w:tab/>
          </w:r>
          <w:r>
            <w:rPr>
              <w:sz w:val="21"/>
              <w:szCs w:val="21"/>
            </w:rPr>
            <w:fldChar w:fldCharType="begin"/>
          </w:r>
          <w:r>
            <w:rPr>
              <w:sz w:val="21"/>
              <w:szCs w:val="21"/>
            </w:rPr>
            <w:instrText xml:space="preserve"> PAGEREF _Toc9878 \h </w:instrText>
          </w:r>
          <w:r>
            <w:rPr>
              <w:sz w:val="21"/>
              <w:szCs w:val="21"/>
            </w:rPr>
            <w:fldChar w:fldCharType="separate"/>
          </w:r>
          <w:r>
            <w:rPr>
              <w:sz w:val="21"/>
              <w:szCs w:val="21"/>
            </w:rPr>
            <w:t>28</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"_Toc22970" </w:instrText>
          </w:r>
          <w:r>
            <w:fldChar w:fldCharType="separate"/>
          </w:r>
          <w:r>
            <w:rPr>
              <w:rFonts w:hint="eastAsia"/>
              <w:sz w:val="21"/>
              <w:szCs w:val="21"/>
            </w:rPr>
            <w:t>5入河排污口设置可行性分析论证及入河排污口设置情况</w:t>
          </w:r>
          <w:r>
            <w:rPr>
              <w:sz w:val="21"/>
              <w:szCs w:val="21"/>
            </w:rPr>
            <w:tab/>
          </w:r>
          <w:r>
            <w:rPr>
              <w:sz w:val="21"/>
              <w:szCs w:val="21"/>
            </w:rPr>
            <w:fldChar w:fldCharType="begin"/>
          </w:r>
          <w:r>
            <w:rPr>
              <w:sz w:val="21"/>
              <w:szCs w:val="21"/>
            </w:rPr>
            <w:instrText xml:space="preserve"> PAGEREF _Toc22970 \h </w:instrText>
          </w:r>
          <w:r>
            <w:rPr>
              <w:sz w:val="21"/>
              <w:szCs w:val="21"/>
            </w:rPr>
            <w:fldChar w:fldCharType="separate"/>
          </w:r>
          <w:r>
            <w:rPr>
              <w:sz w:val="21"/>
              <w:szCs w:val="21"/>
            </w:rPr>
            <w:t>29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"_Toc27799" </w:instrText>
          </w:r>
          <w:r>
            <w:fldChar w:fldCharType="separate"/>
          </w:r>
          <w:r>
            <w:rPr>
              <w:rFonts w:hint="eastAsia"/>
              <w:sz w:val="21"/>
              <w:szCs w:val="21"/>
            </w:rPr>
            <w:t>5</w:t>
          </w:r>
          <w:r>
            <w:rPr>
              <w:sz w:val="21"/>
              <w:szCs w:val="21"/>
            </w:rPr>
            <w:t>.1</w:t>
          </w:r>
          <w:r>
            <w:rPr>
              <w:rFonts w:hint="eastAsia"/>
              <w:sz w:val="21"/>
              <w:szCs w:val="21"/>
            </w:rPr>
            <w:t>废污水来源及构成</w:t>
          </w:r>
          <w:r>
            <w:rPr>
              <w:sz w:val="21"/>
              <w:szCs w:val="21"/>
            </w:rPr>
            <w:tab/>
          </w:r>
          <w:r>
            <w:rPr>
              <w:sz w:val="21"/>
              <w:szCs w:val="21"/>
            </w:rPr>
            <w:fldChar w:fldCharType="begin"/>
          </w:r>
          <w:r>
            <w:rPr>
              <w:sz w:val="21"/>
              <w:szCs w:val="21"/>
            </w:rPr>
            <w:instrText xml:space="preserve"> PAGEREF _Toc27799 \h </w:instrText>
          </w:r>
          <w:r>
            <w:rPr>
              <w:sz w:val="21"/>
              <w:szCs w:val="21"/>
            </w:rPr>
            <w:fldChar w:fldCharType="separate"/>
          </w:r>
          <w:r>
            <w:rPr>
              <w:sz w:val="21"/>
              <w:szCs w:val="21"/>
            </w:rPr>
            <w:t>29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"_Toc19606" </w:instrText>
          </w:r>
          <w:r>
            <w:fldChar w:fldCharType="separate"/>
          </w:r>
          <w:r>
            <w:rPr>
              <w:rFonts w:hint="eastAsia"/>
              <w:sz w:val="21"/>
              <w:szCs w:val="21"/>
            </w:rPr>
            <w:t>5</w:t>
          </w:r>
          <w:r>
            <w:rPr>
              <w:sz w:val="21"/>
              <w:szCs w:val="21"/>
            </w:rPr>
            <w:t>.2</w:t>
          </w:r>
          <w:r>
            <w:rPr>
              <w:rFonts w:hint="eastAsia"/>
              <w:sz w:val="21"/>
              <w:szCs w:val="21"/>
            </w:rPr>
            <w:t>废污水所含主要污染物种类及排放浓度、总量</w:t>
          </w:r>
          <w:r>
            <w:rPr>
              <w:sz w:val="21"/>
              <w:szCs w:val="21"/>
            </w:rPr>
            <w:tab/>
          </w:r>
          <w:r>
            <w:rPr>
              <w:sz w:val="21"/>
              <w:szCs w:val="21"/>
            </w:rPr>
            <w:fldChar w:fldCharType="begin"/>
          </w:r>
          <w:r>
            <w:rPr>
              <w:sz w:val="21"/>
              <w:szCs w:val="21"/>
            </w:rPr>
            <w:instrText xml:space="preserve"> PAGEREF _Toc19606 \h </w:instrText>
          </w:r>
          <w:r>
            <w:rPr>
              <w:sz w:val="21"/>
              <w:szCs w:val="21"/>
            </w:rPr>
            <w:fldChar w:fldCharType="separate"/>
          </w:r>
          <w:r>
            <w:rPr>
              <w:sz w:val="21"/>
              <w:szCs w:val="21"/>
            </w:rPr>
            <w:t>29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"_Toc19078" </w:instrText>
          </w:r>
          <w:r>
            <w:fldChar w:fldCharType="separate"/>
          </w:r>
          <w:r>
            <w:rPr>
              <w:rFonts w:hint="eastAsia"/>
              <w:sz w:val="21"/>
              <w:szCs w:val="21"/>
            </w:rPr>
            <w:t>5</w:t>
          </w:r>
          <w:r>
            <w:rPr>
              <w:sz w:val="21"/>
              <w:szCs w:val="21"/>
            </w:rPr>
            <w:t>.3</w:t>
          </w:r>
          <w:r>
            <w:rPr>
              <w:rFonts w:hint="eastAsia"/>
              <w:sz w:val="21"/>
              <w:szCs w:val="21"/>
            </w:rPr>
            <w:t>排污口设置可行性分析论证</w:t>
          </w:r>
          <w:r>
            <w:rPr>
              <w:sz w:val="21"/>
              <w:szCs w:val="21"/>
            </w:rPr>
            <w:tab/>
          </w:r>
          <w:r>
            <w:rPr>
              <w:sz w:val="21"/>
              <w:szCs w:val="21"/>
            </w:rPr>
            <w:fldChar w:fldCharType="begin"/>
          </w:r>
          <w:r>
            <w:rPr>
              <w:sz w:val="21"/>
              <w:szCs w:val="21"/>
            </w:rPr>
            <w:instrText xml:space="preserve"> PAGEREF _Toc19078 \h </w:instrText>
          </w:r>
          <w:r>
            <w:rPr>
              <w:sz w:val="21"/>
              <w:szCs w:val="21"/>
            </w:rPr>
            <w:fldChar w:fldCharType="separate"/>
          </w:r>
          <w:r>
            <w:rPr>
              <w:sz w:val="21"/>
              <w:szCs w:val="21"/>
            </w:rPr>
            <w:t>29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"_Toc32734" </w:instrText>
          </w:r>
          <w:r>
            <w:fldChar w:fldCharType="separate"/>
          </w:r>
          <w:r>
            <w:rPr>
              <w:rFonts w:hint="eastAsia"/>
              <w:sz w:val="21"/>
              <w:szCs w:val="21"/>
            </w:rPr>
            <w:t>5</w:t>
          </w:r>
          <w:r>
            <w:rPr>
              <w:sz w:val="21"/>
              <w:szCs w:val="21"/>
            </w:rPr>
            <w:t>.3.1</w:t>
          </w:r>
          <w:r>
            <w:rPr>
              <w:rFonts w:hint="eastAsia"/>
              <w:sz w:val="21"/>
              <w:szCs w:val="21"/>
            </w:rPr>
            <w:t>与《水污染防治行动计划》的符合性分析</w:t>
          </w:r>
          <w:r>
            <w:rPr>
              <w:sz w:val="21"/>
              <w:szCs w:val="21"/>
            </w:rPr>
            <w:tab/>
          </w:r>
          <w:r>
            <w:rPr>
              <w:sz w:val="21"/>
              <w:szCs w:val="21"/>
            </w:rPr>
            <w:fldChar w:fldCharType="begin"/>
          </w:r>
          <w:r>
            <w:rPr>
              <w:sz w:val="21"/>
              <w:szCs w:val="21"/>
            </w:rPr>
            <w:instrText xml:space="preserve"> PAGEREF _Toc32734 \h </w:instrText>
          </w:r>
          <w:r>
            <w:rPr>
              <w:sz w:val="21"/>
              <w:szCs w:val="21"/>
            </w:rPr>
            <w:fldChar w:fldCharType="separate"/>
          </w:r>
          <w:r>
            <w:rPr>
              <w:sz w:val="21"/>
              <w:szCs w:val="21"/>
            </w:rPr>
            <w:t>29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"_Toc30606" </w:instrText>
          </w:r>
          <w:r>
            <w:fldChar w:fldCharType="separate"/>
          </w:r>
          <w:r>
            <w:rPr>
              <w:rFonts w:hint="eastAsia"/>
              <w:sz w:val="21"/>
              <w:szCs w:val="21"/>
            </w:rPr>
            <w:t>5</w:t>
          </w:r>
          <w:r>
            <w:rPr>
              <w:sz w:val="21"/>
              <w:szCs w:val="21"/>
            </w:rPr>
            <w:t>.3.2</w:t>
          </w:r>
          <w:r>
            <w:rPr>
              <w:rFonts w:hint="eastAsia"/>
              <w:sz w:val="21"/>
              <w:szCs w:val="21"/>
            </w:rPr>
            <w:t>与《入河排污口监督管理办法》的符合性分析</w:t>
          </w:r>
          <w:r>
            <w:rPr>
              <w:sz w:val="21"/>
              <w:szCs w:val="21"/>
            </w:rPr>
            <w:tab/>
          </w:r>
          <w:r>
            <w:rPr>
              <w:sz w:val="21"/>
              <w:szCs w:val="21"/>
            </w:rPr>
            <w:fldChar w:fldCharType="begin"/>
          </w:r>
          <w:r>
            <w:rPr>
              <w:sz w:val="21"/>
              <w:szCs w:val="21"/>
            </w:rPr>
            <w:instrText xml:space="preserve"> PAGEREF _Toc30606 \h </w:instrText>
          </w:r>
          <w:r>
            <w:rPr>
              <w:sz w:val="21"/>
              <w:szCs w:val="21"/>
            </w:rPr>
            <w:fldChar w:fldCharType="separate"/>
          </w:r>
          <w:r>
            <w:rPr>
              <w:sz w:val="21"/>
              <w:szCs w:val="21"/>
            </w:rPr>
            <w:t>30</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"_Toc6595" </w:instrText>
          </w:r>
          <w:r>
            <w:fldChar w:fldCharType="separate"/>
          </w:r>
          <w:r>
            <w:rPr>
              <w:rFonts w:hint="eastAsia"/>
              <w:sz w:val="21"/>
              <w:szCs w:val="21"/>
            </w:rPr>
            <w:t>5</w:t>
          </w:r>
          <w:r>
            <w:rPr>
              <w:sz w:val="21"/>
              <w:szCs w:val="21"/>
            </w:rPr>
            <w:t>.3.3</w:t>
          </w:r>
          <w:r>
            <w:rPr>
              <w:rFonts w:hint="eastAsia"/>
              <w:sz w:val="21"/>
              <w:szCs w:val="21"/>
            </w:rPr>
            <w:t>与《湖南省入河排污口监督管理办法》符合性分析</w:t>
          </w:r>
          <w:r>
            <w:rPr>
              <w:sz w:val="21"/>
              <w:szCs w:val="21"/>
            </w:rPr>
            <w:tab/>
          </w:r>
          <w:r>
            <w:rPr>
              <w:sz w:val="21"/>
              <w:szCs w:val="21"/>
            </w:rPr>
            <w:fldChar w:fldCharType="begin"/>
          </w:r>
          <w:r>
            <w:rPr>
              <w:sz w:val="21"/>
              <w:szCs w:val="21"/>
            </w:rPr>
            <w:instrText xml:space="preserve"> PAGEREF _Toc6595 \h </w:instrText>
          </w:r>
          <w:r>
            <w:rPr>
              <w:sz w:val="21"/>
              <w:szCs w:val="21"/>
            </w:rPr>
            <w:fldChar w:fldCharType="separate"/>
          </w:r>
          <w:r>
            <w:rPr>
              <w:sz w:val="21"/>
              <w:szCs w:val="21"/>
            </w:rPr>
            <w:t>31</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"_Toc26121" </w:instrText>
          </w:r>
          <w:r>
            <w:fldChar w:fldCharType="separate"/>
          </w:r>
          <w:r>
            <w:rPr>
              <w:rFonts w:hint="eastAsia"/>
              <w:sz w:val="21"/>
              <w:szCs w:val="21"/>
            </w:rPr>
            <w:t>5</w:t>
          </w:r>
          <w:r>
            <w:rPr>
              <w:sz w:val="21"/>
              <w:szCs w:val="21"/>
            </w:rPr>
            <w:t>.3.4</w:t>
          </w:r>
          <w:r>
            <w:rPr>
              <w:rFonts w:hint="eastAsia"/>
              <w:sz w:val="21"/>
              <w:szCs w:val="21"/>
            </w:rPr>
            <w:t>与防洪要求符合性分析</w:t>
          </w:r>
          <w:r>
            <w:rPr>
              <w:sz w:val="21"/>
              <w:szCs w:val="21"/>
            </w:rPr>
            <w:tab/>
          </w:r>
          <w:r>
            <w:rPr>
              <w:sz w:val="21"/>
              <w:szCs w:val="21"/>
            </w:rPr>
            <w:fldChar w:fldCharType="begin"/>
          </w:r>
          <w:r>
            <w:rPr>
              <w:sz w:val="21"/>
              <w:szCs w:val="21"/>
            </w:rPr>
            <w:instrText xml:space="preserve"> PAGEREF _Toc26121 \h </w:instrText>
          </w:r>
          <w:r>
            <w:rPr>
              <w:sz w:val="21"/>
              <w:szCs w:val="21"/>
            </w:rPr>
            <w:fldChar w:fldCharType="separate"/>
          </w:r>
          <w:r>
            <w:rPr>
              <w:sz w:val="21"/>
              <w:szCs w:val="21"/>
            </w:rPr>
            <w:t>32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"_Toc15481" </w:instrText>
          </w:r>
          <w:r>
            <w:fldChar w:fldCharType="separate"/>
          </w:r>
          <w:r>
            <w:rPr>
              <w:rFonts w:hint="eastAsia"/>
              <w:sz w:val="21"/>
              <w:szCs w:val="21"/>
            </w:rPr>
            <w:t>5</w:t>
          </w:r>
          <w:r>
            <w:rPr>
              <w:sz w:val="21"/>
              <w:szCs w:val="21"/>
            </w:rPr>
            <w:t>.3.5</w:t>
          </w:r>
          <w:r>
            <w:rPr>
              <w:rFonts w:hint="eastAsia"/>
              <w:sz w:val="21"/>
              <w:szCs w:val="21"/>
            </w:rPr>
            <w:t>与《水产种质资源保护区管理暂行办法》符合性分析</w:t>
          </w:r>
          <w:r>
            <w:rPr>
              <w:sz w:val="21"/>
              <w:szCs w:val="21"/>
            </w:rPr>
            <w:tab/>
          </w:r>
          <w:r>
            <w:rPr>
              <w:sz w:val="21"/>
              <w:szCs w:val="21"/>
            </w:rPr>
            <w:fldChar w:fldCharType="begin"/>
          </w:r>
          <w:r>
            <w:rPr>
              <w:sz w:val="21"/>
              <w:szCs w:val="21"/>
            </w:rPr>
            <w:instrText xml:space="preserve"> PAGEREF _Toc15481 \h </w:instrText>
          </w:r>
          <w:r>
            <w:rPr>
              <w:sz w:val="21"/>
              <w:szCs w:val="21"/>
            </w:rPr>
            <w:fldChar w:fldCharType="separate"/>
          </w:r>
          <w:r>
            <w:rPr>
              <w:sz w:val="21"/>
              <w:szCs w:val="21"/>
            </w:rPr>
            <w:t>32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"_Toc19344" </w:instrText>
          </w:r>
          <w:r>
            <w:fldChar w:fldCharType="separate"/>
          </w:r>
          <w:r>
            <w:rPr>
              <w:rFonts w:hint="eastAsia"/>
              <w:sz w:val="21"/>
              <w:szCs w:val="21"/>
            </w:rPr>
            <w:t>5</w:t>
          </w:r>
          <w:r>
            <w:rPr>
              <w:sz w:val="21"/>
              <w:szCs w:val="21"/>
            </w:rPr>
            <w:t>.3.6</w:t>
          </w:r>
          <w:r>
            <w:rPr>
              <w:rFonts w:hint="eastAsia"/>
              <w:sz w:val="21"/>
              <w:szCs w:val="21"/>
            </w:rPr>
            <w:t>与《饮用水源保护区污染防治管理规定》符合性分析</w:t>
          </w:r>
          <w:r>
            <w:rPr>
              <w:sz w:val="21"/>
              <w:szCs w:val="21"/>
            </w:rPr>
            <w:tab/>
          </w:r>
          <w:r>
            <w:rPr>
              <w:sz w:val="21"/>
              <w:szCs w:val="21"/>
            </w:rPr>
            <w:fldChar w:fldCharType="begin"/>
          </w:r>
          <w:r>
            <w:rPr>
              <w:sz w:val="21"/>
              <w:szCs w:val="21"/>
            </w:rPr>
            <w:instrText xml:space="preserve"> PAGEREF _Toc19344 \h </w:instrText>
          </w:r>
          <w:r>
            <w:rPr>
              <w:sz w:val="21"/>
              <w:szCs w:val="21"/>
            </w:rPr>
            <w:fldChar w:fldCharType="separate"/>
          </w:r>
          <w:r>
            <w:rPr>
              <w:sz w:val="21"/>
              <w:szCs w:val="21"/>
            </w:rPr>
            <w:t>32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"_Toc23177" </w:instrText>
          </w:r>
          <w:r>
            <w:fldChar w:fldCharType="separate"/>
          </w:r>
          <w:r>
            <w:rPr>
              <w:rFonts w:hint="eastAsia"/>
              <w:sz w:val="21"/>
              <w:szCs w:val="21"/>
            </w:rPr>
            <w:t>5</w:t>
          </w:r>
          <w:r>
            <w:rPr>
              <w:sz w:val="21"/>
              <w:szCs w:val="21"/>
            </w:rPr>
            <w:t>.4</w:t>
          </w:r>
          <w:r>
            <w:rPr>
              <w:rFonts w:hint="eastAsia"/>
              <w:sz w:val="21"/>
              <w:szCs w:val="21"/>
            </w:rPr>
            <w:t>入河排污口设置方案</w:t>
          </w:r>
          <w:r>
            <w:rPr>
              <w:sz w:val="21"/>
              <w:szCs w:val="21"/>
            </w:rPr>
            <w:tab/>
          </w:r>
          <w:r>
            <w:rPr>
              <w:sz w:val="21"/>
              <w:szCs w:val="21"/>
            </w:rPr>
            <w:fldChar w:fldCharType="begin"/>
          </w:r>
          <w:r>
            <w:rPr>
              <w:sz w:val="21"/>
              <w:szCs w:val="21"/>
            </w:rPr>
            <w:instrText xml:space="preserve"> PAGEREF _Toc23177 \h </w:instrText>
          </w:r>
          <w:r>
            <w:rPr>
              <w:sz w:val="21"/>
              <w:szCs w:val="21"/>
            </w:rPr>
            <w:fldChar w:fldCharType="separate"/>
          </w:r>
          <w:r>
            <w:rPr>
              <w:sz w:val="21"/>
              <w:szCs w:val="21"/>
            </w:rPr>
            <w:t>32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"_Toc24212" </w:instrText>
          </w:r>
          <w:r>
            <w:fldChar w:fldCharType="separate"/>
          </w:r>
          <w:r>
            <w:rPr>
              <w:rFonts w:hint="eastAsia"/>
              <w:sz w:val="21"/>
              <w:szCs w:val="21"/>
            </w:rPr>
            <w:t>5</w:t>
          </w:r>
          <w:r>
            <w:rPr>
              <w:sz w:val="21"/>
              <w:szCs w:val="21"/>
            </w:rPr>
            <w:t>.4.1</w:t>
          </w:r>
          <w:r>
            <w:rPr>
              <w:rFonts w:hint="eastAsia"/>
              <w:sz w:val="21"/>
              <w:szCs w:val="21"/>
            </w:rPr>
            <w:t>入河排污口设置基本情况</w:t>
          </w:r>
          <w:r>
            <w:rPr>
              <w:sz w:val="21"/>
              <w:szCs w:val="21"/>
            </w:rPr>
            <w:tab/>
          </w:r>
          <w:r>
            <w:rPr>
              <w:sz w:val="21"/>
              <w:szCs w:val="21"/>
            </w:rPr>
            <w:fldChar w:fldCharType="begin"/>
          </w:r>
          <w:r>
            <w:rPr>
              <w:sz w:val="21"/>
              <w:szCs w:val="21"/>
            </w:rPr>
            <w:instrText xml:space="preserve"> PAGEREF _Toc24212 \h </w:instrText>
          </w:r>
          <w:r>
            <w:rPr>
              <w:sz w:val="21"/>
              <w:szCs w:val="21"/>
            </w:rPr>
            <w:fldChar w:fldCharType="separate"/>
          </w:r>
          <w:r>
            <w:rPr>
              <w:sz w:val="21"/>
              <w:szCs w:val="21"/>
            </w:rPr>
            <w:t>32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"_Toc20095" </w:instrText>
          </w:r>
          <w:r>
            <w:fldChar w:fldCharType="separate"/>
          </w:r>
          <w:r>
            <w:rPr>
              <w:rFonts w:hint="eastAsia"/>
              <w:sz w:val="21"/>
              <w:szCs w:val="21"/>
            </w:rPr>
            <w:t>5</w:t>
          </w:r>
          <w:r>
            <w:rPr>
              <w:sz w:val="21"/>
              <w:szCs w:val="21"/>
            </w:rPr>
            <w:t>.4.2</w:t>
          </w:r>
          <w:r>
            <w:rPr>
              <w:rFonts w:hint="eastAsia"/>
              <w:sz w:val="21"/>
              <w:szCs w:val="21"/>
            </w:rPr>
            <w:t>入河排污口规范化建设及管理要求</w:t>
          </w:r>
          <w:r>
            <w:rPr>
              <w:sz w:val="21"/>
              <w:szCs w:val="21"/>
            </w:rPr>
            <w:tab/>
          </w:r>
          <w:r>
            <w:rPr>
              <w:sz w:val="21"/>
              <w:szCs w:val="21"/>
            </w:rPr>
            <w:fldChar w:fldCharType="begin"/>
          </w:r>
          <w:r>
            <w:rPr>
              <w:sz w:val="21"/>
              <w:szCs w:val="21"/>
            </w:rPr>
            <w:instrText xml:space="preserve"> PAGEREF _Toc20095 \h </w:instrText>
          </w:r>
          <w:r>
            <w:rPr>
              <w:sz w:val="21"/>
              <w:szCs w:val="21"/>
            </w:rPr>
            <w:fldChar w:fldCharType="separate"/>
          </w:r>
          <w:r>
            <w:rPr>
              <w:sz w:val="21"/>
              <w:szCs w:val="21"/>
            </w:rPr>
            <w:t>33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"_Toc7628" </w:instrText>
          </w:r>
          <w:r>
            <w:fldChar w:fldCharType="separate"/>
          </w:r>
          <w:r>
            <w:rPr>
              <w:rFonts w:hint="eastAsia"/>
              <w:sz w:val="21"/>
              <w:szCs w:val="21"/>
            </w:rPr>
            <w:t>5</w:t>
          </w:r>
          <w:r>
            <w:rPr>
              <w:sz w:val="21"/>
              <w:szCs w:val="21"/>
            </w:rPr>
            <w:t>.4.3</w:t>
          </w:r>
          <w:r>
            <w:rPr>
              <w:rFonts w:hint="eastAsia"/>
              <w:sz w:val="21"/>
              <w:szCs w:val="21"/>
            </w:rPr>
            <w:t>入河排污口标识设置</w:t>
          </w:r>
          <w:r>
            <w:rPr>
              <w:sz w:val="21"/>
              <w:szCs w:val="21"/>
            </w:rPr>
            <w:tab/>
          </w:r>
          <w:r>
            <w:rPr>
              <w:sz w:val="21"/>
              <w:szCs w:val="21"/>
            </w:rPr>
            <w:fldChar w:fldCharType="begin"/>
          </w:r>
          <w:r>
            <w:rPr>
              <w:sz w:val="21"/>
              <w:szCs w:val="21"/>
            </w:rPr>
            <w:instrText xml:space="preserve"> PAGEREF _Toc7628 \h </w:instrText>
          </w:r>
          <w:r>
            <w:rPr>
              <w:sz w:val="21"/>
              <w:szCs w:val="21"/>
            </w:rPr>
            <w:fldChar w:fldCharType="separate"/>
          </w:r>
          <w:r>
            <w:rPr>
              <w:sz w:val="21"/>
              <w:szCs w:val="21"/>
            </w:rPr>
            <w:t>33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"_Toc22825" </w:instrText>
          </w:r>
          <w:r>
            <w:fldChar w:fldCharType="separate"/>
          </w:r>
          <w:r>
            <w:rPr>
              <w:rFonts w:hint="eastAsia"/>
              <w:sz w:val="21"/>
              <w:szCs w:val="21"/>
            </w:rPr>
            <w:t>5</w:t>
          </w:r>
          <w:r>
            <w:rPr>
              <w:sz w:val="21"/>
              <w:szCs w:val="21"/>
            </w:rPr>
            <w:t>.4.4</w:t>
          </w:r>
          <w:r>
            <w:rPr>
              <w:rFonts w:hint="eastAsia"/>
              <w:sz w:val="21"/>
              <w:szCs w:val="21"/>
            </w:rPr>
            <w:t>入河排污口监测</w:t>
          </w:r>
          <w:r>
            <w:rPr>
              <w:sz w:val="21"/>
              <w:szCs w:val="21"/>
            </w:rPr>
            <w:tab/>
          </w:r>
          <w:r>
            <w:rPr>
              <w:sz w:val="21"/>
              <w:szCs w:val="21"/>
            </w:rPr>
            <w:fldChar w:fldCharType="begin"/>
          </w:r>
          <w:r>
            <w:rPr>
              <w:sz w:val="21"/>
              <w:szCs w:val="21"/>
            </w:rPr>
            <w:instrText xml:space="preserve"> PAGEREF _Toc22825 \h </w:instrText>
          </w:r>
          <w:r>
            <w:rPr>
              <w:sz w:val="21"/>
              <w:szCs w:val="21"/>
            </w:rPr>
            <w:fldChar w:fldCharType="separate"/>
          </w:r>
          <w:r>
            <w:rPr>
              <w:sz w:val="21"/>
              <w:szCs w:val="21"/>
            </w:rPr>
            <w:t>34</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"_Toc22519" </w:instrText>
          </w:r>
          <w:r>
            <w:fldChar w:fldCharType="separate"/>
          </w:r>
          <w:r>
            <w:rPr>
              <w:rFonts w:hint="eastAsia"/>
              <w:sz w:val="21"/>
              <w:szCs w:val="21"/>
            </w:rPr>
            <w:t>6入河排污口设置对水功能区水质和水生态影响分析</w:t>
          </w:r>
          <w:r>
            <w:rPr>
              <w:sz w:val="21"/>
              <w:szCs w:val="21"/>
            </w:rPr>
            <w:tab/>
          </w:r>
          <w:r>
            <w:rPr>
              <w:sz w:val="21"/>
              <w:szCs w:val="21"/>
            </w:rPr>
            <w:fldChar w:fldCharType="begin"/>
          </w:r>
          <w:r>
            <w:rPr>
              <w:sz w:val="21"/>
              <w:szCs w:val="21"/>
            </w:rPr>
            <w:instrText xml:space="preserve"> PAGEREF _Toc22519 \h </w:instrText>
          </w:r>
          <w:r>
            <w:rPr>
              <w:sz w:val="21"/>
              <w:szCs w:val="21"/>
            </w:rPr>
            <w:fldChar w:fldCharType="separate"/>
          </w:r>
          <w:r>
            <w:rPr>
              <w:sz w:val="21"/>
              <w:szCs w:val="21"/>
            </w:rPr>
            <w:t>36</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"_Toc715" </w:instrText>
          </w:r>
          <w:r>
            <w:fldChar w:fldCharType="separate"/>
          </w:r>
          <w:r>
            <w:rPr>
              <w:rFonts w:hint="eastAsia"/>
              <w:sz w:val="21"/>
              <w:szCs w:val="21"/>
            </w:rPr>
            <w:t>6</w:t>
          </w:r>
          <w:r>
            <w:rPr>
              <w:sz w:val="21"/>
              <w:szCs w:val="21"/>
            </w:rPr>
            <w:t>.1</w:t>
          </w:r>
          <w:r>
            <w:rPr>
              <w:rFonts w:hint="eastAsia"/>
              <w:sz w:val="21"/>
              <w:szCs w:val="21"/>
            </w:rPr>
            <w:t>影响范围</w:t>
          </w:r>
          <w:r>
            <w:rPr>
              <w:sz w:val="21"/>
              <w:szCs w:val="21"/>
            </w:rPr>
            <w:tab/>
          </w:r>
          <w:r>
            <w:rPr>
              <w:sz w:val="21"/>
              <w:szCs w:val="21"/>
            </w:rPr>
            <w:fldChar w:fldCharType="begin"/>
          </w:r>
          <w:r>
            <w:rPr>
              <w:sz w:val="21"/>
              <w:szCs w:val="21"/>
            </w:rPr>
            <w:instrText xml:space="preserve"> PAGEREF _Toc715 \h </w:instrText>
          </w:r>
          <w:r>
            <w:rPr>
              <w:sz w:val="21"/>
              <w:szCs w:val="21"/>
            </w:rPr>
            <w:fldChar w:fldCharType="separate"/>
          </w:r>
          <w:r>
            <w:rPr>
              <w:sz w:val="21"/>
              <w:szCs w:val="21"/>
            </w:rPr>
            <w:t>36</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"_Toc7875" </w:instrText>
          </w:r>
          <w:r>
            <w:fldChar w:fldCharType="separate"/>
          </w:r>
          <w:r>
            <w:rPr>
              <w:rFonts w:hint="eastAsia"/>
              <w:sz w:val="21"/>
              <w:szCs w:val="21"/>
            </w:rPr>
            <w:t>16</w:t>
          </w:r>
          <w:r>
            <w:rPr>
              <w:sz w:val="21"/>
              <w:szCs w:val="21"/>
            </w:rPr>
            <w:t>.1.1</w:t>
          </w:r>
          <w:r>
            <w:rPr>
              <w:rFonts w:hint="eastAsia"/>
              <w:sz w:val="21"/>
              <w:szCs w:val="21"/>
            </w:rPr>
            <w:t>预测因子的选择</w:t>
          </w:r>
          <w:r>
            <w:rPr>
              <w:sz w:val="21"/>
              <w:szCs w:val="21"/>
            </w:rPr>
            <w:tab/>
          </w:r>
          <w:r>
            <w:rPr>
              <w:sz w:val="21"/>
              <w:szCs w:val="21"/>
            </w:rPr>
            <w:fldChar w:fldCharType="begin"/>
          </w:r>
          <w:r>
            <w:rPr>
              <w:sz w:val="21"/>
              <w:szCs w:val="21"/>
            </w:rPr>
            <w:instrText xml:space="preserve"> PAGEREF _Toc7875 \h </w:instrText>
          </w:r>
          <w:r>
            <w:rPr>
              <w:sz w:val="21"/>
              <w:szCs w:val="21"/>
            </w:rPr>
            <w:fldChar w:fldCharType="separate"/>
          </w:r>
          <w:r>
            <w:rPr>
              <w:sz w:val="21"/>
              <w:szCs w:val="21"/>
            </w:rPr>
            <w:t>36</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"_Toc32497" </w:instrText>
          </w:r>
          <w:r>
            <w:fldChar w:fldCharType="separate"/>
          </w:r>
          <w:r>
            <w:rPr>
              <w:rFonts w:hint="eastAsia"/>
              <w:sz w:val="21"/>
              <w:szCs w:val="21"/>
            </w:rPr>
            <w:t>6</w:t>
          </w:r>
          <w:r>
            <w:rPr>
              <w:sz w:val="21"/>
              <w:szCs w:val="21"/>
            </w:rPr>
            <w:t>.1.2</w:t>
          </w:r>
          <w:r>
            <w:rPr>
              <w:rFonts w:hint="eastAsia"/>
              <w:sz w:val="21"/>
              <w:szCs w:val="21"/>
            </w:rPr>
            <w:t>水质预测方法</w:t>
          </w:r>
          <w:r>
            <w:rPr>
              <w:sz w:val="21"/>
              <w:szCs w:val="21"/>
            </w:rPr>
            <w:tab/>
          </w:r>
          <w:r>
            <w:rPr>
              <w:sz w:val="21"/>
              <w:szCs w:val="21"/>
            </w:rPr>
            <w:fldChar w:fldCharType="begin"/>
          </w:r>
          <w:r>
            <w:rPr>
              <w:sz w:val="21"/>
              <w:szCs w:val="21"/>
            </w:rPr>
            <w:instrText xml:space="preserve"> PAGEREF _Toc32497 \h </w:instrText>
          </w:r>
          <w:r>
            <w:rPr>
              <w:sz w:val="21"/>
              <w:szCs w:val="21"/>
            </w:rPr>
            <w:fldChar w:fldCharType="separate"/>
          </w:r>
          <w:r>
            <w:rPr>
              <w:sz w:val="21"/>
              <w:szCs w:val="21"/>
            </w:rPr>
            <w:t>36</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"_Toc26072" </w:instrText>
          </w:r>
          <w:r>
            <w:fldChar w:fldCharType="separate"/>
          </w:r>
          <w:r>
            <w:rPr>
              <w:rFonts w:hint="eastAsia"/>
              <w:sz w:val="21"/>
              <w:szCs w:val="21"/>
            </w:rPr>
            <w:t>6</w:t>
          </w:r>
          <w:r>
            <w:rPr>
              <w:sz w:val="21"/>
              <w:szCs w:val="21"/>
            </w:rPr>
            <w:t>.1.3</w:t>
          </w:r>
          <w:r>
            <w:rPr>
              <w:rFonts w:hint="eastAsia"/>
              <w:sz w:val="21"/>
              <w:szCs w:val="21"/>
            </w:rPr>
            <w:t>预测参数的确定</w:t>
          </w:r>
          <w:r>
            <w:rPr>
              <w:sz w:val="21"/>
              <w:szCs w:val="21"/>
            </w:rPr>
            <w:tab/>
          </w:r>
          <w:r>
            <w:rPr>
              <w:sz w:val="21"/>
              <w:szCs w:val="21"/>
            </w:rPr>
            <w:fldChar w:fldCharType="begin"/>
          </w:r>
          <w:r>
            <w:rPr>
              <w:sz w:val="21"/>
              <w:szCs w:val="21"/>
            </w:rPr>
            <w:instrText xml:space="preserve"> PAGEREF _Toc26072 \h </w:instrText>
          </w:r>
          <w:r>
            <w:rPr>
              <w:sz w:val="21"/>
              <w:szCs w:val="21"/>
            </w:rPr>
            <w:fldChar w:fldCharType="separate"/>
          </w:r>
          <w:r>
            <w:rPr>
              <w:sz w:val="21"/>
              <w:szCs w:val="21"/>
            </w:rPr>
            <w:t>37</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"_Toc28609" </w:instrText>
          </w:r>
          <w:r>
            <w:fldChar w:fldCharType="separate"/>
          </w:r>
          <w:r>
            <w:rPr>
              <w:rFonts w:hint="eastAsia"/>
              <w:sz w:val="21"/>
              <w:szCs w:val="21"/>
            </w:rPr>
            <w:t>6</w:t>
          </w:r>
          <w:r>
            <w:rPr>
              <w:sz w:val="21"/>
              <w:szCs w:val="21"/>
            </w:rPr>
            <w:t>.1.4</w:t>
          </w:r>
          <w:r>
            <w:rPr>
              <w:rFonts w:hint="eastAsia"/>
              <w:sz w:val="21"/>
              <w:szCs w:val="21"/>
            </w:rPr>
            <w:t>预测情形及排放源强</w:t>
          </w:r>
          <w:r>
            <w:rPr>
              <w:sz w:val="21"/>
              <w:szCs w:val="21"/>
            </w:rPr>
            <w:tab/>
          </w:r>
          <w:r>
            <w:rPr>
              <w:sz w:val="21"/>
              <w:szCs w:val="21"/>
            </w:rPr>
            <w:fldChar w:fldCharType="begin"/>
          </w:r>
          <w:r>
            <w:rPr>
              <w:sz w:val="21"/>
              <w:szCs w:val="21"/>
            </w:rPr>
            <w:instrText xml:space="preserve"> PAGEREF _Toc28609 \h </w:instrText>
          </w:r>
          <w:r>
            <w:rPr>
              <w:sz w:val="21"/>
              <w:szCs w:val="21"/>
            </w:rPr>
            <w:fldChar w:fldCharType="separate"/>
          </w:r>
          <w:r>
            <w:rPr>
              <w:sz w:val="21"/>
              <w:szCs w:val="21"/>
            </w:rPr>
            <w:t>38</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"_Toc22362" </w:instrText>
          </w:r>
          <w:r>
            <w:fldChar w:fldCharType="separate"/>
          </w:r>
          <w:r>
            <w:rPr>
              <w:rFonts w:hint="eastAsia"/>
              <w:sz w:val="21"/>
              <w:szCs w:val="21"/>
            </w:rPr>
            <w:t>6</w:t>
          </w:r>
          <w:r>
            <w:rPr>
              <w:sz w:val="21"/>
              <w:szCs w:val="21"/>
            </w:rPr>
            <w:t>.2</w:t>
          </w:r>
          <w:r>
            <w:rPr>
              <w:rFonts w:hint="eastAsia"/>
              <w:sz w:val="21"/>
              <w:szCs w:val="21"/>
            </w:rPr>
            <w:t>对水功能区水质影响分析</w:t>
          </w:r>
          <w:r>
            <w:rPr>
              <w:sz w:val="21"/>
              <w:szCs w:val="21"/>
            </w:rPr>
            <w:tab/>
          </w:r>
          <w:r>
            <w:rPr>
              <w:sz w:val="21"/>
              <w:szCs w:val="21"/>
            </w:rPr>
            <w:fldChar w:fldCharType="begin"/>
          </w:r>
          <w:r>
            <w:rPr>
              <w:sz w:val="21"/>
              <w:szCs w:val="21"/>
            </w:rPr>
            <w:instrText xml:space="preserve"> PAGEREF _Toc22362 \h </w:instrText>
          </w:r>
          <w:r>
            <w:rPr>
              <w:sz w:val="21"/>
              <w:szCs w:val="21"/>
            </w:rPr>
            <w:fldChar w:fldCharType="separate"/>
          </w:r>
          <w:r>
            <w:rPr>
              <w:sz w:val="21"/>
              <w:szCs w:val="21"/>
            </w:rPr>
            <w:t>38</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"_Toc3330" </w:instrText>
          </w:r>
          <w:r>
            <w:fldChar w:fldCharType="separate"/>
          </w:r>
          <w:r>
            <w:rPr>
              <w:rFonts w:hint="eastAsia"/>
              <w:sz w:val="21"/>
              <w:szCs w:val="21"/>
            </w:rPr>
            <w:t>6</w:t>
          </w:r>
          <w:r>
            <w:rPr>
              <w:sz w:val="21"/>
              <w:szCs w:val="21"/>
            </w:rPr>
            <w:t>.2.1</w:t>
          </w:r>
          <w:r>
            <w:rPr>
              <w:rFonts w:hint="eastAsia"/>
              <w:sz w:val="21"/>
              <w:szCs w:val="21"/>
            </w:rPr>
            <w:t>正常排放情况预测</w:t>
          </w:r>
          <w:r>
            <w:rPr>
              <w:sz w:val="21"/>
              <w:szCs w:val="21"/>
            </w:rPr>
            <w:tab/>
          </w:r>
          <w:r>
            <w:rPr>
              <w:sz w:val="21"/>
              <w:szCs w:val="21"/>
            </w:rPr>
            <w:fldChar w:fldCharType="begin"/>
          </w:r>
          <w:r>
            <w:rPr>
              <w:sz w:val="21"/>
              <w:szCs w:val="21"/>
            </w:rPr>
            <w:instrText xml:space="preserve"> PAGEREF _Toc3330 \h </w:instrText>
          </w:r>
          <w:r>
            <w:rPr>
              <w:sz w:val="21"/>
              <w:szCs w:val="21"/>
            </w:rPr>
            <w:fldChar w:fldCharType="separate"/>
          </w:r>
          <w:r>
            <w:rPr>
              <w:sz w:val="21"/>
              <w:szCs w:val="21"/>
            </w:rPr>
            <w:t>38</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"_Toc29024" </w:instrText>
          </w:r>
          <w:r>
            <w:fldChar w:fldCharType="separate"/>
          </w:r>
          <w:r>
            <w:rPr>
              <w:rFonts w:hint="eastAsia"/>
              <w:sz w:val="21"/>
              <w:szCs w:val="21"/>
            </w:rPr>
            <w:t>6</w:t>
          </w:r>
          <w:r>
            <w:rPr>
              <w:sz w:val="21"/>
              <w:szCs w:val="21"/>
            </w:rPr>
            <w:t>.2.2</w:t>
          </w:r>
          <w:r>
            <w:rPr>
              <w:rFonts w:hint="eastAsia"/>
              <w:sz w:val="21"/>
              <w:szCs w:val="21"/>
            </w:rPr>
            <w:t>非正常排放情况预测</w:t>
          </w:r>
          <w:r>
            <w:rPr>
              <w:sz w:val="21"/>
              <w:szCs w:val="21"/>
            </w:rPr>
            <w:tab/>
          </w:r>
          <w:r>
            <w:rPr>
              <w:sz w:val="21"/>
              <w:szCs w:val="21"/>
            </w:rPr>
            <w:fldChar w:fldCharType="begin"/>
          </w:r>
          <w:r>
            <w:rPr>
              <w:sz w:val="21"/>
              <w:szCs w:val="21"/>
            </w:rPr>
            <w:instrText xml:space="preserve"> PAGEREF _Toc29024 \h </w:instrText>
          </w:r>
          <w:r>
            <w:rPr>
              <w:sz w:val="21"/>
              <w:szCs w:val="21"/>
            </w:rPr>
            <w:fldChar w:fldCharType="separate"/>
          </w:r>
          <w:r>
            <w:rPr>
              <w:sz w:val="21"/>
              <w:szCs w:val="21"/>
            </w:rPr>
            <w:t>39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"_Toc5170" </w:instrText>
          </w:r>
          <w:r>
            <w:fldChar w:fldCharType="separate"/>
          </w:r>
          <w:r>
            <w:rPr>
              <w:rFonts w:hint="eastAsia"/>
              <w:sz w:val="21"/>
              <w:szCs w:val="21"/>
            </w:rPr>
            <w:t>6</w:t>
          </w:r>
          <w:r>
            <w:rPr>
              <w:sz w:val="21"/>
              <w:szCs w:val="21"/>
            </w:rPr>
            <w:t>.3</w:t>
          </w:r>
          <w:r>
            <w:rPr>
              <w:rFonts w:hint="eastAsia"/>
              <w:sz w:val="21"/>
              <w:szCs w:val="21"/>
            </w:rPr>
            <w:t>对水生生态影响分析</w:t>
          </w:r>
          <w:r>
            <w:rPr>
              <w:sz w:val="21"/>
              <w:szCs w:val="21"/>
            </w:rPr>
            <w:tab/>
          </w:r>
          <w:r>
            <w:rPr>
              <w:sz w:val="21"/>
              <w:szCs w:val="21"/>
            </w:rPr>
            <w:fldChar w:fldCharType="begin"/>
          </w:r>
          <w:r>
            <w:rPr>
              <w:sz w:val="21"/>
              <w:szCs w:val="21"/>
            </w:rPr>
            <w:instrText xml:space="preserve"> PAGEREF _Toc5170 \h </w:instrText>
          </w:r>
          <w:r>
            <w:rPr>
              <w:sz w:val="21"/>
              <w:szCs w:val="21"/>
            </w:rPr>
            <w:fldChar w:fldCharType="separate"/>
          </w:r>
          <w:r>
            <w:rPr>
              <w:sz w:val="21"/>
              <w:szCs w:val="21"/>
            </w:rPr>
            <w:t>41</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"_Toc23597" </w:instrText>
          </w:r>
          <w:r>
            <w:fldChar w:fldCharType="separate"/>
          </w:r>
          <w:r>
            <w:rPr>
              <w:rFonts w:hint="eastAsia"/>
              <w:sz w:val="21"/>
              <w:szCs w:val="21"/>
            </w:rPr>
            <w:t>6</w:t>
          </w:r>
          <w:r>
            <w:rPr>
              <w:sz w:val="21"/>
              <w:szCs w:val="21"/>
            </w:rPr>
            <w:t>.4</w:t>
          </w:r>
          <w:r>
            <w:rPr>
              <w:rFonts w:hint="eastAsia"/>
              <w:sz w:val="21"/>
              <w:szCs w:val="21"/>
            </w:rPr>
            <w:t>对地下水影响分析</w:t>
          </w:r>
          <w:r>
            <w:rPr>
              <w:sz w:val="21"/>
              <w:szCs w:val="21"/>
            </w:rPr>
            <w:tab/>
          </w:r>
          <w:r>
            <w:rPr>
              <w:sz w:val="21"/>
              <w:szCs w:val="21"/>
            </w:rPr>
            <w:fldChar w:fldCharType="begin"/>
          </w:r>
          <w:r>
            <w:rPr>
              <w:sz w:val="21"/>
              <w:szCs w:val="21"/>
            </w:rPr>
            <w:instrText xml:space="preserve"> PAGEREF _Toc23597 \h </w:instrText>
          </w:r>
          <w:r>
            <w:rPr>
              <w:sz w:val="21"/>
              <w:szCs w:val="21"/>
            </w:rPr>
            <w:fldChar w:fldCharType="separate"/>
          </w:r>
          <w:r>
            <w:rPr>
              <w:sz w:val="21"/>
              <w:szCs w:val="21"/>
            </w:rPr>
            <w:t>41</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"_Toc21079" </w:instrText>
          </w:r>
          <w:r>
            <w:fldChar w:fldCharType="separate"/>
          </w:r>
          <w:r>
            <w:rPr>
              <w:rFonts w:hint="eastAsia"/>
              <w:sz w:val="21"/>
              <w:szCs w:val="21"/>
            </w:rPr>
            <w:t>6</w:t>
          </w:r>
          <w:r>
            <w:rPr>
              <w:sz w:val="21"/>
              <w:szCs w:val="21"/>
            </w:rPr>
            <w:t>.5</w:t>
          </w:r>
          <w:r>
            <w:rPr>
              <w:rFonts w:hint="eastAsia"/>
              <w:sz w:val="21"/>
              <w:szCs w:val="21"/>
            </w:rPr>
            <w:t>对第三者影响分析</w:t>
          </w:r>
          <w:r>
            <w:rPr>
              <w:sz w:val="21"/>
              <w:szCs w:val="21"/>
            </w:rPr>
            <w:tab/>
          </w:r>
          <w:r>
            <w:rPr>
              <w:sz w:val="21"/>
              <w:szCs w:val="21"/>
            </w:rPr>
            <w:fldChar w:fldCharType="begin"/>
          </w:r>
          <w:r>
            <w:rPr>
              <w:sz w:val="21"/>
              <w:szCs w:val="21"/>
            </w:rPr>
            <w:instrText xml:space="preserve"> PAGEREF _Toc21079 \h </w:instrText>
          </w:r>
          <w:r>
            <w:rPr>
              <w:sz w:val="21"/>
              <w:szCs w:val="21"/>
            </w:rPr>
            <w:fldChar w:fldCharType="separate"/>
          </w:r>
          <w:r>
            <w:rPr>
              <w:sz w:val="21"/>
              <w:szCs w:val="21"/>
            </w:rPr>
            <w:t>42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"_Toc10036" </w:instrText>
          </w:r>
          <w:r>
            <w:fldChar w:fldCharType="separate"/>
          </w:r>
          <w:r>
            <w:rPr>
              <w:rFonts w:hint="eastAsia"/>
              <w:sz w:val="21"/>
              <w:szCs w:val="21"/>
            </w:rPr>
            <w:t>6</w:t>
          </w:r>
          <w:r>
            <w:rPr>
              <w:sz w:val="21"/>
              <w:szCs w:val="21"/>
            </w:rPr>
            <w:t>.5.1</w:t>
          </w:r>
          <w:r>
            <w:rPr>
              <w:rFonts w:hint="eastAsia"/>
              <w:sz w:val="21"/>
              <w:szCs w:val="21"/>
            </w:rPr>
            <w:t>对控制断面水质影响分析</w:t>
          </w:r>
          <w:r>
            <w:rPr>
              <w:sz w:val="21"/>
              <w:szCs w:val="21"/>
            </w:rPr>
            <w:tab/>
          </w:r>
          <w:r>
            <w:rPr>
              <w:sz w:val="21"/>
              <w:szCs w:val="21"/>
            </w:rPr>
            <w:fldChar w:fldCharType="begin"/>
          </w:r>
          <w:r>
            <w:rPr>
              <w:sz w:val="21"/>
              <w:szCs w:val="21"/>
            </w:rPr>
            <w:instrText xml:space="preserve"> PAGEREF _Toc10036 \h </w:instrText>
          </w:r>
          <w:r>
            <w:rPr>
              <w:sz w:val="21"/>
              <w:szCs w:val="21"/>
            </w:rPr>
            <w:fldChar w:fldCharType="separate"/>
          </w:r>
          <w:r>
            <w:rPr>
              <w:sz w:val="21"/>
              <w:szCs w:val="21"/>
            </w:rPr>
            <w:t>42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"_Toc23935" </w:instrText>
          </w:r>
          <w:r>
            <w:fldChar w:fldCharType="separate"/>
          </w:r>
          <w:r>
            <w:rPr>
              <w:rFonts w:hint="eastAsia"/>
              <w:sz w:val="21"/>
              <w:szCs w:val="21"/>
            </w:rPr>
            <w:t>6</w:t>
          </w:r>
          <w:r>
            <w:rPr>
              <w:sz w:val="21"/>
              <w:szCs w:val="21"/>
            </w:rPr>
            <w:t>.5.2</w:t>
          </w:r>
          <w:r>
            <w:rPr>
              <w:rFonts w:hint="eastAsia"/>
              <w:sz w:val="21"/>
              <w:szCs w:val="21"/>
            </w:rPr>
            <w:t>对下游饮用水源保护区及取水单位的影响分析</w:t>
          </w:r>
          <w:r>
            <w:rPr>
              <w:sz w:val="21"/>
              <w:szCs w:val="21"/>
            </w:rPr>
            <w:tab/>
          </w:r>
          <w:r>
            <w:rPr>
              <w:sz w:val="21"/>
              <w:szCs w:val="21"/>
            </w:rPr>
            <w:fldChar w:fldCharType="begin"/>
          </w:r>
          <w:r>
            <w:rPr>
              <w:sz w:val="21"/>
              <w:szCs w:val="21"/>
            </w:rPr>
            <w:instrText xml:space="preserve"> PAGEREF _Toc23935 \h </w:instrText>
          </w:r>
          <w:r>
            <w:rPr>
              <w:sz w:val="21"/>
              <w:szCs w:val="21"/>
            </w:rPr>
            <w:fldChar w:fldCharType="separate"/>
          </w:r>
          <w:r>
            <w:rPr>
              <w:sz w:val="21"/>
              <w:szCs w:val="21"/>
            </w:rPr>
            <w:t>42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"_Toc19239" </w:instrText>
          </w:r>
          <w:r>
            <w:fldChar w:fldCharType="separate"/>
          </w:r>
          <w:r>
            <w:rPr>
              <w:rFonts w:hint="eastAsia"/>
              <w:sz w:val="21"/>
              <w:szCs w:val="21"/>
            </w:rPr>
            <w:t>6</w:t>
          </w:r>
          <w:r>
            <w:rPr>
              <w:sz w:val="21"/>
              <w:szCs w:val="21"/>
            </w:rPr>
            <w:t>.5.3</w:t>
          </w:r>
          <w:r>
            <w:rPr>
              <w:rFonts w:hint="eastAsia"/>
              <w:sz w:val="21"/>
              <w:szCs w:val="21"/>
            </w:rPr>
            <w:t>对河道行洪能力的影响分析</w:t>
          </w:r>
          <w:r>
            <w:rPr>
              <w:sz w:val="21"/>
              <w:szCs w:val="21"/>
            </w:rPr>
            <w:tab/>
          </w:r>
          <w:r>
            <w:rPr>
              <w:sz w:val="21"/>
              <w:szCs w:val="21"/>
            </w:rPr>
            <w:fldChar w:fldCharType="begin"/>
          </w:r>
          <w:r>
            <w:rPr>
              <w:sz w:val="21"/>
              <w:szCs w:val="21"/>
            </w:rPr>
            <w:instrText xml:space="preserve"> PAGEREF _Toc19239 \h </w:instrText>
          </w:r>
          <w:r>
            <w:rPr>
              <w:sz w:val="21"/>
              <w:szCs w:val="21"/>
            </w:rPr>
            <w:fldChar w:fldCharType="separate"/>
          </w:r>
          <w:r>
            <w:rPr>
              <w:sz w:val="21"/>
              <w:szCs w:val="21"/>
            </w:rPr>
            <w:t>42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"_Toc771" </w:instrText>
          </w:r>
          <w:r>
            <w:fldChar w:fldCharType="separate"/>
          </w:r>
          <w:r>
            <w:rPr>
              <w:rFonts w:hint="eastAsia"/>
              <w:sz w:val="21"/>
              <w:szCs w:val="21"/>
            </w:rPr>
            <w:t>6</w:t>
          </w:r>
          <w:r>
            <w:rPr>
              <w:sz w:val="21"/>
              <w:szCs w:val="21"/>
            </w:rPr>
            <w:t>.5.4</w:t>
          </w:r>
          <w:r>
            <w:rPr>
              <w:rFonts w:hint="eastAsia"/>
              <w:sz w:val="21"/>
              <w:szCs w:val="21"/>
            </w:rPr>
            <w:t>对周边农业用水的影响分析</w:t>
          </w:r>
          <w:r>
            <w:rPr>
              <w:sz w:val="21"/>
              <w:szCs w:val="21"/>
            </w:rPr>
            <w:tab/>
          </w:r>
          <w:r>
            <w:rPr>
              <w:sz w:val="21"/>
              <w:szCs w:val="21"/>
            </w:rPr>
            <w:fldChar w:fldCharType="begin"/>
          </w:r>
          <w:r>
            <w:rPr>
              <w:sz w:val="21"/>
              <w:szCs w:val="21"/>
            </w:rPr>
            <w:instrText xml:space="preserve"> PAGEREF _Toc771 \h </w:instrText>
          </w:r>
          <w:r>
            <w:rPr>
              <w:sz w:val="21"/>
              <w:szCs w:val="21"/>
            </w:rPr>
            <w:fldChar w:fldCharType="separate"/>
          </w:r>
          <w:r>
            <w:rPr>
              <w:sz w:val="21"/>
              <w:szCs w:val="21"/>
            </w:rPr>
            <w:t>42</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"_Toc423" </w:instrText>
          </w:r>
          <w:r>
            <w:fldChar w:fldCharType="separate"/>
          </w:r>
          <w:r>
            <w:rPr>
              <w:rFonts w:hint="eastAsia"/>
              <w:sz w:val="21"/>
              <w:szCs w:val="21"/>
            </w:rPr>
            <w:t>7水环境保护措施</w:t>
          </w:r>
          <w:r>
            <w:rPr>
              <w:sz w:val="21"/>
              <w:szCs w:val="21"/>
            </w:rPr>
            <w:tab/>
          </w:r>
          <w:r>
            <w:rPr>
              <w:sz w:val="21"/>
              <w:szCs w:val="21"/>
            </w:rPr>
            <w:fldChar w:fldCharType="begin"/>
          </w:r>
          <w:r>
            <w:rPr>
              <w:sz w:val="21"/>
              <w:szCs w:val="21"/>
            </w:rPr>
            <w:instrText xml:space="preserve"> PAGEREF _Toc423 \h </w:instrText>
          </w:r>
          <w:r>
            <w:rPr>
              <w:sz w:val="21"/>
              <w:szCs w:val="21"/>
            </w:rPr>
            <w:fldChar w:fldCharType="separate"/>
          </w:r>
          <w:r>
            <w:rPr>
              <w:sz w:val="21"/>
              <w:szCs w:val="21"/>
            </w:rPr>
            <w:t>43</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"_Toc22786" </w:instrText>
          </w:r>
          <w:r>
            <w:fldChar w:fldCharType="separate"/>
          </w:r>
          <w:r>
            <w:rPr>
              <w:rFonts w:hint="eastAsia"/>
              <w:sz w:val="21"/>
              <w:szCs w:val="21"/>
            </w:rPr>
            <w:t>7</w:t>
          </w:r>
          <w:r>
            <w:rPr>
              <w:sz w:val="21"/>
              <w:szCs w:val="21"/>
            </w:rPr>
            <w:t>.1</w:t>
          </w:r>
          <w:r>
            <w:rPr>
              <w:rFonts w:hint="eastAsia"/>
              <w:sz w:val="21"/>
              <w:szCs w:val="21"/>
            </w:rPr>
            <w:t>水生态保护措施</w:t>
          </w:r>
          <w:r>
            <w:rPr>
              <w:sz w:val="21"/>
              <w:szCs w:val="21"/>
            </w:rPr>
            <w:tab/>
          </w:r>
          <w:r>
            <w:rPr>
              <w:sz w:val="21"/>
              <w:szCs w:val="21"/>
            </w:rPr>
            <w:fldChar w:fldCharType="begin"/>
          </w:r>
          <w:r>
            <w:rPr>
              <w:sz w:val="21"/>
              <w:szCs w:val="21"/>
            </w:rPr>
            <w:instrText xml:space="preserve"> PAGEREF _Toc22786 \h </w:instrText>
          </w:r>
          <w:r>
            <w:rPr>
              <w:sz w:val="21"/>
              <w:szCs w:val="21"/>
            </w:rPr>
            <w:fldChar w:fldCharType="separate"/>
          </w:r>
          <w:r>
            <w:rPr>
              <w:sz w:val="21"/>
              <w:szCs w:val="21"/>
            </w:rPr>
            <w:t>43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"_Toc18256" </w:instrText>
          </w:r>
          <w:r>
            <w:fldChar w:fldCharType="separate"/>
          </w:r>
          <w:r>
            <w:rPr>
              <w:rFonts w:hint="eastAsia"/>
              <w:sz w:val="21"/>
              <w:szCs w:val="21"/>
            </w:rPr>
            <w:t>7</w:t>
          </w:r>
          <w:r>
            <w:rPr>
              <w:sz w:val="21"/>
              <w:szCs w:val="21"/>
            </w:rPr>
            <w:t>.1.1</w:t>
          </w:r>
          <w:r>
            <w:rPr>
              <w:rFonts w:hint="eastAsia"/>
              <w:sz w:val="21"/>
              <w:szCs w:val="21"/>
            </w:rPr>
            <w:t>水污染防治措施</w:t>
          </w:r>
          <w:r>
            <w:rPr>
              <w:sz w:val="21"/>
              <w:szCs w:val="21"/>
            </w:rPr>
            <w:tab/>
          </w:r>
          <w:r>
            <w:rPr>
              <w:sz w:val="21"/>
              <w:szCs w:val="21"/>
            </w:rPr>
            <w:fldChar w:fldCharType="begin"/>
          </w:r>
          <w:r>
            <w:rPr>
              <w:sz w:val="21"/>
              <w:szCs w:val="21"/>
            </w:rPr>
            <w:instrText xml:space="preserve"> PAGEREF _Toc18256 \h </w:instrText>
          </w:r>
          <w:r>
            <w:rPr>
              <w:sz w:val="21"/>
              <w:szCs w:val="21"/>
            </w:rPr>
            <w:fldChar w:fldCharType="separate"/>
          </w:r>
          <w:r>
            <w:rPr>
              <w:sz w:val="21"/>
              <w:szCs w:val="21"/>
            </w:rPr>
            <w:t>43</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"_Toc5306" </w:instrText>
          </w:r>
          <w:r>
            <w:fldChar w:fldCharType="separate"/>
          </w:r>
          <w:r>
            <w:rPr>
              <w:rFonts w:hint="eastAsia"/>
              <w:sz w:val="21"/>
              <w:szCs w:val="21"/>
            </w:rPr>
            <w:t>7</w:t>
          </w:r>
          <w:r>
            <w:rPr>
              <w:sz w:val="21"/>
              <w:szCs w:val="21"/>
            </w:rPr>
            <w:t>.1.2</w:t>
          </w:r>
          <w:r>
            <w:rPr>
              <w:rFonts w:hint="eastAsia"/>
              <w:sz w:val="21"/>
              <w:szCs w:val="21"/>
            </w:rPr>
            <w:t>水质监测</w:t>
          </w:r>
          <w:r>
            <w:rPr>
              <w:sz w:val="21"/>
              <w:szCs w:val="21"/>
            </w:rPr>
            <w:tab/>
          </w:r>
          <w:r>
            <w:rPr>
              <w:sz w:val="21"/>
              <w:szCs w:val="21"/>
            </w:rPr>
            <w:fldChar w:fldCharType="begin"/>
          </w:r>
          <w:r>
            <w:rPr>
              <w:sz w:val="21"/>
              <w:szCs w:val="21"/>
            </w:rPr>
            <w:instrText xml:space="preserve"> PAGEREF _Toc5306 \h </w:instrText>
          </w:r>
          <w:r>
            <w:rPr>
              <w:sz w:val="21"/>
              <w:szCs w:val="21"/>
            </w:rPr>
            <w:fldChar w:fldCharType="separate"/>
          </w:r>
          <w:r>
            <w:rPr>
              <w:sz w:val="21"/>
              <w:szCs w:val="21"/>
            </w:rPr>
            <w:t>43</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"_Toc17198" </w:instrText>
          </w:r>
          <w:r>
            <w:fldChar w:fldCharType="separate"/>
          </w:r>
          <w:r>
            <w:rPr>
              <w:rFonts w:hint="eastAsia"/>
              <w:sz w:val="21"/>
              <w:szCs w:val="21"/>
            </w:rPr>
            <w:t>7</w:t>
          </w:r>
          <w:r>
            <w:rPr>
              <w:sz w:val="21"/>
              <w:szCs w:val="21"/>
            </w:rPr>
            <w:t>.2</w:t>
          </w:r>
          <w:r>
            <w:rPr>
              <w:rFonts w:hint="eastAsia"/>
              <w:sz w:val="21"/>
              <w:szCs w:val="21"/>
            </w:rPr>
            <w:t>事故排污时应急措施</w:t>
          </w:r>
          <w:r>
            <w:rPr>
              <w:sz w:val="21"/>
              <w:szCs w:val="21"/>
            </w:rPr>
            <w:tab/>
          </w:r>
          <w:r>
            <w:rPr>
              <w:sz w:val="21"/>
              <w:szCs w:val="21"/>
            </w:rPr>
            <w:fldChar w:fldCharType="begin"/>
          </w:r>
          <w:r>
            <w:rPr>
              <w:sz w:val="21"/>
              <w:szCs w:val="21"/>
            </w:rPr>
            <w:instrText xml:space="preserve"> PAGEREF _Toc17198 \h </w:instrText>
          </w:r>
          <w:r>
            <w:rPr>
              <w:sz w:val="21"/>
              <w:szCs w:val="21"/>
            </w:rPr>
            <w:fldChar w:fldCharType="separate"/>
          </w:r>
          <w:r>
            <w:rPr>
              <w:sz w:val="21"/>
              <w:szCs w:val="21"/>
            </w:rPr>
            <w:t>44</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"_Toc5289" </w:instrText>
          </w:r>
          <w:r>
            <w:fldChar w:fldCharType="separate"/>
          </w:r>
          <w:r>
            <w:rPr>
              <w:rFonts w:hint="eastAsia"/>
              <w:sz w:val="21"/>
              <w:szCs w:val="21"/>
            </w:rPr>
            <w:t>7</w:t>
          </w:r>
          <w:r>
            <w:rPr>
              <w:sz w:val="21"/>
              <w:szCs w:val="21"/>
            </w:rPr>
            <w:t>.2.1</w:t>
          </w:r>
          <w:r>
            <w:rPr>
              <w:rFonts w:hint="eastAsia"/>
              <w:sz w:val="21"/>
              <w:szCs w:val="21"/>
            </w:rPr>
            <w:t>事故预防措施</w:t>
          </w:r>
          <w:r>
            <w:rPr>
              <w:sz w:val="21"/>
              <w:szCs w:val="21"/>
            </w:rPr>
            <w:tab/>
          </w:r>
          <w:r>
            <w:rPr>
              <w:sz w:val="21"/>
              <w:szCs w:val="21"/>
            </w:rPr>
            <w:fldChar w:fldCharType="begin"/>
          </w:r>
          <w:r>
            <w:rPr>
              <w:sz w:val="21"/>
              <w:szCs w:val="21"/>
            </w:rPr>
            <w:instrText xml:space="preserve"> PAGEREF _Toc5289 \h </w:instrText>
          </w:r>
          <w:r>
            <w:rPr>
              <w:sz w:val="21"/>
              <w:szCs w:val="21"/>
            </w:rPr>
            <w:fldChar w:fldCharType="separate"/>
          </w:r>
          <w:r>
            <w:rPr>
              <w:sz w:val="21"/>
              <w:szCs w:val="21"/>
            </w:rPr>
            <w:t>44</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"_Toc26341" </w:instrText>
          </w:r>
          <w:r>
            <w:fldChar w:fldCharType="separate"/>
          </w:r>
          <w:r>
            <w:rPr>
              <w:rFonts w:hint="eastAsia"/>
              <w:sz w:val="21"/>
              <w:szCs w:val="21"/>
            </w:rPr>
            <w:t>7</w:t>
          </w:r>
          <w:r>
            <w:rPr>
              <w:sz w:val="21"/>
              <w:szCs w:val="21"/>
            </w:rPr>
            <w:t>.2.2</w:t>
          </w:r>
          <w:r>
            <w:rPr>
              <w:rFonts w:hint="eastAsia"/>
              <w:sz w:val="21"/>
              <w:szCs w:val="21"/>
            </w:rPr>
            <w:t>事故应急预案</w:t>
          </w:r>
          <w:r>
            <w:rPr>
              <w:sz w:val="21"/>
              <w:szCs w:val="21"/>
            </w:rPr>
            <w:tab/>
          </w:r>
          <w:r>
            <w:rPr>
              <w:sz w:val="21"/>
              <w:szCs w:val="21"/>
            </w:rPr>
            <w:fldChar w:fldCharType="begin"/>
          </w:r>
          <w:r>
            <w:rPr>
              <w:sz w:val="21"/>
              <w:szCs w:val="21"/>
            </w:rPr>
            <w:instrText xml:space="preserve"> PAGEREF _Toc26341 \h </w:instrText>
          </w:r>
          <w:r>
            <w:rPr>
              <w:sz w:val="21"/>
              <w:szCs w:val="21"/>
            </w:rPr>
            <w:fldChar w:fldCharType="separate"/>
          </w:r>
          <w:r>
            <w:rPr>
              <w:sz w:val="21"/>
              <w:szCs w:val="21"/>
            </w:rPr>
            <w:t>45</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"_Toc17555" </w:instrText>
          </w:r>
          <w:r>
            <w:fldChar w:fldCharType="separate"/>
          </w:r>
          <w:r>
            <w:rPr>
              <w:rFonts w:hint="eastAsia"/>
              <w:sz w:val="21"/>
              <w:szCs w:val="21"/>
            </w:rPr>
            <w:t>8入河排污口设置合理性分析</w:t>
          </w:r>
          <w:r>
            <w:rPr>
              <w:sz w:val="21"/>
              <w:szCs w:val="21"/>
            </w:rPr>
            <w:tab/>
          </w:r>
          <w:r>
            <w:rPr>
              <w:sz w:val="21"/>
              <w:szCs w:val="21"/>
            </w:rPr>
            <w:fldChar w:fldCharType="begin"/>
          </w:r>
          <w:r>
            <w:rPr>
              <w:sz w:val="21"/>
              <w:szCs w:val="21"/>
            </w:rPr>
            <w:instrText xml:space="preserve"> PAGEREF _Toc17555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"_Toc29972" </w:instrText>
          </w:r>
          <w:r>
            <w:fldChar w:fldCharType="separate"/>
          </w:r>
          <w:r>
            <w:rPr>
              <w:rFonts w:hint="eastAsia"/>
              <w:sz w:val="21"/>
              <w:szCs w:val="21"/>
            </w:rPr>
            <w:t>8</w:t>
          </w:r>
          <w:r>
            <w:rPr>
              <w:sz w:val="21"/>
              <w:szCs w:val="21"/>
            </w:rPr>
            <w:t>.1</w:t>
          </w:r>
          <w:r>
            <w:rPr>
              <w:rFonts w:hint="eastAsia"/>
              <w:sz w:val="21"/>
              <w:szCs w:val="21"/>
            </w:rPr>
            <w:t>产业政策、水域管理、第三者权益相符性分析</w:t>
          </w:r>
          <w:r>
            <w:rPr>
              <w:sz w:val="21"/>
              <w:szCs w:val="21"/>
            </w:rPr>
            <w:tab/>
          </w:r>
          <w:r>
            <w:rPr>
              <w:sz w:val="21"/>
              <w:szCs w:val="21"/>
            </w:rPr>
            <w:fldChar w:fldCharType="begin"/>
          </w:r>
          <w:r>
            <w:rPr>
              <w:sz w:val="21"/>
              <w:szCs w:val="21"/>
            </w:rPr>
            <w:instrText xml:space="preserve"> PAGEREF _Toc29972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"_Toc29412" </w:instrText>
          </w:r>
          <w:r>
            <w:fldChar w:fldCharType="separate"/>
          </w:r>
          <w:r>
            <w:rPr>
              <w:rFonts w:hint="eastAsia"/>
              <w:sz w:val="21"/>
              <w:szCs w:val="21"/>
            </w:rPr>
            <w:t>8</w:t>
          </w:r>
          <w:r>
            <w:rPr>
              <w:sz w:val="21"/>
              <w:szCs w:val="21"/>
            </w:rPr>
            <w:t>.1.1</w:t>
          </w:r>
          <w:r>
            <w:rPr>
              <w:rFonts w:hint="eastAsia"/>
              <w:sz w:val="21"/>
              <w:szCs w:val="21"/>
            </w:rPr>
            <w:t>产业政策符合性分析</w:t>
          </w:r>
          <w:r>
            <w:rPr>
              <w:sz w:val="21"/>
              <w:szCs w:val="21"/>
            </w:rPr>
            <w:tab/>
          </w:r>
          <w:r>
            <w:rPr>
              <w:sz w:val="21"/>
              <w:szCs w:val="21"/>
            </w:rPr>
            <w:fldChar w:fldCharType="begin"/>
          </w:r>
          <w:r>
            <w:rPr>
              <w:sz w:val="21"/>
              <w:szCs w:val="21"/>
            </w:rPr>
            <w:instrText xml:space="preserve"> PAGEREF _Toc29412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"_Toc18350" </w:instrText>
          </w:r>
          <w:r>
            <w:fldChar w:fldCharType="separate"/>
          </w:r>
          <w:r>
            <w:rPr>
              <w:rFonts w:hint="eastAsia"/>
              <w:sz w:val="21"/>
              <w:szCs w:val="21"/>
            </w:rPr>
            <w:t>8</w:t>
          </w:r>
          <w:r>
            <w:rPr>
              <w:sz w:val="21"/>
              <w:szCs w:val="21"/>
            </w:rPr>
            <w:t>.1.2</w:t>
          </w:r>
          <w:r>
            <w:rPr>
              <w:rFonts w:hint="eastAsia"/>
              <w:sz w:val="21"/>
              <w:szCs w:val="21"/>
            </w:rPr>
            <w:t>与水域管理相符性分析</w:t>
          </w:r>
          <w:r>
            <w:rPr>
              <w:sz w:val="21"/>
              <w:szCs w:val="21"/>
            </w:rPr>
            <w:tab/>
          </w:r>
          <w:r>
            <w:rPr>
              <w:sz w:val="21"/>
              <w:szCs w:val="21"/>
            </w:rPr>
            <w:fldChar w:fldCharType="begin"/>
          </w:r>
          <w:r>
            <w:rPr>
              <w:sz w:val="21"/>
              <w:szCs w:val="21"/>
            </w:rPr>
            <w:instrText xml:space="preserve"> PAGEREF _Toc18350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"_Toc10764" </w:instrText>
          </w:r>
          <w:r>
            <w:fldChar w:fldCharType="separate"/>
          </w:r>
          <w:r>
            <w:rPr>
              <w:rFonts w:hint="eastAsia"/>
              <w:sz w:val="21"/>
              <w:szCs w:val="21"/>
            </w:rPr>
            <w:t>8</w:t>
          </w:r>
          <w:r>
            <w:rPr>
              <w:sz w:val="21"/>
              <w:szCs w:val="21"/>
            </w:rPr>
            <w:t>.1.3</w:t>
          </w:r>
          <w:r>
            <w:rPr>
              <w:rFonts w:hint="eastAsia"/>
              <w:sz w:val="21"/>
              <w:szCs w:val="21"/>
            </w:rPr>
            <w:t>第三者权益的相符性分析</w:t>
          </w:r>
          <w:r>
            <w:rPr>
              <w:sz w:val="21"/>
              <w:szCs w:val="21"/>
            </w:rPr>
            <w:tab/>
          </w:r>
          <w:r>
            <w:rPr>
              <w:sz w:val="21"/>
              <w:szCs w:val="21"/>
            </w:rPr>
            <w:fldChar w:fldCharType="begin"/>
          </w:r>
          <w:r>
            <w:rPr>
              <w:sz w:val="21"/>
              <w:szCs w:val="21"/>
            </w:rPr>
            <w:instrText xml:space="preserve"> PAGEREF _Toc10764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"_Toc15982" </w:instrText>
          </w:r>
          <w:r>
            <w:fldChar w:fldCharType="separate"/>
          </w:r>
          <w:r>
            <w:rPr>
              <w:rFonts w:hint="eastAsia"/>
              <w:sz w:val="21"/>
              <w:szCs w:val="21"/>
            </w:rPr>
            <w:t>8</w:t>
          </w:r>
          <w:r>
            <w:rPr>
              <w:sz w:val="21"/>
              <w:szCs w:val="21"/>
            </w:rPr>
            <w:t>.2</w:t>
          </w:r>
          <w:r>
            <w:rPr>
              <w:rFonts w:hint="eastAsia"/>
              <w:sz w:val="21"/>
              <w:szCs w:val="21"/>
            </w:rPr>
            <w:t>入河排污口河段河床稳定性和防洪影响</w:t>
          </w:r>
          <w:r>
            <w:rPr>
              <w:sz w:val="21"/>
              <w:szCs w:val="21"/>
            </w:rPr>
            <w:tab/>
          </w:r>
          <w:r>
            <w:rPr>
              <w:sz w:val="21"/>
              <w:szCs w:val="21"/>
            </w:rPr>
            <w:fldChar w:fldCharType="begin"/>
          </w:r>
          <w:r>
            <w:rPr>
              <w:sz w:val="21"/>
              <w:szCs w:val="21"/>
            </w:rPr>
            <w:instrText xml:space="preserve"> PAGEREF _Toc15982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"_Toc30146" </w:instrText>
          </w:r>
          <w:r>
            <w:fldChar w:fldCharType="separate"/>
          </w:r>
          <w:r>
            <w:rPr>
              <w:rFonts w:hint="eastAsia"/>
              <w:sz w:val="21"/>
              <w:szCs w:val="21"/>
            </w:rPr>
            <w:t>8</w:t>
          </w:r>
          <w:r>
            <w:rPr>
              <w:sz w:val="21"/>
              <w:szCs w:val="21"/>
            </w:rPr>
            <w:t>.3</w:t>
          </w:r>
          <w:r>
            <w:rPr>
              <w:rFonts w:hint="eastAsia"/>
              <w:sz w:val="21"/>
              <w:szCs w:val="21"/>
            </w:rPr>
            <w:t>入河排污口设置合理性分析</w:t>
          </w:r>
          <w:r>
            <w:rPr>
              <w:sz w:val="21"/>
              <w:szCs w:val="21"/>
            </w:rPr>
            <w:tab/>
          </w:r>
          <w:r>
            <w:rPr>
              <w:sz w:val="21"/>
              <w:szCs w:val="21"/>
            </w:rPr>
            <w:fldChar w:fldCharType="begin"/>
          </w:r>
          <w:r>
            <w:rPr>
              <w:sz w:val="21"/>
              <w:szCs w:val="21"/>
            </w:rPr>
            <w:instrText xml:space="preserve"> PAGEREF _Toc30146 \h </w:instrText>
          </w:r>
          <w:r>
            <w:rPr>
              <w:sz w:val="21"/>
              <w:szCs w:val="21"/>
            </w:rPr>
            <w:fldChar w:fldCharType="separate"/>
          </w:r>
          <w:r>
            <w:rPr>
              <w:sz w:val="21"/>
              <w:szCs w:val="21"/>
            </w:rPr>
            <w:t>49</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"_Toc15756" </w:instrText>
          </w:r>
          <w:r>
            <w:fldChar w:fldCharType="separate"/>
          </w:r>
          <w:r>
            <w:rPr>
              <w:rFonts w:hint="eastAsia"/>
              <w:sz w:val="21"/>
              <w:szCs w:val="21"/>
            </w:rPr>
            <w:t>9论证结论与建议</w:t>
          </w:r>
          <w:r>
            <w:rPr>
              <w:sz w:val="21"/>
              <w:szCs w:val="21"/>
            </w:rPr>
            <w:tab/>
          </w:r>
          <w:r>
            <w:rPr>
              <w:sz w:val="21"/>
              <w:szCs w:val="21"/>
            </w:rPr>
            <w:fldChar w:fldCharType="begin"/>
          </w:r>
          <w:r>
            <w:rPr>
              <w:sz w:val="21"/>
              <w:szCs w:val="21"/>
            </w:rPr>
            <w:instrText xml:space="preserve"> PAGEREF _Toc15756 \h </w:instrText>
          </w:r>
          <w:r>
            <w:rPr>
              <w:sz w:val="21"/>
              <w:szCs w:val="21"/>
            </w:rPr>
            <w:fldChar w:fldCharType="separate"/>
          </w:r>
          <w:r>
            <w:rPr>
              <w:sz w:val="21"/>
              <w:szCs w:val="21"/>
            </w:rPr>
            <w:t>51</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"_Toc31567" </w:instrText>
          </w:r>
          <w:r>
            <w:fldChar w:fldCharType="separate"/>
          </w:r>
          <w:r>
            <w:rPr>
              <w:rFonts w:hint="eastAsia"/>
              <w:sz w:val="21"/>
              <w:szCs w:val="21"/>
            </w:rPr>
            <w:t>9</w:t>
          </w:r>
          <w:r>
            <w:rPr>
              <w:sz w:val="21"/>
              <w:szCs w:val="21"/>
            </w:rPr>
            <w:t>.1</w:t>
          </w:r>
          <w:r>
            <w:rPr>
              <w:rFonts w:hint="eastAsia"/>
              <w:sz w:val="21"/>
              <w:szCs w:val="21"/>
            </w:rPr>
            <w:t>论证结论</w:t>
          </w:r>
          <w:r>
            <w:rPr>
              <w:sz w:val="21"/>
              <w:szCs w:val="21"/>
            </w:rPr>
            <w:tab/>
          </w:r>
          <w:r>
            <w:rPr>
              <w:sz w:val="21"/>
              <w:szCs w:val="21"/>
            </w:rPr>
            <w:fldChar w:fldCharType="begin"/>
          </w:r>
          <w:r>
            <w:rPr>
              <w:sz w:val="21"/>
              <w:szCs w:val="21"/>
            </w:rPr>
            <w:instrText xml:space="preserve"> PAGEREF _Toc31567 \h </w:instrText>
          </w:r>
          <w:r>
            <w:rPr>
              <w:sz w:val="21"/>
              <w:szCs w:val="21"/>
            </w:rPr>
            <w:fldChar w:fldCharType="separate"/>
          </w:r>
          <w:r>
            <w:rPr>
              <w:sz w:val="21"/>
              <w:szCs w:val="21"/>
            </w:rPr>
            <w:t>51</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"_Toc10066" </w:instrText>
          </w:r>
          <w:r>
            <w:fldChar w:fldCharType="separate"/>
          </w:r>
          <w:r>
            <w:rPr>
              <w:rFonts w:hint="eastAsia"/>
              <w:sz w:val="21"/>
              <w:szCs w:val="21"/>
            </w:rPr>
            <w:t>9</w:t>
          </w:r>
          <w:r>
            <w:rPr>
              <w:sz w:val="21"/>
              <w:szCs w:val="21"/>
            </w:rPr>
            <w:t>.1.1</w:t>
          </w:r>
          <w:r>
            <w:rPr>
              <w:rFonts w:hint="eastAsia"/>
              <w:sz w:val="21"/>
              <w:szCs w:val="21"/>
            </w:rPr>
            <w:t>入河排污口基本情况</w:t>
          </w:r>
          <w:r>
            <w:rPr>
              <w:sz w:val="21"/>
              <w:szCs w:val="21"/>
            </w:rPr>
            <w:tab/>
          </w:r>
          <w:r>
            <w:rPr>
              <w:sz w:val="21"/>
              <w:szCs w:val="21"/>
            </w:rPr>
            <w:fldChar w:fldCharType="begin"/>
          </w:r>
          <w:r>
            <w:rPr>
              <w:sz w:val="21"/>
              <w:szCs w:val="21"/>
            </w:rPr>
            <w:instrText xml:space="preserve"> PAGEREF _Toc10066 \h </w:instrText>
          </w:r>
          <w:r>
            <w:rPr>
              <w:sz w:val="21"/>
              <w:szCs w:val="21"/>
            </w:rPr>
            <w:fldChar w:fldCharType="separate"/>
          </w:r>
          <w:r>
            <w:rPr>
              <w:sz w:val="21"/>
              <w:szCs w:val="21"/>
            </w:rPr>
            <w:t>51</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"_Toc17751" </w:instrText>
          </w:r>
          <w:r>
            <w:fldChar w:fldCharType="separate"/>
          </w:r>
          <w:r>
            <w:rPr>
              <w:rFonts w:hint="eastAsia"/>
              <w:sz w:val="21"/>
              <w:szCs w:val="21"/>
            </w:rPr>
            <w:t>9</w:t>
          </w:r>
          <w:r>
            <w:rPr>
              <w:sz w:val="21"/>
              <w:szCs w:val="21"/>
            </w:rPr>
            <w:t>.1.2</w:t>
          </w:r>
          <w:r>
            <w:rPr>
              <w:rFonts w:hint="eastAsia"/>
              <w:sz w:val="21"/>
              <w:szCs w:val="21"/>
            </w:rPr>
            <w:t>对水功能区水质影响分析</w:t>
          </w:r>
          <w:r>
            <w:rPr>
              <w:sz w:val="21"/>
              <w:szCs w:val="21"/>
            </w:rPr>
            <w:tab/>
          </w:r>
          <w:r>
            <w:rPr>
              <w:sz w:val="21"/>
              <w:szCs w:val="21"/>
            </w:rPr>
            <w:fldChar w:fldCharType="begin"/>
          </w:r>
          <w:r>
            <w:rPr>
              <w:sz w:val="21"/>
              <w:szCs w:val="21"/>
            </w:rPr>
            <w:instrText xml:space="preserve"> PAGEREF _Toc17751 \h </w:instrText>
          </w:r>
          <w:r>
            <w:rPr>
              <w:sz w:val="21"/>
              <w:szCs w:val="21"/>
            </w:rPr>
            <w:fldChar w:fldCharType="separate"/>
          </w:r>
          <w:r>
            <w:rPr>
              <w:sz w:val="21"/>
              <w:szCs w:val="21"/>
            </w:rPr>
            <w:t>51</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"_Toc20306" </w:instrText>
          </w:r>
          <w:r>
            <w:fldChar w:fldCharType="separate"/>
          </w:r>
          <w:r>
            <w:rPr>
              <w:rFonts w:hint="eastAsia"/>
              <w:sz w:val="21"/>
              <w:szCs w:val="21"/>
            </w:rPr>
            <w:t>9</w:t>
          </w:r>
          <w:r>
            <w:rPr>
              <w:sz w:val="21"/>
              <w:szCs w:val="21"/>
            </w:rPr>
            <w:t>.1.3</w:t>
          </w:r>
          <w:r>
            <w:rPr>
              <w:rFonts w:hint="eastAsia"/>
              <w:sz w:val="21"/>
              <w:szCs w:val="21"/>
            </w:rPr>
            <w:t>对水生态影响分析</w:t>
          </w:r>
          <w:r>
            <w:rPr>
              <w:sz w:val="21"/>
              <w:szCs w:val="21"/>
            </w:rPr>
            <w:tab/>
          </w:r>
          <w:r>
            <w:rPr>
              <w:sz w:val="21"/>
              <w:szCs w:val="21"/>
            </w:rPr>
            <w:fldChar w:fldCharType="begin"/>
          </w:r>
          <w:r>
            <w:rPr>
              <w:sz w:val="21"/>
              <w:szCs w:val="21"/>
            </w:rPr>
            <w:instrText xml:space="preserve"> PAGEREF _Toc20306 \h </w:instrText>
          </w:r>
          <w:r>
            <w:rPr>
              <w:sz w:val="21"/>
              <w:szCs w:val="21"/>
            </w:rPr>
            <w:fldChar w:fldCharType="separate"/>
          </w:r>
          <w:r>
            <w:rPr>
              <w:sz w:val="21"/>
              <w:szCs w:val="21"/>
            </w:rPr>
            <w:t>51</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"_Toc26292" </w:instrText>
          </w:r>
          <w:r>
            <w:fldChar w:fldCharType="separate"/>
          </w:r>
          <w:r>
            <w:rPr>
              <w:rFonts w:hint="eastAsia"/>
              <w:sz w:val="21"/>
              <w:szCs w:val="21"/>
            </w:rPr>
            <w:t>9</w:t>
          </w:r>
          <w:r>
            <w:rPr>
              <w:sz w:val="21"/>
              <w:szCs w:val="21"/>
            </w:rPr>
            <w:t>.1.4</w:t>
          </w:r>
          <w:r>
            <w:rPr>
              <w:rFonts w:hint="eastAsia"/>
              <w:sz w:val="21"/>
              <w:szCs w:val="21"/>
            </w:rPr>
            <w:t>对地下水影响分析</w:t>
          </w:r>
          <w:r>
            <w:rPr>
              <w:sz w:val="21"/>
              <w:szCs w:val="21"/>
            </w:rPr>
            <w:tab/>
          </w:r>
          <w:r>
            <w:rPr>
              <w:sz w:val="21"/>
              <w:szCs w:val="21"/>
            </w:rPr>
            <w:fldChar w:fldCharType="begin"/>
          </w:r>
          <w:r>
            <w:rPr>
              <w:sz w:val="21"/>
              <w:szCs w:val="21"/>
            </w:rPr>
            <w:instrText xml:space="preserve"> PAGEREF _Toc26292 \h </w:instrText>
          </w:r>
          <w:r>
            <w:rPr>
              <w:sz w:val="21"/>
              <w:szCs w:val="21"/>
            </w:rPr>
            <w:fldChar w:fldCharType="separate"/>
          </w:r>
          <w:r>
            <w:rPr>
              <w:sz w:val="21"/>
              <w:szCs w:val="21"/>
            </w:rPr>
            <w:t>52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"_Toc7236" </w:instrText>
          </w:r>
          <w:r>
            <w:fldChar w:fldCharType="separate"/>
          </w:r>
          <w:r>
            <w:rPr>
              <w:rFonts w:hint="eastAsia"/>
              <w:sz w:val="21"/>
              <w:szCs w:val="21"/>
            </w:rPr>
            <w:t>9</w:t>
          </w:r>
          <w:r>
            <w:rPr>
              <w:sz w:val="21"/>
              <w:szCs w:val="21"/>
            </w:rPr>
            <w:t>.1.5</w:t>
          </w:r>
          <w:r>
            <w:rPr>
              <w:rFonts w:hint="eastAsia"/>
              <w:sz w:val="21"/>
              <w:szCs w:val="21"/>
            </w:rPr>
            <w:t>对第三者影响分析</w:t>
          </w:r>
          <w:r>
            <w:rPr>
              <w:sz w:val="21"/>
              <w:szCs w:val="21"/>
            </w:rPr>
            <w:tab/>
          </w:r>
          <w:r>
            <w:rPr>
              <w:sz w:val="21"/>
              <w:szCs w:val="21"/>
            </w:rPr>
            <w:fldChar w:fldCharType="begin"/>
          </w:r>
          <w:r>
            <w:rPr>
              <w:sz w:val="21"/>
              <w:szCs w:val="21"/>
            </w:rPr>
            <w:instrText xml:space="preserve"> PAGEREF _Toc7236 \h </w:instrText>
          </w:r>
          <w:r>
            <w:rPr>
              <w:sz w:val="21"/>
              <w:szCs w:val="21"/>
            </w:rPr>
            <w:fldChar w:fldCharType="separate"/>
          </w:r>
          <w:r>
            <w:rPr>
              <w:sz w:val="21"/>
              <w:szCs w:val="21"/>
            </w:rPr>
            <w:t>52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"_Toc30048" </w:instrText>
          </w:r>
          <w:r>
            <w:fldChar w:fldCharType="separate"/>
          </w:r>
          <w:r>
            <w:rPr>
              <w:rFonts w:hint="eastAsia"/>
              <w:sz w:val="21"/>
              <w:szCs w:val="21"/>
            </w:rPr>
            <w:t>9</w:t>
          </w:r>
          <w:r>
            <w:rPr>
              <w:sz w:val="21"/>
              <w:szCs w:val="21"/>
            </w:rPr>
            <w:t>.1.6</w:t>
          </w:r>
          <w:r>
            <w:rPr>
              <w:rFonts w:hint="eastAsia"/>
              <w:sz w:val="21"/>
              <w:szCs w:val="21"/>
            </w:rPr>
            <w:t>相关政策符合性分析</w:t>
          </w:r>
          <w:r>
            <w:rPr>
              <w:sz w:val="21"/>
              <w:szCs w:val="21"/>
            </w:rPr>
            <w:tab/>
          </w:r>
          <w:r>
            <w:rPr>
              <w:sz w:val="21"/>
              <w:szCs w:val="21"/>
            </w:rPr>
            <w:fldChar w:fldCharType="begin"/>
          </w:r>
          <w:r>
            <w:rPr>
              <w:sz w:val="21"/>
              <w:szCs w:val="21"/>
            </w:rPr>
            <w:instrText xml:space="preserve"> PAGEREF _Toc30048 \h </w:instrText>
          </w:r>
          <w:r>
            <w:rPr>
              <w:sz w:val="21"/>
              <w:szCs w:val="21"/>
            </w:rPr>
            <w:fldChar w:fldCharType="separate"/>
          </w:r>
          <w:r>
            <w:rPr>
              <w:sz w:val="21"/>
              <w:szCs w:val="21"/>
            </w:rPr>
            <w:t>52</w:t>
          </w:r>
          <w:r>
            <w:rPr>
              <w:sz w:val="21"/>
              <w:szCs w:val="21"/>
            </w:rPr>
            <w:fldChar w:fldCharType="end"/>
          </w:r>
          <w:r>
            <w:rPr>
              <w:sz w:val="21"/>
              <w:szCs w:val="21"/>
            </w:rPr>
            <w:fldChar w:fldCharType="end"/>
          </w:r>
        </w:p>
        <w:p>
          <w:pPr>
            <w:pStyle w:val="10"/>
            <w:tabs>
              <w:tab w:val="right" w:leader="dot" w:pos="8306"/>
            </w:tabs>
            <w:ind w:left="800"/>
            <w:rPr>
              <w:sz w:val="21"/>
              <w:szCs w:val="21"/>
            </w:rPr>
          </w:pPr>
          <w:r>
            <w:fldChar w:fldCharType="begin"/>
          </w:r>
          <w:r>
            <w:instrText xml:space="preserve"> HYPERLINK \l "_Toc30165" </w:instrText>
          </w:r>
          <w:r>
            <w:fldChar w:fldCharType="separate"/>
          </w:r>
          <w:r>
            <w:rPr>
              <w:rFonts w:hint="eastAsia"/>
              <w:sz w:val="21"/>
              <w:szCs w:val="21"/>
            </w:rPr>
            <w:t>9</w:t>
          </w:r>
          <w:r>
            <w:rPr>
              <w:sz w:val="21"/>
              <w:szCs w:val="21"/>
            </w:rPr>
            <w:t>.1.7</w:t>
          </w:r>
          <w:r>
            <w:rPr>
              <w:rFonts w:hint="eastAsia"/>
              <w:sz w:val="21"/>
              <w:szCs w:val="21"/>
            </w:rPr>
            <w:t>入河排污口设置最终结论</w:t>
          </w:r>
          <w:r>
            <w:rPr>
              <w:sz w:val="21"/>
              <w:szCs w:val="21"/>
            </w:rPr>
            <w:tab/>
          </w:r>
          <w:r>
            <w:rPr>
              <w:sz w:val="21"/>
              <w:szCs w:val="21"/>
            </w:rPr>
            <w:fldChar w:fldCharType="begin"/>
          </w:r>
          <w:r>
            <w:rPr>
              <w:sz w:val="21"/>
              <w:szCs w:val="21"/>
            </w:rPr>
            <w:instrText xml:space="preserve"> PAGEREF _Toc30165 \h </w:instrText>
          </w:r>
          <w:r>
            <w:rPr>
              <w:sz w:val="21"/>
              <w:szCs w:val="21"/>
            </w:rPr>
            <w:fldChar w:fldCharType="separate"/>
          </w:r>
          <w:r>
            <w:rPr>
              <w:sz w:val="21"/>
              <w:szCs w:val="21"/>
            </w:rPr>
            <w:t>52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"_Toc9606" </w:instrText>
          </w:r>
          <w:r>
            <w:fldChar w:fldCharType="separate"/>
          </w:r>
          <w:r>
            <w:rPr>
              <w:rFonts w:hint="eastAsia"/>
              <w:sz w:val="21"/>
              <w:szCs w:val="21"/>
            </w:rPr>
            <w:t>9</w:t>
          </w:r>
          <w:r>
            <w:rPr>
              <w:sz w:val="21"/>
              <w:szCs w:val="21"/>
            </w:rPr>
            <w:t>.2</w:t>
          </w:r>
          <w:r>
            <w:rPr>
              <w:rFonts w:hint="eastAsia"/>
              <w:sz w:val="21"/>
              <w:szCs w:val="21"/>
            </w:rPr>
            <w:t>建议</w:t>
          </w:r>
          <w:r>
            <w:rPr>
              <w:sz w:val="21"/>
              <w:szCs w:val="21"/>
            </w:rPr>
            <w:tab/>
          </w:r>
          <w:r>
            <w:rPr>
              <w:sz w:val="21"/>
              <w:szCs w:val="21"/>
            </w:rPr>
            <w:fldChar w:fldCharType="begin"/>
          </w:r>
          <w:r>
            <w:rPr>
              <w:sz w:val="21"/>
              <w:szCs w:val="21"/>
            </w:rPr>
            <w:instrText xml:space="preserve"> PAGEREF _Toc9606 \h </w:instrText>
          </w:r>
          <w:r>
            <w:rPr>
              <w:sz w:val="21"/>
              <w:szCs w:val="21"/>
            </w:rPr>
            <w:fldChar w:fldCharType="separate"/>
          </w:r>
          <w:r>
            <w:rPr>
              <w:sz w:val="21"/>
              <w:szCs w:val="21"/>
            </w:rPr>
            <w:t>53</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"_Toc17905" </w:instrText>
          </w:r>
          <w:r>
            <w:fldChar w:fldCharType="separate"/>
          </w:r>
          <w:r>
            <w:rPr>
              <w:rFonts w:hint="eastAsia"/>
              <w:sz w:val="21"/>
              <w:szCs w:val="21"/>
            </w:rPr>
            <w:t>附件</w:t>
          </w:r>
          <w:r>
            <w:rPr>
              <w:sz w:val="21"/>
              <w:szCs w:val="21"/>
            </w:rPr>
            <w:tab/>
          </w:r>
          <w:r>
            <w:rPr>
              <w:sz w:val="21"/>
              <w:szCs w:val="21"/>
            </w:rPr>
            <w:fldChar w:fldCharType="begin"/>
          </w:r>
          <w:r>
            <w:rPr>
              <w:sz w:val="21"/>
              <w:szCs w:val="21"/>
            </w:rPr>
            <w:instrText xml:space="preserve"> PAGEREF _Toc17905 \h </w:instrText>
          </w:r>
          <w:r>
            <w:rPr>
              <w:sz w:val="21"/>
              <w:szCs w:val="21"/>
            </w:rPr>
            <w:fldChar w:fldCharType="separate"/>
          </w:r>
          <w:r>
            <w:rPr>
              <w:sz w:val="21"/>
              <w:szCs w:val="21"/>
            </w:rPr>
            <w:t>54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"_Toc20010" </w:instrText>
          </w:r>
          <w:r>
            <w:fldChar w:fldCharType="separate"/>
          </w:r>
          <w:r>
            <w:rPr>
              <w:rFonts w:hint="eastAsia"/>
              <w:sz w:val="21"/>
              <w:szCs w:val="21"/>
            </w:rPr>
            <w:t>附件1：项目立项批复</w:t>
          </w:r>
          <w:r>
            <w:rPr>
              <w:sz w:val="21"/>
              <w:szCs w:val="21"/>
            </w:rPr>
            <w:tab/>
          </w:r>
          <w:r>
            <w:rPr>
              <w:sz w:val="21"/>
              <w:szCs w:val="21"/>
            </w:rPr>
            <w:fldChar w:fldCharType="begin"/>
          </w:r>
          <w:r>
            <w:rPr>
              <w:sz w:val="21"/>
              <w:szCs w:val="21"/>
            </w:rPr>
            <w:instrText xml:space="preserve"> PAGEREF _Toc20010 \h </w:instrText>
          </w:r>
          <w:r>
            <w:rPr>
              <w:sz w:val="21"/>
              <w:szCs w:val="21"/>
            </w:rPr>
            <w:fldChar w:fldCharType="separate"/>
          </w:r>
          <w:r>
            <w:rPr>
              <w:sz w:val="21"/>
              <w:szCs w:val="21"/>
            </w:rPr>
            <w:t>54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"_Toc20807" </w:instrText>
          </w:r>
          <w:r>
            <w:fldChar w:fldCharType="separate"/>
          </w:r>
          <w:r>
            <w:rPr>
              <w:rFonts w:hint="eastAsia"/>
              <w:sz w:val="21"/>
              <w:szCs w:val="21"/>
            </w:rPr>
            <w:t>附件2：项目环评批复</w:t>
          </w:r>
          <w:r>
            <w:rPr>
              <w:sz w:val="21"/>
              <w:szCs w:val="21"/>
            </w:rPr>
            <w:tab/>
          </w:r>
          <w:r>
            <w:rPr>
              <w:sz w:val="21"/>
              <w:szCs w:val="21"/>
            </w:rPr>
            <w:fldChar w:fldCharType="begin"/>
          </w:r>
          <w:r>
            <w:rPr>
              <w:sz w:val="21"/>
              <w:szCs w:val="21"/>
            </w:rPr>
            <w:instrText xml:space="preserve"> PAGEREF _Toc20807 \h </w:instrText>
          </w:r>
          <w:r>
            <w:rPr>
              <w:sz w:val="21"/>
              <w:szCs w:val="21"/>
            </w:rPr>
            <w:fldChar w:fldCharType="separate"/>
          </w:r>
          <w:r>
            <w:rPr>
              <w:sz w:val="21"/>
              <w:szCs w:val="21"/>
            </w:rPr>
            <w:t>57</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"_Toc11274" </w:instrText>
          </w:r>
          <w:r>
            <w:fldChar w:fldCharType="separate"/>
          </w:r>
          <w:r>
            <w:rPr>
              <w:rFonts w:hint="eastAsia"/>
              <w:sz w:val="21"/>
              <w:szCs w:val="21"/>
            </w:rPr>
            <w:t>附件3：检测报告</w:t>
          </w:r>
          <w:r>
            <w:rPr>
              <w:sz w:val="21"/>
              <w:szCs w:val="21"/>
            </w:rPr>
            <w:tab/>
          </w:r>
          <w:r>
            <w:rPr>
              <w:sz w:val="21"/>
              <w:szCs w:val="21"/>
            </w:rPr>
            <w:fldChar w:fldCharType="begin"/>
          </w:r>
          <w:r>
            <w:rPr>
              <w:sz w:val="21"/>
              <w:szCs w:val="21"/>
            </w:rPr>
            <w:instrText xml:space="preserve"> PAGEREF _Toc11274 \h </w:instrText>
          </w:r>
          <w:r>
            <w:rPr>
              <w:sz w:val="21"/>
              <w:szCs w:val="21"/>
            </w:rPr>
            <w:fldChar w:fldCharType="separate"/>
          </w:r>
          <w:r>
            <w:rPr>
              <w:sz w:val="21"/>
              <w:szCs w:val="21"/>
            </w:rPr>
            <w:t>63</w:t>
          </w:r>
          <w:r>
            <w:rPr>
              <w:sz w:val="21"/>
              <w:szCs w:val="21"/>
            </w:rPr>
            <w:fldChar w:fldCharType="end"/>
          </w:r>
          <w:r>
            <w:rPr>
              <w:sz w:val="21"/>
              <w:szCs w:val="21"/>
            </w:rPr>
            <w:fldChar w:fldCharType="end"/>
          </w:r>
        </w:p>
        <w:p>
          <w:pPr>
            <w:pStyle w:val="15"/>
            <w:tabs>
              <w:tab w:val="right" w:leader="dot" w:pos="8306"/>
            </w:tabs>
            <w:rPr>
              <w:sz w:val="21"/>
              <w:szCs w:val="21"/>
            </w:rPr>
          </w:pPr>
          <w:r>
            <w:fldChar w:fldCharType="begin"/>
          </w:r>
          <w:r>
            <w:instrText xml:space="preserve"> HYPERLINK \l "_Toc2336" </w:instrText>
          </w:r>
          <w:r>
            <w:fldChar w:fldCharType="separate"/>
          </w:r>
          <w:r>
            <w:rPr>
              <w:rFonts w:hint="eastAsia"/>
              <w:sz w:val="21"/>
              <w:szCs w:val="21"/>
            </w:rPr>
            <w:t>附图</w:t>
          </w:r>
          <w:r>
            <w:rPr>
              <w:sz w:val="21"/>
              <w:szCs w:val="21"/>
            </w:rPr>
            <w:tab/>
          </w:r>
          <w:r>
            <w:rPr>
              <w:sz w:val="21"/>
              <w:szCs w:val="21"/>
            </w:rPr>
            <w:fldChar w:fldCharType="begin"/>
          </w:r>
          <w:r>
            <w:rPr>
              <w:sz w:val="21"/>
              <w:szCs w:val="21"/>
            </w:rPr>
            <w:instrText xml:space="preserve"> PAGEREF _Toc2336 \h </w:instrText>
          </w:r>
          <w:r>
            <w:rPr>
              <w:sz w:val="21"/>
              <w:szCs w:val="21"/>
            </w:rPr>
            <w:fldChar w:fldCharType="separate"/>
          </w:r>
          <w:r>
            <w:rPr>
              <w:sz w:val="21"/>
              <w:szCs w:val="21"/>
            </w:rPr>
            <w:t>72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"_Toc7343" </w:instrText>
          </w:r>
          <w:r>
            <w:fldChar w:fldCharType="separate"/>
          </w:r>
          <w:r>
            <w:rPr>
              <w:rFonts w:hint="eastAsia"/>
              <w:sz w:val="21"/>
              <w:szCs w:val="21"/>
            </w:rPr>
            <w:t>附图1：地理位置图</w:t>
          </w:r>
          <w:r>
            <w:rPr>
              <w:sz w:val="21"/>
              <w:szCs w:val="21"/>
            </w:rPr>
            <w:tab/>
          </w:r>
          <w:r>
            <w:rPr>
              <w:sz w:val="21"/>
              <w:szCs w:val="21"/>
            </w:rPr>
            <w:fldChar w:fldCharType="begin"/>
          </w:r>
          <w:r>
            <w:rPr>
              <w:sz w:val="21"/>
              <w:szCs w:val="21"/>
            </w:rPr>
            <w:instrText xml:space="preserve"> PAGEREF _Toc7343 \h </w:instrText>
          </w:r>
          <w:r>
            <w:rPr>
              <w:sz w:val="21"/>
              <w:szCs w:val="21"/>
            </w:rPr>
            <w:fldChar w:fldCharType="separate"/>
          </w:r>
          <w:r>
            <w:rPr>
              <w:sz w:val="21"/>
              <w:szCs w:val="21"/>
            </w:rPr>
            <w:t>72</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"_Toc18624" </w:instrText>
          </w:r>
          <w:r>
            <w:fldChar w:fldCharType="separate"/>
          </w:r>
          <w:r>
            <w:rPr>
              <w:rFonts w:hint="eastAsia"/>
              <w:sz w:val="21"/>
              <w:szCs w:val="21"/>
            </w:rPr>
            <w:t>附图2：总平面布置图</w:t>
          </w:r>
          <w:r>
            <w:rPr>
              <w:sz w:val="21"/>
              <w:szCs w:val="21"/>
            </w:rPr>
            <w:tab/>
          </w:r>
          <w:r>
            <w:rPr>
              <w:sz w:val="21"/>
              <w:szCs w:val="21"/>
            </w:rPr>
            <w:fldChar w:fldCharType="begin"/>
          </w:r>
          <w:r>
            <w:rPr>
              <w:sz w:val="21"/>
              <w:szCs w:val="21"/>
            </w:rPr>
            <w:instrText xml:space="preserve"> PAGEREF _Toc18624 \h </w:instrText>
          </w:r>
          <w:r>
            <w:rPr>
              <w:sz w:val="21"/>
              <w:szCs w:val="21"/>
            </w:rPr>
            <w:fldChar w:fldCharType="separate"/>
          </w:r>
          <w:r>
            <w:rPr>
              <w:sz w:val="21"/>
              <w:szCs w:val="21"/>
            </w:rPr>
            <w:t>74</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"_Toc6845" </w:instrText>
          </w:r>
          <w:r>
            <w:fldChar w:fldCharType="separate"/>
          </w:r>
          <w:r>
            <w:rPr>
              <w:rFonts w:hint="eastAsia"/>
              <w:sz w:val="21"/>
              <w:szCs w:val="21"/>
            </w:rPr>
            <w:t>附图3：污水处理工程污水收集专管布置图</w:t>
          </w:r>
          <w:r>
            <w:rPr>
              <w:sz w:val="21"/>
              <w:szCs w:val="21"/>
            </w:rPr>
            <w:tab/>
          </w:r>
          <w:r>
            <w:rPr>
              <w:sz w:val="21"/>
              <w:szCs w:val="21"/>
            </w:rPr>
            <w:fldChar w:fldCharType="begin"/>
          </w:r>
          <w:r>
            <w:rPr>
              <w:sz w:val="21"/>
              <w:szCs w:val="21"/>
            </w:rPr>
            <w:instrText xml:space="preserve"> PAGEREF _Toc6845 \h </w:instrText>
          </w:r>
          <w:r>
            <w:rPr>
              <w:sz w:val="21"/>
              <w:szCs w:val="21"/>
            </w:rPr>
            <w:fldChar w:fldCharType="separate"/>
          </w:r>
          <w:r>
            <w:rPr>
              <w:sz w:val="21"/>
              <w:szCs w:val="21"/>
            </w:rPr>
            <w:t>75</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"_Toc17125" </w:instrText>
          </w:r>
          <w:r>
            <w:fldChar w:fldCharType="separate"/>
          </w:r>
          <w:r>
            <w:rPr>
              <w:rFonts w:hint="eastAsia"/>
              <w:sz w:val="21"/>
              <w:szCs w:val="21"/>
            </w:rPr>
            <w:t>附图4：污水处理工程污水分区图</w:t>
          </w:r>
          <w:r>
            <w:rPr>
              <w:sz w:val="21"/>
              <w:szCs w:val="21"/>
            </w:rPr>
            <w:tab/>
          </w:r>
          <w:r>
            <w:rPr>
              <w:sz w:val="21"/>
              <w:szCs w:val="21"/>
            </w:rPr>
            <w:fldChar w:fldCharType="begin"/>
          </w:r>
          <w:r>
            <w:rPr>
              <w:sz w:val="21"/>
              <w:szCs w:val="21"/>
            </w:rPr>
            <w:instrText xml:space="preserve"> PAGEREF _Toc17125 \h </w:instrText>
          </w:r>
          <w:r>
            <w:rPr>
              <w:sz w:val="21"/>
              <w:szCs w:val="21"/>
            </w:rPr>
            <w:fldChar w:fldCharType="separate"/>
          </w:r>
          <w:r>
            <w:rPr>
              <w:sz w:val="21"/>
              <w:szCs w:val="21"/>
            </w:rPr>
            <w:t>76</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"_Toc19970" </w:instrText>
          </w:r>
          <w:r>
            <w:fldChar w:fldCharType="separate"/>
          </w:r>
          <w:r>
            <w:rPr>
              <w:rFonts w:hint="eastAsia"/>
              <w:sz w:val="21"/>
              <w:szCs w:val="21"/>
            </w:rPr>
            <w:t>附图5：排污口设置位置及排污路径图</w:t>
          </w:r>
          <w:r>
            <w:rPr>
              <w:sz w:val="21"/>
              <w:szCs w:val="21"/>
            </w:rPr>
            <w:tab/>
          </w:r>
          <w:r>
            <w:rPr>
              <w:sz w:val="21"/>
              <w:szCs w:val="21"/>
            </w:rPr>
            <w:fldChar w:fldCharType="begin"/>
          </w:r>
          <w:r>
            <w:rPr>
              <w:sz w:val="21"/>
              <w:szCs w:val="21"/>
            </w:rPr>
            <w:instrText xml:space="preserve"> PAGEREF _Toc19970 \h </w:instrText>
          </w:r>
          <w:r>
            <w:rPr>
              <w:sz w:val="21"/>
              <w:szCs w:val="21"/>
            </w:rPr>
            <w:fldChar w:fldCharType="separate"/>
          </w:r>
          <w:r>
            <w:rPr>
              <w:sz w:val="21"/>
              <w:szCs w:val="21"/>
            </w:rPr>
            <w:t>77</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"_Toc18462" </w:instrText>
          </w:r>
          <w:r>
            <w:fldChar w:fldCharType="separate"/>
          </w:r>
          <w:r>
            <w:rPr>
              <w:rFonts w:hint="eastAsia"/>
              <w:sz w:val="21"/>
              <w:szCs w:val="21"/>
            </w:rPr>
            <w:t>附图6：区域水系图</w:t>
          </w:r>
          <w:r>
            <w:rPr>
              <w:sz w:val="21"/>
              <w:szCs w:val="21"/>
            </w:rPr>
            <w:tab/>
          </w:r>
          <w:r>
            <w:rPr>
              <w:sz w:val="21"/>
              <w:szCs w:val="21"/>
            </w:rPr>
            <w:fldChar w:fldCharType="begin"/>
          </w:r>
          <w:r>
            <w:rPr>
              <w:sz w:val="21"/>
              <w:szCs w:val="21"/>
            </w:rPr>
            <w:instrText xml:space="preserve"> PAGEREF _Toc18462 \h </w:instrText>
          </w:r>
          <w:r>
            <w:rPr>
              <w:sz w:val="21"/>
              <w:szCs w:val="21"/>
            </w:rPr>
            <w:fldChar w:fldCharType="separate"/>
          </w:r>
          <w:r>
            <w:rPr>
              <w:sz w:val="21"/>
              <w:szCs w:val="21"/>
            </w:rPr>
            <w:t>78</w:t>
          </w:r>
          <w:r>
            <w:rPr>
              <w:sz w:val="21"/>
              <w:szCs w:val="21"/>
            </w:rPr>
            <w:fldChar w:fldCharType="end"/>
          </w:r>
          <w:r>
            <w:rPr>
              <w:sz w:val="21"/>
              <w:szCs w:val="21"/>
            </w:rPr>
            <w:fldChar w:fldCharType="end"/>
          </w:r>
        </w:p>
        <w:p>
          <w:pPr>
            <w:pStyle w:val="18"/>
            <w:tabs>
              <w:tab w:val="right" w:leader="dot" w:pos="8306"/>
            </w:tabs>
            <w:ind w:left="400"/>
            <w:rPr>
              <w:sz w:val="21"/>
              <w:szCs w:val="21"/>
            </w:rPr>
          </w:pPr>
          <w:r>
            <w:fldChar w:fldCharType="begin"/>
          </w:r>
          <w:r>
            <w:instrText xml:space="preserve"> HYPERLINK \l "_Toc21726" </w:instrText>
          </w:r>
          <w:r>
            <w:fldChar w:fldCharType="separate"/>
          </w:r>
          <w:r>
            <w:rPr>
              <w:rFonts w:hint="eastAsia"/>
              <w:sz w:val="21"/>
              <w:szCs w:val="21"/>
            </w:rPr>
            <w:t>附图7：监测点位图</w:t>
          </w:r>
          <w:r>
            <w:rPr>
              <w:sz w:val="21"/>
              <w:szCs w:val="21"/>
            </w:rPr>
            <w:tab/>
          </w:r>
          <w:r>
            <w:rPr>
              <w:sz w:val="21"/>
              <w:szCs w:val="21"/>
            </w:rPr>
            <w:fldChar w:fldCharType="begin"/>
          </w:r>
          <w:r>
            <w:rPr>
              <w:sz w:val="21"/>
              <w:szCs w:val="21"/>
            </w:rPr>
            <w:instrText xml:space="preserve"> PAGEREF _Toc21726 \h </w:instrText>
          </w:r>
          <w:r>
            <w:rPr>
              <w:sz w:val="21"/>
              <w:szCs w:val="21"/>
            </w:rPr>
            <w:fldChar w:fldCharType="separate"/>
          </w:r>
          <w:r>
            <w:rPr>
              <w:sz w:val="21"/>
              <w:szCs w:val="21"/>
            </w:rPr>
            <w:t>79</w:t>
          </w:r>
          <w:r>
            <w:rPr>
              <w:sz w:val="21"/>
              <w:szCs w:val="21"/>
            </w:rPr>
            <w:fldChar w:fldCharType="end"/>
          </w:r>
          <w:r>
            <w:rPr>
              <w:sz w:val="21"/>
              <w:szCs w:val="21"/>
            </w:rPr>
            <w:fldChar w:fldCharType="end"/>
          </w:r>
        </w:p>
        <w:p>
          <w:pPr>
            <w:pStyle w:val="18"/>
            <w:tabs>
              <w:tab w:val="right" w:leader="dot" w:pos="8306"/>
            </w:tabs>
            <w:ind w:left="400"/>
          </w:pPr>
          <w:r>
            <w:fldChar w:fldCharType="begin"/>
          </w:r>
          <w:r>
            <w:instrText xml:space="preserve"> HYPERLINK \l "_Toc5399" </w:instrText>
          </w:r>
          <w:r>
            <w:fldChar w:fldCharType="separate"/>
          </w:r>
          <w:r>
            <w:rPr>
              <w:rFonts w:hint="eastAsia"/>
              <w:sz w:val="21"/>
              <w:szCs w:val="21"/>
            </w:rPr>
            <w:t>附图8：现场照片</w:t>
          </w:r>
          <w:r>
            <w:rPr>
              <w:sz w:val="21"/>
              <w:szCs w:val="21"/>
            </w:rPr>
            <w:tab/>
          </w:r>
          <w:r>
            <w:rPr>
              <w:sz w:val="21"/>
              <w:szCs w:val="21"/>
            </w:rPr>
            <w:fldChar w:fldCharType="begin"/>
          </w:r>
          <w:r>
            <w:rPr>
              <w:sz w:val="21"/>
              <w:szCs w:val="21"/>
            </w:rPr>
            <w:instrText xml:space="preserve"> PAGEREF _Toc5399 \h </w:instrText>
          </w:r>
          <w:r>
            <w:rPr>
              <w:sz w:val="21"/>
              <w:szCs w:val="21"/>
            </w:rPr>
            <w:fldChar w:fldCharType="separate"/>
          </w:r>
          <w:r>
            <w:rPr>
              <w:sz w:val="21"/>
              <w:szCs w:val="21"/>
            </w:rPr>
            <w:t>80</w:t>
          </w:r>
          <w:r>
            <w:rPr>
              <w:sz w:val="21"/>
              <w:szCs w:val="21"/>
            </w:rPr>
            <w:fldChar w:fldCharType="end"/>
          </w:r>
          <w:r>
            <w:rPr>
              <w:sz w:val="21"/>
              <w:szCs w:val="21"/>
            </w:rPr>
            <w:fldChar w:fldCharType="end"/>
          </w:r>
        </w:p>
        <w:p>
          <w:pPr>
            <w:sectPr>
              <w:pgSz w:w="11906" w:h="16838"/>
              <w:pgMar w:top="1440" w:right="1800" w:bottom="1440" w:left="1800" w:header="851" w:footer="992" w:gutter="0"/>
              <w:cols w:space="425" w:num="1"/>
              <w:docGrid w:type="lines" w:linePitch="312" w:charSpace="0"/>
            </w:sectPr>
          </w:pPr>
          <w:r>
            <w:rPr>
              <w:bCs/>
              <w:lang w:val="zh-CN"/>
            </w:rPr>
            <w:fldChar w:fldCharType="end"/>
          </w:r>
        </w:p>
      </w:sdtContent>
    </w:sdt>
    <w:p>
      <w:pPr>
        <w:pStyle w:val="32"/>
      </w:pPr>
      <w:bookmarkStart w:id="2" w:name="_Toc32438"/>
      <w:r>
        <w:rPr>
          <w:rFonts w:hint="eastAsia"/>
        </w:rPr>
        <w:t>1总则</w:t>
      </w:r>
      <w:bookmarkEnd w:id="2"/>
    </w:p>
    <w:p>
      <w:pPr>
        <w:pStyle w:val="35"/>
      </w:pPr>
      <w:bookmarkStart w:id="3" w:name="_Toc8065"/>
      <w:r>
        <w:rPr>
          <w:rFonts w:hint="eastAsia"/>
        </w:rPr>
        <w:t>1</w:t>
      </w:r>
      <w:r>
        <w:t>.1</w:t>
      </w:r>
      <w:r>
        <w:rPr>
          <w:rFonts w:hint="eastAsia"/>
        </w:rPr>
        <w:t>论证背景</w:t>
      </w:r>
      <w:bookmarkEnd w:id="3"/>
    </w:p>
    <w:p>
      <w:pPr>
        <w:pStyle w:val="30"/>
        <w:ind w:firstLine="480"/>
      </w:pPr>
      <w:r>
        <w:rPr>
          <w:rFonts w:hint="eastAsia"/>
        </w:rPr>
        <w:t>祁东地处衡阳市西南部，湘江中游北岸，据湘桂交通要冲，扼衡阳市西南门户，交通区位优势独特，素有“湘桂咽喉”之称。近年来祁东县的城镇建设快速发展，规模不断扩大，人口不断增长，但是城镇污水</w:t>
      </w:r>
      <w:r>
        <w:t>处理及</w:t>
      </w:r>
      <w:r>
        <w:rPr>
          <w:rFonts w:hint="eastAsia"/>
        </w:rPr>
        <w:t>排水设施难以跟上城镇的快速发展步伐，祁东县各乡镇均没有完善污水</w:t>
      </w:r>
      <w:r>
        <w:t>处理及</w:t>
      </w:r>
      <w:r>
        <w:rPr>
          <w:rFonts w:hint="eastAsia"/>
        </w:rPr>
        <w:t>排水设施。目前祁东县县城和建制镇污水处理率较低，同时农村污染扩大，可能会导致县域内部分河流水质和地下水水质恶化。根据国务院办公厅印发《农村人居环境整治三年行动方案》、中央农村工作领导小组办公室、农业农村部、生态环境部等联合发布的《关于推进农村生活污水治理的指导意见》等文件要求，均要求开展农村生活污水治理。</w:t>
      </w:r>
    </w:p>
    <w:p>
      <w:pPr>
        <w:pStyle w:val="30"/>
        <w:ind w:firstLine="480"/>
      </w:pPr>
      <w:r>
        <w:rPr>
          <w:rFonts w:hint="eastAsia"/>
        </w:rPr>
        <w:t>污水处理设施作为一项城镇的重要基础设施，不仅是出于对环境资源的保护，也很大程度上影响着城市建设的发展。近年来，祁东县各乡镇的建设发展迅速，各乡镇道路、交通工程等基础设施建设亦有了很大的改变，但环境基础设施建设仍然滞后，污水处理设施较少。项目作为环境公共服务工程、民生工程，有利于城镇发展和提高竞争能力，有利于生态文明和和谐社会的建立。因此尽快建设祁东县城镇污水处理项目已经成为摆在祁东县人民</w:t>
      </w:r>
      <w:r>
        <w:t>政府</w:t>
      </w:r>
      <w:r>
        <w:rPr>
          <w:rFonts w:hint="eastAsia"/>
        </w:rPr>
        <w:t>面前的头等大事，亦是祁东县各乡镇政府构建和谐社会的重要举措。</w:t>
      </w:r>
    </w:p>
    <w:p>
      <w:pPr>
        <w:pStyle w:val="30"/>
        <w:ind w:firstLine="480"/>
        <w:rPr>
          <w:rFonts w:cs="宋体"/>
        </w:rPr>
      </w:pPr>
      <w:r>
        <w:rPr>
          <w:rFonts w:hint="eastAsia" w:cs="宋体"/>
        </w:rPr>
        <w:t>本项目工程主要内容包括污水处理厂建设和配套污水管网建设，污水收集处理后达到相应排放标准，最终排入白河。根据《中华人民共和国水法》、《中华人民共和国水污染防治法》、《入河排污口监督管理办法》和《关于做好入河排污口和水功能区划相关工作的通知》等法律法规的要求，在江河、湖泊新建、改建和扩大排污口，需经行政主管部门审批。在项目建设单位提交的申请材料中应包括《入河排污口设置论证报告》。</w:t>
      </w:r>
    </w:p>
    <w:p>
      <w:pPr>
        <w:pStyle w:val="30"/>
        <w:ind w:firstLine="480"/>
        <w:rPr>
          <w:rFonts w:hAnsi="宋体" w:eastAsia="仿宋_GB2312"/>
          <w:sz w:val="28"/>
        </w:rPr>
      </w:pPr>
      <w:r>
        <w:rPr>
          <w:rFonts w:hint="eastAsia" w:cs="宋体"/>
        </w:rPr>
        <w:t>为更好贯彻落实《入河排污口监督管理办法》，加强如何排污口监督管理，有效控制水环境污染，实现水资源的可持续利用和保护，祁东县住房和城乡建设局委托湖南易恒环保科技有限公司（以下简称“我公司”）承担祁东县鸟江镇污水处理厂入河排污口设置论证报告编制工作。接受委托后，我公司收集了相关的技术资料，同时对祁东县鸟江镇污水处理厂实地勘察，在此基础上编制了入河排污口设置论证报告，为行政主管部门审批入河排污口提供技术依据。</w:t>
      </w:r>
    </w:p>
    <w:p>
      <w:pPr>
        <w:pStyle w:val="35"/>
      </w:pPr>
      <w:bookmarkStart w:id="4" w:name="_Toc28013"/>
      <w:r>
        <w:rPr>
          <w:rFonts w:hint="eastAsia"/>
        </w:rPr>
        <w:t>1</w:t>
      </w:r>
      <w:r>
        <w:t>.2</w:t>
      </w:r>
      <w:r>
        <w:rPr>
          <w:rFonts w:hint="eastAsia"/>
        </w:rPr>
        <w:t>论证目的</w:t>
      </w:r>
      <w:bookmarkEnd w:id="4"/>
    </w:p>
    <w:p>
      <w:pPr>
        <w:pStyle w:val="30"/>
        <w:ind w:firstLine="480"/>
      </w:pPr>
      <w:r>
        <w:rPr>
          <w:rFonts w:hint="eastAsia"/>
        </w:rPr>
        <w:t>通过分析</w:t>
      </w:r>
      <w:r>
        <w:rPr>
          <w:rFonts w:hint="eastAsia" w:cs="宋体"/>
        </w:rPr>
        <w:t>祁东县鸟江镇污水处理厂</w:t>
      </w:r>
      <w:r>
        <w:rPr>
          <w:rFonts w:hint="eastAsia"/>
        </w:rPr>
        <w:t>入河排污口的有关信息，在满足相关水功能区保护要求的前提下，论证入河排污口设置对水功能区、水生态和第三者权益的影响，根据水功能区的纳污能力、水生态保护等要求，提出水资源保护措施，优化入河排污口设置方案，为行政主管部门审批入河排污口以及建设单位合理设置入河排污口提供科学依据，以保障生活、生产和生态用水安全。</w:t>
      </w:r>
    </w:p>
    <w:p>
      <w:pPr>
        <w:pStyle w:val="35"/>
      </w:pPr>
      <w:bookmarkStart w:id="5" w:name="_Toc7600"/>
      <w:r>
        <w:rPr>
          <w:rFonts w:hint="eastAsia"/>
        </w:rPr>
        <w:t>1</w:t>
      </w:r>
      <w:r>
        <w:t>.3</w:t>
      </w:r>
      <w:r>
        <w:rPr>
          <w:rFonts w:hint="eastAsia"/>
        </w:rPr>
        <w:t>论证依据</w:t>
      </w:r>
      <w:bookmarkEnd w:id="5"/>
    </w:p>
    <w:p>
      <w:pPr>
        <w:pStyle w:val="38"/>
      </w:pPr>
      <w:bookmarkStart w:id="6" w:name="_Toc32262"/>
      <w:r>
        <w:rPr>
          <w:rFonts w:hint="eastAsia"/>
        </w:rPr>
        <w:t>1</w:t>
      </w:r>
      <w:r>
        <w:t>.3.1</w:t>
      </w:r>
      <w:r>
        <w:rPr>
          <w:rFonts w:hint="eastAsia"/>
        </w:rPr>
        <w:t>法律法规</w:t>
      </w:r>
      <w:bookmarkEnd w:id="6"/>
    </w:p>
    <w:p>
      <w:pPr>
        <w:pStyle w:val="30"/>
        <w:ind w:firstLine="480"/>
      </w:pPr>
      <w:r>
        <w:rPr>
          <w:rFonts w:hint="eastAsia"/>
        </w:rPr>
        <w:t>(1)《中华人民共和国水法》（2016年9月1日施行）；</w:t>
      </w:r>
    </w:p>
    <w:p>
      <w:pPr>
        <w:pStyle w:val="30"/>
        <w:ind w:firstLine="480"/>
      </w:pPr>
      <w:r>
        <w:rPr>
          <w:rFonts w:hint="eastAsia"/>
        </w:rPr>
        <w:t>(2)《中华人民共和国水污染防治法》（2018年1月1日施行）；</w:t>
      </w:r>
    </w:p>
    <w:p>
      <w:pPr>
        <w:pStyle w:val="30"/>
        <w:ind w:firstLine="480"/>
      </w:pPr>
      <w:r>
        <w:rPr>
          <w:rFonts w:hint="eastAsia"/>
        </w:rPr>
        <w:t>(3)《中华人民共和国环境保护法》（2015年1月1日施行）；</w:t>
      </w:r>
    </w:p>
    <w:p>
      <w:pPr>
        <w:pStyle w:val="30"/>
        <w:ind w:firstLine="480"/>
      </w:pPr>
      <w:r>
        <w:rPr>
          <w:rFonts w:hint="eastAsia"/>
        </w:rPr>
        <w:t>(4)《中华人民共和国野生动物保护法》（2018年10月 26日施行）；</w:t>
      </w:r>
    </w:p>
    <w:p>
      <w:pPr>
        <w:pStyle w:val="30"/>
        <w:ind w:firstLine="480"/>
      </w:pPr>
      <w:r>
        <w:rPr>
          <w:rFonts w:hint="eastAsia"/>
        </w:rPr>
        <w:t>(5)《中华人民共和国防洪法》（2016年7月2日修正）；</w:t>
      </w:r>
    </w:p>
    <w:p>
      <w:pPr>
        <w:pStyle w:val="30"/>
        <w:ind w:firstLine="480"/>
      </w:pPr>
      <w:r>
        <w:rPr>
          <w:rFonts w:hint="eastAsia"/>
        </w:rPr>
        <w:t>(6)《建设项目环境保护管理条例》（2017年10月 1日实施）；</w:t>
      </w:r>
    </w:p>
    <w:p>
      <w:pPr>
        <w:pStyle w:val="30"/>
        <w:ind w:firstLine="480"/>
      </w:pPr>
      <w:r>
        <w:rPr>
          <w:rFonts w:hint="eastAsia"/>
        </w:rPr>
        <w:t>(7)《中华人民共和国河道管理条例》（2018年3月19日实施）；</w:t>
      </w:r>
    </w:p>
    <w:p>
      <w:pPr>
        <w:pStyle w:val="30"/>
        <w:ind w:firstLine="480"/>
      </w:pPr>
      <w:r>
        <w:rPr>
          <w:rFonts w:hint="eastAsia"/>
        </w:rPr>
        <w:t>(8)《国务院关于实行最严格水资源管理制度的意见》（国务院国发〔2012〕3号），2012.1.12；</w:t>
      </w:r>
    </w:p>
    <w:p>
      <w:pPr>
        <w:pStyle w:val="30"/>
        <w:ind w:firstLine="480"/>
      </w:pPr>
      <w:r>
        <w:rPr>
          <w:rFonts w:hint="eastAsia"/>
        </w:rPr>
        <w:t>(9)《城镇排水与污水处理条例》（国务院第641号令，2014年1月1日实施）；</w:t>
      </w:r>
    </w:p>
    <w:p>
      <w:pPr>
        <w:pStyle w:val="30"/>
        <w:ind w:firstLine="480"/>
      </w:pPr>
      <w:r>
        <w:rPr>
          <w:rFonts w:hint="eastAsia"/>
        </w:rPr>
        <w:t>(10)《入河排污口监督管理办法》（2015年修正本）；</w:t>
      </w:r>
    </w:p>
    <w:p>
      <w:pPr>
        <w:pStyle w:val="30"/>
        <w:ind w:firstLine="480"/>
      </w:pPr>
      <w:r>
        <w:rPr>
          <w:rFonts w:hint="eastAsia"/>
        </w:rPr>
        <w:t>(11)《水功能区监督管理办法》（水资源[2017]101号），2017年4月1日实施</w:t>
      </w:r>
    </w:p>
    <w:p>
      <w:pPr>
        <w:pStyle w:val="30"/>
        <w:ind w:firstLine="480"/>
      </w:pPr>
      <w:r>
        <w:rPr>
          <w:rFonts w:hint="eastAsia"/>
        </w:rPr>
        <w:t>(12)《湖南省人民政府办公厅关于印发&lt;湖南省水功能区监督管理办法&gt;的通知》（湘政办发〔2016〕14号）；</w:t>
      </w:r>
    </w:p>
    <w:p>
      <w:pPr>
        <w:pStyle w:val="30"/>
        <w:ind w:firstLine="480"/>
      </w:pPr>
      <w:r>
        <w:rPr>
          <w:rFonts w:hint="eastAsia"/>
        </w:rPr>
        <w:t>(13)《关于进一步加强入河排污口监督管理工作的通知》（水利部，2017年3月）；</w:t>
      </w:r>
    </w:p>
    <w:p>
      <w:pPr>
        <w:pStyle w:val="30"/>
        <w:ind w:firstLine="480"/>
      </w:pPr>
      <w:r>
        <w:rPr>
          <w:rFonts w:hint="eastAsia"/>
        </w:rPr>
        <w:t>(14)《关于做好入河排污口和水功能区划相关工作的通知》（环办水体〔2019〕36号，2019 年4月24日）；</w:t>
      </w:r>
    </w:p>
    <w:p>
      <w:pPr>
        <w:pStyle w:val="30"/>
        <w:ind w:firstLine="480"/>
      </w:pPr>
      <w:r>
        <w:rPr>
          <w:rFonts w:hint="eastAsia"/>
        </w:rPr>
        <w:t>(15)《饮用水源保护区污染防治管理规定》（2010年12月22日修正）；</w:t>
      </w:r>
    </w:p>
    <w:p>
      <w:pPr>
        <w:pStyle w:val="30"/>
        <w:ind w:firstLine="480"/>
      </w:pPr>
      <w:r>
        <w:rPr>
          <w:rFonts w:hint="eastAsia"/>
        </w:rPr>
        <w:t>(16)《湖南省入河排污口监督管理办法》（湘政发办〔2018〕44 号，2018年7月12日实施）；</w:t>
      </w:r>
    </w:p>
    <w:p>
      <w:pPr>
        <w:pStyle w:val="30"/>
        <w:ind w:firstLine="480"/>
      </w:pPr>
      <w:r>
        <w:rPr>
          <w:rFonts w:hint="eastAsia"/>
        </w:rPr>
        <w:t>(17)《衡阳市水功能区划》（2010-2020），衡阳市水利局；</w:t>
      </w:r>
    </w:p>
    <w:p>
      <w:pPr>
        <w:pStyle w:val="30"/>
        <w:ind w:firstLine="480"/>
      </w:pPr>
      <w:r>
        <w:rPr>
          <w:rFonts w:hint="eastAsia"/>
        </w:rPr>
        <w:t>(18)衡阳市人民政府关于《衡阳市水功能区划》的批复（衡政函〔2013〕21号）。</w:t>
      </w:r>
    </w:p>
    <w:p>
      <w:pPr>
        <w:pStyle w:val="38"/>
      </w:pPr>
      <w:bookmarkStart w:id="7" w:name="_Toc3098"/>
      <w:r>
        <w:rPr>
          <w:rFonts w:hint="eastAsia"/>
        </w:rPr>
        <w:t>1</w:t>
      </w:r>
      <w:r>
        <w:t>.3.2</w:t>
      </w:r>
      <w:r>
        <w:rPr>
          <w:rFonts w:hint="eastAsia"/>
        </w:rPr>
        <w:t>技术标准、规范、规程</w:t>
      </w:r>
      <w:bookmarkEnd w:id="7"/>
    </w:p>
    <w:p>
      <w:pPr>
        <w:pStyle w:val="30"/>
        <w:ind w:firstLine="480"/>
      </w:pPr>
      <w:r>
        <w:rPr>
          <w:rFonts w:hint="eastAsia"/>
        </w:rPr>
        <w:t>(1)《入河排污口管理技术导则》（SL 532-2011）；</w:t>
      </w:r>
    </w:p>
    <w:p>
      <w:pPr>
        <w:pStyle w:val="30"/>
        <w:ind w:firstLine="480"/>
      </w:pPr>
      <w:r>
        <w:rPr>
          <w:rFonts w:hint="eastAsia"/>
        </w:rPr>
        <w:t>(2)《地表水环境质量标准》（GB 3838-2002）；</w:t>
      </w:r>
    </w:p>
    <w:p>
      <w:pPr>
        <w:pStyle w:val="30"/>
        <w:ind w:firstLine="480"/>
      </w:pPr>
      <w:r>
        <w:rPr>
          <w:rFonts w:hint="eastAsia"/>
        </w:rPr>
        <w:t>(3)《地下水质量标准》(GB/T14848-2017) ；</w:t>
      </w:r>
    </w:p>
    <w:p>
      <w:pPr>
        <w:pStyle w:val="30"/>
        <w:ind w:firstLine="480"/>
      </w:pPr>
      <w:r>
        <w:rPr>
          <w:rFonts w:hint="eastAsia"/>
        </w:rPr>
        <w:t>(4)《生活饮用水卫生标准》（GB 5749-2022）；</w:t>
      </w:r>
    </w:p>
    <w:p>
      <w:pPr>
        <w:pStyle w:val="30"/>
        <w:ind w:firstLine="480"/>
      </w:pPr>
      <w:r>
        <w:rPr>
          <w:rFonts w:hint="eastAsia"/>
        </w:rPr>
        <w:t>(5)《水域纳污能力计算规程》（GB/T 25173-2010）；</w:t>
      </w:r>
    </w:p>
    <w:p>
      <w:pPr>
        <w:pStyle w:val="30"/>
        <w:ind w:firstLine="480"/>
      </w:pPr>
      <w:r>
        <w:rPr>
          <w:rFonts w:hint="eastAsia"/>
        </w:rPr>
        <w:t>(6)《湖南省地方标准用水定额》（DB43/T 388-2020）；</w:t>
      </w:r>
    </w:p>
    <w:p>
      <w:pPr>
        <w:pStyle w:val="30"/>
        <w:ind w:firstLine="480"/>
      </w:pPr>
      <w:r>
        <w:rPr>
          <w:rFonts w:hint="eastAsia"/>
        </w:rPr>
        <w:t>(7)《环境影响评价技术导则 地表水环境》（HJ2.3-2018）；</w:t>
      </w:r>
    </w:p>
    <w:p>
      <w:pPr>
        <w:pStyle w:val="30"/>
        <w:ind w:firstLine="480"/>
      </w:pPr>
      <w:r>
        <w:rPr>
          <w:rFonts w:hint="eastAsia"/>
        </w:rPr>
        <w:t>(8)《医疗机构水污染物排放标准》（GB18466-2005）；</w:t>
      </w:r>
    </w:p>
    <w:p>
      <w:pPr>
        <w:pStyle w:val="30"/>
        <w:ind w:firstLine="480"/>
      </w:pPr>
      <w:r>
        <w:rPr>
          <w:rFonts w:hint="eastAsia"/>
        </w:rPr>
        <w:t>(9)《污水进入城镇下水道水质标准》（GB/T31962-2015）；</w:t>
      </w:r>
    </w:p>
    <w:p>
      <w:pPr>
        <w:pStyle w:val="30"/>
        <w:ind w:firstLine="480"/>
      </w:pPr>
      <w:r>
        <w:rPr>
          <w:rFonts w:hint="eastAsia"/>
        </w:rPr>
        <w:t>(10)《河湖生态环境需水计算规范》（SL/T 712-2021）；</w:t>
      </w:r>
    </w:p>
    <w:p>
      <w:pPr>
        <w:pStyle w:val="30"/>
        <w:ind w:firstLine="480"/>
      </w:pPr>
      <w:r>
        <w:rPr>
          <w:rFonts w:hint="eastAsia"/>
        </w:rPr>
        <w:t>(11)《入河入海排污口监督管理技术指南 排污口分类 》（HJ 1312—2023）；</w:t>
      </w:r>
    </w:p>
    <w:p>
      <w:pPr>
        <w:pStyle w:val="30"/>
        <w:ind w:firstLine="480"/>
      </w:pPr>
      <w:r>
        <w:rPr>
          <w:rFonts w:hint="eastAsia"/>
        </w:rPr>
        <w:t>(12)《入河入海排污口监督管理技术指南　入河排污口规范化建设》（HJ 1309—2023）；</w:t>
      </w:r>
    </w:p>
    <w:p>
      <w:pPr>
        <w:pStyle w:val="30"/>
        <w:ind w:firstLine="480"/>
      </w:pPr>
      <w:r>
        <w:rPr>
          <w:rFonts w:hint="eastAsia"/>
        </w:rPr>
        <w:t>(13)《湖南省主要地表水系水环境功能区划》（DB43/023-2005）。</w:t>
      </w:r>
    </w:p>
    <w:p>
      <w:pPr>
        <w:pStyle w:val="38"/>
      </w:pPr>
      <w:bookmarkStart w:id="8" w:name="_Toc3402"/>
      <w:r>
        <w:rPr>
          <w:rFonts w:hint="eastAsia"/>
        </w:rPr>
        <w:t>1</w:t>
      </w:r>
      <w:r>
        <w:t>.3.3</w:t>
      </w:r>
      <w:r>
        <w:rPr>
          <w:rFonts w:hint="eastAsia"/>
        </w:rPr>
        <w:t>其他资料</w:t>
      </w:r>
      <w:bookmarkEnd w:id="8"/>
    </w:p>
    <w:p>
      <w:pPr>
        <w:pStyle w:val="30"/>
        <w:ind w:firstLine="480"/>
      </w:pPr>
      <w:r>
        <w:rPr>
          <w:rFonts w:hint="eastAsia"/>
        </w:rPr>
        <w:t>（1）《衡阳市2019年度水环境承载力评价报告》（衡阳市生态环境局，2020.11）</w:t>
      </w:r>
    </w:p>
    <w:p>
      <w:pPr>
        <w:pStyle w:val="30"/>
        <w:ind w:firstLine="480"/>
      </w:pPr>
      <w:r>
        <w:rPr>
          <w:rFonts w:hint="eastAsia"/>
        </w:rPr>
        <w:t>（2）《祁东县城镇污水处理工程环境影响评价报告表》（报批稿）及其批复；</w:t>
      </w:r>
    </w:p>
    <w:p>
      <w:pPr>
        <w:pStyle w:val="30"/>
        <w:ind w:firstLine="480"/>
      </w:pPr>
      <w:r>
        <w:rPr>
          <w:rFonts w:hint="eastAsia"/>
        </w:rPr>
        <w:t>（3）《祁东县城镇污水处理工程环境影响评价变更说明》（报批稿）及其批复；</w:t>
      </w:r>
    </w:p>
    <w:p>
      <w:pPr>
        <w:pStyle w:val="30"/>
        <w:ind w:firstLine="480"/>
      </w:pPr>
      <w:r>
        <w:rPr>
          <w:rFonts w:hint="eastAsia"/>
        </w:rPr>
        <w:t>（4）建设单位提供的其他资料。</w:t>
      </w:r>
    </w:p>
    <w:p>
      <w:pPr>
        <w:pStyle w:val="35"/>
      </w:pPr>
      <w:bookmarkStart w:id="9" w:name="_Toc7523"/>
      <w:r>
        <w:rPr>
          <w:rFonts w:hint="eastAsia"/>
        </w:rPr>
        <w:t>1</w:t>
      </w:r>
      <w:r>
        <w:t>.4</w:t>
      </w:r>
      <w:r>
        <w:rPr>
          <w:rFonts w:hint="eastAsia"/>
        </w:rPr>
        <w:t>论证原则</w:t>
      </w:r>
      <w:bookmarkEnd w:id="9"/>
    </w:p>
    <w:p>
      <w:pPr>
        <w:pStyle w:val="30"/>
        <w:ind w:firstLine="480"/>
      </w:pPr>
      <w:r>
        <w:rPr>
          <w:rFonts w:hint="eastAsia"/>
        </w:rPr>
        <w:t>（1）符合国家法律、法规和相关政策的要求和规定；</w:t>
      </w:r>
    </w:p>
    <w:p>
      <w:pPr>
        <w:pStyle w:val="30"/>
        <w:ind w:firstLine="480"/>
      </w:pPr>
      <w:r>
        <w:rPr>
          <w:rFonts w:hint="eastAsia"/>
        </w:rPr>
        <w:t>（2）符合国家和行业有关技术标准与规范、规程；</w:t>
      </w:r>
    </w:p>
    <w:p>
      <w:pPr>
        <w:pStyle w:val="30"/>
        <w:ind w:firstLine="480"/>
      </w:pPr>
      <w:r>
        <w:rPr>
          <w:rFonts w:hint="eastAsia"/>
        </w:rPr>
        <w:t>（3）符合流域或区域的综合规划及水资源保护等专业规划；</w:t>
      </w:r>
    </w:p>
    <w:p>
      <w:pPr>
        <w:pStyle w:val="30"/>
        <w:ind w:firstLine="480"/>
      </w:pPr>
      <w:r>
        <w:rPr>
          <w:rFonts w:hint="eastAsia"/>
        </w:rPr>
        <w:t>（4）符合水功能区管理要求。</w:t>
      </w:r>
    </w:p>
    <w:p>
      <w:pPr>
        <w:pStyle w:val="35"/>
      </w:pPr>
      <w:bookmarkStart w:id="10" w:name="_Toc12364"/>
      <w:r>
        <w:rPr>
          <w:rFonts w:hint="eastAsia"/>
        </w:rPr>
        <w:t>1</w:t>
      </w:r>
      <w:r>
        <w:t>.5</w:t>
      </w:r>
      <w:r>
        <w:rPr>
          <w:rFonts w:hint="eastAsia"/>
        </w:rPr>
        <w:t>论证范围</w:t>
      </w:r>
      <w:bookmarkEnd w:id="10"/>
    </w:p>
    <w:p>
      <w:pPr>
        <w:pStyle w:val="30"/>
        <w:ind w:firstLine="480"/>
        <w:rPr>
          <w:szCs w:val="24"/>
        </w:rPr>
      </w:pPr>
      <w:r>
        <w:rPr>
          <w:rFonts w:hint="eastAsia"/>
          <w:u w:val="single"/>
        </w:rPr>
        <w:t>鸟江镇污水处理工程位于祁东县鸟江镇，</w:t>
      </w:r>
      <w:r>
        <w:rPr>
          <w:rFonts w:hint="eastAsia"/>
          <w:szCs w:val="21"/>
          <w:u w:val="single"/>
        </w:rPr>
        <w:t>近期处理规模200m</w:t>
      </w:r>
      <w:r>
        <w:rPr>
          <w:rFonts w:hint="eastAsia"/>
          <w:szCs w:val="21"/>
          <w:u w:val="single"/>
          <w:vertAlign w:val="superscript"/>
        </w:rPr>
        <w:t>3</w:t>
      </w:r>
      <w:r>
        <w:rPr>
          <w:rFonts w:hint="eastAsia"/>
          <w:szCs w:val="21"/>
          <w:u w:val="single"/>
        </w:rPr>
        <w:t>/d，远期处理规模400m</w:t>
      </w:r>
      <w:r>
        <w:rPr>
          <w:rFonts w:hint="eastAsia"/>
          <w:szCs w:val="21"/>
          <w:u w:val="single"/>
          <w:vertAlign w:val="superscript"/>
        </w:rPr>
        <w:t>3</w:t>
      </w:r>
      <w:r>
        <w:rPr>
          <w:rFonts w:hint="eastAsia"/>
          <w:szCs w:val="21"/>
          <w:u w:val="single"/>
        </w:rPr>
        <w:t>/d，处理后达标尾水</w:t>
      </w:r>
      <w:r>
        <w:rPr>
          <w:rFonts w:hint="eastAsia" w:hAnsi="宋体"/>
          <w:szCs w:val="24"/>
          <w:u w:val="single"/>
        </w:rPr>
        <w:t>通过管道排入镇区东南侧灌溉渠，之后经2945m灌溉渠排入东侧白河</w:t>
      </w:r>
      <w:r>
        <w:rPr>
          <w:szCs w:val="24"/>
          <w:u w:val="single"/>
        </w:rPr>
        <w:t>。</w:t>
      </w:r>
    </w:p>
    <w:p>
      <w:pPr>
        <w:pStyle w:val="30"/>
        <w:ind w:firstLine="480"/>
      </w:pPr>
      <w:r>
        <w:rPr>
          <w:rFonts w:hint="eastAsia"/>
        </w:rPr>
        <w:t>白河又名归阳河，属于湘江一级支流，发源于祁东，流经祁东腹地，又在祁东汇入湘江，全长87公里。白河的源头在祁东县风石堰镇石狮岭的老龙潭，流经白地市、双桥、洪桥、金桥、鸟江等乡镇，在归阳镇汇入湘江，沿途接纳5公里以上支流16条。</w:t>
      </w:r>
    </w:p>
    <w:p>
      <w:pPr>
        <w:pStyle w:val="30"/>
        <w:ind w:firstLine="480"/>
      </w:pPr>
      <w:r>
        <w:rPr>
          <w:rFonts w:hint="eastAsia"/>
          <w:u w:val="single"/>
        </w:rPr>
        <w:t>按照《入河排污口设置论证基本要求（试行）》规定“原则上以受入河排污口影响的主要水域和其影响范围内的第三方取、用水户的地域为论证范围。论证工作的基础单元为水功能区，其中入河排污口所在水功能区和可能受到影响的周边水功能区，是论证的重点区域；涉及鱼类产卵场等生态敏感点的，论证范围可不限于上述水功能区。未划分水功能区的水域，入河排污口排污影响范围内的水域都应为论证范围”。参照《环境影响评价技术导则 地表水环境》（HJ 2.3-2018）中应满足覆盖对照断面、控制断面与消减断面等关心断面的要求，考虑本工程服务范围为鸟江镇集镇、白河水功能区划为渔业用水，入河排污口下游主要分布为零散居民和农田，结合主要污染物在下游的预测影响范围长度，最终确定本项目论证范围为排污口到下游断面1280m。</w:t>
      </w:r>
      <w:r>
        <w:rPr>
          <w:rFonts w:hint="eastAsia"/>
        </w:rPr>
        <w:t>排污口所在白河为渔业用水区，按《地表水环境质量标准》（GB3838-2002) Ⅲ类标准水质目标进行论证。</w:t>
      </w:r>
    </w:p>
    <w:p>
      <w:pPr>
        <w:jc w:val="center"/>
      </w:pPr>
      <w:r>
        <w:rPr>
          <w:b/>
          <w:bCs/>
        </w:rPr>
        <w:t>表1.</w:t>
      </w:r>
      <w:r>
        <w:rPr>
          <w:rFonts w:hint="eastAsia"/>
          <w:b/>
          <w:bCs/>
        </w:rPr>
        <w:t>5</w:t>
      </w:r>
      <w:r>
        <w:rPr>
          <w:b/>
          <w:bCs/>
        </w:rPr>
        <w:t>-1 论证范围表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2562"/>
        <w:gridCol w:w="4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pct"/>
          </w:tcPr>
          <w:p>
            <w:pPr>
              <w:pStyle w:val="43"/>
            </w:pPr>
            <w:r>
              <w:t>名称</w:t>
            </w:r>
          </w:p>
        </w:tc>
        <w:tc>
          <w:tcPr>
            <w:tcW w:w="1503" w:type="pct"/>
          </w:tcPr>
          <w:p>
            <w:pPr>
              <w:pStyle w:val="43"/>
            </w:pPr>
            <w:r>
              <w:t>位置名称</w:t>
            </w:r>
          </w:p>
        </w:tc>
        <w:tc>
          <w:tcPr>
            <w:tcW w:w="2444" w:type="pct"/>
          </w:tcPr>
          <w:p>
            <w:pPr>
              <w:pStyle w:val="43"/>
            </w:pPr>
            <w:r>
              <w:t>距离本项目入河排污口距离（km）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pct"/>
          </w:tcPr>
          <w:p>
            <w:pPr>
              <w:pStyle w:val="43"/>
            </w:pPr>
            <w:r>
              <w:t>论证范围起点</w:t>
            </w:r>
          </w:p>
        </w:tc>
        <w:tc>
          <w:tcPr>
            <w:tcW w:w="1503" w:type="pct"/>
          </w:tcPr>
          <w:p>
            <w:pPr>
              <w:pStyle w:val="43"/>
            </w:pPr>
            <w:r>
              <w:rPr>
                <w:rFonts w:hint="eastAsia"/>
              </w:rPr>
              <w:t>排污口</w:t>
            </w:r>
          </w:p>
        </w:tc>
        <w:tc>
          <w:tcPr>
            <w:tcW w:w="2444" w:type="pct"/>
            <w:vAlign w:val="center"/>
          </w:tcPr>
          <w:p>
            <w:pPr>
              <w:pStyle w:val="43"/>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pct"/>
          </w:tcPr>
          <w:p>
            <w:pPr>
              <w:pStyle w:val="43"/>
            </w:pPr>
            <w:r>
              <w:t>论证范围终点</w:t>
            </w:r>
          </w:p>
        </w:tc>
        <w:tc>
          <w:tcPr>
            <w:tcW w:w="1503" w:type="pct"/>
          </w:tcPr>
          <w:p>
            <w:pPr>
              <w:pStyle w:val="43"/>
            </w:pPr>
            <w:r>
              <w:rPr>
                <w:rFonts w:hint="eastAsia"/>
              </w:rPr>
              <w:t>排污口至白河下游1.28km处</w:t>
            </w:r>
          </w:p>
        </w:tc>
        <w:tc>
          <w:tcPr>
            <w:tcW w:w="2444" w:type="pct"/>
            <w:vAlign w:val="center"/>
          </w:tcPr>
          <w:p>
            <w:pPr>
              <w:pStyle w:val="43"/>
            </w:pPr>
            <w:r>
              <w:rPr>
                <w:rFonts w:hint="eastAsia"/>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556" w:type="pct"/>
            <w:gridSpan w:val="2"/>
          </w:tcPr>
          <w:p>
            <w:pPr>
              <w:pStyle w:val="43"/>
            </w:pPr>
            <w:r>
              <w:t>合计</w:t>
            </w:r>
          </w:p>
        </w:tc>
        <w:tc>
          <w:tcPr>
            <w:tcW w:w="2444" w:type="pct"/>
          </w:tcPr>
          <w:p>
            <w:pPr>
              <w:pStyle w:val="43"/>
            </w:pPr>
            <w:r>
              <w:rPr>
                <w:rFonts w:hint="eastAsia"/>
              </w:rPr>
              <w:t>4.23</w:t>
            </w:r>
          </w:p>
        </w:tc>
      </w:tr>
    </w:tbl>
    <w:p>
      <w:pPr>
        <w:pStyle w:val="30"/>
        <w:ind w:firstLine="0" w:firstLineChars="0"/>
      </w:pPr>
      <w:r>
        <w:drawing>
          <wp:inline distT="0" distB="0" distL="0" distR="0">
            <wp:extent cx="5274310" cy="3011170"/>
            <wp:effectExtent l="0" t="0" r="2540" b="0"/>
            <wp:docPr id="1520339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339694" name="图片 1"/>
                    <pic:cNvPicPr>
                      <a:picLocks noChangeAspect="1"/>
                    </pic:cNvPicPr>
                  </pic:nvPicPr>
                  <pic:blipFill>
                    <a:blip r:embed="rId5"/>
                    <a:stretch>
                      <a:fillRect/>
                    </a:stretch>
                  </pic:blipFill>
                  <pic:spPr>
                    <a:xfrm>
                      <a:off x="0" y="0"/>
                      <a:ext cx="5274310" cy="3011729"/>
                    </a:xfrm>
                    <a:prstGeom prst="rect">
                      <a:avLst/>
                    </a:prstGeom>
                  </pic:spPr>
                </pic:pic>
              </a:graphicData>
            </a:graphic>
          </wp:inline>
        </w:drawing>
      </w:r>
    </w:p>
    <w:p>
      <w:pPr>
        <w:pStyle w:val="41"/>
        <w:rPr>
          <w:highlight w:val="green"/>
        </w:rPr>
      </w:pPr>
      <w:r>
        <w:rPr>
          <w:rFonts w:hint="eastAsia"/>
        </w:rPr>
        <w:t>图1</w:t>
      </w:r>
      <w:r>
        <w:t xml:space="preserve">.5-1  </w:t>
      </w:r>
      <w:r>
        <w:rPr>
          <w:rFonts w:hint="eastAsia"/>
        </w:rPr>
        <w:t>入河排污口论证范围图</w:t>
      </w:r>
    </w:p>
    <w:p>
      <w:pPr>
        <w:pStyle w:val="35"/>
      </w:pPr>
      <w:bookmarkStart w:id="11" w:name="_Toc29545"/>
      <w:r>
        <w:rPr>
          <w:rFonts w:hint="eastAsia"/>
        </w:rPr>
        <w:t>1</w:t>
      </w:r>
      <w:r>
        <w:t>.6</w:t>
      </w:r>
      <w:r>
        <w:rPr>
          <w:rFonts w:hint="eastAsia"/>
        </w:rPr>
        <w:t>论证工作程序</w:t>
      </w:r>
      <w:bookmarkEnd w:id="11"/>
    </w:p>
    <w:p>
      <w:pPr>
        <w:pStyle w:val="30"/>
        <w:ind w:firstLine="480"/>
      </w:pPr>
      <w:r>
        <w:t>（1）现场查勘与资料收集</w:t>
      </w:r>
    </w:p>
    <w:p>
      <w:pPr>
        <w:pStyle w:val="30"/>
        <w:ind w:firstLine="480"/>
      </w:pPr>
      <w:r>
        <w:t>根据入河排污口设置的方案，组织技术人员对现场进行多次查勘，调查和收集该项目所在区域的自然环境和社会环境资料，排污口设置河段的水文、水质和水生态资料等，同时收集可能影响的其他取排水用户资料。</w:t>
      </w:r>
    </w:p>
    <w:p>
      <w:pPr>
        <w:pStyle w:val="30"/>
        <w:ind w:firstLine="480"/>
      </w:pPr>
      <w:r>
        <w:t>（2）资料整理</w:t>
      </w:r>
    </w:p>
    <w:p>
      <w:pPr>
        <w:pStyle w:val="30"/>
        <w:ind w:firstLine="480"/>
      </w:pPr>
      <w:r>
        <w:t>根据所收集的资料，整理分析，明确入河排污口位置、主要污染物排放量及污染特性等基本情况；分析所属河段水资源保护管理要求，水环境现状和水生态现状等情况，以及其他取排水用户分布情况等。</w:t>
      </w:r>
    </w:p>
    <w:p>
      <w:pPr>
        <w:pStyle w:val="30"/>
        <w:ind w:firstLine="480"/>
      </w:pPr>
      <w:r>
        <w:t>（3）建立数学模型，进行预测模拟</w:t>
      </w:r>
    </w:p>
    <w:p>
      <w:pPr>
        <w:pStyle w:val="30"/>
        <w:ind w:firstLine="480"/>
      </w:pPr>
      <w:r>
        <w:t>根据水功能区水质和水生态保护要求，结合废污水处理排放情况，项目所处河段河道水文特性，按照《水域纳污能力计算规程》，选定合适的数学模型，拟定模型预测计算工况，进行污染物扩散浓度预测计算，统计分析不同条件下入河废污水的影响程度及范围。</w:t>
      </w:r>
    </w:p>
    <w:p>
      <w:pPr>
        <w:pStyle w:val="30"/>
        <w:ind w:firstLine="480"/>
      </w:pPr>
      <w:r>
        <w:t>（4）影响分析</w:t>
      </w:r>
    </w:p>
    <w:p>
      <w:pPr>
        <w:pStyle w:val="30"/>
        <w:ind w:firstLine="480"/>
      </w:pPr>
      <w:r>
        <w:t>根据计算结果，得出的入河排污口污染物排放产生的影响范围，以及所处河段水生态现状，论证分析入河排污口对</w:t>
      </w:r>
      <w:r>
        <w:rPr>
          <w:rFonts w:hint="eastAsia"/>
        </w:rPr>
        <w:t>白河</w:t>
      </w:r>
      <w:r>
        <w:t>的影响程度。论证分析排污口对下游水功能区内第三方取用水安全的影响，提出入河排污口设置的制约因素。</w:t>
      </w:r>
    </w:p>
    <w:p>
      <w:pPr>
        <w:pStyle w:val="30"/>
        <w:ind w:firstLine="480"/>
      </w:pPr>
      <w:r>
        <w:t>（5）排污口设置合理性分析</w:t>
      </w:r>
    </w:p>
    <w:p>
      <w:pPr>
        <w:pStyle w:val="30"/>
        <w:ind w:firstLine="480"/>
      </w:pPr>
      <w:r>
        <w:t>根据影响论证结果，综合考虑水功能区水质和水生态保护的要求、第三者权益等因素，分析入河排污口位置、排放浓度和总量是否符合有关要求。</w:t>
      </w:r>
    </w:p>
    <w:p>
      <w:pPr>
        <w:pStyle w:val="30"/>
        <w:ind w:firstLine="480"/>
      </w:pPr>
      <w:r>
        <w:t>（6）结论与建议</w:t>
      </w:r>
    </w:p>
    <w:p>
      <w:pPr>
        <w:pStyle w:val="30"/>
        <w:ind w:firstLine="480"/>
      </w:pPr>
      <w:r>
        <w:t>根据入河排污口设置情况及水功能区相关要求，经综合分析，给出排污口设置的结论及合理性建议</w:t>
      </w:r>
      <w:r>
        <w:rPr>
          <w:rFonts w:hint="eastAsia"/>
        </w:rPr>
        <w:t>。入河排污口论证工作程序见图1.6-1</w:t>
      </w:r>
      <w:r>
        <w:t>。</w:t>
      </w:r>
    </w:p>
    <w:p>
      <w:pPr>
        <w:ind w:firstLine="480"/>
        <w:jc w:val="center"/>
      </w:pPr>
      <w:r>
        <w:drawing>
          <wp:inline distT="0" distB="0" distL="0" distR="0">
            <wp:extent cx="4086225" cy="4619625"/>
            <wp:effectExtent l="0" t="0" r="9525" b="9525"/>
            <wp:docPr id="1374699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99335"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086225" cy="4619625"/>
                    </a:xfrm>
                    <a:prstGeom prst="rect">
                      <a:avLst/>
                    </a:prstGeom>
                    <a:noFill/>
                    <a:ln>
                      <a:noFill/>
                    </a:ln>
                    <a:effectLst/>
                  </pic:spPr>
                </pic:pic>
              </a:graphicData>
            </a:graphic>
          </wp:inline>
        </w:drawing>
      </w:r>
    </w:p>
    <w:p>
      <w:pPr>
        <w:pStyle w:val="41"/>
      </w:pPr>
      <w:r>
        <w:t>图1.6-1 入河排污口论证工作程序框图</w:t>
      </w:r>
    </w:p>
    <w:p>
      <w:pPr>
        <w:pStyle w:val="35"/>
      </w:pPr>
      <w:bookmarkStart w:id="12" w:name="_Toc9784"/>
      <w:r>
        <w:rPr>
          <w:rFonts w:hint="eastAsia"/>
        </w:rPr>
        <w:t>1</w:t>
      </w:r>
      <w:r>
        <w:t>.7</w:t>
      </w:r>
      <w:r>
        <w:rPr>
          <w:rFonts w:hint="eastAsia"/>
        </w:rPr>
        <w:t>论证主要内容</w:t>
      </w:r>
      <w:bookmarkEnd w:id="12"/>
    </w:p>
    <w:p>
      <w:pPr>
        <w:pStyle w:val="47"/>
        <w:tabs>
          <w:tab w:val="left" w:pos="2021"/>
        </w:tabs>
        <w:ind w:left="0" w:firstLine="480"/>
        <w:jc w:val="both"/>
        <w:rPr>
          <w:color w:val="000000"/>
          <w:kern w:val="2"/>
          <w:lang w:eastAsia="zh-CN" w:bidi="ar-SA"/>
        </w:rPr>
      </w:pPr>
      <w:r>
        <w:rPr>
          <w:color w:val="000000"/>
          <w:kern w:val="2"/>
          <w:lang w:eastAsia="zh-CN" w:bidi="ar-SA"/>
        </w:rPr>
        <w:t>（1）建设项目基本情况。</w:t>
      </w:r>
    </w:p>
    <w:p>
      <w:pPr>
        <w:pStyle w:val="47"/>
        <w:tabs>
          <w:tab w:val="left" w:pos="2021"/>
        </w:tabs>
        <w:ind w:left="0" w:firstLine="480"/>
        <w:jc w:val="both"/>
        <w:rPr>
          <w:color w:val="000000"/>
          <w:kern w:val="2"/>
          <w:lang w:eastAsia="zh-CN" w:bidi="ar-SA"/>
        </w:rPr>
      </w:pPr>
      <w:r>
        <w:rPr>
          <w:color w:val="000000"/>
          <w:kern w:val="2"/>
          <w:lang w:eastAsia="zh-CN" w:bidi="ar-SA"/>
        </w:rPr>
        <w:t>（2）</w:t>
      </w:r>
      <w:r>
        <w:rPr>
          <w:rFonts w:hint="eastAsia"/>
          <w:color w:val="000000"/>
          <w:kern w:val="2"/>
          <w:lang w:eastAsia="zh-CN" w:bidi="ar-SA"/>
        </w:rPr>
        <w:t>调查</w:t>
      </w:r>
      <w:r>
        <w:rPr>
          <w:color w:val="000000"/>
          <w:kern w:val="2"/>
          <w:lang w:eastAsia="zh-CN" w:bidi="ar-SA"/>
        </w:rPr>
        <w:t>拟建入河排污口所在水功能区（水域）水质</w:t>
      </w:r>
      <w:r>
        <w:rPr>
          <w:rFonts w:hint="eastAsia"/>
          <w:color w:val="000000"/>
          <w:kern w:val="2"/>
          <w:lang w:eastAsia="zh-CN" w:bidi="ar-SA"/>
        </w:rPr>
        <w:t>，并进行</w:t>
      </w:r>
      <w:r>
        <w:rPr>
          <w:color w:val="000000"/>
          <w:kern w:val="2"/>
          <w:lang w:eastAsia="zh-CN" w:bidi="ar-SA"/>
        </w:rPr>
        <w:t>纳污现状分析。</w:t>
      </w:r>
    </w:p>
    <w:p>
      <w:pPr>
        <w:pStyle w:val="47"/>
        <w:tabs>
          <w:tab w:val="left" w:pos="2021"/>
        </w:tabs>
        <w:ind w:left="0" w:firstLine="480"/>
        <w:jc w:val="both"/>
        <w:rPr>
          <w:color w:val="000000"/>
          <w:kern w:val="2"/>
          <w:lang w:eastAsia="zh-CN" w:bidi="ar-SA"/>
        </w:rPr>
      </w:pPr>
      <w:r>
        <w:rPr>
          <w:color w:val="000000"/>
          <w:kern w:val="2"/>
          <w:lang w:eastAsia="zh-CN" w:bidi="ar-SA"/>
        </w:rPr>
        <w:t>（3）拟建项目入河排污口设置可行性分析论证及入河排污口设置方案。</w:t>
      </w:r>
    </w:p>
    <w:p>
      <w:pPr>
        <w:pStyle w:val="47"/>
        <w:tabs>
          <w:tab w:val="left" w:pos="2021"/>
        </w:tabs>
        <w:ind w:left="0" w:firstLine="480"/>
        <w:jc w:val="both"/>
        <w:rPr>
          <w:color w:val="000000"/>
          <w:kern w:val="2"/>
          <w:lang w:eastAsia="zh-CN" w:bidi="ar-SA"/>
        </w:rPr>
      </w:pPr>
      <w:r>
        <w:rPr>
          <w:color w:val="000000"/>
          <w:kern w:val="2"/>
          <w:lang w:eastAsia="zh-CN" w:bidi="ar-SA"/>
        </w:rPr>
        <w:t>（4）入河排污口设置对水功能区（水域）水质影响分析。</w:t>
      </w:r>
    </w:p>
    <w:p>
      <w:pPr>
        <w:pStyle w:val="47"/>
        <w:tabs>
          <w:tab w:val="left" w:pos="2021"/>
        </w:tabs>
        <w:ind w:left="0" w:firstLine="480"/>
        <w:jc w:val="both"/>
        <w:rPr>
          <w:color w:val="000000"/>
          <w:kern w:val="2"/>
          <w:lang w:eastAsia="zh-CN" w:bidi="ar-SA"/>
        </w:rPr>
      </w:pPr>
      <w:r>
        <w:rPr>
          <w:color w:val="000000"/>
          <w:kern w:val="2"/>
          <w:lang w:eastAsia="zh-CN" w:bidi="ar-SA"/>
        </w:rPr>
        <w:t>（5）入河排污口设置对水功能区（水域）水生态影响分析。</w:t>
      </w:r>
    </w:p>
    <w:p>
      <w:pPr>
        <w:pStyle w:val="47"/>
        <w:tabs>
          <w:tab w:val="left" w:pos="2021"/>
        </w:tabs>
        <w:ind w:left="0" w:firstLine="480"/>
        <w:jc w:val="both"/>
        <w:rPr>
          <w:color w:val="000000"/>
          <w:kern w:val="2"/>
          <w:lang w:eastAsia="zh-CN" w:bidi="ar-SA"/>
        </w:rPr>
      </w:pPr>
      <w:r>
        <w:rPr>
          <w:color w:val="000000"/>
          <w:kern w:val="2"/>
          <w:lang w:eastAsia="zh-CN" w:bidi="ar-SA"/>
        </w:rPr>
        <w:t>（6）入河排污口设置对地下水影响分析。</w:t>
      </w:r>
    </w:p>
    <w:p>
      <w:pPr>
        <w:pStyle w:val="47"/>
        <w:tabs>
          <w:tab w:val="left" w:pos="2021"/>
        </w:tabs>
        <w:ind w:left="0" w:firstLine="480"/>
        <w:jc w:val="both"/>
        <w:rPr>
          <w:color w:val="000000"/>
          <w:kern w:val="2"/>
          <w:lang w:eastAsia="zh-CN" w:bidi="ar-SA"/>
        </w:rPr>
      </w:pPr>
      <w:r>
        <w:rPr>
          <w:color w:val="000000"/>
          <w:kern w:val="2"/>
          <w:lang w:eastAsia="zh-CN" w:bidi="ar-SA"/>
        </w:rPr>
        <w:t>（7）入河排污口设置对有利害关系的第三者权益的影响分析。</w:t>
      </w:r>
    </w:p>
    <w:p>
      <w:pPr>
        <w:pStyle w:val="47"/>
        <w:tabs>
          <w:tab w:val="left" w:pos="2021"/>
        </w:tabs>
        <w:ind w:left="0" w:firstLine="480"/>
        <w:jc w:val="both"/>
        <w:rPr>
          <w:color w:val="000000"/>
          <w:kern w:val="2"/>
          <w:lang w:eastAsia="zh-CN" w:bidi="ar-SA"/>
        </w:rPr>
      </w:pPr>
      <w:r>
        <w:rPr>
          <w:color w:val="000000"/>
          <w:kern w:val="2"/>
          <w:lang w:eastAsia="zh-CN" w:bidi="ar-SA"/>
        </w:rPr>
        <w:t>（8）入河排污口设置合理性分析。</w:t>
      </w:r>
    </w:p>
    <w:p>
      <w:pPr>
        <w:pStyle w:val="30"/>
        <w:ind w:firstLine="480"/>
        <w:rPr>
          <w:color w:val="000000"/>
        </w:rPr>
      </w:pPr>
      <w:r>
        <w:rPr>
          <w:color w:val="000000"/>
        </w:rPr>
        <w:t>（9）结论与建议。</w:t>
      </w:r>
    </w:p>
    <w:p>
      <w:pPr>
        <w:pStyle w:val="35"/>
        <w:rPr>
          <w:u w:val="single"/>
        </w:rPr>
      </w:pPr>
      <w:bookmarkStart w:id="13" w:name="_Toc2629"/>
      <w:r>
        <w:rPr>
          <w:rFonts w:hint="eastAsia"/>
          <w:u w:val="single"/>
        </w:rPr>
        <w:t>1.8论证水平年</w:t>
      </w:r>
      <w:bookmarkEnd w:id="13"/>
    </w:p>
    <w:p>
      <w:pPr>
        <w:widowControl/>
        <w:spacing w:line="360" w:lineRule="auto"/>
        <w:ind w:firstLine="480" w:firstLineChars="200"/>
        <w:rPr>
          <w:color w:val="000000"/>
          <w:sz w:val="24"/>
          <w:szCs w:val="24"/>
          <w:u w:val="single"/>
        </w:rPr>
      </w:pPr>
      <w:r>
        <w:rPr>
          <w:color w:val="000000"/>
          <w:sz w:val="24"/>
          <w:szCs w:val="24"/>
          <w:u w:val="single"/>
        </w:rPr>
        <w:t>入河排污口设置论证水平年的确定尽量与国民经济和社会发展规划、流域或区域水资源规划等有关规定水平年相协调。根据鸟江镇污水处理工程设计及实际建设情况，论证选取2023年为现状水平年，2030年</w:t>
      </w:r>
      <w:r>
        <w:rPr>
          <w:rFonts w:hint="eastAsia"/>
          <w:color w:val="000000"/>
          <w:sz w:val="24"/>
          <w:szCs w:val="24"/>
          <w:u w:val="single"/>
        </w:rPr>
        <w:t>（远期）为</w:t>
      </w:r>
      <w:r>
        <w:rPr>
          <w:color w:val="000000"/>
          <w:sz w:val="24"/>
          <w:szCs w:val="24"/>
          <w:u w:val="single"/>
        </w:rPr>
        <w:t>设计水平年。</w:t>
      </w:r>
    </w:p>
    <w:p>
      <w:pPr>
        <w:pStyle w:val="35"/>
        <w:rPr>
          <w:u w:val="single"/>
        </w:rPr>
      </w:pPr>
      <w:bookmarkStart w:id="14" w:name="_Toc21985"/>
      <w:r>
        <w:rPr>
          <w:rFonts w:hint="eastAsia"/>
          <w:u w:val="single"/>
        </w:rPr>
        <w:t>1.9论证工作等级</w:t>
      </w:r>
      <w:bookmarkEnd w:id="14"/>
    </w:p>
    <w:p>
      <w:pPr>
        <w:pStyle w:val="47"/>
        <w:tabs>
          <w:tab w:val="left" w:pos="2021"/>
        </w:tabs>
        <w:ind w:left="0" w:firstLine="480"/>
        <w:jc w:val="both"/>
        <w:rPr>
          <w:u w:val="single"/>
          <w:lang w:eastAsia="zh-CN"/>
        </w:rPr>
      </w:pPr>
      <w:r>
        <w:rPr>
          <w:rFonts w:hint="eastAsia"/>
          <w:color w:val="000000"/>
          <w:kern w:val="2"/>
          <w:u w:val="single"/>
          <w:lang w:eastAsia="zh-CN" w:bidi="ar-SA"/>
        </w:rPr>
        <w:t>根据《入河排污口设置论证报告技术导则（征求意见稿）》， 入河排污口设置论证工作等级由各分类指标等级的最高级别确定， 分类等级由地区水资源与水生态状况、水资源利用状况、水域管理要求、污染物排放类型、废污水排放量等分类指标的最高级别确定。入河排污口设置论证分类分级指标见下表。</w:t>
      </w:r>
    </w:p>
    <w:p>
      <w:pPr>
        <w:pStyle w:val="41"/>
        <w:rPr>
          <w:u w:val="single"/>
        </w:rPr>
      </w:pPr>
      <w:r>
        <w:rPr>
          <w:rFonts w:hint="eastAsia"/>
          <w:u w:val="single"/>
        </w:rPr>
        <w:t>表1.8-1 入河排污口设置论证分类分级指标</w:t>
      </w:r>
    </w:p>
    <w:tbl>
      <w:tblPr>
        <w:tblStyle w:val="22"/>
        <w:tblW w:w="49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2759"/>
        <w:gridCol w:w="2065"/>
        <w:gridCol w:w="1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1" w:hRule="atLeast"/>
        </w:trPr>
        <w:tc>
          <w:tcPr>
            <w:tcW w:w="923" w:type="pct"/>
            <w:vMerge w:val="restart"/>
            <w:vAlign w:val="center"/>
          </w:tcPr>
          <w:p>
            <w:pPr>
              <w:jc w:val="center"/>
              <w:rPr>
                <w:sz w:val="21"/>
                <w:szCs w:val="21"/>
                <w:u w:val="single"/>
              </w:rPr>
            </w:pPr>
            <w:r>
              <w:rPr>
                <w:sz w:val="21"/>
                <w:szCs w:val="21"/>
                <w:u w:val="single"/>
              </w:rPr>
              <w:t>分类指标</w:t>
            </w:r>
          </w:p>
        </w:tc>
        <w:tc>
          <w:tcPr>
            <w:tcW w:w="4076" w:type="pct"/>
            <w:gridSpan w:val="3"/>
            <w:tcMar>
              <w:left w:w="28" w:type="dxa"/>
              <w:right w:w="28" w:type="dxa"/>
            </w:tcMar>
            <w:vAlign w:val="center"/>
          </w:tcPr>
          <w:p>
            <w:pPr>
              <w:jc w:val="center"/>
              <w:rPr>
                <w:sz w:val="21"/>
                <w:szCs w:val="21"/>
                <w:u w:val="single"/>
              </w:rPr>
            </w:pPr>
            <w:r>
              <w:rPr>
                <w:sz w:val="21"/>
                <w:szCs w:val="21"/>
                <w:u w:val="single"/>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23" w:type="pct"/>
            <w:vMerge w:val="continue"/>
            <w:vAlign w:val="center"/>
          </w:tcPr>
          <w:p>
            <w:pPr>
              <w:jc w:val="center"/>
              <w:rPr>
                <w:sz w:val="21"/>
                <w:szCs w:val="21"/>
                <w:u w:val="single"/>
              </w:rPr>
            </w:pPr>
          </w:p>
        </w:tc>
        <w:tc>
          <w:tcPr>
            <w:tcW w:w="1665" w:type="pct"/>
            <w:tcMar>
              <w:left w:w="28" w:type="dxa"/>
              <w:right w:w="28" w:type="dxa"/>
            </w:tcMar>
            <w:vAlign w:val="center"/>
          </w:tcPr>
          <w:p>
            <w:pPr>
              <w:jc w:val="center"/>
              <w:rPr>
                <w:sz w:val="21"/>
                <w:szCs w:val="21"/>
                <w:u w:val="single"/>
              </w:rPr>
            </w:pPr>
            <w:r>
              <w:rPr>
                <w:sz w:val="21"/>
                <w:szCs w:val="21"/>
                <w:u w:val="single"/>
              </w:rPr>
              <w:t>一级</w:t>
            </w:r>
          </w:p>
        </w:tc>
        <w:tc>
          <w:tcPr>
            <w:tcW w:w="1246" w:type="pct"/>
            <w:tcMar>
              <w:left w:w="28" w:type="dxa"/>
              <w:right w:w="28" w:type="dxa"/>
            </w:tcMar>
            <w:vAlign w:val="center"/>
          </w:tcPr>
          <w:p>
            <w:pPr>
              <w:jc w:val="center"/>
              <w:rPr>
                <w:sz w:val="21"/>
                <w:szCs w:val="21"/>
                <w:u w:val="single"/>
              </w:rPr>
            </w:pPr>
            <w:r>
              <w:rPr>
                <w:sz w:val="21"/>
                <w:szCs w:val="21"/>
                <w:u w:val="single"/>
              </w:rPr>
              <w:t>二级</w:t>
            </w:r>
          </w:p>
        </w:tc>
        <w:tc>
          <w:tcPr>
            <w:tcW w:w="1164" w:type="pct"/>
            <w:tcMar>
              <w:left w:w="28" w:type="dxa"/>
              <w:right w:w="28" w:type="dxa"/>
            </w:tcMar>
            <w:vAlign w:val="center"/>
          </w:tcPr>
          <w:p>
            <w:pPr>
              <w:jc w:val="center"/>
              <w:rPr>
                <w:sz w:val="21"/>
                <w:szCs w:val="21"/>
                <w:u w:val="single"/>
              </w:rPr>
            </w:pPr>
            <w:r>
              <w:rPr>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23" w:type="pct"/>
            <w:vAlign w:val="center"/>
          </w:tcPr>
          <w:p>
            <w:pPr>
              <w:jc w:val="center"/>
              <w:rPr>
                <w:sz w:val="21"/>
                <w:szCs w:val="21"/>
                <w:u w:val="single"/>
              </w:rPr>
            </w:pPr>
            <w:r>
              <w:rPr>
                <w:sz w:val="21"/>
                <w:szCs w:val="21"/>
                <w:u w:val="single"/>
              </w:rPr>
              <w:t>水功能区管理要求</w:t>
            </w:r>
          </w:p>
        </w:tc>
        <w:tc>
          <w:tcPr>
            <w:tcW w:w="1665" w:type="pct"/>
            <w:tcMar>
              <w:left w:w="28" w:type="dxa"/>
              <w:right w:w="28" w:type="dxa"/>
            </w:tcMar>
            <w:vAlign w:val="center"/>
          </w:tcPr>
          <w:p>
            <w:pPr>
              <w:jc w:val="center"/>
              <w:rPr>
                <w:sz w:val="21"/>
                <w:szCs w:val="21"/>
                <w:u w:val="single"/>
              </w:rPr>
            </w:pPr>
            <w:r>
              <w:rPr>
                <w:sz w:val="21"/>
                <w:szCs w:val="21"/>
                <w:u w:val="single"/>
              </w:rPr>
              <w:t>涉及一级水功能区中的保护区、保留区、缓冲区及二级水功能区中饮用水水源区</w:t>
            </w:r>
          </w:p>
        </w:tc>
        <w:tc>
          <w:tcPr>
            <w:tcW w:w="1246" w:type="pct"/>
            <w:tcMar>
              <w:left w:w="28" w:type="dxa"/>
              <w:right w:w="28" w:type="dxa"/>
            </w:tcMar>
            <w:vAlign w:val="center"/>
          </w:tcPr>
          <w:p>
            <w:pPr>
              <w:jc w:val="center"/>
              <w:rPr>
                <w:sz w:val="21"/>
                <w:szCs w:val="21"/>
                <w:u w:val="single"/>
              </w:rPr>
            </w:pPr>
            <w:r>
              <w:rPr>
                <w:sz w:val="21"/>
                <w:szCs w:val="21"/>
                <w:u w:val="single"/>
              </w:rPr>
              <w:t>涉及二级水功能区中的工业、农业、渔业、景观娱乐用水区</w:t>
            </w:r>
          </w:p>
        </w:tc>
        <w:tc>
          <w:tcPr>
            <w:tcW w:w="1164" w:type="pct"/>
            <w:tcMar>
              <w:left w:w="28" w:type="dxa"/>
              <w:right w:w="28" w:type="dxa"/>
            </w:tcMar>
            <w:vAlign w:val="center"/>
          </w:tcPr>
          <w:p>
            <w:pPr>
              <w:jc w:val="center"/>
              <w:rPr>
                <w:sz w:val="21"/>
                <w:szCs w:val="21"/>
                <w:u w:val="single"/>
              </w:rPr>
            </w:pPr>
            <w:r>
              <w:rPr>
                <w:sz w:val="21"/>
                <w:szCs w:val="21"/>
                <w:u w:val="single"/>
              </w:rPr>
              <w:t>涉及二级水功能区中的排污控制区和过渡区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0" w:hRule="atLeast"/>
        </w:trPr>
        <w:tc>
          <w:tcPr>
            <w:tcW w:w="923" w:type="pct"/>
            <w:tcMar>
              <w:left w:w="28" w:type="dxa"/>
              <w:right w:w="28" w:type="dxa"/>
            </w:tcMar>
            <w:vAlign w:val="center"/>
          </w:tcPr>
          <w:p>
            <w:pPr>
              <w:jc w:val="center"/>
              <w:rPr>
                <w:sz w:val="21"/>
                <w:szCs w:val="21"/>
                <w:u w:val="single"/>
              </w:rPr>
            </w:pPr>
            <w:r>
              <w:rPr>
                <w:sz w:val="21"/>
                <w:szCs w:val="21"/>
                <w:u w:val="single"/>
              </w:rPr>
              <w:t>水功能区水域纳污现状</w:t>
            </w:r>
          </w:p>
        </w:tc>
        <w:tc>
          <w:tcPr>
            <w:tcW w:w="1665" w:type="pct"/>
            <w:tcMar>
              <w:left w:w="28" w:type="dxa"/>
              <w:right w:w="28" w:type="dxa"/>
            </w:tcMar>
            <w:vAlign w:val="center"/>
          </w:tcPr>
          <w:p>
            <w:pPr>
              <w:tabs>
                <w:tab w:val="left" w:pos="840"/>
                <w:tab w:val="left" w:pos="1425"/>
              </w:tabs>
              <w:jc w:val="center"/>
              <w:rPr>
                <w:sz w:val="21"/>
                <w:szCs w:val="21"/>
                <w:u w:val="single"/>
              </w:rPr>
            </w:pPr>
            <w:r>
              <w:rPr>
                <w:sz w:val="21"/>
                <w:szCs w:val="21"/>
                <w:u w:val="single"/>
              </w:rPr>
              <w:t>现状污染物入河量超出水功能区水域纳污能力</w:t>
            </w:r>
          </w:p>
        </w:tc>
        <w:tc>
          <w:tcPr>
            <w:tcW w:w="1246" w:type="pct"/>
            <w:tcMar>
              <w:left w:w="28" w:type="dxa"/>
              <w:right w:w="28" w:type="dxa"/>
            </w:tcMar>
            <w:vAlign w:val="center"/>
          </w:tcPr>
          <w:p>
            <w:pPr>
              <w:tabs>
                <w:tab w:val="left" w:pos="1425"/>
              </w:tabs>
              <w:jc w:val="center"/>
              <w:rPr>
                <w:sz w:val="21"/>
                <w:szCs w:val="21"/>
                <w:u w:val="single"/>
              </w:rPr>
            </w:pPr>
            <w:r>
              <w:rPr>
                <w:sz w:val="21"/>
                <w:szCs w:val="21"/>
                <w:u w:val="single"/>
              </w:rPr>
              <w:t>现状污染物入河量接近水功能区水域纳污能力</w:t>
            </w:r>
          </w:p>
        </w:tc>
        <w:tc>
          <w:tcPr>
            <w:tcW w:w="1164" w:type="pct"/>
            <w:tcMar>
              <w:left w:w="28" w:type="dxa"/>
              <w:right w:w="28" w:type="dxa"/>
            </w:tcMar>
            <w:vAlign w:val="center"/>
          </w:tcPr>
          <w:p>
            <w:pPr>
              <w:tabs>
                <w:tab w:val="left" w:pos="312"/>
                <w:tab w:val="left" w:pos="522"/>
                <w:tab w:val="left" w:pos="1425"/>
              </w:tabs>
              <w:jc w:val="center"/>
              <w:rPr>
                <w:sz w:val="21"/>
                <w:szCs w:val="21"/>
                <w:u w:val="single"/>
              </w:rPr>
            </w:pPr>
            <w:r>
              <w:rPr>
                <w:sz w:val="21"/>
                <w:szCs w:val="21"/>
                <w:u w:val="single"/>
              </w:rPr>
              <w:t>现状污染物入河量远小于水功能区水域纳污能力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8" w:hRule="atLeast"/>
        </w:trPr>
        <w:tc>
          <w:tcPr>
            <w:tcW w:w="923" w:type="pct"/>
            <w:tcMar>
              <w:left w:w="28" w:type="dxa"/>
              <w:right w:w="28" w:type="dxa"/>
            </w:tcMar>
            <w:vAlign w:val="center"/>
          </w:tcPr>
          <w:p>
            <w:pPr>
              <w:jc w:val="center"/>
              <w:rPr>
                <w:sz w:val="21"/>
                <w:szCs w:val="21"/>
                <w:u w:val="single"/>
              </w:rPr>
            </w:pPr>
            <w:r>
              <w:rPr>
                <w:sz w:val="21"/>
                <w:szCs w:val="21"/>
                <w:u w:val="single"/>
              </w:rPr>
              <w:t>水生态现状</w:t>
            </w:r>
          </w:p>
        </w:tc>
        <w:tc>
          <w:tcPr>
            <w:tcW w:w="1665" w:type="pct"/>
            <w:tcMar>
              <w:left w:w="28" w:type="dxa"/>
              <w:right w:w="28" w:type="dxa"/>
            </w:tcMar>
            <w:vAlign w:val="center"/>
          </w:tcPr>
          <w:p>
            <w:pPr>
              <w:tabs>
                <w:tab w:val="left" w:pos="840"/>
                <w:tab w:val="left" w:pos="1425"/>
              </w:tabs>
              <w:jc w:val="center"/>
              <w:rPr>
                <w:sz w:val="21"/>
                <w:szCs w:val="21"/>
                <w:u w:val="single"/>
              </w:rPr>
            </w:pPr>
            <w:r>
              <w:rPr>
                <w:sz w:val="21"/>
                <w:szCs w:val="21"/>
                <w:u w:val="single"/>
              </w:rPr>
              <w:t>现状生态问题敏感；相关水域现状排污对水文情势和水生态环境产生明显影响，同时存在水温或水体富营养化影响问题</w:t>
            </w:r>
          </w:p>
        </w:tc>
        <w:tc>
          <w:tcPr>
            <w:tcW w:w="1246" w:type="pct"/>
            <w:tcMar>
              <w:left w:w="28" w:type="dxa"/>
              <w:right w:w="28" w:type="dxa"/>
            </w:tcMar>
            <w:vAlign w:val="center"/>
          </w:tcPr>
          <w:p>
            <w:pPr>
              <w:jc w:val="center"/>
              <w:rPr>
                <w:sz w:val="21"/>
                <w:szCs w:val="21"/>
                <w:u w:val="single"/>
              </w:rPr>
            </w:pPr>
            <w:r>
              <w:rPr>
                <w:sz w:val="21"/>
                <w:szCs w:val="21"/>
                <w:u w:val="single"/>
              </w:rPr>
              <w:t>现状生态问题较为敏感；相关水域现状排污对水文情势和水生态环境产生一定影响</w:t>
            </w:r>
          </w:p>
        </w:tc>
        <w:tc>
          <w:tcPr>
            <w:tcW w:w="1164" w:type="pct"/>
            <w:tcMar>
              <w:left w:w="28" w:type="dxa"/>
              <w:right w:w="28" w:type="dxa"/>
            </w:tcMar>
            <w:vAlign w:val="center"/>
          </w:tcPr>
          <w:p>
            <w:pPr>
              <w:tabs>
                <w:tab w:val="left" w:pos="312"/>
                <w:tab w:val="left" w:pos="522"/>
                <w:tab w:val="left" w:pos="1425"/>
              </w:tabs>
              <w:jc w:val="center"/>
              <w:rPr>
                <w:sz w:val="21"/>
                <w:szCs w:val="21"/>
                <w:u w:val="single"/>
              </w:rPr>
            </w:pPr>
            <w:r>
              <w:rPr>
                <w:sz w:val="21"/>
                <w:szCs w:val="21"/>
                <w:u w:val="single"/>
              </w:rPr>
              <w:t>现状无敏感生态问题；相关水域现状排污对水生态环境无影响或影响轻微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4" w:hRule="atLeast"/>
        </w:trPr>
        <w:tc>
          <w:tcPr>
            <w:tcW w:w="923" w:type="pct"/>
            <w:tcMar>
              <w:left w:w="28" w:type="dxa"/>
              <w:right w:w="28" w:type="dxa"/>
            </w:tcMar>
            <w:vAlign w:val="center"/>
          </w:tcPr>
          <w:p>
            <w:pPr>
              <w:jc w:val="center"/>
              <w:rPr>
                <w:sz w:val="21"/>
                <w:szCs w:val="21"/>
                <w:u w:val="single"/>
              </w:rPr>
            </w:pPr>
            <w:r>
              <w:rPr>
                <w:sz w:val="21"/>
                <w:szCs w:val="21"/>
                <w:u w:val="single"/>
              </w:rPr>
              <w:t>污染物排放种类</w:t>
            </w:r>
          </w:p>
        </w:tc>
        <w:tc>
          <w:tcPr>
            <w:tcW w:w="1665" w:type="pct"/>
            <w:tcMar>
              <w:left w:w="28" w:type="dxa"/>
              <w:right w:w="28" w:type="dxa"/>
            </w:tcMar>
            <w:vAlign w:val="center"/>
          </w:tcPr>
          <w:p>
            <w:pPr>
              <w:tabs>
                <w:tab w:val="left" w:pos="840"/>
                <w:tab w:val="left" w:pos="1425"/>
              </w:tabs>
              <w:jc w:val="center"/>
              <w:rPr>
                <w:sz w:val="21"/>
                <w:szCs w:val="21"/>
                <w:u w:val="single"/>
              </w:rPr>
            </w:pPr>
            <w:r>
              <w:rPr>
                <w:sz w:val="21"/>
                <w:szCs w:val="21"/>
                <w:u w:val="single"/>
              </w:rPr>
              <w:t>所排放废污水含有毒有机物、重金属、放射性或持久性化学污染物</w:t>
            </w:r>
          </w:p>
        </w:tc>
        <w:tc>
          <w:tcPr>
            <w:tcW w:w="1246" w:type="pct"/>
            <w:tcMar>
              <w:left w:w="28" w:type="dxa"/>
              <w:right w:w="28" w:type="dxa"/>
            </w:tcMar>
            <w:vAlign w:val="center"/>
          </w:tcPr>
          <w:p>
            <w:pPr>
              <w:tabs>
                <w:tab w:val="left" w:pos="522"/>
                <w:tab w:val="left" w:pos="1425"/>
              </w:tabs>
              <w:jc w:val="center"/>
              <w:rPr>
                <w:sz w:val="21"/>
                <w:szCs w:val="21"/>
                <w:u w:val="single"/>
              </w:rPr>
            </w:pPr>
            <w:r>
              <w:rPr>
                <w:sz w:val="21"/>
                <w:szCs w:val="21"/>
                <w:u w:val="single"/>
              </w:rPr>
              <w:t>所排放废污水含有多种可降解化学污染物</w:t>
            </w:r>
          </w:p>
        </w:tc>
        <w:tc>
          <w:tcPr>
            <w:tcW w:w="1164" w:type="pct"/>
            <w:tcMar>
              <w:left w:w="28" w:type="dxa"/>
              <w:right w:w="28" w:type="dxa"/>
            </w:tcMar>
            <w:vAlign w:val="center"/>
          </w:tcPr>
          <w:p>
            <w:pPr>
              <w:tabs>
                <w:tab w:val="left" w:pos="312"/>
                <w:tab w:val="left" w:pos="522"/>
                <w:tab w:val="left" w:pos="1425"/>
              </w:tabs>
              <w:jc w:val="center"/>
              <w:rPr>
                <w:sz w:val="21"/>
                <w:szCs w:val="21"/>
                <w:u w:val="single"/>
              </w:rPr>
            </w:pPr>
            <w:r>
              <w:rPr>
                <w:sz w:val="21"/>
                <w:szCs w:val="21"/>
                <w:u w:val="single"/>
              </w:rPr>
              <w:t>所排放废污水含有少量可降解的污染物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trPr>
        <w:tc>
          <w:tcPr>
            <w:tcW w:w="923" w:type="pct"/>
            <w:tcMar>
              <w:left w:w="28" w:type="dxa"/>
              <w:right w:w="28" w:type="dxa"/>
            </w:tcMar>
            <w:vAlign w:val="center"/>
          </w:tcPr>
          <w:p>
            <w:pPr>
              <w:jc w:val="center"/>
              <w:rPr>
                <w:sz w:val="21"/>
                <w:szCs w:val="21"/>
                <w:u w:val="single"/>
              </w:rPr>
            </w:pPr>
            <w:r>
              <w:rPr>
                <w:sz w:val="21"/>
                <w:szCs w:val="21"/>
                <w:u w:val="single"/>
              </w:rPr>
              <w:t>废污水排放流量（缺水地区）（m</w:t>
            </w:r>
            <w:r>
              <w:rPr>
                <w:sz w:val="21"/>
                <w:szCs w:val="21"/>
                <w:u w:val="single"/>
                <w:vertAlign w:val="superscript"/>
              </w:rPr>
              <w:t>3</w:t>
            </w:r>
            <w:r>
              <w:rPr>
                <w:sz w:val="21"/>
                <w:szCs w:val="21"/>
                <w:u w:val="single"/>
              </w:rPr>
              <w:t>/h）</w:t>
            </w:r>
          </w:p>
        </w:tc>
        <w:tc>
          <w:tcPr>
            <w:tcW w:w="1665" w:type="pct"/>
            <w:tcMar>
              <w:left w:w="28" w:type="dxa"/>
              <w:right w:w="28" w:type="dxa"/>
            </w:tcMar>
            <w:vAlign w:val="center"/>
          </w:tcPr>
          <w:p>
            <w:pPr>
              <w:tabs>
                <w:tab w:val="left" w:pos="522"/>
              </w:tabs>
              <w:jc w:val="center"/>
              <w:rPr>
                <w:sz w:val="21"/>
                <w:szCs w:val="21"/>
                <w:u w:val="single"/>
              </w:rPr>
            </w:pPr>
            <w:r>
              <w:rPr>
                <w:sz w:val="21"/>
                <w:szCs w:val="21"/>
                <w:u w:val="single"/>
              </w:rPr>
              <w:t>≥1000（300）</w:t>
            </w:r>
          </w:p>
        </w:tc>
        <w:tc>
          <w:tcPr>
            <w:tcW w:w="1246" w:type="pct"/>
            <w:tcMar>
              <w:left w:w="28" w:type="dxa"/>
              <w:right w:w="28" w:type="dxa"/>
            </w:tcMar>
            <w:vAlign w:val="center"/>
          </w:tcPr>
          <w:p>
            <w:pPr>
              <w:jc w:val="center"/>
              <w:rPr>
                <w:sz w:val="21"/>
                <w:szCs w:val="21"/>
                <w:u w:val="single"/>
              </w:rPr>
            </w:pPr>
            <w:r>
              <w:rPr>
                <w:sz w:val="21"/>
                <w:szCs w:val="21"/>
                <w:u w:val="single"/>
              </w:rPr>
              <w:t>1000～500（300～100）</w:t>
            </w:r>
          </w:p>
        </w:tc>
        <w:tc>
          <w:tcPr>
            <w:tcW w:w="1164" w:type="pct"/>
            <w:tcMar>
              <w:left w:w="28" w:type="dxa"/>
              <w:right w:w="28" w:type="dxa"/>
            </w:tcMar>
            <w:vAlign w:val="center"/>
          </w:tcPr>
          <w:p>
            <w:pPr>
              <w:tabs>
                <w:tab w:val="left" w:pos="312"/>
                <w:tab w:val="left" w:pos="522"/>
              </w:tabs>
              <w:jc w:val="center"/>
              <w:rPr>
                <w:sz w:val="21"/>
                <w:szCs w:val="21"/>
                <w:u w:val="single"/>
              </w:rPr>
            </w:pPr>
            <w:r>
              <w:rPr>
                <w:sz w:val="21"/>
                <w:szCs w:val="21"/>
                <w:u w:val="single"/>
              </w:rPr>
              <w:t>≤500（100）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trPr>
        <w:tc>
          <w:tcPr>
            <w:tcW w:w="923" w:type="pct"/>
            <w:tcMar>
              <w:left w:w="28" w:type="dxa"/>
              <w:right w:w="28" w:type="dxa"/>
            </w:tcMar>
            <w:vAlign w:val="center"/>
          </w:tcPr>
          <w:p>
            <w:pPr>
              <w:jc w:val="center"/>
              <w:rPr>
                <w:sz w:val="21"/>
                <w:szCs w:val="21"/>
                <w:u w:val="single"/>
              </w:rPr>
            </w:pPr>
            <w:r>
              <w:rPr>
                <w:sz w:val="21"/>
                <w:szCs w:val="21"/>
                <w:u w:val="single"/>
              </w:rPr>
              <w:t>年度废污水排放量</w:t>
            </w:r>
          </w:p>
        </w:tc>
        <w:tc>
          <w:tcPr>
            <w:tcW w:w="1665" w:type="pct"/>
            <w:tcMar>
              <w:left w:w="28" w:type="dxa"/>
              <w:right w:w="28" w:type="dxa"/>
            </w:tcMar>
            <w:vAlign w:val="center"/>
          </w:tcPr>
          <w:p>
            <w:pPr>
              <w:tabs>
                <w:tab w:val="left" w:pos="522"/>
              </w:tabs>
              <w:jc w:val="center"/>
              <w:rPr>
                <w:sz w:val="21"/>
                <w:szCs w:val="21"/>
                <w:u w:val="single"/>
              </w:rPr>
            </w:pPr>
            <w:r>
              <w:rPr>
                <w:sz w:val="21"/>
                <w:szCs w:val="21"/>
                <w:u w:val="single"/>
              </w:rPr>
              <w:t>大于200万吨</w:t>
            </w:r>
          </w:p>
        </w:tc>
        <w:tc>
          <w:tcPr>
            <w:tcW w:w="1246" w:type="pct"/>
            <w:tcMar>
              <w:left w:w="28" w:type="dxa"/>
              <w:right w:w="28" w:type="dxa"/>
            </w:tcMar>
            <w:vAlign w:val="center"/>
          </w:tcPr>
          <w:p>
            <w:pPr>
              <w:jc w:val="center"/>
              <w:rPr>
                <w:sz w:val="21"/>
                <w:szCs w:val="21"/>
                <w:u w:val="single"/>
              </w:rPr>
            </w:pPr>
            <w:r>
              <w:rPr>
                <w:sz w:val="21"/>
                <w:szCs w:val="21"/>
                <w:u w:val="single"/>
              </w:rPr>
              <w:t>20～200万吨</w:t>
            </w:r>
          </w:p>
        </w:tc>
        <w:tc>
          <w:tcPr>
            <w:tcW w:w="1164" w:type="pct"/>
            <w:tcMar>
              <w:left w:w="28" w:type="dxa"/>
              <w:right w:w="28" w:type="dxa"/>
            </w:tcMar>
            <w:vAlign w:val="center"/>
          </w:tcPr>
          <w:p>
            <w:pPr>
              <w:tabs>
                <w:tab w:val="left" w:pos="312"/>
                <w:tab w:val="left" w:pos="522"/>
              </w:tabs>
              <w:jc w:val="center"/>
              <w:rPr>
                <w:sz w:val="21"/>
                <w:szCs w:val="21"/>
                <w:u w:val="single"/>
              </w:rPr>
            </w:pPr>
            <w:r>
              <w:rPr>
                <w:sz w:val="21"/>
                <w:szCs w:val="21"/>
                <w:u w:val="single"/>
              </w:rPr>
              <w:t>小于20万吨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23" w:type="pct"/>
            <w:vAlign w:val="center"/>
          </w:tcPr>
          <w:p>
            <w:pPr>
              <w:jc w:val="center"/>
              <w:rPr>
                <w:sz w:val="21"/>
                <w:szCs w:val="21"/>
                <w:u w:val="single"/>
              </w:rPr>
            </w:pPr>
            <w:r>
              <w:rPr>
                <w:sz w:val="21"/>
                <w:szCs w:val="21"/>
                <w:u w:val="single"/>
              </w:rPr>
              <w:t>区域水资源状况</w:t>
            </w:r>
          </w:p>
        </w:tc>
        <w:tc>
          <w:tcPr>
            <w:tcW w:w="1665" w:type="pct"/>
            <w:tcMar>
              <w:left w:w="28" w:type="dxa"/>
              <w:right w:w="28" w:type="dxa"/>
            </w:tcMar>
            <w:vAlign w:val="center"/>
          </w:tcPr>
          <w:p>
            <w:pPr>
              <w:jc w:val="center"/>
              <w:rPr>
                <w:sz w:val="21"/>
                <w:szCs w:val="21"/>
                <w:u w:val="single"/>
              </w:rPr>
            </w:pPr>
            <w:r>
              <w:rPr>
                <w:sz w:val="21"/>
                <w:szCs w:val="21"/>
                <w:u w:val="single"/>
              </w:rPr>
              <w:t>用水紧缺，取用水量达到或超出所分配用水指标</w:t>
            </w:r>
          </w:p>
        </w:tc>
        <w:tc>
          <w:tcPr>
            <w:tcW w:w="1246" w:type="pct"/>
            <w:tcMar>
              <w:left w:w="28" w:type="dxa"/>
              <w:right w:w="28" w:type="dxa"/>
            </w:tcMar>
            <w:vAlign w:val="center"/>
          </w:tcPr>
          <w:p>
            <w:pPr>
              <w:jc w:val="center"/>
              <w:rPr>
                <w:sz w:val="21"/>
                <w:szCs w:val="21"/>
                <w:u w:val="single"/>
              </w:rPr>
            </w:pPr>
            <w:r>
              <w:rPr>
                <w:sz w:val="21"/>
                <w:szCs w:val="21"/>
                <w:u w:val="single"/>
              </w:rPr>
              <w:t>水资源量一般，取用水量小于或接近所分配用水指标</w:t>
            </w:r>
          </w:p>
        </w:tc>
        <w:tc>
          <w:tcPr>
            <w:tcW w:w="1164" w:type="pct"/>
            <w:tcMar>
              <w:left w:w="28" w:type="dxa"/>
              <w:right w:w="28" w:type="dxa"/>
            </w:tcMar>
            <w:vAlign w:val="center"/>
          </w:tcPr>
          <w:p>
            <w:pPr>
              <w:jc w:val="center"/>
              <w:rPr>
                <w:sz w:val="21"/>
                <w:szCs w:val="21"/>
                <w:u w:val="single"/>
              </w:rPr>
            </w:pPr>
            <w:r>
              <w:rPr>
                <w:sz w:val="21"/>
                <w:szCs w:val="21"/>
                <w:u w:val="single"/>
              </w:rPr>
              <w:t>水资源丰沛，取用水量远小于所分配用水指标</w:t>
            </w:r>
          </w:p>
        </w:tc>
      </w:tr>
    </w:tbl>
    <w:p>
      <w:pPr>
        <w:pStyle w:val="43"/>
        <w:rPr>
          <w:rFonts w:ascii="黑体" w:hAnsi="黑体" w:cs="宋体"/>
          <w:kern w:val="0"/>
          <w:sz w:val="18"/>
          <w:szCs w:val="18"/>
        </w:rPr>
        <w:sectPr>
          <w:footerReference r:id="rId3" w:type="default"/>
          <w:pgSz w:w="11906" w:h="16838"/>
          <w:pgMar w:top="1440" w:right="1800" w:bottom="1440" w:left="1800" w:header="851" w:footer="992" w:gutter="0"/>
          <w:pgNumType w:start="1"/>
          <w:cols w:space="425" w:num="1"/>
          <w:docGrid w:type="lines" w:linePitch="312" w:charSpace="0"/>
        </w:sectPr>
      </w:pPr>
      <w:r>
        <w:rPr>
          <w:rFonts w:hint="eastAsia"/>
        </w:rPr>
        <w:t>本项目纳污水体为白河，所在断面水功能区划定为渔业用水区，水功能区管理要求评价等级为二级；污水处理厂各</w:t>
      </w:r>
      <w:r>
        <w:t>污染物入河量远小于水功能区水域纳污能力</w:t>
      </w:r>
      <w:r>
        <w:rPr>
          <w:rFonts w:hint="eastAsia"/>
        </w:rPr>
        <w:t>，水功能区水域纳污现状评价等级为三级；根据现场踏勘和现状监测结果可知，白河现状无敏感生态问题，相关水域现状排污对水生态环境无影响或影响轻微，水生态现状评价等级为三级；本次排污口为乡镇污水处理厂排污口，废水处理规模为近期200t/d，远期400t/d，污染物种类较少，属于排放废污水中含有少量可降解的污染物，污染物排放种类评价等级为三级；废污水排放流量远小于</w:t>
      </w:r>
      <w:r>
        <w:t>500m3/h</w:t>
      </w:r>
      <w:r>
        <w:rPr>
          <w:rFonts w:hint="eastAsia"/>
        </w:rPr>
        <w:t>，</w:t>
      </w:r>
      <w:r>
        <w:t>废污水排放流量</w:t>
      </w:r>
      <w:r>
        <w:rPr>
          <w:rFonts w:hint="eastAsia"/>
        </w:rPr>
        <w:t>评价等级为三级；年度废污水排放量小于20万吨，</w:t>
      </w:r>
      <w:r>
        <w:t>年度废污水排放量</w:t>
      </w:r>
      <w:r>
        <w:rPr>
          <w:rFonts w:hint="eastAsia"/>
        </w:rPr>
        <w:t>评价等级为三级；该区域取用水量远小于所分配用水指标，</w:t>
      </w:r>
      <w:r>
        <w:t>区域水资源状况</w:t>
      </w:r>
      <w:r>
        <w:rPr>
          <w:rFonts w:hint="eastAsia"/>
        </w:rPr>
        <w:t>评价等级为三级。上述分类指标最高等级为二级，因此确定本次入河排污口设置论证工作等级为二级。</w:t>
      </w:r>
    </w:p>
    <w:p>
      <w:pPr>
        <w:pStyle w:val="32"/>
      </w:pPr>
      <w:bookmarkStart w:id="15" w:name="_Toc1074"/>
      <w:r>
        <w:rPr>
          <w:rFonts w:hint="eastAsia"/>
        </w:rPr>
        <w:t>2项目概况</w:t>
      </w:r>
      <w:bookmarkEnd w:id="15"/>
    </w:p>
    <w:p>
      <w:pPr>
        <w:pStyle w:val="35"/>
      </w:pPr>
      <w:bookmarkStart w:id="16" w:name="_Toc7294"/>
      <w:r>
        <w:rPr>
          <w:rFonts w:hint="eastAsia"/>
        </w:rPr>
        <w:t>2</w:t>
      </w:r>
      <w:r>
        <w:t>.1</w:t>
      </w:r>
      <w:r>
        <w:rPr>
          <w:rFonts w:hint="eastAsia"/>
        </w:rPr>
        <w:t>项目的基本情况</w:t>
      </w:r>
      <w:bookmarkEnd w:id="16"/>
    </w:p>
    <w:p>
      <w:pPr>
        <w:pStyle w:val="38"/>
      </w:pPr>
      <w:bookmarkStart w:id="17" w:name="_Toc9680"/>
      <w:r>
        <w:rPr>
          <w:rFonts w:hint="eastAsia"/>
        </w:rPr>
        <w:t>2</w:t>
      </w:r>
      <w:r>
        <w:t>.1.1</w:t>
      </w:r>
      <w:r>
        <w:rPr>
          <w:rFonts w:hint="eastAsia"/>
        </w:rPr>
        <w:t>项目基本情况</w:t>
      </w:r>
      <w:bookmarkEnd w:id="17"/>
    </w:p>
    <w:p>
      <w:pPr>
        <w:pStyle w:val="30"/>
        <w:ind w:firstLine="480"/>
      </w:pPr>
      <w:r>
        <w:rPr>
          <w:rFonts w:hint="eastAsia"/>
        </w:rPr>
        <w:t>项目名称：鸟江镇污水处理工程</w:t>
      </w:r>
    </w:p>
    <w:p>
      <w:pPr>
        <w:pStyle w:val="30"/>
        <w:ind w:firstLine="480"/>
        <w:rPr>
          <w:szCs w:val="24"/>
        </w:rPr>
      </w:pPr>
      <w:r>
        <w:rPr>
          <w:rFonts w:hAnsi="宋体"/>
          <w:szCs w:val="24"/>
        </w:rPr>
        <w:t>建设性质：新建；</w:t>
      </w:r>
    </w:p>
    <w:p>
      <w:pPr>
        <w:pStyle w:val="30"/>
        <w:ind w:firstLine="480"/>
        <w:rPr>
          <w:szCs w:val="24"/>
        </w:rPr>
      </w:pPr>
      <w:r>
        <w:rPr>
          <w:rFonts w:hAnsi="宋体"/>
          <w:szCs w:val="24"/>
        </w:rPr>
        <w:t>建设单位：</w:t>
      </w:r>
      <w:r>
        <w:rPr>
          <w:rFonts w:hint="eastAsia"/>
        </w:rPr>
        <w:t>祁东县住房和城乡建设局</w:t>
      </w:r>
      <w:r>
        <w:rPr>
          <w:rFonts w:hAnsi="宋体"/>
          <w:szCs w:val="24"/>
        </w:rPr>
        <w:t>；</w:t>
      </w:r>
    </w:p>
    <w:p>
      <w:pPr>
        <w:pStyle w:val="30"/>
        <w:ind w:firstLine="480"/>
        <w:rPr>
          <w:rFonts w:hAnsi="宋体"/>
          <w:szCs w:val="24"/>
        </w:rPr>
      </w:pPr>
      <w:r>
        <w:rPr>
          <w:rFonts w:hAnsi="宋体"/>
        </w:rPr>
        <w:t>建设地点：</w:t>
      </w:r>
      <w:r>
        <w:rPr>
          <w:rFonts w:hint="eastAsia"/>
        </w:rPr>
        <w:t>鸟江镇（地理位置详见附图1）</w:t>
      </w:r>
      <w:r>
        <w:rPr>
          <w:rFonts w:hAnsi="宋体"/>
          <w:szCs w:val="24"/>
        </w:rPr>
        <w:t>；</w:t>
      </w:r>
    </w:p>
    <w:p>
      <w:pPr>
        <w:pStyle w:val="30"/>
        <w:ind w:firstLine="480"/>
        <w:rPr>
          <w:rFonts w:hAnsi="宋体"/>
          <w:szCs w:val="24"/>
        </w:rPr>
      </w:pPr>
      <w:r>
        <w:rPr>
          <w:rFonts w:hAnsi="宋体"/>
          <w:szCs w:val="24"/>
        </w:rPr>
        <w:t>建设内容：建设</w:t>
      </w:r>
      <w:r>
        <w:rPr>
          <w:rFonts w:hint="eastAsia" w:hAnsi="宋体"/>
          <w:szCs w:val="24"/>
        </w:rPr>
        <w:t>鸟江镇污水处理站</w:t>
      </w:r>
      <w:r>
        <w:rPr>
          <w:rFonts w:hAnsi="宋体"/>
          <w:szCs w:val="24"/>
        </w:rPr>
        <w:t>主体工程及污水收集</w:t>
      </w:r>
      <w:r>
        <w:rPr>
          <w:rFonts w:hint="eastAsia" w:hAnsi="宋体"/>
          <w:szCs w:val="24"/>
        </w:rPr>
        <w:t>专管</w:t>
      </w:r>
      <w:r>
        <w:rPr>
          <w:rFonts w:hAnsi="宋体"/>
          <w:szCs w:val="24"/>
        </w:rPr>
        <w:t>工程</w:t>
      </w:r>
      <w:r>
        <w:rPr>
          <w:rFonts w:hint="eastAsia" w:hAnsi="宋体"/>
          <w:szCs w:val="24"/>
        </w:rPr>
        <w:t>；</w:t>
      </w:r>
    </w:p>
    <w:p>
      <w:pPr>
        <w:pStyle w:val="30"/>
        <w:ind w:firstLine="480"/>
        <w:rPr>
          <w:rFonts w:hAnsi="宋体"/>
          <w:szCs w:val="24"/>
        </w:rPr>
      </w:pPr>
      <w:r>
        <w:rPr>
          <w:rFonts w:hAnsi="宋体"/>
          <w:szCs w:val="24"/>
        </w:rPr>
        <w:t>建设规模：</w:t>
      </w:r>
      <w:r>
        <w:rPr>
          <w:rFonts w:hAnsi="宋体"/>
          <w:szCs w:val="24"/>
          <w:u w:val="single"/>
        </w:rPr>
        <w:t>项目</w:t>
      </w:r>
      <w:r>
        <w:rPr>
          <w:rFonts w:hint="eastAsia" w:hAnsi="宋体" w:cs="Calibri"/>
          <w:szCs w:val="24"/>
          <w:u w:val="single"/>
        </w:rPr>
        <w:t>占</w:t>
      </w:r>
      <w:r>
        <w:rPr>
          <w:rFonts w:hAnsi="宋体"/>
          <w:szCs w:val="24"/>
          <w:u w:val="single"/>
        </w:rPr>
        <w:t>地面积</w:t>
      </w:r>
      <w:r>
        <w:rPr>
          <w:rFonts w:hint="eastAsia" w:cs="Calibri"/>
          <w:szCs w:val="24"/>
          <w:u w:val="single"/>
        </w:rPr>
        <w:t>965.45</w:t>
      </w:r>
      <w:r>
        <w:rPr>
          <w:szCs w:val="24"/>
          <w:u w:val="single"/>
        </w:rPr>
        <w:t>m</w:t>
      </w:r>
      <w:r>
        <w:rPr>
          <w:szCs w:val="24"/>
          <w:u w:val="single"/>
          <w:vertAlign w:val="superscript"/>
        </w:rPr>
        <w:t>2</w:t>
      </w:r>
      <w:r>
        <w:rPr>
          <w:rFonts w:hAnsi="宋体"/>
          <w:szCs w:val="24"/>
          <w:u w:val="single"/>
        </w:rPr>
        <w:t>，</w:t>
      </w:r>
      <w:r>
        <w:rPr>
          <w:rFonts w:hint="eastAsia" w:hAnsi="宋体"/>
          <w:szCs w:val="24"/>
          <w:u w:val="single"/>
        </w:rPr>
        <w:t>近期</w:t>
      </w:r>
      <w:r>
        <w:rPr>
          <w:rFonts w:hint="eastAsia" w:hAnsi="宋体" w:cs="Calibri"/>
          <w:szCs w:val="24"/>
          <w:u w:val="single"/>
        </w:rPr>
        <w:t>污水处理</w:t>
      </w:r>
      <w:r>
        <w:rPr>
          <w:rFonts w:hAnsi="宋体"/>
          <w:szCs w:val="24"/>
          <w:u w:val="single"/>
        </w:rPr>
        <w:t>规模为</w:t>
      </w:r>
      <w:r>
        <w:rPr>
          <w:rFonts w:hint="eastAsia" w:hAnsi="宋体"/>
          <w:szCs w:val="24"/>
          <w:u w:val="single"/>
        </w:rPr>
        <w:t>2</w:t>
      </w:r>
      <w:r>
        <w:rPr>
          <w:rFonts w:hint="eastAsia" w:cs="Calibri"/>
          <w:szCs w:val="24"/>
          <w:u w:val="single"/>
        </w:rPr>
        <w:t>00</w:t>
      </w:r>
      <w:r>
        <w:rPr>
          <w:szCs w:val="24"/>
          <w:u w:val="single"/>
        </w:rPr>
        <w:t>m</w:t>
      </w:r>
      <w:r>
        <w:rPr>
          <w:szCs w:val="24"/>
          <w:u w:val="single"/>
          <w:vertAlign w:val="superscript"/>
        </w:rPr>
        <w:t>3</w:t>
      </w:r>
      <w:r>
        <w:rPr>
          <w:szCs w:val="24"/>
          <w:u w:val="single"/>
        </w:rPr>
        <w:t>/d</w:t>
      </w:r>
      <w:r>
        <w:rPr>
          <w:rFonts w:hint="eastAsia"/>
          <w:szCs w:val="24"/>
          <w:u w:val="single"/>
        </w:rPr>
        <w:t>，远期</w:t>
      </w:r>
      <w:r>
        <w:rPr>
          <w:rFonts w:hint="eastAsia" w:hAnsi="宋体" w:cs="Calibri"/>
          <w:szCs w:val="24"/>
          <w:u w:val="single"/>
        </w:rPr>
        <w:t>处理</w:t>
      </w:r>
      <w:r>
        <w:rPr>
          <w:rFonts w:hAnsi="宋体"/>
          <w:szCs w:val="24"/>
          <w:u w:val="single"/>
        </w:rPr>
        <w:t>规模为</w:t>
      </w:r>
      <w:r>
        <w:rPr>
          <w:rFonts w:hint="eastAsia" w:cs="Calibri"/>
          <w:szCs w:val="24"/>
          <w:u w:val="single"/>
        </w:rPr>
        <w:t>400</w:t>
      </w:r>
      <w:r>
        <w:rPr>
          <w:szCs w:val="24"/>
          <w:u w:val="single"/>
        </w:rPr>
        <w:t>m</w:t>
      </w:r>
      <w:r>
        <w:rPr>
          <w:szCs w:val="24"/>
          <w:u w:val="single"/>
          <w:vertAlign w:val="superscript"/>
        </w:rPr>
        <w:t>3</w:t>
      </w:r>
      <w:r>
        <w:rPr>
          <w:szCs w:val="24"/>
          <w:u w:val="single"/>
        </w:rPr>
        <w:t>/d</w:t>
      </w:r>
      <w:r>
        <w:rPr>
          <w:rFonts w:hint="eastAsia" w:hAnsi="宋体" w:cs="Calibri"/>
          <w:szCs w:val="24"/>
          <w:u w:val="single"/>
        </w:rPr>
        <w:t>；配套修建管网1880</w:t>
      </w:r>
      <w:r>
        <w:rPr>
          <w:rFonts w:hint="eastAsia"/>
          <w:kern w:val="0"/>
          <w:szCs w:val="24"/>
          <w:u w:val="single"/>
        </w:rPr>
        <w:t>m；</w:t>
      </w:r>
    </w:p>
    <w:p>
      <w:pPr>
        <w:pStyle w:val="30"/>
        <w:ind w:firstLine="480"/>
        <w:rPr>
          <w:rFonts w:hAnsi="宋体"/>
          <w:szCs w:val="24"/>
        </w:rPr>
      </w:pPr>
      <w:r>
        <w:rPr>
          <w:rFonts w:hint="eastAsia" w:hAnsi="宋体"/>
          <w:szCs w:val="24"/>
        </w:rPr>
        <w:t>纳污范围：鸟江镇镇区，服务面积0.4km</w:t>
      </w:r>
      <w:r>
        <w:rPr>
          <w:rFonts w:hint="eastAsia" w:hAnsi="宋体"/>
          <w:szCs w:val="24"/>
          <w:vertAlign w:val="superscript"/>
        </w:rPr>
        <w:t>2</w:t>
      </w:r>
      <w:r>
        <w:rPr>
          <w:rFonts w:hint="eastAsia" w:hAnsi="宋体"/>
          <w:szCs w:val="24"/>
        </w:rPr>
        <w:t>。</w:t>
      </w:r>
    </w:p>
    <w:p>
      <w:pPr>
        <w:pStyle w:val="30"/>
        <w:ind w:firstLine="480"/>
        <w:rPr>
          <w:rFonts w:hAnsi="宋体"/>
          <w:szCs w:val="24"/>
        </w:rPr>
      </w:pPr>
      <w:r>
        <w:rPr>
          <w:rFonts w:hAnsi="宋体"/>
          <w:szCs w:val="24"/>
        </w:rPr>
        <w:t>项目投资：</w:t>
      </w:r>
      <w:r>
        <w:rPr>
          <w:rFonts w:hint="eastAsia"/>
        </w:rPr>
        <w:t>鸟江镇污水处理工程</w:t>
      </w:r>
      <w:r>
        <w:rPr>
          <w:rFonts w:hint="eastAsia" w:hAnsi="宋体"/>
          <w:szCs w:val="24"/>
        </w:rPr>
        <w:t>投资1095万元；</w:t>
      </w:r>
    </w:p>
    <w:p>
      <w:pPr>
        <w:pStyle w:val="30"/>
        <w:ind w:firstLine="480"/>
        <w:rPr>
          <w:rFonts w:hAnsi="宋体"/>
          <w:szCs w:val="24"/>
        </w:rPr>
      </w:pPr>
      <w:r>
        <w:rPr>
          <w:rFonts w:hint="eastAsia" w:hAnsi="宋体"/>
          <w:szCs w:val="24"/>
        </w:rPr>
        <w:t>建设进度：</w:t>
      </w:r>
      <w:r>
        <w:rPr>
          <w:rFonts w:hint="eastAsia"/>
        </w:rPr>
        <w:t>鸟江镇污水处理工程</w:t>
      </w:r>
      <w:r>
        <w:rPr>
          <w:rFonts w:hint="eastAsia" w:hAnsi="宋体"/>
          <w:szCs w:val="24"/>
        </w:rPr>
        <w:t>于2</w:t>
      </w:r>
      <w:r>
        <w:rPr>
          <w:rFonts w:hAnsi="宋体"/>
          <w:szCs w:val="24"/>
        </w:rPr>
        <w:t>023</w:t>
      </w:r>
      <w:r>
        <w:rPr>
          <w:rFonts w:hint="eastAsia" w:hAnsi="宋体"/>
          <w:szCs w:val="24"/>
        </w:rPr>
        <w:t>年6月开工，目前已完成场地平整、池体开挖及部分设备安装，目前仍在建设中，尚未竣工运营，预计2</w:t>
      </w:r>
      <w:r>
        <w:rPr>
          <w:rFonts w:hAnsi="宋体"/>
          <w:szCs w:val="24"/>
        </w:rPr>
        <w:t>024</w:t>
      </w:r>
      <w:r>
        <w:rPr>
          <w:rFonts w:hint="eastAsia" w:hAnsi="宋体"/>
          <w:szCs w:val="24"/>
        </w:rPr>
        <w:t>年6月竣工并投入运营。</w:t>
      </w:r>
    </w:p>
    <w:p>
      <w:pPr>
        <w:pStyle w:val="30"/>
        <w:ind w:firstLine="480"/>
        <w:rPr>
          <w:rFonts w:hAnsi="宋体"/>
          <w:szCs w:val="24"/>
        </w:rPr>
      </w:pPr>
      <w:r>
        <w:rPr>
          <w:rFonts w:hint="eastAsia" w:hAnsi="宋体"/>
          <w:szCs w:val="24"/>
        </w:rPr>
        <w:t>污水排放路径：项目污水处理达标后通过管道排入镇区东南侧灌溉渠，之后经2945m灌溉渠排入东侧白河。</w:t>
      </w:r>
    </w:p>
    <w:p>
      <w:pPr>
        <w:pStyle w:val="30"/>
        <w:ind w:firstLine="480"/>
        <w:rPr>
          <w:rFonts w:hAnsi="宋体"/>
          <w:szCs w:val="24"/>
        </w:rPr>
      </w:pPr>
      <w:r>
        <w:rPr>
          <w:rFonts w:hint="eastAsia" w:hAnsi="宋体"/>
          <w:szCs w:val="24"/>
        </w:rPr>
        <w:t>受纳地表水体：白河（又名归阳河），属于湘江一级支流。白河水功能主要为渔业用水，本次论证范围河段无生活用水及工业用水取水口，不涉及饮用水水源保护区。</w:t>
      </w:r>
    </w:p>
    <w:p>
      <w:pPr>
        <w:pStyle w:val="30"/>
        <w:ind w:firstLine="480"/>
        <w:rPr>
          <w:szCs w:val="24"/>
        </w:rPr>
      </w:pPr>
      <w:r>
        <w:rPr>
          <w:rFonts w:hint="eastAsia" w:hAnsi="宋体"/>
          <w:szCs w:val="24"/>
        </w:rPr>
        <w:t>入河排污口设置位置：入河排污口设置位置位于东侧沟渠右岸，地理坐标为</w:t>
      </w:r>
      <w:r>
        <w:rPr>
          <w:rFonts w:hint="eastAsia"/>
          <w:szCs w:val="24"/>
        </w:rPr>
        <w:t>E</w:t>
      </w:r>
      <w:r>
        <w:rPr>
          <w:szCs w:val="36"/>
        </w:rPr>
        <w:t>112°12′5.1″,</w:t>
      </w:r>
      <w:r>
        <w:rPr>
          <w:rFonts w:hint="eastAsia"/>
          <w:szCs w:val="36"/>
        </w:rPr>
        <w:t>N</w:t>
      </w:r>
      <w:r>
        <w:rPr>
          <w:szCs w:val="36"/>
        </w:rPr>
        <w:t>26°36′55.77″</w:t>
      </w:r>
      <w:r>
        <w:rPr>
          <w:szCs w:val="24"/>
        </w:rPr>
        <w:t>。</w:t>
      </w:r>
    </w:p>
    <w:p>
      <w:pPr>
        <w:pStyle w:val="30"/>
        <w:ind w:firstLine="480"/>
      </w:pPr>
      <w:r>
        <w:rPr>
          <w:rFonts w:hint="eastAsia"/>
        </w:rPr>
        <w:t>鸟江镇污水处理工程地理位置详见图2</w:t>
      </w:r>
      <w:r>
        <w:t>.1-1</w:t>
      </w:r>
      <w:r>
        <w:rPr>
          <w:rFonts w:hint="eastAsia"/>
        </w:rPr>
        <w:t>。</w:t>
      </w:r>
    </w:p>
    <w:p>
      <w:pPr>
        <w:pStyle w:val="30"/>
        <w:ind w:firstLine="0" w:firstLineChars="0"/>
      </w:pPr>
      <w:r>
        <w:rPr>
          <w14:ligatures w14:val="standardContextual"/>
        </w:rPr>
        <mc:AlternateContent>
          <mc:Choice Requires="wps">
            <w:drawing>
              <wp:anchor distT="0" distB="0" distL="114300" distR="114300" simplePos="0" relativeHeight="251686912" behindDoc="0" locked="0" layoutInCell="1" allowOverlap="1">
                <wp:simplePos x="0" y="0"/>
                <wp:positionH relativeFrom="column">
                  <wp:posOffset>1630680</wp:posOffset>
                </wp:positionH>
                <wp:positionV relativeFrom="paragraph">
                  <wp:posOffset>79375</wp:posOffset>
                </wp:positionV>
                <wp:extent cx="1343025" cy="323850"/>
                <wp:effectExtent l="76200" t="0" r="28575" b="381000"/>
                <wp:wrapNone/>
                <wp:docPr id="1202655187" name="对话气泡: 矩形 3"/>
                <wp:cNvGraphicFramePr/>
                <a:graphic xmlns:a="http://schemas.openxmlformats.org/drawingml/2006/main">
                  <a:graphicData uri="http://schemas.microsoft.com/office/word/2010/wordprocessingShape">
                    <wps:wsp>
                      <wps:cNvSpPr/>
                      <wps:spPr>
                        <a:xfrm>
                          <a:off x="0" y="0"/>
                          <a:ext cx="1343025" cy="323850"/>
                        </a:xfrm>
                        <a:prstGeom prst="wedgeRectCallout">
                          <a:avLst>
                            <a:gd name="adj1" fmla="val -53421"/>
                            <a:gd name="adj2" fmla="val 149515"/>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128.4pt;margin-top:6.25pt;height:25.5pt;width:105.75pt;z-index:251686912;v-text-anchor:middle;mso-width-relative:page;mso-height-relative:page;" fillcolor="#FFFFFF [3201]" filled="t" stroked="t" coordsize="21600,21600" o:gfxdata="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FmBiWbaAAAACQEAAA8A&#10;AAAAAAAAAQAgAAAAIgAAAGRycy9kb3ducmV2LnhtbFBLAQIUABQAAAAIAIdO4kA0xmBgwAIAAHUF&#10;AAAOAAAAAAAAAAEAIAAAACkBAABkcnMvZTJvRG9jLnhtbFBLBQYAAAAABgAGAFkBAABbBgAAAAA=&#10;" adj="-739,43095">
                <v:fill on="t" focussize="0,0"/>
                <v:stroke weight="1pt" color="#000000 [3200]" miterlimit="8" joinstyle="miter"/>
                <v:imagedata o:title=""/>
                <o:lock v:ext="edit" aspectratio="f"/>
                <v:textbox>
                  <w:txbxContent>
                    <w:p>
                      <w:pPr>
                        <w:jc w:val="center"/>
                      </w:pPr>
                      <w:r>
                        <w:rPr>
                          <w:rFonts w:hint="eastAsia"/>
                        </w:rPr>
                        <w:t>入河排污口位置</w:t>
                      </w:r>
                    </w:p>
                  </w:txbxContent>
                </v:textbox>
              </v:shape>
            </w:pict>
          </mc:Fallback>
        </mc:AlternateContent>
      </w:r>
      <w:r>
        <w:rPr>
          <w14:ligatures w14:val="standardContextual"/>
        </w:rPr>
        <mc:AlternateContent>
          <mc:Choice Requires="wps">
            <w:drawing>
              <wp:anchor distT="0" distB="0" distL="114300" distR="114300" simplePos="0" relativeHeight="251661312" behindDoc="0" locked="0" layoutInCell="1" allowOverlap="1">
                <wp:simplePos x="0" y="0"/>
                <wp:positionH relativeFrom="column">
                  <wp:posOffset>2970530</wp:posOffset>
                </wp:positionH>
                <wp:positionV relativeFrom="paragraph">
                  <wp:posOffset>1696085</wp:posOffset>
                </wp:positionV>
                <wp:extent cx="1343025" cy="323850"/>
                <wp:effectExtent l="121920" t="1050290" r="20955" b="16510"/>
                <wp:wrapNone/>
                <wp:docPr id="1395031082" name="对话气泡: 矩形 3"/>
                <wp:cNvGraphicFramePr/>
                <a:graphic xmlns:a="http://schemas.openxmlformats.org/drawingml/2006/main">
                  <a:graphicData uri="http://schemas.microsoft.com/office/word/2010/wordprocessingShape">
                    <wps:wsp>
                      <wps:cNvSpPr/>
                      <wps:spPr>
                        <a:xfrm>
                          <a:off x="0" y="0"/>
                          <a:ext cx="1343025" cy="323850"/>
                        </a:xfrm>
                        <a:prstGeom prst="wedgeRectCallout">
                          <a:avLst>
                            <a:gd name="adj1" fmla="val -57565"/>
                            <a:gd name="adj2" fmla="val -36117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汇入白河口位置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233.9pt;margin-top:133.55pt;height:25.5pt;width:105.75pt;z-index:251661312;v-text-anchor:middle;mso-width-relative:page;mso-height-relative:page;" fillcolor="#FFFFFF [3201]" filled="t" stroked="t" coordsize="21600,21600" o:gfxdata="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JFKldjbAAAACwEA&#10;AA8AAAAAAAAAAQAgAAAAIgAAAGRycy9kb3ducmV2LnhtbFBLAQIUABQAAAAIAIdO4kB5RDfdwgIA&#10;AHYFAAAOAAAAAAAAAAEAIAAAACoBAABkcnMvZTJvRG9jLnhtbFBLBQYAAAAABgAGAFkBAABeBgAA&#10;AAA=&#10;" adj="-1634,-67214">
                <v:fill on="t" focussize="0,0"/>
                <v:stroke weight="1pt" color="#000000 [3200]" miterlimit="8" joinstyle="miter"/>
                <v:imagedata o:title=""/>
                <o:lock v:ext="edit" aspectratio="f"/>
                <v:textbox>
                  <w:txbxContent>
                    <w:p>
                      <w:pPr>
                        <w:jc w:val="center"/>
                      </w:pPr>
                      <w:r>
                        <w:rPr>
                          <w:rFonts w:hint="eastAsia"/>
                        </w:rPr>
                        <w:t>汇入白河口位置</w:t>
                      </w:r>
                    </w:p>
                  </w:txbxContent>
                </v:textbox>
              </v:shape>
            </w:pict>
          </mc:Fallback>
        </mc:AlternateContent>
      </w:r>
      <w:r>
        <w:rPr>
          <w14:ligatures w14:val="standardContextual"/>
        </w:rPr>
        <mc:AlternateContent>
          <mc:Choice Requires="wps">
            <w:drawing>
              <wp:anchor distT="0" distB="0" distL="114300" distR="114300" simplePos="0" relativeHeight="251659264" behindDoc="0" locked="0" layoutInCell="1" allowOverlap="1">
                <wp:simplePos x="0" y="0"/>
                <wp:positionH relativeFrom="column">
                  <wp:posOffset>144780</wp:posOffset>
                </wp:positionH>
                <wp:positionV relativeFrom="paragraph">
                  <wp:posOffset>1736090</wp:posOffset>
                </wp:positionV>
                <wp:extent cx="1266825" cy="490220"/>
                <wp:effectExtent l="6350" t="1009015" r="117475" b="24765"/>
                <wp:wrapNone/>
                <wp:docPr id="1377445391" name="对话气泡: 矩形 3"/>
                <wp:cNvGraphicFramePr/>
                <a:graphic xmlns:a="http://schemas.openxmlformats.org/drawingml/2006/main">
                  <a:graphicData uri="http://schemas.microsoft.com/office/word/2010/wordprocessingShape">
                    <wps:wsp>
                      <wps:cNvSpPr/>
                      <wps:spPr>
                        <a:xfrm>
                          <a:off x="0" y="0"/>
                          <a:ext cx="1266825" cy="490220"/>
                        </a:xfrm>
                        <a:prstGeom prst="wedgeRectCallout">
                          <a:avLst>
                            <a:gd name="adj1" fmla="val 56265"/>
                            <a:gd name="adj2" fmla="val -24702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污水处理工程位置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11.4pt;margin-top:136.7pt;height:38.6pt;width:99.75pt;z-index:251659264;v-text-anchor:middle;mso-width-relative:page;mso-height-relative:page;" fillcolor="#FFFFFF [3201]" filled="t" stroked="t" coordsize="21600,21600" o:gfxdata="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sw3ac1gAAAAoBAAAPAAAAAAAA&#10;AAEAIAAAACIAAABkcnMvZG93bnJldi54bWxQSwECFAAUAAAACACHTuJAP5ukMb8CAAB1BQAADgAA&#10;AAAAAAABACAAAAAlAQAAZHJzL2Uyb0RvYy54bWxQSwUGAAAAAAYABgBZAQAAVgYAAAAA&#10;" adj="22953,-42556">
                <v:fill on="t" focussize="0,0"/>
                <v:stroke weight="1pt" color="#000000 [3200]" miterlimit="8" joinstyle="miter"/>
                <v:imagedata o:title=""/>
                <o:lock v:ext="edit" aspectratio="f"/>
                <v:textbox>
                  <w:txbxContent>
                    <w:p>
                      <w:pPr>
                        <w:jc w:val="center"/>
                      </w:pPr>
                      <w:r>
                        <w:rPr>
                          <w:rFonts w:hint="eastAsia"/>
                        </w:rPr>
                        <w:t>污水处理工程位置</w:t>
                      </w:r>
                    </w:p>
                  </w:txbxContent>
                </v:textbox>
              </v:shape>
            </w:pict>
          </mc:Fallback>
        </mc:AlternateContent>
      </w:r>
      <w:r>
        <w:drawing>
          <wp:inline distT="0" distB="0" distL="114300" distR="114300">
            <wp:extent cx="5265420" cy="2853690"/>
            <wp:effectExtent l="9525" t="9525" r="20955" b="1333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7"/>
                    <a:stretch>
                      <a:fillRect/>
                    </a:stretch>
                  </pic:blipFill>
                  <pic:spPr>
                    <a:xfrm>
                      <a:off x="0" y="0"/>
                      <a:ext cx="5265420" cy="2853690"/>
                    </a:xfrm>
                    <a:prstGeom prst="rect">
                      <a:avLst/>
                    </a:prstGeom>
                    <a:noFill/>
                    <a:ln>
                      <a:solidFill>
                        <a:schemeClr val="tx1"/>
                      </a:solidFill>
                    </a:ln>
                  </pic:spPr>
                </pic:pic>
              </a:graphicData>
            </a:graphic>
          </wp:inline>
        </w:drawing>
      </w:r>
    </w:p>
    <w:p>
      <w:pPr>
        <w:pStyle w:val="41"/>
      </w:pPr>
      <w:r>
        <w:rPr>
          <w:rFonts w:hint="eastAsia"/>
        </w:rPr>
        <w:t>图2</w:t>
      </w:r>
      <w:r>
        <w:t xml:space="preserve">.1-1  </w:t>
      </w:r>
      <w:r>
        <w:rPr>
          <w:rFonts w:hint="eastAsia"/>
        </w:rPr>
        <w:t>污水处理工程及入河排污口设置位置图</w:t>
      </w:r>
    </w:p>
    <w:p>
      <w:pPr>
        <w:pStyle w:val="30"/>
        <w:ind w:firstLine="480"/>
      </w:pPr>
      <w:r>
        <w:rPr>
          <w:rFonts w:hint="eastAsia"/>
        </w:rPr>
        <w:t>纳污管网图见附件，纳污范围图、污水工程管线规划图以及厂区平面布置图见下图。</w:t>
      </w:r>
    </w:p>
    <w:p>
      <w:pPr>
        <w:pStyle w:val="20"/>
        <w:widowControl/>
      </w:pPr>
      <w:r>
        <w:drawing>
          <wp:inline distT="0" distB="0" distL="114300" distR="114300">
            <wp:extent cx="5093970" cy="3599815"/>
            <wp:effectExtent l="0" t="0" r="11430" b="635"/>
            <wp:docPr id="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6"/>
                    <pic:cNvPicPr>
                      <a:picLocks noChangeAspect="1"/>
                    </pic:cNvPicPr>
                  </pic:nvPicPr>
                  <pic:blipFill>
                    <a:blip r:embed="rId8"/>
                    <a:stretch>
                      <a:fillRect/>
                    </a:stretch>
                  </pic:blipFill>
                  <pic:spPr>
                    <a:xfrm>
                      <a:off x="0" y="0"/>
                      <a:ext cx="5093970" cy="3599815"/>
                    </a:xfrm>
                    <a:prstGeom prst="rect">
                      <a:avLst/>
                    </a:prstGeom>
                    <a:noFill/>
                    <a:ln w="9525">
                      <a:noFill/>
                    </a:ln>
                  </pic:spPr>
                </pic:pic>
              </a:graphicData>
            </a:graphic>
          </wp:inline>
        </w:drawing>
      </w:r>
    </w:p>
    <w:p>
      <w:pPr>
        <w:pStyle w:val="20"/>
        <w:widowControl/>
        <w:jc w:val="center"/>
        <w:rPr>
          <w:b/>
          <w:bCs/>
        </w:rPr>
      </w:pPr>
      <w:r>
        <w:rPr>
          <w:b/>
          <w:bCs/>
        </w:rPr>
        <mc:AlternateContent>
          <mc:Choice Requires="wpg">
            <w:drawing>
              <wp:anchor distT="0" distB="0" distL="114300" distR="114300" simplePos="0" relativeHeight="251660288" behindDoc="0" locked="0" layoutInCell="1" allowOverlap="1">
                <wp:simplePos x="0" y="0"/>
                <wp:positionH relativeFrom="column">
                  <wp:posOffset>572770</wp:posOffset>
                </wp:positionH>
                <wp:positionV relativeFrom="paragraph">
                  <wp:posOffset>1918335</wp:posOffset>
                </wp:positionV>
                <wp:extent cx="4136390" cy="398780"/>
                <wp:effectExtent l="0" t="0" r="16510" b="1270"/>
                <wp:wrapNone/>
                <wp:docPr id="9" name="组合 9"/>
                <wp:cNvGraphicFramePr/>
                <a:graphic xmlns:a="http://schemas.openxmlformats.org/drawingml/2006/main">
                  <a:graphicData uri="http://schemas.microsoft.com/office/word/2010/wordprocessingGroup">
                    <wpg:wgp>
                      <wpg:cNvGrpSpPr/>
                      <wpg:grpSpPr>
                        <a:xfrm>
                          <a:off x="0" y="0"/>
                          <a:ext cx="4136390" cy="398780"/>
                          <a:chOff x="4864" y="273157"/>
                          <a:chExt cx="6514" cy="628"/>
                        </a:xfrm>
                      </wpg:grpSpPr>
                      <pic:pic xmlns:pic="http://schemas.openxmlformats.org/drawingml/2006/picture">
                        <pic:nvPicPr>
                          <pic:cNvPr id="6" name="图片 3"/>
                          <pic:cNvPicPr>
                            <a:picLocks noChangeAspect="1"/>
                          </pic:cNvPicPr>
                        </pic:nvPicPr>
                        <pic:blipFill>
                          <a:blip r:embed="rId9"/>
                          <a:stretch>
                            <a:fillRect/>
                          </a:stretch>
                        </pic:blipFill>
                        <pic:spPr>
                          <a:xfrm>
                            <a:off x="4864" y="273157"/>
                            <a:ext cx="1039" cy="628"/>
                          </a:xfrm>
                          <a:prstGeom prst="rect">
                            <a:avLst/>
                          </a:prstGeom>
                          <a:noFill/>
                          <a:ln>
                            <a:noFill/>
                          </a:ln>
                        </pic:spPr>
                      </pic:pic>
                      <pic:pic xmlns:pic="http://schemas.openxmlformats.org/drawingml/2006/picture">
                        <pic:nvPicPr>
                          <pic:cNvPr id="7" name="图片 4"/>
                          <pic:cNvPicPr>
                            <a:picLocks noChangeAspect="1"/>
                          </pic:cNvPicPr>
                        </pic:nvPicPr>
                        <pic:blipFill>
                          <a:blip r:embed="rId10"/>
                          <a:stretch>
                            <a:fillRect/>
                          </a:stretch>
                        </pic:blipFill>
                        <pic:spPr>
                          <a:xfrm>
                            <a:off x="10386" y="273212"/>
                            <a:ext cx="992" cy="566"/>
                          </a:xfrm>
                          <a:prstGeom prst="rect">
                            <a:avLst/>
                          </a:prstGeom>
                          <a:noFill/>
                          <a:ln>
                            <a:noFill/>
                          </a:ln>
                        </pic:spPr>
                      </pic:pic>
                    </wpg:wgp>
                  </a:graphicData>
                </a:graphic>
              </wp:anchor>
            </w:drawing>
          </mc:Choice>
          <mc:Fallback>
            <w:pict>
              <v:group id="_x0000_s1026" o:spid="_x0000_s1026" o:spt="203" style="position:absolute;left:0pt;margin-left:45.1pt;margin-top:151.05pt;height:31.4pt;width:325.7pt;z-index:251660288;mso-width-relative:page;mso-height-relative:page;" coordorigin="4864,273157" coordsize="6514,628" o:gfxdata="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">
                <o:lock v:ext="edit" aspectratio="f"/>
                <v:shape id="图片 3" o:spid="_x0000_s1026" o:spt="75" type="#_x0000_t75" style="position:absolute;left:4864;top:273157;height:628;width:1039;" filled="f" o:preferrelative="t" stroked="f" coordsize="21600,21600" o:gfxdata="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nz1G8AAAA&#10;2gAAAA8AAAAAAAAAAQAgAAAAIgAAAGRycy9kb3ducmV2LnhtbFBLAQIUABQAAAAIAIdO4kAzLwWe&#10;OwAAADkAAAAQAAAAAAAAAAEAIAAAAAsBAABkcnMvc2hhcGV4bWwueG1sUEsFBgAAAAAGAAYAWwEA&#10;ALUDAAAAAA==&#10;">
                  <v:fill on="f" focussize="0,0"/>
                  <v:stroke on="f"/>
                  <v:imagedata r:id="rId9" o:title=""/>
                  <o:lock v:ext="edit" aspectratio="t"/>
                </v:shape>
                <v:shape id="图片 4" o:spid="_x0000_s1026" o:spt="75" type="#_x0000_t75" style="position:absolute;left:10386;top:273212;height:566;width:992;" filled="f" o:preferrelative="t" stroked="f" coordsize="21600,21600" o:gfxdata="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qS8LsAAADa&#10;AAAADwAAAAAAAAABACAAAAAiAAAAZHJzL2Rvd25yZXYueG1sUEsBAhQAFAAAAAgAh07iQDMvBZ47&#10;AAAAOQAAABAAAAAAAAAAAQAgAAAACgEAAGRycy9zaGFwZXhtbC54bWxQSwUGAAAAAAYABgBbAQAA&#10;tAMAAAAA&#10;">
                  <v:fill on="f" focussize="0,0"/>
                  <v:stroke on="f"/>
                  <v:imagedata r:id="rId10" o:title=""/>
                  <o:lock v:ext="edit" aspectratio="t"/>
                </v:shape>
              </v:group>
            </w:pict>
          </mc:Fallback>
        </mc:AlternateContent>
      </w:r>
      <w:r>
        <w:rPr>
          <w:rFonts w:hint="eastAsia"/>
          <w:b/>
          <w:bCs/>
        </w:rPr>
        <w:t>图2</w:t>
      </w:r>
      <w:r>
        <w:rPr>
          <w:b/>
          <w:bCs/>
        </w:rPr>
        <w:t xml:space="preserve">.1-2  </w:t>
      </w:r>
      <w:r>
        <w:rPr>
          <w:rFonts w:hint="eastAsia"/>
          <w:b/>
          <w:bCs/>
        </w:rPr>
        <w:t>污水管网规划图</w:t>
      </w:r>
    </w:p>
    <w:p>
      <w:pPr>
        <w:pStyle w:val="20"/>
        <w:widowControl/>
      </w:pPr>
      <w:r>
        <w:drawing>
          <wp:inline distT="0" distB="0" distL="114300" distR="114300">
            <wp:extent cx="5272405" cy="6743065"/>
            <wp:effectExtent l="0" t="0" r="444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5272405" cy="6743065"/>
                    </a:xfrm>
                    <a:prstGeom prst="rect">
                      <a:avLst/>
                    </a:prstGeom>
                    <a:noFill/>
                    <a:ln>
                      <a:noFill/>
                    </a:ln>
                  </pic:spPr>
                </pic:pic>
              </a:graphicData>
            </a:graphic>
          </wp:inline>
        </w:drawing>
      </w:r>
    </w:p>
    <w:p>
      <w:pPr>
        <w:pStyle w:val="41"/>
      </w:pPr>
      <w:r>
        <w:rPr>
          <w:rFonts w:hint="eastAsia"/>
        </w:rPr>
        <w:t>图2</w:t>
      </w:r>
      <w:r>
        <w:t xml:space="preserve">.1-4  </w:t>
      </w:r>
      <w:r>
        <w:rPr>
          <w:rFonts w:hint="eastAsia"/>
        </w:rPr>
        <w:t>污水处理站总平面布置图</w:t>
      </w:r>
    </w:p>
    <w:p>
      <w:pPr>
        <w:pStyle w:val="38"/>
      </w:pPr>
      <w:bookmarkStart w:id="18" w:name="_Toc8041"/>
      <w:r>
        <w:rPr>
          <w:rFonts w:hint="eastAsia"/>
        </w:rPr>
        <w:t>2</w:t>
      </w:r>
      <w:r>
        <w:t>.1.2</w:t>
      </w:r>
      <w:r>
        <w:rPr>
          <w:rFonts w:hint="eastAsia"/>
        </w:rPr>
        <w:t>主要建设内容及规模</w:t>
      </w:r>
      <w:bookmarkEnd w:id="18"/>
    </w:p>
    <w:p>
      <w:pPr>
        <w:pStyle w:val="30"/>
        <w:ind w:firstLine="480"/>
      </w:pPr>
      <w:r>
        <w:rPr>
          <w:rFonts w:hint="eastAsia"/>
        </w:rPr>
        <w:t>1、项目组成</w:t>
      </w:r>
    </w:p>
    <w:p>
      <w:pPr>
        <w:pStyle w:val="30"/>
        <w:ind w:firstLine="480"/>
      </w:pPr>
      <w:r>
        <w:rPr>
          <w:rFonts w:hint="eastAsia"/>
        </w:rPr>
        <w:t>污水处理站主要污水处理单元包括组合池、智能一体化设备组、储泥池及人工，同时配套建设操作间等设施。具体如下：</w:t>
      </w:r>
    </w:p>
    <w:p>
      <w:pPr>
        <w:pStyle w:val="41"/>
      </w:pPr>
      <w:r>
        <w:rPr>
          <w:rFonts w:hint="eastAsia"/>
        </w:rPr>
        <w:t>表2</w:t>
      </w:r>
      <w:r>
        <w:t xml:space="preserve">.1-1  </w:t>
      </w:r>
      <w:r>
        <w:rPr>
          <w:rFonts w:hint="eastAsia"/>
        </w:rPr>
        <w:t>项目工程组成表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9"/>
        <w:gridCol w:w="1064"/>
        <w:gridCol w:w="6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093" w:type="pct"/>
            <w:gridSpan w:val="2"/>
            <w:vAlign w:val="center"/>
          </w:tcPr>
          <w:p>
            <w:pPr>
              <w:pStyle w:val="43"/>
            </w:pPr>
            <w:r>
              <w:t>工程组成</w:t>
            </w:r>
          </w:p>
        </w:tc>
        <w:tc>
          <w:tcPr>
            <w:tcW w:w="3907" w:type="pct"/>
            <w:vAlign w:val="center"/>
          </w:tcPr>
          <w:p>
            <w:pPr>
              <w:pStyle w:val="43"/>
            </w:pPr>
            <w:r>
              <w:t>工程内容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restart"/>
            <w:vAlign w:val="center"/>
          </w:tcPr>
          <w:p>
            <w:pPr>
              <w:pStyle w:val="43"/>
            </w:pPr>
            <w:r>
              <w:t>主体工程</w:t>
            </w:r>
          </w:p>
        </w:tc>
        <w:tc>
          <w:tcPr>
            <w:tcW w:w="624" w:type="pct"/>
            <w:vAlign w:val="center"/>
          </w:tcPr>
          <w:p>
            <w:pPr>
              <w:pStyle w:val="43"/>
            </w:pPr>
            <w:r>
              <w:rPr>
                <w:rFonts w:hint="eastAsia"/>
              </w:rPr>
              <w:t>组合池</w:t>
            </w:r>
          </w:p>
        </w:tc>
        <w:tc>
          <w:tcPr>
            <w:tcW w:w="3907" w:type="pct"/>
            <w:vAlign w:val="center"/>
          </w:tcPr>
          <w:p>
            <w:pPr>
              <w:pStyle w:val="43"/>
            </w:pPr>
            <w:r>
              <w:rPr>
                <w:rFonts w:hint="eastAsia"/>
              </w:rPr>
              <w:t>配置1座组合池，封闭式钢筋砼结构，建设规模为近期200m</w:t>
            </w:r>
            <w:r>
              <w:rPr>
                <w:rFonts w:hint="eastAsia"/>
                <w:vertAlign w:val="superscript"/>
              </w:rPr>
              <w:t>3</w:t>
            </w:r>
            <w:r>
              <w:rPr>
                <w:rFonts w:hint="eastAsia"/>
              </w:rPr>
              <w:t>/d，远期400m</w:t>
            </w:r>
            <w:r>
              <w:rPr>
                <w:rFonts w:hint="eastAsia"/>
                <w:vertAlign w:val="superscript"/>
              </w:rPr>
              <w:t>3</w:t>
            </w:r>
            <w:r>
              <w:rPr>
                <w:rFonts w:hint="eastAsia"/>
              </w:rPr>
              <w:t>/d，组合池内配套建设格栅提升井、调节池和储泥池。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469" w:type="pct"/>
            <w:vMerge w:val="continue"/>
            <w:vAlign w:val="center"/>
          </w:tcPr>
          <w:p>
            <w:pPr>
              <w:pStyle w:val="43"/>
            </w:pPr>
          </w:p>
        </w:tc>
        <w:tc>
          <w:tcPr>
            <w:tcW w:w="624" w:type="pct"/>
            <w:vAlign w:val="center"/>
          </w:tcPr>
          <w:p>
            <w:pPr>
              <w:pStyle w:val="43"/>
            </w:pPr>
            <w:r>
              <w:rPr>
                <w:rFonts w:hint="eastAsia"/>
              </w:rPr>
              <w:t>智能一体化设备组</w:t>
            </w:r>
          </w:p>
        </w:tc>
        <w:tc>
          <w:tcPr>
            <w:tcW w:w="3907" w:type="pct"/>
            <w:vAlign w:val="center"/>
          </w:tcPr>
          <w:p>
            <w:pPr>
              <w:pStyle w:val="43"/>
            </w:pPr>
            <w:r>
              <w:rPr>
                <w:rFonts w:hint="eastAsia"/>
              </w:rPr>
              <w:t>配置1组智能一体化设备组，封闭式碳钢结构，各设备组包括厌氧池、缺氧池、生物接触氧化池、沉淀池和清水池等单元。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Align w:val="center"/>
          </w:tcPr>
          <w:p>
            <w:pPr>
              <w:pStyle w:val="43"/>
            </w:pPr>
            <w:r>
              <w:rPr>
                <w:rFonts w:hint="eastAsia"/>
              </w:rPr>
              <w:t>辅助工程</w:t>
            </w:r>
          </w:p>
        </w:tc>
        <w:tc>
          <w:tcPr>
            <w:tcW w:w="624" w:type="pct"/>
            <w:vAlign w:val="center"/>
          </w:tcPr>
          <w:p>
            <w:pPr>
              <w:pStyle w:val="43"/>
            </w:pPr>
            <w:r>
              <w:rPr>
                <w:rFonts w:hint="eastAsia"/>
              </w:rPr>
              <w:t>配电用房</w:t>
            </w:r>
          </w:p>
        </w:tc>
        <w:tc>
          <w:tcPr>
            <w:tcW w:w="3907" w:type="pct"/>
            <w:vAlign w:val="center"/>
          </w:tcPr>
          <w:p>
            <w:pPr>
              <w:pStyle w:val="43"/>
            </w:pPr>
            <w:r>
              <w:rPr>
                <w:rFonts w:hint="eastAsia"/>
              </w:rPr>
              <w:t>配置1座配套用房，1层，砖混结构，占地面积8m</w:t>
            </w:r>
            <w:r>
              <w:rPr>
                <w:rFonts w:hint="eastAsia"/>
                <w:vertAlign w:val="superscript"/>
              </w:rPr>
              <w:t>2</w:t>
            </w:r>
            <w:r>
              <w:rPr>
                <w:rFonts w:hint="eastAsia"/>
              </w:rPr>
              <w:t>，配备供电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469" w:type="pct"/>
            <w:vMerge w:val="restart"/>
            <w:vAlign w:val="center"/>
          </w:tcPr>
          <w:p>
            <w:pPr>
              <w:pStyle w:val="43"/>
            </w:pPr>
            <w:r>
              <w:t>公用工程</w:t>
            </w:r>
          </w:p>
        </w:tc>
        <w:tc>
          <w:tcPr>
            <w:tcW w:w="624" w:type="pct"/>
            <w:vAlign w:val="center"/>
          </w:tcPr>
          <w:p>
            <w:pPr>
              <w:pStyle w:val="43"/>
            </w:pPr>
            <w:r>
              <w:t>供水工程</w:t>
            </w:r>
          </w:p>
        </w:tc>
        <w:tc>
          <w:tcPr>
            <w:tcW w:w="3907" w:type="pct"/>
            <w:vAlign w:val="center"/>
          </w:tcPr>
          <w:p>
            <w:pPr>
              <w:pStyle w:val="43"/>
            </w:pPr>
            <w:r>
              <w:rPr>
                <w:rFonts w:hint="eastAsia"/>
              </w:rPr>
              <w:t>由鸟江镇集中供水管网供水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Align w:val="center"/>
          </w:tcPr>
          <w:p>
            <w:pPr>
              <w:pStyle w:val="43"/>
            </w:pPr>
            <w:r>
              <w:t>排</w:t>
            </w:r>
            <w:r>
              <w:rPr>
                <w:rFonts w:hint="eastAsia"/>
              </w:rPr>
              <w:t>水</w:t>
            </w:r>
            <w:r>
              <w:t>工程</w:t>
            </w:r>
          </w:p>
        </w:tc>
        <w:tc>
          <w:tcPr>
            <w:tcW w:w="3907" w:type="pct"/>
            <w:vAlign w:val="center"/>
          </w:tcPr>
          <w:p>
            <w:pPr>
              <w:pStyle w:val="43"/>
            </w:pPr>
            <w:r>
              <w:rPr>
                <w:rFonts w:hint="eastAsia"/>
              </w:rPr>
              <w:t>项目污水处理达标后通过管道排入厂区东南侧灌溉渠，之后经2945m灌溉渠排入东侧白河。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Align w:val="center"/>
          </w:tcPr>
          <w:p>
            <w:pPr>
              <w:pStyle w:val="43"/>
            </w:pPr>
            <w:r>
              <w:t>供电工程</w:t>
            </w:r>
          </w:p>
        </w:tc>
        <w:tc>
          <w:tcPr>
            <w:tcW w:w="3907" w:type="pct"/>
            <w:vAlign w:val="center"/>
          </w:tcPr>
          <w:p>
            <w:pPr>
              <w:pStyle w:val="43"/>
              <w:rPr>
                <w:highlight w:val="yellow"/>
              </w:rPr>
            </w:pPr>
            <w:r>
              <w:t>依托</w:t>
            </w:r>
            <w:r>
              <w:rPr>
                <w:rFonts w:hint="eastAsia"/>
              </w:rPr>
              <w:t>鸟江镇供电管网，污水站</w:t>
            </w:r>
            <w:r>
              <w:t>新建一座</w:t>
            </w:r>
            <w:r>
              <w:rPr>
                <w:rFonts w:hint="eastAsia"/>
              </w:rPr>
              <w:t>配电用房</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restart"/>
            <w:vAlign w:val="center"/>
          </w:tcPr>
          <w:p>
            <w:pPr>
              <w:pStyle w:val="43"/>
            </w:pPr>
            <w:r>
              <w:t>环保工程</w:t>
            </w:r>
          </w:p>
        </w:tc>
        <w:tc>
          <w:tcPr>
            <w:tcW w:w="624" w:type="pct"/>
            <w:vAlign w:val="center"/>
          </w:tcPr>
          <w:p>
            <w:pPr>
              <w:pStyle w:val="43"/>
            </w:pPr>
            <w:r>
              <w:t>废气处理措施</w:t>
            </w:r>
          </w:p>
        </w:tc>
        <w:tc>
          <w:tcPr>
            <w:tcW w:w="3907" w:type="pct"/>
            <w:vAlign w:val="center"/>
          </w:tcPr>
          <w:p>
            <w:pPr>
              <w:pStyle w:val="43"/>
              <w:rPr>
                <w:rFonts w:ascii="宋体" w:hAnsi="宋体"/>
              </w:rPr>
            </w:pPr>
            <w:r>
              <w:rPr>
                <w:rFonts w:hint="eastAsia"/>
              </w:rPr>
              <w:t>污水处理站</w:t>
            </w:r>
            <w:r>
              <w:rPr>
                <w:rFonts w:hAnsi="宋体"/>
              </w:rPr>
              <w:t>产生的恶臭气体主要成分为</w:t>
            </w:r>
            <w:r>
              <w:rPr>
                <w:rFonts w:hint="eastAsia" w:hAnsi="宋体"/>
              </w:rPr>
              <w:t>NH</w:t>
            </w:r>
            <w:r>
              <w:rPr>
                <w:rFonts w:hint="eastAsia" w:hAnsi="宋体"/>
                <w:vertAlign w:val="subscript"/>
              </w:rPr>
              <w:t>3</w:t>
            </w:r>
            <w:r>
              <w:rPr>
                <w:rFonts w:hint="eastAsia" w:hAnsi="宋体"/>
              </w:rPr>
              <w:t>、H</w:t>
            </w:r>
            <w:r>
              <w:rPr>
                <w:rFonts w:hint="eastAsia" w:hAnsi="宋体"/>
                <w:vertAlign w:val="subscript"/>
              </w:rPr>
              <w:t>2</w:t>
            </w:r>
            <w:r>
              <w:rPr>
                <w:rFonts w:hint="eastAsia" w:hAnsi="宋体"/>
              </w:rPr>
              <w:t>S，本项目拟在组</w:t>
            </w:r>
            <w:r>
              <w:rPr>
                <w:rFonts w:hint="eastAsia"/>
              </w:rPr>
              <w:t>合池和一体化设备进行密闭，采用密封抽风的方式收集臭气，收集后的恶臭气送至一体化污水处理设备自带离子除臭系统进行处理措施，处理后通过一体化设备排气口自然排放；另外在站址区域种植花草树木，</w:t>
            </w:r>
            <w:r>
              <w:t>以降低恶臭污染物对周围环境的影响程度</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Align w:val="center"/>
          </w:tcPr>
          <w:p>
            <w:pPr>
              <w:pStyle w:val="43"/>
            </w:pPr>
            <w:r>
              <w:rPr>
                <w:rFonts w:hint="eastAsia"/>
              </w:rPr>
              <w:t>废水</w:t>
            </w:r>
            <w:r>
              <w:t>处理措施</w:t>
            </w:r>
          </w:p>
        </w:tc>
        <w:tc>
          <w:tcPr>
            <w:tcW w:w="3907" w:type="pct"/>
            <w:vAlign w:val="center"/>
          </w:tcPr>
          <w:p>
            <w:pPr>
              <w:pStyle w:val="43"/>
            </w:pPr>
            <w:r>
              <w:t>项目自身</w:t>
            </w:r>
            <w:r>
              <w:rPr>
                <w:rFonts w:hint="eastAsia"/>
              </w:rPr>
              <w:t>不产生生产和生活废水；收集的生活污水经污水处理站处理达标后排至周边水体。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Align w:val="center"/>
          </w:tcPr>
          <w:p>
            <w:pPr>
              <w:pStyle w:val="43"/>
            </w:pPr>
            <w:r>
              <w:rPr>
                <w:rFonts w:hint="eastAsia"/>
              </w:rPr>
              <w:t>噪声</w:t>
            </w:r>
            <w:r>
              <w:t>控制措施</w:t>
            </w:r>
          </w:p>
        </w:tc>
        <w:tc>
          <w:tcPr>
            <w:tcW w:w="3907" w:type="pct"/>
            <w:vAlign w:val="center"/>
          </w:tcPr>
          <w:p>
            <w:pPr>
              <w:pStyle w:val="43"/>
            </w:pPr>
            <w:r>
              <w:rPr>
                <w:rFonts w:hint="eastAsia"/>
              </w:rPr>
              <w:t>污水处理站进行布局优化，</w:t>
            </w:r>
            <w:r>
              <w:t>选择低噪声设备，采取吸声、减震、隔声、距离衰减和绿化降噪等措施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Merge w:val="restart"/>
            <w:vAlign w:val="center"/>
          </w:tcPr>
          <w:p>
            <w:pPr>
              <w:pStyle w:val="43"/>
            </w:pPr>
            <w:r>
              <w:t>固废处置措施</w:t>
            </w:r>
          </w:p>
        </w:tc>
        <w:tc>
          <w:tcPr>
            <w:tcW w:w="3907" w:type="pct"/>
            <w:vAlign w:val="center"/>
          </w:tcPr>
          <w:p>
            <w:pPr>
              <w:pStyle w:val="43"/>
            </w:pPr>
            <w:r>
              <w:rPr>
                <w:rFonts w:hint="eastAsia"/>
              </w:rPr>
              <w:t>污水处理站的栅渣、污泥由</w:t>
            </w:r>
            <w:r>
              <w:t>环卫部门定期清运</w:t>
            </w:r>
            <w:r>
              <w:rPr>
                <w:rFonts w:hint="eastAsia"/>
              </w:rPr>
              <w:t>至渔陂污水处理厂进行进一步处理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Merge w:val="continue"/>
            <w:vAlign w:val="center"/>
          </w:tcPr>
          <w:p>
            <w:pPr>
              <w:pStyle w:val="43"/>
            </w:pPr>
          </w:p>
        </w:tc>
        <w:tc>
          <w:tcPr>
            <w:tcW w:w="3907" w:type="pct"/>
            <w:vAlign w:val="center"/>
          </w:tcPr>
          <w:p>
            <w:pPr>
              <w:pStyle w:val="43"/>
            </w:pPr>
            <w:r>
              <w:rPr>
                <w:rFonts w:hint="eastAsia"/>
              </w:rPr>
              <w:t>巡查人员时产生少量生活垃圾，由环卫部门定期清运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69" w:type="pct"/>
            <w:vMerge w:val="continue"/>
            <w:vAlign w:val="center"/>
          </w:tcPr>
          <w:p>
            <w:pPr>
              <w:pStyle w:val="43"/>
            </w:pPr>
          </w:p>
        </w:tc>
        <w:tc>
          <w:tcPr>
            <w:tcW w:w="624" w:type="pct"/>
            <w:vMerge w:val="continue"/>
            <w:vAlign w:val="center"/>
          </w:tcPr>
          <w:p>
            <w:pPr>
              <w:pStyle w:val="43"/>
            </w:pPr>
          </w:p>
        </w:tc>
        <w:tc>
          <w:tcPr>
            <w:tcW w:w="3907" w:type="pct"/>
            <w:vAlign w:val="center"/>
          </w:tcPr>
          <w:p>
            <w:pPr>
              <w:pStyle w:val="43"/>
            </w:pPr>
            <w:r>
              <w:rPr>
                <w:rFonts w:hint="eastAsia"/>
              </w:rPr>
              <w:t>污水处理站消毒工序产生的废紫外灯管属于《国家危险废物名录》（20</w:t>
            </w:r>
            <w:r>
              <w:t>21</w:t>
            </w:r>
            <w:r>
              <w:rPr>
                <w:rFonts w:hint="eastAsia"/>
              </w:rPr>
              <w:t>版）中HW29含汞废物，危废代码900-023-29，不设置危废暂存间，产生的紫外灯管暂存在渔陂污水处理厂危废暂存间后由有资质的单位收集处置。</w:t>
            </w:r>
          </w:p>
        </w:tc>
      </w:tr>
    </w:tbl>
    <w:p>
      <w:pPr>
        <w:pStyle w:val="30"/>
        <w:ind w:firstLine="480"/>
      </w:pPr>
      <w:r>
        <w:rPr>
          <w:rFonts w:hint="eastAsia"/>
        </w:rPr>
        <w:t>2、管网工程</w:t>
      </w:r>
    </w:p>
    <w:p>
      <w:pPr>
        <w:pStyle w:val="30"/>
        <w:ind w:firstLine="480"/>
        <w:rPr>
          <w:u w:val="single"/>
        </w:rPr>
      </w:pPr>
      <w:r>
        <w:rPr>
          <w:rFonts w:hint="eastAsia"/>
          <w:u w:val="single"/>
        </w:rPr>
        <w:t>目前鸟江镇未设置污水收集管网，区内产生生活污水直接排入灌溉渠和白河。本污水处理工程服务对象为鸟江镇居民的生活污水，范围为鸟江镇镇域范围，服务面积为0.4km</w:t>
      </w:r>
      <w:r>
        <w:rPr>
          <w:rFonts w:hint="eastAsia"/>
          <w:u w:val="single"/>
          <w:vertAlign w:val="superscript"/>
        </w:rPr>
        <w:t>2</w:t>
      </w:r>
      <w:r>
        <w:rPr>
          <w:rFonts w:hint="eastAsia"/>
          <w:u w:val="single"/>
        </w:rPr>
        <w:t>。污水收集管网主要沿S210和镇区主街铺设，呈树枝状，分片区向各污水处理站汇集，专管采用重力式污水管。污水管道采用圆形断面形式，材质为HDPE双壁波纹管，管网总长1880m。</w:t>
      </w:r>
    </w:p>
    <w:p>
      <w:pPr>
        <w:pStyle w:val="30"/>
        <w:ind w:firstLine="480"/>
      </w:pPr>
      <w:r>
        <w:t>3</w:t>
      </w:r>
      <w:r>
        <w:rPr>
          <w:rFonts w:hint="eastAsia"/>
        </w:rPr>
        <w:t>、人员编制及作业制度</w:t>
      </w:r>
    </w:p>
    <w:p>
      <w:pPr>
        <w:pStyle w:val="30"/>
        <w:ind w:firstLine="480"/>
      </w:pPr>
      <w:r>
        <w:rPr>
          <w:rFonts w:hint="eastAsia"/>
        </w:rPr>
        <w:t>本污水处理站不设常驻工作人员，由乡镇政府配套2名工作人员对污水站定期进行巡查。</w:t>
      </w:r>
    </w:p>
    <w:p>
      <w:pPr>
        <w:pStyle w:val="30"/>
        <w:ind w:firstLine="480"/>
      </w:pPr>
      <w:r>
        <w:rPr>
          <w:rFonts w:hint="eastAsia"/>
        </w:rPr>
        <w:t>4、主要经济技术指标</w:t>
      </w:r>
    </w:p>
    <w:p>
      <w:pPr>
        <w:pStyle w:val="41"/>
      </w:pPr>
      <w:r>
        <w:rPr>
          <w:rFonts w:hint="eastAsia"/>
        </w:rPr>
        <w:t>表2</w:t>
      </w:r>
      <w:r>
        <w:t xml:space="preserve">.1-2  </w:t>
      </w:r>
      <w:r>
        <w:rPr>
          <w:rFonts w:hint="eastAsia"/>
        </w:rPr>
        <w:t>主要经济技术指标一览表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4284"/>
        <w:gridCol w:w="2108"/>
        <w:gridCol w:w="1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sz w:val="21"/>
                <w:szCs w:val="21"/>
              </w:rPr>
              <w:t>序号</w:t>
            </w:r>
          </w:p>
        </w:tc>
        <w:tc>
          <w:tcPr>
            <w:tcW w:w="2514" w:type="pct"/>
            <w:vAlign w:val="center"/>
          </w:tcPr>
          <w:p>
            <w:pPr>
              <w:jc w:val="center"/>
              <w:rPr>
                <w:sz w:val="21"/>
                <w:szCs w:val="21"/>
              </w:rPr>
            </w:pPr>
            <w:r>
              <w:rPr>
                <w:sz w:val="21"/>
                <w:szCs w:val="21"/>
              </w:rPr>
              <w:t>名称</w:t>
            </w:r>
          </w:p>
        </w:tc>
        <w:tc>
          <w:tcPr>
            <w:tcW w:w="1237" w:type="pct"/>
            <w:vAlign w:val="center"/>
          </w:tcPr>
          <w:p>
            <w:pPr>
              <w:jc w:val="center"/>
              <w:rPr>
                <w:sz w:val="21"/>
                <w:szCs w:val="21"/>
              </w:rPr>
            </w:pPr>
            <w:r>
              <w:rPr>
                <w:sz w:val="21"/>
                <w:szCs w:val="21"/>
              </w:rPr>
              <w:t>单位</w:t>
            </w:r>
          </w:p>
        </w:tc>
        <w:tc>
          <w:tcPr>
            <w:tcW w:w="723" w:type="pct"/>
            <w:vAlign w:val="center"/>
          </w:tcPr>
          <w:p>
            <w:pPr>
              <w:jc w:val="center"/>
              <w:rPr>
                <w:sz w:val="21"/>
                <w:szCs w:val="21"/>
              </w:rPr>
            </w:pPr>
            <w:r>
              <w:rPr>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sz w:val="21"/>
                <w:szCs w:val="21"/>
              </w:rPr>
              <w:t>1</w:t>
            </w:r>
          </w:p>
        </w:tc>
        <w:tc>
          <w:tcPr>
            <w:tcW w:w="2514" w:type="pct"/>
            <w:vAlign w:val="center"/>
          </w:tcPr>
          <w:p>
            <w:pPr>
              <w:pStyle w:val="48"/>
              <w:rPr>
                <w:szCs w:val="21"/>
                <w:lang w:val="en-US"/>
              </w:rPr>
            </w:pPr>
            <w:r>
              <w:rPr>
                <w:rFonts w:hint="eastAsia"/>
                <w:szCs w:val="21"/>
                <w:lang w:val="en-US"/>
              </w:rPr>
              <w:t>总</w:t>
            </w:r>
            <w:r>
              <w:rPr>
                <w:szCs w:val="21"/>
                <w:lang w:val="en-US"/>
              </w:rPr>
              <w:t>占地面积</w:t>
            </w:r>
          </w:p>
        </w:tc>
        <w:tc>
          <w:tcPr>
            <w:tcW w:w="1237" w:type="pct"/>
            <w:vAlign w:val="center"/>
          </w:tcPr>
          <w:p>
            <w:pPr>
              <w:pStyle w:val="48"/>
              <w:rPr>
                <w:szCs w:val="21"/>
                <w:vertAlign w:val="superscript"/>
                <w:lang w:val="en-US"/>
              </w:rPr>
            </w:pPr>
            <w:r>
              <w:rPr>
                <w:szCs w:val="21"/>
                <w:lang w:val="en-US"/>
              </w:rPr>
              <w:t>m</w:t>
            </w:r>
            <w:r>
              <w:rPr>
                <w:szCs w:val="21"/>
                <w:vertAlign w:val="superscript"/>
                <w:lang w:val="en-US"/>
              </w:rPr>
              <w:t>2</w:t>
            </w:r>
          </w:p>
        </w:tc>
        <w:tc>
          <w:tcPr>
            <w:tcW w:w="723" w:type="pct"/>
            <w:vAlign w:val="center"/>
          </w:tcPr>
          <w:p>
            <w:pPr>
              <w:pStyle w:val="48"/>
              <w:rPr>
                <w:bCs/>
                <w:lang w:val="en-US"/>
              </w:rPr>
            </w:pPr>
            <w:r>
              <w:rPr>
                <w:rFonts w:hint="eastAsia"/>
                <w:bCs/>
                <w:lang w:val="en-US"/>
              </w:rPr>
              <w:t>965.45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sz w:val="21"/>
                <w:szCs w:val="21"/>
              </w:rPr>
              <w:t>2</w:t>
            </w:r>
          </w:p>
        </w:tc>
        <w:tc>
          <w:tcPr>
            <w:tcW w:w="2514" w:type="pct"/>
            <w:vAlign w:val="center"/>
          </w:tcPr>
          <w:p>
            <w:pPr>
              <w:pStyle w:val="48"/>
              <w:rPr>
                <w:szCs w:val="21"/>
                <w:lang w:val="en-US"/>
              </w:rPr>
            </w:pPr>
            <w:r>
              <w:rPr>
                <w:rFonts w:hint="eastAsia"/>
                <w:szCs w:val="21"/>
                <w:lang w:val="en-US"/>
              </w:rPr>
              <w:t>建构（筑）物占地面积</w:t>
            </w:r>
          </w:p>
        </w:tc>
        <w:tc>
          <w:tcPr>
            <w:tcW w:w="1237" w:type="pct"/>
            <w:vAlign w:val="center"/>
          </w:tcPr>
          <w:p>
            <w:pPr>
              <w:pStyle w:val="48"/>
              <w:rPr>
                <w:szCs w:val="21"/>
                <w:lang w:val="en-US"/>
              </w:rPr>
            </w:pPr>
            <w:r>
              <w:rPr>
                <w:szCs w:val="21"/>
                <w:lang w:val="en-US"/>
              </w:rPr>
              <w:t>m</w:t>
            </w:r>
            <w:r>
              <w:rPr>
                <w:szCs w:val="21"/>
                <w:vertAlign w:val="superscript"/>
                <w:lang w:val="en-US"/>
              </w:rPr>
              <w:t>2</w:t>
            </w:r>
          </w:p>
        </w:tc>
        <w:tc>
          <w:tcPr>
            <w:tcW w:w="723" w:type="pct"/>
            <w:vAlign w:val="center"/>
          </w:tcPr>
          <w:p>
            <w:pPr>
              <w:pStyle w:val="48"/>
              <w:rPr>
                <w:bCs/>
                <w:lang w:val="en-US"/>
              </w:rPr>
            </w:pPr>
            <w:r>
              <w:rPr>
                <w:rFonts w:hint="eastAsia"/>
                <w:bCs/>
                <w:lang w:val="en-US"/>
              </w:rPr>
              <w:t>154.12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rFonts w:hint="eastAsia"/>
                <w:sz w:val="21"/>
                <w:szCs w:val="21"/>
              </w:rPr>
              <w:t>3</w:t>
            </w:r>
          </w:p>
        </w:tc>
        <w:tc>
          <w:tcPr>
            <w:tcW w:w="2514" w:type="pct"/>
            <w:vAlign w:val="center"/>
          </w:tcPr>
          <w:p>
            <w:pPr>
              <w:pStyle w:val="48"/>
              <w:rPr>
                <w:szCs w:val="21"/>
                <w:lang w:val="en-US"/>
              </w:rPr>
            </w:pPr>
            <w:r>
              <w:rPr>
                <w:rFonts w:hint="eastAsia"/>
                <w:szCs w:val="21"/>
                <w:lang w:val="en-US"/>
              </w:rPr>
              <w:t>道路占地面积</w:t>
            </w:r>
          </w:p>
        </w:tc>
        <w:tc>
          <w:tcPr>
            <w:tcW w:w="1237" w:type="pct"/>
            <w:vAlign w:val="center"/>
          </w:tcPr>
          <w:p>
            <w:pPr>
              <w:pStyle w:val="48"/>
              <w:rPr>
                <w:szCs w:val="21"/>
                <w:lang w:val="en-US"/>
              </w:rPr>
            </w:pPr>
            <w:r>
              <w:rPr>
                <w:szCs w:val="21"/>
                <w:lang w:val="en-US"/>
              </w:rPr>
              <w:t>m</w:t>
            </w:r>
            <w:r>
              <w:rPr>
                <w:szCs w:val="21"/>
                <w:vertAlign w:val="superscript"/>
                <w:lang w:val="en-US"/>
              </w:rPr>
              <w:t>2</w:t>
            </w:r>
          </w:p>
        </w:tc>
        <w:tc>
          <w:tcPr>
            <w:tcW w:w="723" w:type="pct"/>
            <w:vAlign w:val="center"/>
          </w:tcPr>
          <w:p>
            <w:pPr>
              <w:pStyle w:val="48"/>
              <w:rPr>
                <w:bCs/>
                <w:lang w:val="en-US"/>
              </w:rPr>
            </w:pPr>
            <w:r>
              <w:rPr>
                <w:rFonts w:hint="eastAsia"/>
                <w:bCs/>
                <w:lang w:val="en-US"/>
              </w:rPr>
              <w:t>165.66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rFonts w:hint="eastAsia"/>
                <w:sz w:val="21"/>
                <w:szCs w:val="21"/>
              </w:rPr>
              <w:t>4</w:t>
            </w:r>
          </w:p>
        </w:tc>
        <w:tc>
          <w:tcPr>
            <w:tcW w:w="2514" w:type="pct"/>
            <w:vAlign w:val="center"/>
          </w:tcPr>
          <w:p>
            <w:pPr>
              <w:pStyle w:val="48"/>
              <w:rPr>
                <w:szCs w:val="21"/>
                <w:lang w:val="en-US"/>
              </w:rPr>
            </w:pPr>
            <w:r>
              <w:rPr>
                <w:rFonts w:hint="eastAsia"/>
                <w:szCs w:val="21"/>
                <w:lang w:val="en-US"/>
              </w:rPr>
              <w:t>绿化面积</w:t>
            </w:r>
          </w:p>
        </w:tc>
        <w:tc>
          <w:tcPr>
            <w:tcW w:w="1237" w:type="pct"/>
            <w:vAlign w:val="center"/>
          </w:tcPr>
          <w:p>
            <w:pPr>
              <w:pStyle w:val="48"/>
              <w:rPr>
                <w:szCs w:val="21"/>
                <w:lang w:val="en-US"/>
              </w:rPr>
            </w:pPr>
            <w:r>
              <w:rPr>
                <w:szCs w:val="21"/>
                <w:lang w:val="en-US"/>
              </w:rPr>
              <w:t>m</w:t>
            </w:r>
            <w:r>
              <w:rPr>
                <w:szCs w:val="21"/>
                <w:vertAlign w:val="superscript"/>
                <w:lang w:val="en-US"/>
              </w:rPr>
              <w:t>2</w:t>
            </w:r>
          </w:p>
        </w:tc>
        <w:tc>
          <w:tcPr>
            <w:tcW w:w="723" w:type="pct"/>
            <w:vAlign w:val="center"/>
          </w:tcPr>
          <w:p>
            <w:pPr>
              <w:pStyle w:val="48"/>
              <w:rPr>
                <w:bCs/>
                <w:lang w:val="en-US"/>
              </w:rPr>
            </w:pPr>
            <w:r>
              <w:rPr>
                <w:rFonts w:hint="eastAsia"/>
                <w:bCs/>
                <w:lang w:val="en-US"/>
              </w:rPr>
              <w:t>645.67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rFonts w:hint="eastAsia"/>
                <w:sz w:val="21"/>
                <w:szCs w:val="21"/>
              </w:rPr>
              <w:t>5</w:t>
            </w:r>
          </w:p>
        </w:tc>
        <w:tc>
          <w:tcPr>
            <w:tcW w:w="2514" w:type="pct"/>
            <w:vAlign w:val="center"/>
          </w:tcPr>
          <w:p>
            <w:pPr>
              <w:pStyle w:val="48"/>
              <w:rPr>
                <w:szCs w:val="21"/>
                <w:lang w:val="en-US"/>
              </w:rPr>
            </w:pPr>
            <w:r>
              <w:rPr>
                <w:rFonts w:hint="eastAsia"/>
                <w:szCs w:val="21"/>
                <w:lang w:val="en-US"/>
              </w:rPr>
              <w:t>绿化系数</w:t>
            </w:r>
          </w:p>
        </w:tc>
        <w:tc>
          <w:tcPr>
            <w:tcW w:w="1237" w:type="pct"/>
            <w:vAlign w:val="center"/>
          </w:tcPr>
          <w:p>
            <w:pPr>
              <w:pStyle w:val="48"/>
              <w:rPr>
                <w:szCs w:val="21"/>
                <w:lang w:val="en-US"/>
              </w:rPr>
            </w:pPr>
            <w:r>
              <w:rPr>
                <w:szCs w:val="21"/>
                <w:lang w:val="en-US"/>
              </w:rPr>
              <w:t>%</w:t>
            </w:r>
          </w:p>
        </w:tc>
        <w:tc>
          <w:tcPr>
            <w:tcW w:w="723" w:type="pct"/>
            <w:vAlign w:val="center"/>
          </w:tcPr>
          <w:p>
            <w:pPr>
              <w:pStyle w:val="48"/>
              <w:rPr>
                <w:bCs/>
                <w:lang w:val="en-US"/>
              </w:rPr>
            </w:pPr>
            <w:r>
              <w:rPr>
                <w:rFonts w:hint="eastAsia"/>
                <w:bCs/>
                <w:lang w:val="en-US"/>
              </w:rPr>
              <w:t>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5" w:type="pct"/>
            <w:vAlign w:val="center"/>
          </w:tcPr>
          <w:p>
            <w:pPr>
              <w:jc w:val="center"/>
              <w:rPr>
                <w:sz w:val="21"/>
                <w:szCs w:val="21"/>
              </w:rPr>
            </w:pPr>
            <w:r>
              <w:rPr>
                <w:rFonts w:hint="eastAsia"/>
                <w:sz w:val="21"/>
                <w:szCs w:val="21"/>
              </w:rPr>
              <w:t>6</w:t>
            </w:r>
          </w:p>
        </w:tc>
        <w:tc>
          <w:tcPr>
            <w:tcW w:w="2514" w:type="pct"/>
            <w:vAlign w:val="center"/>
          </w:tcPr>
          <w:p>
            <w:pPr>
              <w:pStyle w:val="48"/>
              <w:rPr>
                <w:szCs w:val="21"/>
                <w:lang w:val="en-US"/>
              </w:rPr>
            </w:pPr>
            <w:r>
              <w:rPr>
                <w:rFonts w:hint="eastAsia"/>
                <w:szCs w:val="21"/>
                <w:lang w:val="en-US"/>
              </w:rPr>
              <w:t>围墙</w:t>
            </w:r>
          </w:p>
        </w:tc>
        <w:tc>
          <w:tcPr>
            <w:tcW w:w="1237" w:type="pct"/>
            <w:vAlign w:val="center"/>
          </w:tcPr>
          <w:p>
            <w:pPr>
              <w:pStyle w:val="48"/>
              <w:rPr>
                <w:szCs w:val="21"/>
                <w:lang w:val="en-US"/>
              </w:rPr>
            </w:pPr>
            <w:r>
              <w:rPr>
                <w:szCs w:val="21"/>
                <w:lang w:val="en-US"/>
              </w:rPr>
              <w:t>m</w:t>
            </w:r>
          </w:p>
        </w:tc>
        <w:tc>
          <w:tcPr>
            <w:tcW w:w="723" w:type="pct"/>
            <w:vAlign w:val="center"/>
          </w:tcPr>
          <w:p>
            <w:pPr>
              <w:pStyle w:val="48"/>
              <w:rPr>
                <w:bCs/>
                <w:lang w:val="en-US"/>
              </w:rPr>
            </w:pPr>
            <w:r>
              <w:rPr>
                <w:rFonts w:hint="eastAsia"/>
                <w:bCs/>
                <w:lang w:val="en-US"/>
              </w:rPr>
              <w:t>121</w:t>
            </w:r>
          </w:p>
        </w:tc>
      </w:tr>
    </w:tbl>
    <w:p>
      <w:pPr>
        <w:pStyle w:val="38"/>
      </w:pPr>
      <w:bookmarkStart w:id="19" w:name="_Toc3423"/>
      <w:r>
        <w:rPr>
          <w:rFonts w:hint="eastAsia"/>
        </w:rPr>
        <w:t>2</w:t>
      </w:r>
      <w:r>
        <w:t>.1.3</w:t>
      </w:r>
      <w:r>
        <w:rPr>
          <w:rFonts w:hint="eastAsia"/>
        </w:rPr>
        <w:t>服务范围</w:t>
      </w:r>
      <w:bookmarkEnd w:id="19"/>
    </w:p>
    <w:p>
      <w:pPr>
        <w:pStyle w:val="30"/>
        <w:ind w:firstLine="480"/>
      </w:pPr>
      <w:r>
        <w:rPr>
          <w:rFonts w:hint="eastAsia"/>
        </w:rPr>
        <w:t>鸟江镇污水处理工程主要服务区域为集镇区域，服务面积为0.4km</w:t>
      </w:r>
      <w:r>
        <w:rPr>
          <w:rFonts w:hint="eastAsia"/>
          <w:vertAlign w:val="superscript"/>
        </w:rPr>
        <w:t>2</w:t>
      </w:r>
      <w:r>
        <w:rPr>
          <w:rFonts w:hint="eastAsia"/>
        </w:rPr>
        <w:t>。</w:t>
      </w:r>
    </w:p>
    <w:p>
      <w:pPr>
        <w:pStyle w:val="38"/>
      </w:pPr>
      <w:bookmarkStart w:id="20" w:name="_Toc8429"/>
      <w:r>
        <w:rPr>
          <w:rFonts w:hint="eastAsia"/>
        </w:rPr>
        <w:t>2</w:t>
      </w:r>
      <w:r>
        <w:t>.1.4</w:t>
      </w:r>
      <w:r>
        <w:rPr>
          <w:rFonts w:hint="eastAsia"/>
        </w:rPr>
        <w:t>污水量预测</w:t>
      </w:r>
      <w:bookmarkEnd w:id="20"/>
    </w:p>
    <w:p>
      <w:pPr>
        <w:pStyle w:val="30"/>
        <w:ind w:firstLine="480"/>
        <w:rPr>
          <w:highlight w:val="green"/>
        </w:rPr>
      </w:pPr>
      <w:r>
        <w:t>根据《村镇供水工程技术规范》SL310-2004及《室外排水设计规范</w:t>
      </w:r>
      <w:r>
        <w:rPr>
          <w:rFonts w:hint="eastAsia"/>
        </w:rPr>
        <w:t>（</w:t>
      </w:r>
      <w:r>
        <w:t>2016年版</w:t>
      </w:r>
      <w:r>
        <w:rPr>
          <w:rFonts w:hint="eastAsia"/>
        </w:rPr>
        <w:t>）</w:t>
      </w:r>
      <w:r>
        <w:t>》GB50014-2006；本项目乡镇属于5区，最高日用水定额为120～180L/人天，再根据住建厅发布的《湖南省镇（乡）村供排水工程专项规划设计技术导引》（2019）中，污水量以生活污水为主的乡镇，可采用综合指标法计算污水量，近期污水处理规模以镇区（集镇）建成区现状常住人口为依据，及本工程所在地区的经济和社会发展现状，水资源充沛程度和居民用水习惯，本项目乡镇居民综合生活用水量按照130L/人天计，近期（2023年）</w:t>
      </w:r>
      <w:r>
        <w:rPr>
          <w:rFonts w:hint="eastAsia"/>
        </w:rPr>
        <w:t>鸟江镇集镇</w:t>
      </w:r>
      <w:r>
        <w:t>人口约</w:t>
      </w:r>
      <w:r>
        <w:rPr>
          <w:rFonts w:hint="eastAsia"/>
        </w:rPr>
        <w:t>0.3</w:t>
      </w:r>
      <w:r>
        <w:t>万，用水量约</w:t>
      </w:r>
      <w:r>
        <w:rPr>
          <w:rFonts w:hint="eastAsia"/>
        </w:rPr>
        <w:t>390</w:t>
      </w:r>
      <w:r>
        <w:t>m</w:t>
      </w:r>
      <w:r>
        <w:rPr>
          <w:vertAlign w:val="superscript"/>
        </w:rPr>
        <w:t>3</w:t>
      </w:r>
      <w:r>
        <w:t>/d。</w:t>
      </w:r>
      <w:r>
        <w:rPr>
          <w:rFonts w:hint="eastAsia"/>
        </w:rPr>
        <w:t>污水处理厂</w:t>
      </w:r>
      <w:r>
        <w:t>的服务范围是乡镇镇区人口集中区域，居民生活污水排放量按照总用水量的80%计；污水收集率根据管网覆盖率来确定，近期污水管网覆盖率较低约为60%；则居民生活污水排放量约为</w:t>
      </w:r>
      <w:r>
        <w:rPr>
          <w:rFonts w:hint="eastAsia"/>
        </w:rPr>
        <w:t>187.2</w:t>
      </w:r>
      <w:r>
        <w:t>m</w:t>
      </w:r>
      <w:r>
        <w:rPr>
          <w:vertAlign w:val="superscript"/>
        </w:rPr>
        <w:t>3</w:t>
      </w:r>
      <w:r>
        <w:t>/d；考虑乡镇具体情况，</w:t>
      </w:r>
      <w:r>
        <w:rPr>
          <w:rFonts w:hint="eastAsia"/>
        </w:rPr>
        <w:t>近期</w:t>
      </w:r>
      <w:r>
        <w:t>污水量预测规模取整为</w:t>
      </w:r>
      <w:r>
        <w:rPr>
          <w:rFonts w:hint="eastAsia"/>
        </w:rPr>
        <w:t>200</w:t>
      </w:r>
      <w:r>
        <w:t>m</w:t>
      </w:r>
      <w:r>
        <w:rPr>
          <w:vertAlign w:val="superscript"/>
        </w:rPr>
        <w:t>3</w:t>
      </w:r>
      <w:r>
        <w:t>/d。</w:t>
      </w:r>
      <w:r>
        <w:rPr>
          <w:rFonts w:hint="eastAsia"/>
        </w:rPr>
        <w:t>远</w:t>
      </w:r>
      <w:r>
        <w:t>期</w:t>
      </w:r>
      <w:r>
        <w:rPr>
          <w:rFonts w:hint="eastAsia"/>
        </w:rPr>
        <w:t>（2030年）鸟江镇集镇</w:t>
      </w:r>
      <w:r>
        <w:t>人口约</w:t>
      </w:r>
      <w:r>
        <w:rPr>
          <w:rFonts w:hint="eastAsia"/>
        </w:rPr>
        <w:t>0.6</w:t>
      </w:r>
      <w:r>
        <w:t>万，用水量约</w:t>
      </w:r>
      <w:r>
        <w:rPr>
          <w:rFonts w:hint="eastAsia"/>
        </w:rPr>
        <w:t>780</w:t>
      </w:r>
      <w:r>
        <w:t>m</w:t>
      </w:r>
      <w:r>
        <w:rPr>
          <w:vertAlign w:val="superscript"/>
        </w:rPr>
        <w:t>3</w:t>
      </w:r>
      <w:r>
        <w:t>/d。排放量按照总用水量的80%计</w:t>
      </w:r>
      <w:r>
        <w:rPr>
          <w:rFonts w:hint="eastAsia"/>
        </w:rPr>
        <w:t>，</w:t>
      </w:r>
      <w:r>
        <w:t>居民生活污水排放量约为</w:t>
      </w:r>
      <w:r>
        <w:rPr>
          <w:rFonts w:hint="eastAsia"/>
        </w:rPr>
        <w:t>374.4</w:t>
      </w:r>
      <w:r>
        <w:t>m</w:t>
      </w:r>
      <w:r>
        <w:rPr>
          <w:vertAlign w:val="superscript"/>
        </w:rPr>
        <w:t>3</w:t>
      </w:r>
      <w:r>
        <w:t>/d</w:t>
      </w:r>
      <w:r>
        <w:rPr>
          <w:rFonts w:hint="eastAsia"/>
        </w:rPr>
        <w:t>，远期</w:t>
      </w:r>
      <w:r>
        <w:t>污水量预测规模取整为</w:t>
      </w:r>
      <w:r>
        <w:rPr>
          <w:rFonts w:hint="eastAsia"/>
        </w:rPr>
        <w:t>400</w:t>
      </w:r>
      <w:r>
        <w:t>m</w:t>
      </w:r>
      <w:r>
        <w:rPr>
          <w:vertAlign w:val="superscript"/>
        </w:rPr>
        <w:t>3</w:t>
      </w:r>
      <w:r>
        <w:t>/d。</w:t>
      </w:r>
    </w:p>
    <w:p>
      <w:pPr>
        <w:pStyle w:val="38"/>
      </w:pPr>
      <w:bookmarkStart w:id="21" w:name="_Toc17632"/>
      <w:r>
        <w:rPr>
          <w:rFonts w:hint="eastAsia"/>
        </w:rPr>
        <w:t>2</w:t>
      </w:r>
      <w:r>
        <w:t>.1.5</w:t>
      </w:r>
      <w:r>
        <w:rPr>
          <w:rFonts w:hint="eastAsia"/>
        </w:rPr>
        <w:t>设计进出水质</w:t>
      </w:r>
      <w:bookmarkEnd w:id="21"/>
    </w:p>
    <w:p>
      <w:pPr>
        <w:pStyle w:val="30"/>
        <w:ind w:firstLine="480"/>
      </w:pPr>
      <w:r>
        <w:rPr>
          <w:rFonts w:hint="eastAsia"/>
        </w:rPr>
        <w:t>根据工程内容，项目区主要以生活污水为主，可接纳小部分的工业废水（排入比例不大于30%，不得接纳印染、化工、医药、钢铁、电镀、垃圾渗滤液、造纸废水等废水类型）。污水处理厂进水污染物浓度的高低决定污水处理工艺流程的选择，与污水处理厂的基建投资和运行费用密切相关。然而，污水处理厂进水水质又与居民生活水平、生活用水量、工业用水量以及污水收集方式等关联，要准确预测污水处理厂建成后服务期内的水质，难度较大。实际工作中往往根据实测法和类比法进行城市污水水质论证。综合考虑《给水排水设计手册》第5册，推荐的典型生活污水水质和住建厅发布的《湖南省镇（乡）村供排水工程专项规划设计技术导引》（2019）中表4.4.4的湖南省乡镇生活污水水质范围参考，根据各乡镇的实际发展情况及总体规划，综合确定祁东县各乡镇污水进水水质见表2.1-1。祁东县各乡镇污水处理厂主要收集各乡镇产生的生活污水。根据《室外排水设计规范》（GB50014-2006），出水执行《城镇污水处理厂污染物排放标准》（GB18918－2002）一级B标准。</w:t>
      </w:r>
      <w:r>
        <w:t>本项目设计进出水水质见表2.1-3。</w:t>
      </w:r>
    </w:p>
    <w:p>
      <w:pPr>
        <w:pStyle w:val="41"/>
      </w:pPr>
      <w:r>
        <w:rPr>
          <w:rFonts w:hint="eastAsia"/>
        </w:rPr>
        <w:t>表2</w:t>
      </w:r>
      <w:r>
        <w:t>.1-3  本项目污水处理厂</w:t>
      </w:r>
      <w:r>
        <w:rPr>
          <w:rFonts w:hint="eastAsia"/>
        </w:rPr>
        <w:t>设计</w:t>
      </w:r>
      <w:r>
        <w:t>进出</w:t>
      </w:r>
      <w:r>
        <w:rPr>
          <w:rFonts w:hint="eastAsia"/>
        </w:rPr>
        <w:t>水</w:t>
      </w:r>
      <w:r>
        <w:t>水质一览表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1084"/>
        <w:gridCol w:w="1086"/>
        <w:gridCol w:w="1084"/>
        <w:gridCol w:w="1086"/>
        <w:gridCol w:w="1084"/>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1" w:type="pct"/>
            <w:vAlign w:val="center"/>
          </w:tcPr>
          <w:p>
            <w:pPr>
              <w:pStyle w:val="43"/>
            </w:pPr>
            <w:r>
              <w:t>项目</w:t>
            </w:r>
          </w:p>
        </w:tc>
        <w:tc>
          <w:tcPr>
            <w:tcW w:w="636" w:type="pct"/>
            <w:vAlign w:val="center"/>
          </w:tcPr>
          <w:p>
            <w:pPr>
              <w:pStyle w:val="43"/>
            </w:pPr>
            <w:r>
              <w:t>COD</w:t>
            </w:r>
            <w:r>
              <w:rPr>
                <w:vertAlign w:val="subscript"/>
              </w:rPr>
              <w:t>Cr</w:t>
            </w:r>
          </w:p>
        </w:tc>
        <w:tc>
          <w:tcPr>
            <w:tcW w:w="637" w:type="pct"/>
            <w:vAlign w:val="center"/>
          </w:tcPr>
          <w:p>
            <w:pPr>
              <w:pStyle w:val="43"/>
            </w:pPr>
            <w:r>
              <w:t>BOD</w:t>
            </w:r>
            <w:r>
              <w:rPr>
                <w:vertAlign w:val="subscript"/>
              </w:rPr>
              <w:t>5</w:t>
            </w:r>
          </w:p>
        </w:tc>
        <w:tc>
          <w:tcPr>
            <w:tcW w:w="636" w:type="pct"/>
            <w:vAlign w:val="center"/>
          </w:tcPr>
          <w:p>
            <w:pPr>
              <w:pStyle w:val="43"/>
            </w:pPr>
            <w:r>
              <w:t>SS</w:t>
            </w:r>
          </w:p>
        </w:tc>
        <w:tc>
          <w:tcPr>
            <w:tcW w:w="637" w:type="pct"/>
            <w:vAlign w:val="center"/>
          </w:tcPr>
          <w:p>
            <w:pPr>
              <w:pStyle w:val="43"/>
            </w:pPr>
            <w:r>
              <w:t>NH</w:t>
            </w:r>
            <w:r>
              <w:rPr>
                <w:vertAlign w:val="subscript"/>
              </w:rPr>
              <w:t>3</w:t>
            </w:r>
            <w:r>
              <w:t>-N</w:t>
            </w:r>
          </w:p>
        </w:tc>
        <w:tc>
          <w:tcPr>
            <w:tcW w:w="636" w:type="pct"/>
            <w:vAlign w:val="center"/>
          </w:tcPr>
          <w:p>
            <w:pPr>
              <w:pStyle w:val="43"/>
            </w:pPr>
            <w:r>
              <w:t>TP</w:t>
            </w:r>
          </w:p>
        </w:tc>
        <w:tc>
          <w:tcPr>
            <w:tcW w:w="636" w:type="pct"/>
            <w:vAlign w:val="center"/>
          </w:tcPr>
          <w:p>
            <w:pPr>
              <w:pStyle w:val="43"/>
            </w:pPr>
            <w:r>
              <w:t>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181" w:type="pct"/>
            <w:vAlign w:val="center"/>
          </w:tcPr>
          <w:p>
            <w:pPr>
              <w:pStyle w:val="43"/>
            </w:pPr>
            <w:r>
              <w:t>设计进水</w:t>
            </w:r>
          </w:p>
        </w:tc>
        <w:tc>
          <w:tcPr>
            <w:tcW w:w="636" w:type="pct"/>
            <w:vAlign w:val="center"/>
          </w:tcPr>
          <w:p>
            <w:pPr>
              <w:pStyle w:val="43"/>
            </w:pPr>
            <w:r>
              <w:t>280</w:t>
            </w:r>
          </w:p>
        </w:tc>
        <w:tc>
          <w:tcPr>
            <w:tcW w:w="637" w:type="pct"/>
            <w:vAlign w:val="center"/>
          </w:tcPr>
          <w:p>
            <w:pPr>
              <w:pStyle w:val="43"/>
            </w:pPr>
            <w:r>
              <w:t>150</w:t>
            </w:r>
          </w:p>
        </w:tc>
        <w:tc>
          <w:tcPr>
            <w:tcW w:w="636" w:type="pct"/>
            <w:vAlign w:val="center"/>
          </w:tcPr>
          <w:p>
            <w:pPr>
              <w:pStyle w:val="43"/>
            </w:pPr>
            <w:r>
              <w:t>200</w:t>
            </w:r>
          </w:p>
        </w:tc>
        <w:tc>
          <w:tcPr>
            <w:tcW w:w="637" w:type="pct"/>
            <w:vAlign w:val="center"/>
          </w:tcPr>
          <w:p>
            <w:pPr>
              <w:pStyle w:val="43"/>
            </w:pPr>
            <w:r>
              <w:t>35</w:t>
            </w:r>
          </w:p>
        </w:tc>
        <w:tc>
          <w:tcPr>
            <w:tcW w:w="636" w:type="pct"/>
            <w:vAlign w:val="center"/>
          </w:tcPr>
          <w:p>
            <w:pPr>
              <w:pStyle w:val="43"/>
            </w:pPr>
            <w:r>
              <w:t>3</w:t>
            </w:r>
          </w:p>
        </w:tc>
        <w:tc>
          <w:tcPr>
            <w:tcW w:w="636" w:type="pct"/>
            <w:vAlign w:val="center"/>
          </w:tcPr>
          <w:p>
            <w:pPr>
              <w:pStyle w:val="43"/>
            </w:pPr>
            <w: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181" w:type="pct"/>
            <w:vAlign w:val="center"/>
          </w:tcPr>
          <w:p>
            <w:pPr>
              <w:pStyle w:val="43"/>
            </w:pPr>
            <w:r>
              <w:t>设计出水</w:t>
            </w:r>
          </w:p>
        </w:tc>
        <w:tc>
          <w:tcPr>
            <w:tcW w:w="636" w:type="pct"/>
            <w:vAlign w:val="center"/>
          </w:tcPr>
          <w:p>
            <w:pPr>
              <w:pStyle w:val="43"/>
            </w:pPr>
            <w:r>
              <w:t>60</w:t>
            </w:r>
          </w:p>
        </w:tc>
        <w:tc>
          <w:tcPr>
            <w:tcW w:w="637" w:type="pct"/>
            <w:vAlign w:val="center"/>
          </w:tcPr>
          <w:p>
            <w:pPr>
              <w:pStyle w:val="43"/>
            </w:pPr>
            <w:r>
              <w:t>20</w:t>
            </w:r>
          </w:p>
        </w:tc>
        <w:tc>
          <w:tcPr>
            <w:tcW w:w="636" w:type="pct"/>
            <w:vAlign w:val="center"/>
          </w:tcPr>
          <w:p>
            <w:pPr>
              <w:pStyle w:val="43"/>
            </w:pPr>
            <w:r>
              <w:t>20</w:t>
            </w:r>
          </w:p>
        </w:tc>
        <w:tc>
          <w:tcPr>
            <w:tcW w:w="637" w:type="pct"/>
            <w:vAlign w:val="center"/>
          </w:tcPr>
          <w:p>
            <w:pPr>
              <w:pStyle w:val="43"/>
            </w:pPr>
            <w:r>
              <w:t>8</w:t>
            </w:r>
          </w:p>
        </w:tc>
        <w:tc>
          <w:tcPr>
            <w:tcW w:w="636" w:type="pct"/>
            <w:vAlign w:val="center"/>
          </w:tcPr>
          <w:p>
            <w:pPr>
              <w:pStyle w:val="43"/>
            </w:pPr>
            <w:r>
              <w:t>1</w:t>
            </w:r>
          </w:p>
        </w:tc>
        <w:tc>
          <w:tcPr>
            <w:tcW w:w="636" w:type="pct"/>
            <w:vAlign w:val="center"/>
          </w:tcPr>
          <w:p>
            <w:pPr>
              <w:pStyle w:val="43"/>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181" w:type="pct"/>
            <w:vAlign w:val="center"/>
          </w:tcPr>
          <w:p>
            <w:pPr>
              <w:pStyle w:val="43"/>
            </w:pPr>
            <w:r>
              <w:t>去除率（%）</w:t>
            </w:r>
          </w:p>
        </w:tc>
        <w:tc>
          <w:tcPr>
            <w:tcW w:w="636" w:type="pct"/>
            <w:vAlign w:val="center"/>
          </w:tcPr>
          <w:p>
            <w:pPr>
              <w:pStyle w:val="43"/>
            </w:pPr>
            <w:r>
              <w:rPr>
                <w:rFonts w:hint="eastAsia"/>
              </w:rPr>
              <w:t>7</w:t>
            </w:r>
            <w:r>
              <w:t>8.57</w:t>
            </w:r>
          </w:p>
        </w:tc>
        <w:tc>
          <w:tcPr>
            <w:tcW w:w="637" w:type="pct"/>
            <w:vAlign w:val="center"/>
          </w:tcPr>
          <w:p>
            <w:pPr>
              <w:pStyle w:val="43"/>
            </w:pPr>
            <w:r>
              <w:rPr>
                <w:rFonts w:hint="eastAsia"/>
              </w:rPr>
              <w:t>8</w:t>
            </w:r>
            <w:r>
              <w:t>6.67</w:t>
            </w:r>
          </w:p>
        </w:tc>
        <w:tc>
          <w:tcPr>
            <w:tcW w:w="636" w:type="pct"/>
            <w:vAlign w:val="center"/>
          </w:tcPr>
          <w:p>
            <w:pPr>
              <w:pStyle w:val="43"/>
            </w:pPr>
            <w:r>
              <w:rPr>
                <w:rFonts w:hint="eastAsia"/>
              </w:rPr>
              <w:t>9</w:t>
            </w:r>
            <w:r>
              <w:t>0.00</w:t>
            </w:r>
          </w:p>
        </w:tc>
        <w:tc>
          <w:tcPr>
            <w:tcW w:w="637" w:type="pct"/>
            <w:vAlign w:val="center"/>
          </w:tcPr>
          <w:p>
            <w:pPr>
              <w:pStyle w:val="43"/>
            </w:pPr>
            <w:r>
              <w:rPr>
                <w:rFonts w:hint="eastAsia"/>
              </w:rPr>
              <w:t>7</w:t>
            </w:r>
            <w:r>
              <w:t>7.14</w:t>
            </w:r>
          </w:p>
        </w:tc>
        <w:tc>
          <w:tcPr>
            <w:tcW w:w="636" w:type="pct"/>
            <w:vAlign w:val="center"/>
          </w:tcPr>
          <w:p>
            <w:pPr>
              <w:pStyle w:val="43"/>
            </w:pPr>
            <w:r>
              <w:rPr>
                <w:rFonts w:hint="eastAsia"/>
              </w:rPr>
              <w:t>6</w:t>
            </w:r>
            <w:r>
              <w:t>6.67</w:t>
            </w:r>
          </w:p>
        </w:tc>
        <w:tc>
          <w:tcPr>
            <w:tcW w:w="636" w:type="pct"/>
            <w:vAlign w:val="center"/>
          </w:tcPr>
          <w:p>
            <w:pPr>
              <w:pStyle w:val="43"/>
            </w:pPr>
            <w:r>
              <w:rPr>
                <w:rFonts w:hint="eastAsia"/>
              </w:rPr>
              <w:t>5</w:t>
            </w:r>
            <w:r>
              <w:t>0</w:t>
            </w:r>
          </w:p>
        </w:tc>
      </w:tr>
    </w:tbl>
    <w:p>
      <w:pPr>
        <w:pStyle w:val="38"/>
      </w:pPr>
      <w:bookmarkStart w:id="22" w:name="_Toc6240"/>
      <w:r>
        <w:rPr>
          <w:rFonts w:hint="eastAsia"/>
        </w:rPr>
        <w:t>2</w:t>
      </w:r>
      <w:r>
        <w:t>.1.6</w:t>
      </w:r>
      <w:r>
        <w:rPr>
          <w:rFonts w:hint="eastAsia"/>
        </w:rPr>
        <w:t>污水处理工艺</w:t>
      </w:r>
      <w:bookmarkEnd w:id="22"/>
    </w:p>
    <w:p>
      <w:pPr>
        <w:pStyle w:val="30"/>
        <w:ind w:firstLine="480"/>
      </w:pPr>
      <w:r>
        <w:rPr>
          <w:rFonts w:hint="eastAsia"/>
          <w:szCs w:val="24"/>
        </w:rPr>
        <w:t>污水处理工艺均为“组合池+一体化污水处理站”，其中一体化污水处理站工艺采用A</w:t>
      </w:r>
      <w:r>
        <w:rPr>
          <w:rFonts w:hint="eastAsia"/>
          <w:szCs w:val="24"/>
          <w:vertAlign w:val="superscript"/>
        </w:rPr>
        <w:t>2</w:t>
      </w:r>
      <w:r>
        <w:rPr>
          <w:rFonts w:hint="eastAsia"/>
          <w:szCs w:val="24"/>
        </w:rPr>
        <w:t>/O工艺</w:t>
      </w:r>
      <w:r>
        <w:rPr>
          <w:rFonts w:hint="eastAsia"/>
        </w:rPr>
        <w:t>，A</w:t>
      </w:r>
      <w:r>
        <w:rPr>
          <w:rFonts w:hint="eastAsia"/>
          <w:vertAlign w:val="superscript"/>
        </w:rPr>
        <w:t>2</w:t>
      </w:r>
      <w:r>
        <w:rPr>
          <w:rFonts w:hint="eastAsia"/>
        </w:rPr>
        <w:t>/O工艺是一种典型的脱氮除磷工艺，其生物反应池由ANAEROBIC（厌氧）、ANOXIC（缺氧）和OXIC（好氧）三段组成，是一种以缺氧、厌氧为主，好氧为辅的高效低耗的处理工艺，污水处理工程处理工艺流程见下图。</w:t>
      </w:r>
    </w:p>
    <w:p>
      <w:pPr>
        <w:pStyle w:val="30"/>
        <w:ind w:firstLine="0" w:firstLineChars="0"/>
      </w:pPr>
      <w:r>
        <w:drawing>
          <wp:inline distT="0" distB="0" distL="0" distR="0">
            <wp:extent cx="5274310" cy="1375410"/>
            <wp:effectExtent l="0" t="0" r="2540" b="0"/>
            <wp:docPr id="17050588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58888" name="图片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1375410"/>
                    </a:xfrm>
                    <a:prstGeom prst="rect">
                      <a:avLst/>
                    </a:prstGeom>
                    <a:noFill/>
                    <a:ln>
                      <a:noFill/>
                    </a:ln>
                  </pic:spPr>
                </pic:pic>
              </a:graphicData>
            </a:graphic>
          </wp:inline>
        </w:drawing>
      </w:r>
    </w:p>
    <w:p>
      <w:pPr>
        <w:pStyle w:val="41"/>
      </w:pPr>
      <w:r>
        <w:rPr>
          <w:rFonts w:hint="eastAsia"/>
        </w:rPr>
        <w:t>图2</w:t>
      </w:r>
      <w:r>
        <w:t xml:space="preserve">.1-5  </w:t>
      </w:r>
      <w:r>
        <w:rPr>
          <w:rFonts w:hint="eastAsia"/>
        </w:rPr>
        <w:t>A</w:t>
      </w:r>
      <w:r>
        <w:rPr>
          <w:rFonts w:hint="eastAsia"/>
          <w:vertAlign w:val="superscript"/>
        </w:rPr>
        <w:t>2</w:t>
      </w:r>
      <w:r>
        <w:rPr>
          <w:rFonts w:hint="eastAsia"/>
        </w:rPr>
        <w:t>/O工艺流程图</w:t>
      </w:r>
    </w:p>
    <w:p>
      <w:pPr>
        <w:pStyle w:val="43"/>
      </w:pPr>
      <w:r>
        <w:drawing>
          <wp:inline distT="0" distB="0" distL="0" distR="0">
            <wp:extent cx="5149850" cy="5274310"/>
            <wp:effectExtent l="0" t="0" r="0" b="2540"/>
            <wp:docPr id="1015676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76632" name="图片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149850" cy="5274310"/>
                    </a:xfrm>
                    <a:prstGeom prst="rect">
                      <a:avLst/>
                    </a:prstGeom>
                    <a:noFill/>
                    <a:ln>
                      <a:noFill/>
                    </a:ln>
                  </pic:spPr>
                </pic:pic>
              </a:graphicData>
            </a:graphic>
          </wp:inline>
        </w:drawing>
      </w:r>
    </w:p>
    <w:p>
      <w:pPr>
        <w:pStyle w:val="41"/>
      </w:pPr>
      <w:r>
        <w:rPr>
          <w:rFonts w:hint="eastAsia"/>
        </w:rPr>
        <w:t>图2</w:t>
      </w:r>
      <w:r>
        <w:t xml:space="preserve">.1-6  </w:t>
      </w:r>
      <w:r>
        <w:rPr>
          <w:rFonts w:hint="eastAsia"/>
        </w:rPr>
        <w:t>污水处理工艺流程图</w:t>
      </w:r>
    </w:p>
    <w:p>
      <w:pPr>
        <w:pStyle w:val="30"/>
        <w:ind w:firstLine="480"/>
      </w:pPr>
      <w:r>
        <w:rPr>
          <w:rFonts w:hint="eastAsia"/>
        </w:rPr>
        <w:t>本项目变更后处理工艺采用“组合池（格栅井+调节池）+一体化污水处理站”工艺</w:t>
      </w:r>
      <w:r>
        <w:rPr>
          <w:rFonts w:hint="eastAsia"/>
          <w:szCs w:val="24"/>
        </w:rPr>
        <w:t>，与原环评基本保持一致，基于缩减占地的角度将格栅井和调节池于一处组合池内建设，同时取消了人工湿地处理环节，其中一体化污水处理站工艺均采用A</w:t>
      </w:r>
      <w:r>
        <w:rPr>
          <w:rFonts w:hint="eastAsia"/>
          <w:szCs w:val="24"/>
          <w:vertAlign w:val="superscript"/>
        </w:rPr>
        <w:t>2</w:t>
      </w:r>
      <w:r>
        <w:rPr>
          <w:rFonts w:hint="eastAsia"/>
          <w:szCs w:val="24"/>
        </w:rPr>
        <w:t>/O工艺</w:t>
      </w:r>
      <w:r>
        <w:rPr>
          <w:rFonts w:hint="eastAsia"/>
        </w:rPr>
        <w:t>。各乡镇生活污水经场外管网收集自流汇聚于组合池内格栅井中，经格栅后进入组合池内调节池中，废水经调节池均化水质水量后由提升泵抽至一体化污水处理站中。</w:t>
      </w:r>
    </w:p>
    <w:p>
      <w:pPr>
        <w:pStyle w:val="30"/>
        <w:ind w:firstLine="480"/>
      </w:pPr>
      <w:r>
        <w:rPr>
          <w:rFonts w:hint="eastAsia"/>
        </w:rPr>
        <w:t>一体化污水处理站中，在水解酸化池（A段），在大量水解细菌、酸化菌作用下将不溶性有机物水解为溶性有机物，将难生物降解的大分子物质转化为易生物降解的小分子物质。水解酸化池出水自流入生物接触氧化池（O段），自上向下流动，运行中废水与填料接触，微生物附着在填料上，水中的有机物被微生物吸附，氧化分解部分转化为新的生物膜，废水得以净化。在缺氧段（A段），异养菌将蛋白质、脂肪等污染物进行氨化（有机链上的N或氨基酸中的氨基）游离出氨（NH</w:t>
      </w:r>
      <w:r>
        <w:rPr>
          <w:rFonts w:hint="eastAsia"/>
          <w:vertAlign w:val="subscript"/>
        </w:rPr>
        <w:t>3</w:t>
      </w:r>
      <w:r>
        <w:rPr>
          <w:rFonts w:hint="eastAsia"/>
        </w:rPr>
        <w:t>、NH4</w:t>
      </w:r>
      <w:r>
        <w:rPr>
          <w:rFonts w:hint="eastAsia"/>
          <w:vertAlign w:val="superscript"/>
        </w:rPr>
        <w:t>+</w:t>
      </w:r>
      <w:r>
        <w:rPr>
          <w:rFonts w:hint="eastAsia"/>
        </w:rPr>
        <w:t>），在充足供氧条件下（O段），自养菌的硝化作用将NH</w:t>
      </w:r>
      <w:r>
        <w:rPr>
          <w:rFonts w:hint="eastAsia"/>
          <w:vertAlign w:val="subscript"/>
        </w:rPr>
        <w:t>3</w:t>
      </w:r>
      <w:r>
        <w:rPr>
          <w:rFonts w:hint="eastAsia"/>
        </w:rPr>
        <w:t>-N（NH</w:t>
      </w:r>
      <w:r>
        <w:rPr>
          <w:rFonts w:hint="eastAsia"/>
          <w:vertAlign w:val="subscript"/>
        </w:rPr>
        <w:t>4</w:t>
      </w:r>
      <w:r>
        <w:rPr>
          <w:rFonts w:hint="eastAsia"/>
          <w:vertAlign w:val="superscript"/>
        </w:rPr>
        <w:t>+</w:t>
      </w:r>
      <w:r>
        <w:rPr>
          <w:rFonts w:hint="eastAsia"/>
        </w:rPr>
        <w:t>）氧化为NO</w:t>
      </w:r>
      <w:r>
        <w:rPr>
          <w:rFonts w:hint="eastAsia"/>
          <w:vertAlign w:val="subscript"/>
        </w:rPr>
        <w:t>3</w:t>
      </w:r>
      <w:r>
        <w:rPr>
          <w:rFonts w:hint="eastAsia"/>
          <w:vertAlign w:val="superscript"/>
        </w:rPr>
        <w:t>-</w:t>
      </w:r>
      <w:r>
        <w:rPr>
          <w:rFonts w:hint="eastAsia"/>
        </w:rPr>
        <w:t>，通过回流控制返回至A池，在缺氧条件下，异氧菌的反硝化作用将NO</w:t>
      </w:r>
      <w:r>
        <w:rPr>
          <w:rFonts w:hint="eastAsia"/>
          <w:vertAlign w:val="subscript"/>
        </w:rPr>
        <w:t>3</w:t>
      </w:r>
      <w:r>
        <w:rPr>
          <w:rFonts w:hint="eastAsia"/>
          <w:vertAlign w:val="superscript"/>
        </w:rPr>
        <w:t>-</w:t>
      </w:r>
      <w:r>
        <w:rPr>
          <w:rFonts w:hint="eastAsia"/>
        </w:rPr>
        <w:t>还原为分子态氮（N</w:t>
      </w:r>
      <w:r>
        <w:rPr>
          <w:rFonts w:hint="eastAsia"/>
          <w:vertAlign w:val="subscript"/>
        </w:rPr>
        <w:t>2</w:t>
      </w:r>
      <w:r>
        <w:rPr>
          <w:rFonts w:hint="eastAsia"/>
        </w:rPr>
        <w:t>）完成C、N、O在生态中的循环，实现污水无害化处理。经过两级AO后出水自流至沉淀池，进行泥水分离，部分污泥通过管道离心泵回流至污泥池中，沉淀池上层清液溢流至中间提升泵站，由提升泵泵入清水池，采用紫外线消毒后达标排放。</w:t>
      </w:r>
    </w:p>
    <w:p>
      <w:pPr>
        <w:pStyle w:val="30"/>
        <w:ind w:firstLine="480"/>
      </w:pPr>
      <w:r>
        <w:rPr>
          <w:rFonts w:hint="eastAsia"/>
        </w:rPr>
        <w:t>沉淀池与生化处理池都设置了排泥管道，底泥定期排入集泥池，再经提升泵抽至污泥池进行沉淀、重力浓缩，下层污泥定期清运，污泥池上清液回流至组合池。</w:t>
      </w:r>
    </w:p>
    <w:p>
      <w:pPr>
        <w:pStyle w:val="35"/>
      </w:pPr>
      <w:bookmarkStart w:id="23" w:name="_Toc3653"/>
      <w:r>
        <w:rPr>
          <w:rFonts w:hint="eastAsia"/>
        </w:rPr>
        <w:t>2</w:t>
      </w:r>
      <w:r>
        <w:t>.2</w:t>
      </w:r>
      <w:r>
        <w:rPr>
          <w:rFonts w:hint="eastAsia"/>
        </w:rPr>
        <w:t>项目所在区域概况</w:t>
      </w:r>
      <w:bookmarkEnd w:id="23"/>
    </w:p>
    <w:p>
      <w:pPr>
        <w:pStyle w:val="38"/>
      </w:pPr>
      <w:bookmarkStart w:id="24" w:name="_Toc4118"/>
      <w:r>
        <w:rPr>
          <w:rFonts w:hint="eastAsia"/>
        </w:rPr>
        <w:t>2</w:t>
      </w:r>
      <w:r>
        <w:t>.2.1</w:t>
      </w:r>
      <w:r>
        <w:rPr>
          <w:rFonts w:hint="eastAsia"/>
        </w:rPr>
        <w:t>地理位置</w:t>
      </w:r>
      <w:bookmarkEnd w:id="24"/>
    </w:p>
    <w:p>
      <w:pPr>
        <w:pStyle w:val="30"/>
        <w:ind w:firstLine="480"/>
        <w:rPr>
          <w:rStyle w:val="50"/>
        </w:rPr>
      </w:pPr>
      <w:r>
        <w:rPr>
          <w:rStyle w:val="50"/>
        </w:rPr>
        <w:t>祁东县位于湖南省衡邵盆地西南边缘，</w:t>
      </w:r>
      <w:r>
        <w:fldChar w:fldCharType="begin"/>
      </w:r>
      <w:r>
        <w:instrText xml:space="preserve"> HYPERLINK "https://baike.baidu.com/item/%E6%B9%98%E6%B1%9F/1710?fromModule=lemma_inlink" \t "_blank" </w:instrText>
      </w:r>
      <w:r>
        <w:fldChar w:fldCharType="separate"/>
      </w:r>
      <w:r>
        <w:rPr>
          <w:rStyle w:val="25"/>
          <w:color w:val="auto"/>
          <w:u w:val="none"/>
        </w:rPr>
        <w:t>湘江</w:t>
      </w:r>
      <w:r>
        <w:rPr>
          <w:rStyle w:val="25"/>
          <w:color w:val="auto"/>
          <w:u w:val="none"/>
        </w:rPr>
        <w:fldChar w:fldCharType="end"/>
      </w:r>
      <w:r>
        <w:rPr>
          <w:rStyle w:val="50"/>
        </w:rPr>
        <w:t>中游北岸，地势自西北向东南倾斜，西部为四明山，中部为祁山，东南为湘江之滨，湘江流经境域51公里。东接</w:t>
      </w:r>
      <w:r>
        <w:fldChar w:fldCharType="begin"/>
      </w:r>
      <w:r>
        <w:instrText xml:space="preserve"> HYPERLINK "https://baike.baidu.com/item/%E8%A1%A1%E5%8D%97%E5%8E%BF/5116029?fromModule=lemma_inlink" \t "_blank" </w:instrText>
      </w:r>
      <w:r>
        <w:fldChar w:fldCharType="separate"/>
      </w:r>
      <w:r>
        <w:rPr>
          <w:rStyle w:val="25"/>
          <w:color w:val="auto"/>
          <w:u w:val="none"/>
        </w:rPr>
        <w:t>衡南县</w:t>
      </w:r>
      <w:r>
        <w:rPr>
          <w:rStyle w:val="25"/>
          <w:color w:val="auto"/>
          <w:u w:val="none"/>
        </w:rPr>
        <w:fldChar w:fldCharType="end"/>
      </w:r>
      <w:r>
        <w:rPr>
          <w:rStyle w:val="50"/>
        </w:rPr>
        <w:t>、</w:t>
      </w:r>
      <w:r>
        <w:fldChar w:fldCharType="begin"/>
      </w:r>
      <w:r>
        <w:instrText xml:space="preserve"> HYPERLINK "https://baike.baidu.com/item/%E5%B8%B8%E5%AE%81%E5%B8%82/10368848?fromModule=lemma_inlink" \t "_blank" </w:instrText>
      </w:r>
      <w:r>
        <w:fldChar w:fldCharType="separate"/>
      </w:r>
      <w:r>
        <w:rPr>
          <w:rStyle w:val="25"/>
          <w:color w:val="auto"/>
          <w:u w:val="none"/>
        </w:rPr>
        <w:t>常宁市</w:t>
      </w:r>
      <w:r>
        <w:rPr>
          <w:rStyle w:val="25"/>
          <w:color w:val="auto"/>
          <w:u w:val="none"/>
        </w:rPr>
        <w:fldChar w:fldCharType="end"/>
      </w:r>
      <w:r>
        <w:rPr>
          <w:rStyle w:val="50"/>
        </w:rPr>
        <w:t>，南连</w:t>
      </w:r>
      <w:r>
        <w:fldChar w:fldCharType="begin"/>
      </w:r>
      <w:r>
        <w:instrText xml:space="preserve"> HYPERLINK "https://baike.baidu.com/item/%E6%B0%B8%E5%B7%9E%E5%B8%82/3111713?fromModule=lemma_inlink" \t "_blank" </w:instrText>
      </w:r>
      <w:r>
        <w:fldChar w:fldCharType="separate"/>
      </w:r>
      <w:r>
        <w:rPr>
          <w:rStyle w:val="25"/>
          <w:color w:val="auto"/>
          <w:u w:val="none"/>
        </w:rPr>
        <w:t>永州市</w:t>
      </w:r>
      <w:r>
        <w:rPr>
          <w:rStyle w:val="25"/>
          <w:color w:val="auto"/>
          <w:u w:val="none"/>
        </w:rPr>
        <w:fldChar w:fldCharType="end"/>
      </w:r>
      <w:r>
        <w:fldChar w:fldCharType="begin"/>
      </w:r>
      <w:r>
        <w:instrText xml:space="preserve"> HYPERLINK "https://baike.baidu.com/item/%E7%A5%81%E9%98%B3%E5%8E%BF/10369657?fromModule=lemma_inlink" \t "_blank" </w:instrText>
      </w:r>
      <w:r>
        <w:fldChar w:fldCharType="separate"/>
      </w:r>
      <w:r>
        <w:rPr>
          <w:rStyle w:val="25"/>
          <w:color w:val="auto"/>
          <w:u w:val="none"/>
        </w:rPr>
        <w:t>祁阳县</w:t>
      </w:r>
      <w:r>
        <w:rPr>
          <w:rStyle w:val="25"/>
          <w:color w:val="auto"/>
          <w:u w:val="none"/>
        </w:rPr>
        <w:fldChar w:fldCharType="end"/>
      </w:r>
      <w:r>
        <w:rPr>
          <w:rStyle w:val="50"/>
        </w:rPr>
        <w:t>、</w:t>
      </w:r>
      <w:r>
        <w:fldChar w:fldCharType="begin"/>
      </w:r>
      <w:r>
        <w:instrText xml:space="preserve"> HYPERLINK "https://baike.baidu.com/item/%E5%86%B7%E6%B0%B4%E6%BB%A9%E5%8C%BA/10369643?fromModule=lemma_inlink" \t "_blank" </w:instrText>
      </w:r>
      <w:r>
        <w:fldChar w:fldCharType="separate"/>
      </w:r>
      <w:r>
        <w:rPr>
          <w:rStyle w:val="25"/>
          <w:color w:val="auto"/>
          <w:u w:val="none"/>
        </w:rPr>
        <w:t>冷水滩区</w:t>
      </w:r>
      <w:r>
        <w:rPr>
          <w:rStyle w:val="25"/>
          <w:color w:val="auto"/>
          <w:u w:val="none"/>
        </w:rPr>
        <w:fldChar w:fldCharType="end"/>
      </w:r>
      <w:r>
        <w:rPr>
          <w:rStyle w:val="50"/>
        </w:rPr>
        <w:t>，西邻</w:t>
      </w:r>
      <w:r>
        <w:fldChar w:fldCharType="begin"/>
      </w:r>
      <w:r>
        <w:instrText xml:space="preserve"> HYPERLINK "https://baike.baidu.com/item/%E4%B8%9C%E5%AE%89%E5%8E%BF/81388?fromModule=lemma_inlink" \t "_blank" </w:instrText>
      </w:r>
      <w:r>
        <w:fldChar w:fldCharType="separate"/>
      </w:r>
      <w:r>
        <w:rPr>
          <w:rStyle w:val="25"/>
          <w:color w:val="auto"/>
          <w:u w:val="none"/>
        </w:rPr>
        <w:t>东安县</w:t>
      </w:r>
      <w:r>
        <w:rPr>
          <w:rStyle w:val="25"/>
          <w:color w:val="auto"/>
          <w:u w:val="none"/>
        </w:rPr>
        <w:fldChar w:fldCharType="end"/>
      </w:r>
      <w:r>
        <w:rPr>
          <w:rStyle w:val="50"/>
        </w:rPr>
        <w:t>、</w:t>
      </w:r>
      <w:r>
        <w:fldChar w:fldCharType="begin"/>
      </w:r>
      <w:r>
        <w:instrText xml:space="preserve"> HYPERLINK "https://baike.baidu.com/item/%E9%82%B5%E9%98%B3%E5%B8%82/402435?fromModule=lemma_inlink" \t "_blank" </w:instrText>
      </w:r>
      <w:r>
        <w:fldChar w:fldCharType="separate"/>
      </w:r>
      <w:r>
        <w:rPr>
          <w:rStyle w:val="25"/>
          <w:color w:val="auto"/>
          <w:u w:val="none"/>
        </w:rPr>
        <w:t>邵阳市</w:t>
      </w:r>
      <w:r>
        <w:rPr>
          <w:rStyle w:val="25"/>
          <w:color w:val="auto"/>
          <w:u w:val="none"/>
        </w:rPr>
        <w:fldChar w:fldCharType="end"/>
      </w:r>
      <w:r>
        <w:fldChar w:fldCharType="begin"/>
      </w:r>
      <w:r>
        <w:instrText xml:space="preserve"> HYPERLINK "https://baike.baidu.com/item/%E9%82%B5%E9%98%B3%E5%8E%BF/8568907?fromModule=lemma_inlink" \t "_blank" </w:instrText>
      </w:r>
      <w:r>
        <w:fldChar w:fldCharType="separate"/>
      </w:r>
      <w:r>
        <w:rPr>
          <w:rStyle w:val="25"/>
          <w:color w:val="auto"/>
          <w:u w:val="none"/>
        </w:rPr>
        <w:t>邵阳县</w:t>
      </w:r>
      <w:r>
        <w:rPr>
          <w:rStyle w:val="25"/>
          <w:color w:val="auto"/>
          <w:u w:val="none"/>
        </w:rPr>
        <w:fldChar w:fldCharType="end"/>
      </w:r>
      <w:r>
        <w:rPr>
          <w:rStyle w:val="50"/>
        </w:rPr>
        <w:t>，北抵</w:t>
      </w:r>
      <w:r>
        <w:fldChar w:fldCharType="begin"/>
      </w:r>
      <w:r>
        <w:instrText xml:space="preserve"> HYPERLINK "https://baike.baidu.com/item/%E9%82%B5%E4%B8%9C%E5%8E%BF/4936366?fromModule=lemma_inlink" \t "_blank" </w:instrText>
      </w:r>
      <w:r>
        <w:fldChar w:fldCharType="separate"/>
      </w:r>
      <w:r>
        <w:rPr>
          <w:rStyle w:val="25"/>
          <w:color w:val="auto"/>
          <w:u w:val="none"/>
        </w:rPr>
        <w:t>邵东县</w:t>
      </w:r>
      <w:r>
        <w:rPr>
          <w:rStyle w:val="25"/>
          <w:color w:val="auto"/>
          <w:u w:val="none"/>
        </w:rPr>
        <w:fldChar w:fldCharType="end"/>
      </w:r>
      <w:r>
        <w:rPr>
          <w:rStyle w:val="50"/>
        </w:rPr>
        <w:t>、</w:t>
      </w:r>
      <w:r>
        <w:fldChar w:fldCharType="begin"/>
      </w:r>
      <w:r>
        <w:instrText xml:space="preserve"> HYPERLINK "https://baike.baidu.com/item/%E8%A1%A1%E9%98%B3%E5%8E%BF/3459101?fromModule=lemma_inlink" \t "_blank" </w:instrText>
      </w:r>
      <w:r>
        <w:fldChar w:fldCharType="separate"/>
      </w:r>
      <w:r>
        <w:rPr>
          <w:rStyle w:val="25"/>
          <w:color w:val="auto"/>
          <w:u w:val="none"/>
        </w:rPr>
        <w:t>衡阳县</w:t>
      </w:r>
      <w:r>
        <w:rPr>
          <w:rStyle w:val="25"/>
          <w:color w:val="auto"/>
          <w:u w:val="none"/>
        </w:rPr>
        <w:fldChar w:fldCharType="end"/>
      </w:r>
      <w:r>
        <w:rPr>
          <w:rStyle w:val="50"/>
        </w:rPr>
        <w:t>。介于东经111°32′16″～112°20′10″，北纬26°28′1″～27°4′34″之间，总面积1872平方千米。</w:t>
      </w:r>
    </w:p>
    <w:p>
      <w:pPr>
        <w:pStyle w:val="30"/>
        <w:ind w:firstLine="480"/>
      </w:pPr>
      <w:r>
        <w:rPr>
          <w:rFonts w:hint="eastAsia"/>
        </w:rPr>
        <w:t>鸟江镇地处祁东县东部，东邻</w:t>
      </w:r>
      <w:r>
        <w:fldChar w:fldCharType="begin"/>
      </w:r>
      <w:r>
        <w:instrText xml:space="preserve"> HYPERLINK "https://baike.so.com/doc/5330008-5565182.html" \t "https://baike.so.com/doc/_blank" </w:instrText>
      </w:r>
      <w:r>
        <w:fldChar w:fldCharType="separate"/>
      </w:r>
      <w:r>
        <w:rPr>
          <w:rFonts w:hint="eastAsia"/>
        </w:rPr>
        <w:t>衡南县</w:t>
      </w:r>
      <w:r>
        <w:rPr>
          <w:rFonts w:hint="eastAsia"/>
        </w:rPr>
        <w:fldChar w:fldCharType="end"/>
      </w:r>
      <w:r>
        <w:fldChar w:fldCharType="begin"/>
      </w:r>
      <w:r>
        <w:instrText xml:space="preserve"> HYPERLINK "https://baike.so.com/doc/5847748-6060586.html" \t "https://baike.so.com/doc/_blank" </w:instrText>
      </w:r>
      <w:r>
        <w:fldChar w:fldCharType="separate"/>
      </w:r>
      <w:r>
        <w:rPr>
          <w:rFonts w:hint="eastAsia"/>
        </w:rPr>
        <w:t>茅市镇</w:t>
      </w:r>
      <w:r>
        <w:rPr>
          <w:rFonts w:hint="eastAsia"/>
        </w:rPr>
        <w:fldChar w:fldCharType="end"/>
      </w:r>
      <w:r>
        <w:rPr>
          <w:rFonts w:hint="eastAsia"/>
        </w:rPr>
        <w:t>，南接</w:t>
      </w:r>
      <w:r>
        <w:fldChar w:fldCharType="begin"/>
      </w:r>
      <w:r>
        <w:instrText xml:space="preserve"> HYPERLINK "https://baike.so.com/doc/6299770-6513293.html" \t "https://baike.so.com/doc/_blank" </w:instrText>
      </w:r>
      <w:r>
        <w:fldChar w:fldCharType="separate"/>
      </w:r>
      <w:r>
        <w:rPr>
          <w:rFonts w:hint="eastAsia"/>
        </w:rPr>
        <w:t>归阳镇</w:t>
      </w:r>
      <w:r>
        <w:rPr>
          <w:rFonts w:hint="eastAsia"/>
        </w:rPr>
        <w:fldChar w:fldCharType="end"/>
      </w:r>
      <w:r>
        <w:rPr>
          <w:rFonts w:hint="eastAsia"/>
        </w:rPr>
        <w:t>、</w:t>
      </w:r>
      <w:r>
        <w:fldChar w:fldCharType="begin"/>
      </w:r>
      <w:r>
        <w:instrText xml:space="preserve"> HYPERLINK "https://baike.so.com/doc/6085229-6298333.html" \t "https://baike.so.com/doc/_blank" </w:instrText>
      </w:r>
      <w:r>
        <w:fldChar w:fldCharType="separate"/>
      </w:r>
      <w:r>
        <w:rPr>
          <w:rFonts w:hint="eastAsia"/>
        </w:rPr>
        <w:t>粮市镇</w:t>
      </w:r>
      <w:r>
        <w:rPr>
          <w:rFonts w:hint="eastAsia"/>
        </w:rPr>
        <w:fldChar w:fldCharType="end"/>
      </w:r>
      <w:r>
        <w:rPr>
          <w:rFonts w:hint="eastAsia"/>
        </w:rPr>
        <w:t>，西抵祁阳县</w:t>
      </w:r>
      <w:r>
        <w:fldChar w:fldCharType="begin"/>
      </w:r>
      <w:r>
        <w:instrText xml:space="preserve"> HYPERLINK "https://baike.so.com/doc/2143693-2268232.html" \t "https://baike.so.com/doc/_blank" </w:instrText>
      </w:r>
      <w:r>
        <w:fldChar w:fldCharType="separate"/>
      </w:r>
      <w:r>
        <w:rPr>
          <w:rFonts w:hint="eastAsia"/>
        </w:rPr>
        <w:t>羊角塘镇</w:t>
      </w:r>
      <w:r>
        <w:rPr>
          <w:rFonts w:hint="eastAsia"/>
        </w:rPr>
        <w:fldChar w:fldCharType="end"/>
      </w:r>
      <w:r>
        <w:rPr>
          <w:rFonts w:hint="eastAsia"/>
        </w:rPr>
        <w:t>，北交</w:t>
      </w:r>
      <w:r>
        <w:fldChar w:fldCharType="begin"/>
      </w:r>
      <w:r>
        <w:instrText xml:space="preserve"> HYPERLINK "https://baike.so.com/doc/5659105-27376226.html" \t "https://baike.so.com/doc/_blank" </w:instrText>
      </w:r>
      <w:r>
        <w:fldChar w:fldCharType="separate"/>
      </w:r>
      <w:r>
        <w:rPr>
          <w:rFonts w:hint="eastAsia"/>
        </w:rPr>
        <w:t>金桥镇</w:t>
      </w:r>
      <w:r>
        <w:rPr>
          <w:rFonts w:hint="eastAsia"/>
        </w:rPr>
        <w:fldChar w:fldCharType="end"/>
      </w:r>
      <w:r>
        <w:rPr>
          <w:rFonts w:hint="eastAsia"/>
        </w:rPr>
        <w:t>， 行政区域面积67.14平方千米。</w:t>
      </w:r>
    </w:p>
    <w:p>
      <w:pPr>
        <w:pStyle w:val="30"/>
        <w:ind w:firstLine="480"/>
      </w:pPr>
      <w:r>
        <w:rPr>
          <w:rFonts w:hint="eastAsia"/>
        </w:rPr>
        <w:t>鸟江镇污水处理工程</w:t>
      </w:r>
      <w:r>
        <w:rPr>
          <w:szCs w:val="24"/>
        </w:rPr>
        <w:t>位于鸟江镇大池村连接线。中心地理坐标为E</w:t>
      </w:r>
      <w:r>
        <w:rPr>
          <w:color w:val="000000"/>
          <w:szCs w:val="24"/>
        </w:rPr>
        <w:t>112°12′4.62218″</w:t>
      </w:r>
      <w:r>
        <w:rPr>
          <w:szCs w:val="24"/>
        </w:rPr>
        <w:t>，N</w:t>
      </w:r>
      <w:r>
        <w:rPr>
          <w:color w:val="000000"/>
          <w:szCs w:val="24"/>
        </w:rPr>
        <w:t>26°36′54.94702″</w:t>
      </w:r>
      <w:r>
        <w:rPr>
          <w:rFonts w:hint="eastAsia"/>
        </w:rPr>
        <w:t>。</w:t>
      </w:r>
    </w:p>
    <w:p>
      <w:pPr>
        <w:pStyle w:val="30"/>
        <w:ind w:firstLine="0" w:firstLineChars="0"/>
      </w:pPr>
      <w:r>
        <w:rPr>
          <w14:ligatures w14:val="standardContextual"/>
        </w:rPr>
        <mc:AlternateContent>
          <mc:Choice Requires="wps">
            <w:drawing>
              <wp:anchor distT="0" distB="0" distL="114300" distR="114300" simplePos="0" relativeHeight="251662336" behindDoc="0" locked="0" layoutInCell="1" allowOverlap="1">
                <wp:simplePos x="0" y="0"/>
                <wp:positionH relativeFrom="column">
                  <wp:posOffset>3922395</wp:posOffset>
                </wp:positionH>
                <wp:positionV relativeFrom="paragraph">
                  <wp:posOffset>2771140</wp:posOffset>
                </wp:positionV>
                <wp:extent cx="131445" cy="131445"/>
                <wp:effectExtent l="19050" t="38100" r="40005" b="40005"/>
                <wp:wrapNone/>
                <wp:docPr id="1582948458" name="星形: 五角 11"/>
                <wp:cNvGraphicFramePr/>
                <a:graphic xmlns:a="http://schemas.openxmlformats.org/drawingml/2006/main">
                  <a:graphicData uri="http://schemas.microsoft.com/office/word/2010/wordprocessingShape">
                    <wps:wsp>
                      <wps:cNvSpPr/>
                      <wps:spPr>
                        <a:xfrm>
                          <a:off x="0" y="0"/>
                          <a:ext cx="131674" cy="131674"/>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1" o:spid="_x0000_s1026" style="position:absolute;left:0pt;margin-left:308.85pt;margin-top:218.2pt;height:10.35pt;width:10.35pt;z-index:251662336;v-text-anchor:middle;mso-width-relative:page;mso-height-relative:page;" fillcolor="#FF0000" filled="t" stroked="t" coordsize="131674,131674" o:gfxdata="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xf42m9sAAAALAQAADwAAAAAAAAAB&#10;ACAAAAAiAAAAZHJzL2Rvd25yZXYueG1sUEsBAhQAFAAAAAgAh07iQL98A01/AgAABgUAAA4AAAAA&#10;AAAAAQAgAAAAKgEAAGRycy9lMm9Eb2MueG1sUEsFBgAAAAAGAAYAWQEAABsGAAAAAA==&#10;" path="m0,50294l50295,50295,65837,0,81378,50295,131673,50294,90984,81378,106526,131673,65837,100589,25147,131673,40689,81378xe">
                <v:path o:connectlocs="65837,0;0,50294;25147,131673;106526,131673;131673,50294" o:connectangles="247,164,82,82,0"/>
                <v:fill on="t" focussize="0,0"/>
                <v:stroke weight="1pt" color="#FF00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63360" behindDoc="0" locked="0" layoutInCell="1" allowOverlap="1">
                <wp:simplePos x="0" y="0"/>
                <wp:positionH relativeFrom="column">
                  <wp:posOffset>2286635</wp:posOffset>
                </wp:positionH>
                <wp:positionV relativeFrom="paragraph">
                  <wp:posOffset>1889125</wp:posOffset>
                </wp:positionV>
                <wp:extent cx="1111885" cy="270510"/>
                <wp:effectExtent l="0" t="0" r="564515" b="701040"/>
                <wp:wrapNone/>
                <wp:docPr id="751489380" name="对话气泡: 矩形 12"/>
                <wp:cNvGraphicFramePr/>
                <a:graphic xmlns:a="http://schemas.openxmlformats.org/drawingml/2006/main">
                  <a:graphicData uri="http://schemas.microsoft.com/office/word/2010/wordprocessingShape">
                    <wps:wsp>
                      <wps:cNvSpPr/>
                      <wps:spPr>
                        <a:xfrm>
                          <a:off x="0" y="0"/>
                          <a:ext cx="1111885" cy="270510"/>
                        </a:xfrm>
                        <a:prstGeom prst="wedgeRectCallout">
                          <a:avLst>
                            <a:gd name="adj1" fmla="val 96275"/>
                            <a:gd name="adj2" fmla="val 289655"/>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180.05pt;margin-top:148.75pt;height:21.3pt;width:87.55pt;z-index:251663360;v-text-anchor:middle;mso-width-relative:page;mso-height-relative:page;" fillcolor="#FFFFFF [3201]" filled="t" stroked="t" coordsize="21600,21600" o:gfxdata="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ejabL2gAAAAsBAAAPAAAA&#10;AAAAAAEAIAAAACIAAABkcnMvZG93bnJldi54bWxQSwECFAAUAAAACACHTuJAD2iDir4CAAB0BQAA&#10;DgAAAAAAAAABACAAAAApAQAAZHJzL2Uyb0RvYy54bWxQSwUGAAAAAAYABgBZAQAAWQYAAAAA&#10;" adj="31595,73365">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w:drawing>
          <wp:inline distT="0" distB="0" distL="0" distR="0">
            <wp:extent cx="5229860" cy="3787140"/>
            <wp:effectExtent l="0" t="0" r="12700" b="7620"/>
            <wp:docPr id="1146203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03875" name="图片 10"/>
                    <pic:cNvPicPr>
                      <a:picLocks noChangeAspect="1" noChangeArrowheads="1"/>
                    </pic:cNvPicPr>
                  </pic:nvPicPr>
                  <pic:blipFill>
                    <a:blip r:embed="rId14" cstate="print">
                      <a:extLst>
                        <a:ext uri="{28A0092B-C50C-407E-A947-70E740481C1C}">
                          <a14:useLocalDpi xmlns:a14="http://schemas.microsoft.com/office/drawing/2010/main" val="0"/>
                        </a:ext>
                      </a:extLst>
                    </a:blip>
                    <a:srcRect l="6104" t="4724" r="5963" b="4935"/>
                    <a:stretch>
                      <a:fillRect/>
                    </a:stretch>
                  </pic:blipFill>
                  <pic:spPr>
                    <a:xfrm>
                      <a:off x="0" y="0"/>
                      <a:ext cx="5244349" cy="3797352"/>
                    </a:xfrm>
                    <a:prstGeom prst="rect">
                      <a:avLst/>
                    </a:prstGeom>
                    <a:noFill/>
                    <a:ln>
                      <a:noFill/>
                    </a:ln>
                  </pic:spPr>
                </pic:pic>
              </a:graphicData>
            </a:graphic>
          </wp:inline>
        </w:drawing>
      </w:r>
    </w:p>
    <w:p>
      <w:pPr>
        <w:pStyle w:val="41"/>
      </w:pPr>
      <w:r>
        <w:rPr>
          <w:rFonts w:hint="eastAsia"/>
        </w:rPr>
        <w:t>图2</w:t>
      </w:r>
      <w:r>
        <w:t xml:space="preserve">.2-1  </w:t>
      </w:r>
      <w:r>
        <w:rPr>
          <w:rFonts w:hint="eastAsia"/>
        </w:rPr>
        <w:t>项目地理位置图</w:t>
      </w:r>
    </w:p>
    <w:p>
      <w:pPr>
        <w:pStyle w:val="38"/>
      </w:pPr>
      <w:bookmarkStart w:id="25" w:name="_Toc533"/>
      <w:r>
        <w:rPr>
          <w:rFonts w:hint="eastAsia"/>
        </w:rPr>
        <w:t>2</w:t>
      </w:r>
      <w:r>
        <w:t>.2.2</w:t>
      </w:r>
      <w:r>
        <w:rPr>
          <w:rFonts w:hint="eastAsia"/>
        </w:rPr>
        <w:t>地形地貌地质</w:t>
      </w:r>
      <w:bookmarkEnd w:id="25"/>
    </w:p>
    <w:p>
      <w:pPr>
        <w:pStyle w:val="30"/>
        <w:ind w:firstLine="480"/>
        <w:rPr>
          <w:rStyle w:val="50"/>
        </w:rPr>
      </w:pPr>
      <w:r>
        <w:rPr>
          <w:rStyle w:val="50"/>
        </w:rPr>
        <w:t>祁东县县境狭长，地势自西北向东南倾斜，平均坡降为12.5‰。最高点位于四明山乡的腾云岭主峰，海拔1043.2米。最低点为粮市镇枫冲村江河组湘江河床，海拔54.8米，与腾云岭高差988.4米。全境地貌组合呈三条横列带状。西北的中山、中低山、低山山地呈镰刀形环绕县境边陲；南部中段突起系祁山余脉，多为中低山、低山山地；两山地之间的狭长地带为地势低平、呈波状起伏的岗地、丘陵和平原。以形态类型划分，地貌以岗、山居多，平、丘、水兼有。山地、丘陵、岗地、平原和水面的组合比例大致为1:0.4:1.1:0.7:0.2。山地主要分布在西北部和南部中段，海拔均在300米以上，相对高度大于200米，坡度大于20度，地势起伏变化大，脉络明显，面积541.31平方公里，占总面积28.93%；丘陵海拔均在350米以下，相对高度60～200米，丘体稍有脉络，其顶浑圆，流水侵蚀中等，面积236.07平方公里，占12.61%；岗地，主要分布在两山地之间的狭长地带及东南红岩区，海拔均在300米以下，切割破碎，相对高度10～60米，坡度5～15度，面积595.41平方公里，占31.82%；平原主要分布在湘江、白河、祁水沿岸和丘陵山区的垄间，地势平坦，稍有起伏</w:t>
      </w:r>
      <w:r>
        <w:rPr>
          <w:rStyle w:val="50"/>
          <w:rFonts w:hint="eastAsia"/>
        </w:rPr>
        <w:t>，</w:t>
      </w:r>
      <w:r>
        <w:rPr>
          <w:rStyle w:val="50"/>
        </w:rPr>
        <w:t>一般由第四纪松散堆积物组成</w:t>
      </w:r>
      <w:r>
        <w:rPr>
          <w:rStyle w:val="50"/>
          <w:rFonts w:hint="eastAsia"/>
        </w:rPr>
        <w:t>，</w:t>
      </w:r>
      <w:r>
        <w:rPr>
          <w:rStyle w:val="50"/>
        </w:rPr>
        <w:t>面积383.52平方公里</w:t>
      </w:r>
      <w:r>
        <w:rPr>
          <w:rStyle w:val="50"/>
          <w:rFonts w:hint="eastAsia"/>
        </w:rPr>
        <w:t>，</w:t>
      </w:r>
      <w:r>
        <w:rPr>
          <w:rStyle w:val="50"/>
        </w:rPr>
        <w:t>占20.46%。</w:t>
      </w:r>
    </w:p>
    <w:p>
      <w:pPr>
        <w:pStyle w:val="30"/>
        <w:ind w:firstLine="480"/>
      </w:pPr>
      <w:r>
        <w:rPr>
          <w:rFonts w:hint="eastAsia"/>
        </w:rPr>
        <w:t>本项目位于鸟江镇集镇区，集镇区地势较为平坦，本项目管网采用重力自流方式收集污水，污水排放通过重力自流排入白河。</w:t>
      </w:r>
    </w:p>
    <w:p>
      <w:pPr>
        <w:pStyle w:val="38"/>
      </w:pPr>
      <w:bookmarkStart w:id="26" w:name="_Toc8182"/>
      <w:r>
        <w:rPr>
          <w:rFonts w:hint="eastAsia"/>
        </w:rPr>
        <w:t>2</w:t>
      </w:r>
      <w:r>
        <w:t>.2.3</w:t>
      </w:r>
      <w:r>
        <w:rPr>
          <w:rFonts w:hint="eastAsia"/>
        </w:rPr>
        <w:t>气候气象</w:t>
      </w:r>
      <w:bookmarkEnd w:id="26"/>
    </w:p>
    <w:p>
      <w:pPr>
        <w:pStyle w:val="30"/>
        <w:ind w:firstLine="480"/>
      </w:pPr>
      <w:r>
        <w:t>祁东县属中亚热带季风湿润气候，具有气候温和、四季分明、热量充足、雨季集中、降水充沛等特点，受季风环流影响较明显。夏季为低纬度海洋暖温气团所控制，温高湿重，天气炎热。冬季受西伯利亚干冷气团影响，寒流频频南下，造成雪雨冰霜。春、夏之交，正处于冷暖气团交界处，锋面和气旋活动频繁，形成梅雨天气，常有山洪暴发。</w:t>
      </w:r>
    </w:p>
    <w:p>
      <w:pPr>
        <w:pStyle w:val="30"/>
        <w:ind w:firstLine="480"/>
      </w:pPr>
      <w:r>
        <w:rPr>
          <w:rFonts w:hint="eastAsia"/>
        </w:rPr>
        <w:t>祁东气象站</w:t>
      </w:r>
      <w:r>
        <w:rPr>
          <w:kern w:val="0"/>
        </w:rPr>
        <w:t>站台编号为57870，</w:t>
      </w:r>
      <w:r>
        <w:t>站点地理坐标为东经112.0825度，北纬26.7633度，测站高度218.9米。该气象站位于拟建厂区西侧，距离8.4km。</w:t>
      </w:r>
      <w:r>
        <w:rPr>
          <w:kern w:val="0"/>
        </w:rPr>
        <w:t>据祁东气象站2003～2022年累计气象观测资料，本地区多年最大日降水量为87.25mm(极值为159.6mm，出现时间：2021.8.18)，多年最高气温为3</w:t>
      </w:r>
      <w:r>
        <w:rPr>
          <w:rFonts w:hint="eastAsia"/>
          <w:kern w:val="0"/>
        </w:rPr>
        <w:t>8</w:t>
      </w:r>
      <w:r>
        <w:rPr>
          <w:kern w:val="0"/>
        </w:rPr>
        <w:t>.73℃(极值为40.6℃，出现时间：2010.78.5)，多年最低气温为-1.86℃(极值为-4.5℃，出现时间：2008.2.3)，多年最大风速为16.22m/s(极值为26.5m/s，出现时间：2002.8.8)，多年平均气压为996.48</w:t>
      </w:r>
      <w:r>
        <w:t>hPa</w:t>
      </w:r>
      <w:r>
        <w:rPr>
          <w:kern w:val="0"/>
        </w:rPr>
        <w:t>。</w:t>
      </w:r>
    </w:p>
    <w:p>
      <w:pPr>
        <w:pStyle w:val="38"/>
      </w:pPr>
      <w:bookmarkStart w:id="27" w:name="_Toc7209"/>
      <w:r>
        <w:rPr>
          <w:rFonts w:hint="eastAsia"/>
        </w:rPr>
        <w:t>2</w:t>
      </w:r>
      <w:r>
        <w:t>.2.4</w:t>
      </w:r>
      <w:r>
        <w:rPr>
          <w:rFonts w:hint="eastAsia"/>
        </w:rPr>
        <w:t>水文条件</w:t>
      </w:r>
      <w:bookmarkEnd w:id="27"/>
    </w:p>
    <w:p>
      <w:pPr>
        <w:pStyle w:val="30"/>
        <w:ind w:firstLine="480"/>
      </w:pPr>
      <w:r>
        <w:rPr>
          <w:rFonts w:hint="eastAsia"/>
        </w:rPr>
        <w:t>1、地表水</w:t>
      </w:r>
    </w:p>
    <w:p>
      <w:pPr>
        <w:pStyle w:val="30"/>
        <w:ind w:firstLine="480"/>
      </w:pPr>
      <w:r>
        <w:t>祁东县属湘江流域。境内有湘江一级支流6条，长达278公里</w:t>
      </w:r>
      <w:r>
        <w:rPr>
          <w:rFonts w:hint="eastAsia"/>
        </w:rPr>
        <w:t>，</w:t>
      </w:r>
      <w:r>
        <w:t>二级支流17条，长达407.4公里，三级支流23条，长达237.9公里，四级支流2条，长24.3公里。此外，河长小于5公里或控制流域面积不足10平方公里的小溪沟有210条，长513公里。全县河网平均密度每平方公里0.77公里。境内水系可分祁水水系和归阳河水系，二水系以白地市的花屋、毛坪、七宝山一带的抬升地段为分水岭，祁水居西，归阳河居东。主要河流有湘江、祁水、归阳河及清江。归阳河的最长支流是清江，汇合前又自成水系。归阳河与清江是以断岭冲至双桥一带的山丘脊岭为界，归阳河居东，清江居南。</w:t>
      </w:r>
    </w:p>
    <w:p>
      <w:pPr>
        <w:pStyle w:val="30"/>
        <w:ind w:firstLine="480"/>
      </w:pPr>
      <w:r>
        <w:t>湘江从祁阳县楼梯乡水桐流入祁东县归阳镇清塘堰村狮子头，经归阳、七碗、樟木、五家围、河洲、粮市等乡镇，从粮市乡枫冲村江河组进入衡南县境内流长引公里，最宽处是五家围乡林埠头至祁阳县林家塘，宽1210米。最窄处是五家围乡戏台坪至常宁县大堡，宽255米。境内平均坡降12.9%。接纳了本县全部水系，累年平均流量每秒774.5立方米，实测流量每秒1.33万立方米（1976年），最小流量每秒23.5立方米（1966年）。归阳水文站确定，归山河段警戒为44米（折海拔高程69.69米）。50年来，最高水位达49.52米，最低水位38.5米（1966），归阳以下，小火轮可终年通航，归阳以上在枯水季节停航。</w:t>
      </w:r>
    </w:p>
    <w:p>
      <w:pPr>
        <w:pStyle w:val="30"/>
        <w:ind w:firstLine="480"/>
        <w:rPr>
          <w:szCs w:val="24"/>
        </w:rPr>
      </w:pPr>
      <w:r>
        <w:rPr>
          <w:szCs w:val="24"/>
        </w:rPr>
        <w:t>白河又名归阳河，属于湘江一级支流，发源于祁东，流经祁东腹地，又在祁东汇入湘江，全长87公里。白河的源头在祁东县风石堰镇石狮岭的老龙潭，流经白地市、双桥、洪桥、金桥、鸟江等乡镇，在归阳镇汇入湘江。</w:t>
      </w:r>
    </w:p>
    <w:p>
      <w:pPr>
        <w:widowControl/>
        <w:spacing w:line="360" w:lineRule="auto"/>
        <w:ind w:firstLine="480" w:firstLineChars="200"/>
        <w:jc w:val="left"/>
        <w:rPr>
          <w:sz w:val="24"/>
          <w:szCs w:val="24"/>
          <w:u w:val="single"/>
        </w:rPr>
      </w:pPr>
      <w:r>
        <w:rPr>
          <w:color w:val="000000"/>
          <w:kern w:val="0"/>
          <w:sz w:val="24"/>
          <w:szCs w:val="24"/>
          <w:u w:val="single"/>
          <w:lang w:bidi="ar"/>
        </w:rPr>
        <w:t>根据项目区域水系与排水路径图可知，污水处理工程达标尾水经东南侧灌溉渠排入白河右岸，</w:t>
      </w:r>
      <w:r>
        <w:rPr>
          <w:rFonts w:hint="eastAsia"/>
          <w:color w:val="000000"/>
          <w:kern w:val="0"/>
          <w:sz w:val="24"/>
          <w:szCs w:val="24"/>
          <w:u w:val="single"/>
          <w:lang w:bidi="ar"/>
        </w:rPr>
        <w:t>根据现场调查可知</w:t>
      </w:r>
      <w:r>
        <w:rPr>
          <w:color w:val="000000"/>
          <w:kern w:val="0"/>
          <w:sz w:val="24"/>
          <w:szCs w:val="24"/>
          <w:u w:val="single"/>
          <w:lang w:bidi="ar"/>
        </w:rPr>
        <w:t>排水路径沿途周边主要以农用地为主，包括水田、菜地等，</w:t>
      </w:r>
      <w:r>
        <w:rPr>
          <w:rFonts w:hint="eastAsia"/>
          <w:color w:val="000000"/>
          <w:kern w:val="0"/>
          <w:sz w:val="24"/>
          <w:szCs w:val="24"/>
          <w:u w:val="single"/>
          <w:lang w:bidi="ar"/>
        </w:rPr>
        <w:t>灌溉渠作为鸟江镇农业耕作的主要用水来源，白河论证范围为渔业用水，不涉及水产种质资源保护区、饮用水源保护区等</w:t>
      </w:r>
      <w:r>
        <w:rPr>
          <w:color w:val="000000"/>
          <w:kern w:val="0"/>
          <w:sz w:val="24"/>
          <w:szCs w:val="24"/>
          <w:u w:val="single"/>
          <w:lang w:bidi="ar"/>
        </w:rPr>
        <w:t>其它需特别保护的水环境敏感目标。</w:t>
      </w:r>
    </w:p>
    <w:p>
      <w:pPr>
        <w:pStyle w:val="30"/>
        <w:ind w:firstLine="480"/>
      </w:pPr>
      <w:r>
        <w:rPr>
          <w:rFonts w:hint="eastAsia"/>
        </w:rPr>
        <w:t>2、地下水</w:t>
      </w:r>
    </w:p>
    <w:p>
      <w:pPr>
        <w:pStyle w:val="30"/>
        <w:ind w:firstLine="480"/>
      </w:pPr>
      <w:r>
        <w:rPr>
          <w:rFonts w:hint="eastAsia"/>
        </w:rPr>
        <w:t>（1）地下水类型及富水性</w:t>
      </w:r>
    </w:p>
    <w:p>
      <w:pPr>
        <w:pStyle w:val="30"/>
        <w:ind w:firstLine="480"/>
      </w:pPr>
      <w:r>
        <w:t>场地地下水类型按埋藏条件，可分为上层滞水和基岩裂隙水。</w:t>
      </w:r>
    </w:p>
    <w:p>
      <w:pPr>
        <w:pStyle w:val="30"/>
        <w:ind w:firstLine="480"/>
      </w:pPr>
      <w:r>
        <w:rPr>
          <w:rFonts w:hint="eastAsia"/>
        </w:rPr>
        <w:t>1</w:t>
      </w:r>
      <w:r>
        <w:t>）上层滞水</w:t>
      </w:r>
    </w:p>
    <w:p>
      <w:pPr>
        <w:pStyle w:val="30"/>
        <w:ind w:firstLine="480"/>
      </w:pPr>
      <w:r>
        <w:t>赋存于人工填土</w:t>
      </w:r>
      <w:r>
        <w:rPr>
          <w:rFonts w:hint="eastAsia" w:ascii="宋体" w:hAnsi="宋体" w:cs="宋体"/>
        </w:rPr>
        <w:t>①</w:t>
      </w:r>
      <w:r>
        <w:t>和耕土</w:t>
      </w:r>
      <w:r>
        <w:rPr>
          <w:rFonts w:hint="eastAsia" w:ascii="宋体" w:hAnsi="宋体" w:cs="宋体"/>
        </w:rPr>
        <w:t>②</w:t>
      </w:r>
      <w:r>
        <w:t>层中，主要接受地表排水与大气降水的补给，上层滞水水位不连续，无统一自由水面，本次勘察仅在ZK5、ZK10中揭露到地下水，上层滞水稳定水位埋深0.20-1.50m，水位标高为102.71-105.60m。</w:t>
      </w:r>
    </w:p>
    <w:p>
      <w:pPr>
        <w:pStyle w:val="30"/>
        <w:ind w:firstLine="480"/>
      </w:pPr>
      <w:r>
        <w:rPr>
          <w:rFonts w:hint="eastAsia"/>
        </w:rPr>
        <w:t>2</w:t>
      </w:r>
      <w:r>
        <w:t>）基岩裂隙水</w:t>
      </w:r>
    </w:p>
    <w:p>
      <w:pPr>
        <w:pStyle w:val="30"/>
        <w:ind w:firstLine="480"/>
      </w:pPr>
      <w:r>
        <w:t>基岩裂隙水赋存场地泥质粉砂岩裂隙中，该场地强风化岩节理裂隙发育，中风化岩节理裂隙稍发育，基岩裂隙水分布不均匀，主要受大气降水补给，地下水总体沿基岩裂隙顺地势降低或渗出，水量贫乏，勘察期间未能测得其水位。</w:t>
      </w:r>
    </w:p>
    <w:p>
      <w:pPr>
        <w:pStyle w:val="30"/>
        <w:ind w:firstLine="480"/>
      </w:pPr>
      <w:r>
        <w:rPr>
          <w:rFonts w:hint="eastAsia"/>
        </w:rPr>
        <w:t>（2）地下水补、迳、排条件及动态特征</w:t>
      </w:r>
    </w:p>
    <w:p>
      <w:pPr>
        <w:pStyle w:val="30"/>
        <w:ind w:firstLine="480"/>
      </w:pPr>
      <w:r>
        <w:t>场地上层滞水主要靠大气降水入渗补给，以大气蒸发方式排泄，该层地下水年变化幅度一般为水位变幅在0.5～2.0m左右。基岩裂隙水主要存在泥质粉砂岩中，水量较小，主要受大气降水补给。</w:t>
      </w:r>
    </w:p>
    <w:p>
      <w:pPr>
        <w:pStyle w:val="38"/>
      </w:pPr>
      <w:bookmarkStart w:id="28" w:name="_Toc20922"/>
      <w:r>
        <w:rPr>
          <w:rFonts w:hint="eastAsia"/>
        </w:rPr>
        <w:t>2</w:t>
      </w:r>
      <w:r>
        <w:t>.2.5</w:t>
      </w:r>
      <w:r>
        <w:rPr>
          <w:rFonts w:hint="eastAsia"/>
        </w:rPr>
        <w:t>区域水资源开发利用情况</w:t>
      </w:r>
      <w:bookmarkEnd w:id="28"/>
    </w:p>
    <w:p>
      <w:pPr>
        <w:pStyle w:val="30"/>
        <w:ind w:firstLine="480"/>
      </w:pPr>
      <w:r>
        <w:rPr>
          <w:rFonts w:hint="eastAsia"/>
        </w:rPr>
        <w:t>（1）</w:t>
      </w:r>
      <w:r>
        <w:t>降水</w:t>
      </w:r>
    </w:p>
    <w:p>
      <w:pPr>
        <w:pStyle w:val="30"/>
        <w:ind w:firstLine="480"/>
      </w:pPr>
      <w:r>
        <w:t>20</w:t>
      </w:r>
      <w:r>
        <w:rPr>
          <w:rFonts w:hint="eastAsia"/>
        </w:rPr>
        <w:t>2</w:t>
      </w:r>
      <w:r>
        <w:t>2年衡阳市平均降水量达1390.4mm，因受季节环流和地形影响，降水在季节和地域分布上不均匀，一年中春夏两季的降雨量占全年的降雨量的70.1</w:t>
      </w:r>
      <w:r>
        <w:rPr>
          <w:rFonts w:hint="eastAsia"/>
        </w:rPr>
        <w:t>%</w:t>
      </w:r>
      <w:r>
        <w:t>。耒阳市、常宁市、南岳区降雨量分别位居前3位。</w:t>
      </w:r>
    </w:p>
    <w:p>
      <w:pPr>
        <w:pStyle w:val="30"/>
        <w:ind w:firstLine="480"/>
      </w:pPr>
      <w:r>
        <w:t>（2）水资源</w:t>
      </w:r>
    </w:p>
    <w:p>
      <w:pPr>
        <w:pStyle w:val="30"/>
        <w:ind w:firstLine="480"/>
      </w:pPr>
      <w:r>
        <w:t>据湖南省水利厅发布的水资源公报初步统计，衡阳市地表水资源量（当地天然河川径流量）83.87亿立方米，年降水量累计186.2亿立方米，产水系数0.45，较多年平均水资源量109.4亿立方米明显偏少。衡阳市大中型水库蓄水量10.73亿立方米。</w:t>
      </w:r>
    </w:p>
    <w:p>
      <w:pPr>
        <w:pStyle w:val="30"/>
        <w:ind w:firstLine="480"/>
      </w:pPr>
      <w:r>
        <w:t>衡阳市总用水量34.26亿立方米（其中地表供水32.02亿立方米，地下供水2.24亿立方米），较上年度上升7.9%。其中农业用水20.76亿立方米，工业用水8.79亿立方米，居民生活用水3.19亿立方米，城镇公共用水1.37亿立方米，生态环境用水0.15亿立方米。衡阳市人均综合用水量473立方米/年（城镇居民140.34升/年，农村居民97.74升/年）；万元GDP、万元用水工业增加值分别为111.32立方米、81.91立方米（当年价）、534.4立方米，农田灌溉有效利用系数0.5148。</w:t>
      </w:r>
      <w:r>
        <w:rPr>
          <w:rFonts w:hint="eastAsia"/>
        </w:rPr>
        <w:t>衡阳市主要河流流域特征见表2.2-2。</w:t>
      </w:r>
    </w:p>
    <w:p>
      <w:pPr>
        <w:pStyle w:val="41"/>
      </w:pPr>
      <w:r>
        <w:t>表</w:t>
      </w:r>
      <w:r>
        <w:rPr>
          <w:rFonts w:hint="eastAsia"/>
        </w:rPr>
        <w:t>2.2-2</w:t>
      </w:r>
      <w:r>
        <w:t xml:space="preserve">  衡阳市主要河流流域特征</w:t>
      </w:r>
    </w:p>
    <w:tbl>
      <w:tblPr>
        <w:tblStyle w:val="22"/>
        <w:tblW w:w="8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720"/>
        <w:gridCol w:w="1260"/>
        <w:gridCol w:w="1440"/>
        <w:gridCol w:w="1558"/>
        <w:gridCol w:w="1260"/>
        <w:gridCol w:w="1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Merge w:val="restart"/>
            <w:vAlign w:val="center"/>
          </w:tcPr>
          <w:p>
            <w:pPr>
              <w:rPr>
                <w:sz w:val="21"/>
                <w:szCs w:val="21"/>
              </w:rPr>
            </w:pPr>
            <w:r>
              <w:rPr>
                <w:b/>
                <w:sz w:val="21"/>
                <w:szCs w:val="21"/>
              </w:rPr>
              <w:t>名  称</w:t>
            </w:r>
          </w:p>
        </w:tc>
        <w:tc>
          <w:tcPr>
            <w:tcW w:w="1980" w:type="dxa"/>
            <w:gridSpan w:val="2"/>
            <w:vAlign w:val="center"/>
          </w:tcPr>
          <w:p>
            <w:pPr>
              <w:jc w:val="center"/>
              <w:rPr>
                <w:sz w:val="21"/>
                <w:szCs w:val="21"/>
              </w:rPr>
            </w:pPr>
            <w:r>
              <w:rPr>
                <w:b/>
                <w:sz w:val="21"/>
                <w:szCs w:val="21"/>
              </w:rPr>
              <w:t>河长（公里）</w:t>
            </w:r>
          </w:p>
        </w:tc>
        <w:tc>
          <w:tcPr>
            <w:tcW w:w="1440" w:type="dxa"/>
            <w:vMerge w:val="restart"/>
            <w:vAlign w:val="center"/>
          </w:tcPr>
          <w:p>
            <w:pPr>
              <w:jc w:val="center"/>
              <w:rPr>
                <w:b/>
                <w:sz w:val="21"/>
                <w:szCs w:val="21"/>
              </w:rPr>
            </w:pPr>
            <w:r>
              <w:rPr>
                <w:b/>
                <w:sz w:val="21"/>
                <w:szCs w:val="21"/>
              </w:rPr>
              <w:t>流域面积</w:t>
            </w:r>
          </w:p>
          <w:p>
            <w:pPr>
              <w:jc w:val="center"/>
              <w:rPr>
                <w:b/>
                <w:sz w:val="21"/>
                <w:szCs w:val="21"/>
              </w:rPr>
            </w:pPr>
            <w:r>
              <w:rPr>
                <w:b/>
                <w:sz w:val="21"/>
                <w:szCs w:val="21"/>
              </w:rPr>
              <w:t>（平方公里）</w:t>
            </w:r>
          </w:p>
        </w:tc>
        <w:tc>
          <w:tcPr>
            <w:tcW w:w="1558" w:type="dxa"/>
            <w:vMerge w:val="restart"/>
            <w:vAlign w:val="center"/>
          </w:tcPr>
          <w:p>
            <w:pPr>
              <w:jc w:val="center"/>
              <w:rPr>
                <w:b/>
                <w:sz w:val="21"/>
                <w:szCs w:val="21"/>
              </w:rPr>
            </w:pPr>
            <w:r>
              <w:rPr>
                <w:b/>
                <w:sz w:val="21"/>
                <w:szCs w:val="21"/>
              </w:rPr>
              <w:t>水能理论蕴藏量（万千瓦）</w:t>
            </w:r>
          </w:p>
        </w:tc>
        <w:tc>
          <w:tcPr>
            <w:tcW w:w="1260" w:type="dxa"/>
            <w:vMerge w:val="restart"/>
            <w:vAlign w:val="center"/>
          </w:tcPr>
          <w:p>
            <w:pPr>
              <w:jc w:val="center"/>
              <w:rPr>
                <w:b/>
                <w:sz w:val="21"/>
                <w:szCs w:val="21"/>
              </w:rPr>
            </w:pPr>
            <w:r>
              <w:rPr>
                <w:b/>
                <w:sz w:val="21"/>
                <w:szCs w:val="21"/>
              </w:rPr>
              <w:t>可开发量（万千瓦）</w:t>
            </w:r>
          </w:p>
        </w:tc>
        <w:tc>
          <w:tcPr>
            <w:tcW w:w="1221" w:type="dxa"/>
            <w:vMerge w:val="restart"/>
            <w:vAlign w:val="center"/>
          </w:tcPr>
          <w:p>
            <w:pPr>
              <w:jc w:val="center"/>
              <w:rPr>
                <w:b/>
                <w:sz w:val="21"/>
                <w:szCs w:val="21"/>
              </w:rPr>
            </w:pPr>
            <w:r>
              <w:rPr>
                <w:b/>
                <w:sz w:val="21"/>
                <w:szCs w:val="21"/>
              </w:rPr>
              <w:t>已开发量（万千瓦）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exact"/>
          <w:jc w:val="center"/>
        </w:trPr>
        <w:tc>
          <w:tcPr>
            <w:tcW w:w="883" w:type="dxa"/>
            <w:vMerge w:val="continue"/>
            <w:vAlign w:val="center"/>
          </w:tcPr>
          <w:p>
            <w:pPr>
              <w:jc w:val="center"/>
              <w:rPr>
                <w:sz w:val="21"/>
                <w:szCs w:val="21"/>
              </w:rPr>
            </w:pPr>
          </w:p>
        </w:tc>
        <w:tc>
          <w:tcPr>
            <w:tcW w:w="720" w:type="dxa"/>
            <w:vAlign w:val="center"/>
          </w:tcPr>
          <w:p>
            <w:pPr>
              <w:rPr>
                <w:b/>
                <w:sz w:val="21"/>
                <w:szCs w:val="21"/>
              </w:rPr>
            </w:pPr>
            <w:r>
              <w:rPr>
                <w:b/>
                <w:sz w:val="21"/>
                <w:szCs w:val="21"/>
              </w:rPr>
              <w:t>总长</w:t>
            </w:r>
          </w:p>
        </w:tc>
        <w:tc>
          <w:tcPr>
            <w:tcW w:w="1260" w:type="dxa"/>
            <w:vAlign w:val="center"/>
          </w:tcPr>
          <w:p>
            <w:pPr>
              <w:jc w:val="center"/>
              <w:rPr>
                <w:b/>
                <w:sz w:val="21"/>
                <w:szCs w:val="21"/>
              </w:rPr>
            </w:pPr>
            <w:r>
              <w:rPr>
                <w:b/>
                <w:sz w:val="21"/>
                <w:szCs w:val="21"/>
              </w:rPr>
              <w:t>境内河长</w:t>
            </w:r>
          </w:p>
        </w:tc>
        <w:tc>
          <w:tcPr>
            <w:tcW w:w="1440" w:type="dxa"/>
            <w:vMerge w:val="continue"/>
            <w:vAlign w:val="center"/>
          </w:tcPr>
          <w:p>
            <w:pPr>
              <w:jc w:val="center"/>
              <w:rPr>
                <w:sz w:val="21"/>
                <w:szCs w:val="21"/>
              </w:rPr>
            </w:pPr>
          </w:p>
        </w:tc>
        <w:tc>
          <w:tcPr>
            <w:tcW w:w="1558" w:type="dxa"/>
            <w:vMerge w:val="continue"/>
            <w:vAlign w:val="center"/>
          </w:tcPr>
          <w:p>
            <w:pPr>
              <w:jc w:val="center"/>
              <w:rPr>
                <w:sz w:val="21"/>
                <w:szCs w:val="21"/>
              </w:rPr>
            </w:pPr>
          </w:p>
        </w:tc>
        <w:tc>
          <w:tcPr>
            <w:tcW w:w="1260" w:type="dxa"/>
            <w:vMerge w:val="continue"/>
            <w:vAlign w:val="center"/>
          </w:tcPr>
          <w:p>
            <w:pPr>
              <w:jc w:val="center"/>
              <w:rPr>
                <w:sz w:val="21"/>
                <w:szCs w:val="21"/>
              </w:rPr>
            </w:pPr>
          </w:p>
        </w:tc>
        <w:tc>
          <w:tcPr>
            <w:tcW w:w="1221" w:type="dxa"/>
            <w:vMerge w:val="continue"/>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湘  江</w:t>
            </w:r>
          </w:p>
        </w:tc>
        <w:tc>
          <w:tcPr>
            <w:tcW w:w="720" w:type="dxa"/>
            <w:vAlign w:val="center"/>
          </w:tcPr>
          <w:p>
            <w:pPr>
              <w:rPr>
                <w:sz w:val="21"/>
                <w:szCs w:val="21"/>
              </w:rPr>
            </w:pPr>
            <w:r>
              <w:rPr>
                <w:rFonts w:hint="eastAsia"/>
                <w:sz w:val="21"/>
                <w:szCs w:val="21"/>
              </w:rPr>
              <w:t>948</w:t>
            </w:r>
          </w:p>
        </w:tc>
        <w:tc>
          <w:tcPr>
            <w:tcW w:w="1260" w:type="dxa"/>
            <w:vAlign w:val="center"/>
          </w:tcPr>
          <w:p>
            <w:pPr>
              <w:jc w:val="center"/>
              <w:rPr>
                <w:sz w:val="21"/>
                <w:szCs w:val="21"/>
              </w:rPr>
            </w:pPr>
            <w:r>
              <w:rPr>
                <w:sz w:val="21"/>
                <w:szCs w:val="21"/>
              </w:rPr>
              <w:t>226</w:t>
            </w:r>
          </w:p>
        </w:tc>
        <w:tc>
          <w:tcPr>
            <w:tcW w:w="1440" w:type="dxa"/>
            <w:vAlign w:val="center"/>
          </w:tcPr>
          <w:p>
            <w:pPr>
              <w:jc w:val="center"/>
              <w:rPr>
                <w:sz w:val="21"/>
                <w:szCs w:val="21"/>
              </w:rPr>
            </w:pPr>
            <w:r>
              <w:rPr>
                <w:sz w:val="21"/>
                <w:szCs w:val="21"/>
              </w:rPr>
              <w:t>94660</w:t>
            </w:r>
          </w:p>
        </w:tc>
        <w:tc>
          <w:tcPr>
            <w:tcW w:w="1558" w:type="dxa"/>
            <w:vAlign w:val="center"/>
          </w:tcPr>
          <w:p>
            <w:pPr>
              <w:jc w:val="center"/>
              <w:rPr>
                <w:sz w:val="21"/>
                <w:szCs w:val="21"/>
              </w:rPr>
            </w:pPr>
            <w:r>
              <w:rPr>
                <w:sz w:val="21"/>
                <w:szCs w:val="21"/>
              </w:rPr>
              <w:t>41.5</w:t>
            </w:r>
          </w:p>
        </w:tc>
        <w:tc>
          <w:tcPr>
            <w:tcW w:w="1260" w:type="dxa"/>
            <w:vAlign w:val="center"/>
          </w:tcPr>
          <w:p>
            <w:pPr>
              <w:jc w:val="center"/>
              <w:rPr>
                <w:sz w:val="21"/>
                <w:szCs w:val="21"/>
              </w:rPr>
            </w:pPr>
            <w:r>
              <w:rPr>
                <w:sz w:val="21"/>
                <w:szCs w:val="21"/>
              </w:rPr>
              <w:t>37.50</w:t>
            </w:r>
          </w:p>
        </w:tc>
        <w:tc>
          <w:tcPr>
            <w:tcW w:w="1221" w:type="dxa"/>
            <w:vAlign w:val="center"/>
          </w:tcPr>
          <w:p>
            <w:pPr>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祁  水</w:t>
            </w:r>
          </w:p>
        </w:tc>
        <w:tc>
          <w:tcPr>
            <w:tcW w:w="720" w:type="dxa"/>
            <w:vAlign w:val="center"/>
          </w:tcPr>
          <w:p>
            <w:pPr>
              <w:rPr>
                <w:sz w:val="21"/>
                <w:szCs w:val="21"/>
              </w:rPr>
            </w:pPr>
            <w:r>
              <w:rPr>
                <w:sz w:val="21"/>
                <w:szCs w:val="21"/>
              </w:rPr>
              <w:t>114</w:t>
            </w:r>
          </w:p>
        </w:tc>
        <w:tc>
          <w:tcPr>
            <w:tcW w:w="1260" w:type="dxa"/>
            <w:vAlign w:val="center"/>
          </w:tcPr>
          <w:p>
            <w:pPr>
              <w:jc w:val="center"/>
              <w:rPr>
                <w:sz w:val="21"/>
                <w:szCs w:val="21"/>
              </w:rPr>
            </w:pPr>
            <w:r>
              <w:rPr>
                <w:sz w:val="21"/>
                <w:szCs w:val="21"/>
              </w:rPr>
              <w:t>55</w:t>
            </w:r>
          </w:p>
        </w:tc>
        <w:tc>
          <w:tcPr>
            <w:tcW w:w="1440" w:type="dxa"/>
            <w:vAlign w:val="center"/>
          </w:tcPr>
          <w:p>
            <w:pPr>
              <w:jc w:val="center"/>
              <w:rPr>
                <w:sz w:val="21"/>
                <w:szCs w:val="21"/>
              </w:rPr>
            </w:pPr>
            <w:r>
              <w:rPr>
                <w:sz w:val="21"/>
                <w:szCs w:val="21"/>
              </w:rPr>
              <w:t>1685</w:t>
            </w:r>
          </w:p>
        </w:tc>
        <w:tc>
          <w:tcPr>
            <w:tcW w:w="1558" w:type="dxa"/>
            <w:vAlign w:val="center"/>
          </w:tcPr>
          <w:p>
            <w:pPr>
              <w:jc w:val="center"/>
              <w:rPr>
                <w:sz w:val="21"/>
                <w:szCs w:val="21"/>
              </w:rPr>
            </w:pPr>
            <w:r>
              <w:rPr>
                <w:sz w:val="21"/>
                <w:szCs w:val="21"/>
              </w:rPr>
              <w:t>2.00</w:t>
            </w:r>
          </w:p>
        </w:tc>
        <w:tc>
          <w:tcPr>
            <w:tcW w:w="1260" w:type="dxa"/>
            <w:vAlign w:val="center"/>
          </w:tcPr>
          <w:p>
            <w:pPr>
              <w:jc w:val="center"/>
              <w:rPr>
                <w:sz w:val="21"/>
                <w:szCs w:val="21"/>
              </w:rPr>
            </w:pPr>
            <w:r>
              <w:rPr>
                <w:sz w:val="21"/>
                <w:szCs w:val="21"/>
              </w:rPr>
              <w:t>0.41</w:t>
            </w:r>
          </w:p>
        </w:tc>
        <w:tc>
          <w:tcPr>
            <w:tcW w:w="1221" w:type="dxa"/>
            <w:vAlign w:val="center"/>
          </w:tcPr>
          <w:p>
            <w:pPr>
              <w:jc w:val="center"/>
              <w:rPr>
                <w:sz w:val="21"/>
                <w:szCs w:val="21"/>
              </w:rPr>
            </w:pPr>
            <w:r>
              <w:rPr>
                <w:sz w:val="21"/>
                <w:szCs w:val="21"/>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耒  水</w:t>
            </w:r>
          </w:p>
        </w:tc>
        <w:tc>
          <w:tcPr>
            <w:tcW w:w="720" w:type="dxa"/>
            <w:vAlign w:val="center"/>
          </w:tcPr>
          <w:p>
            <w:pPr>
              <w:rPr>
                <w:sz w:val="21"/>
                <w:szCs w:val="21"/>
              </w:rPr>
            </w:pPr>
            <w:r>
              <w:rPr>
                <w:sz w:val="21"/>
                <w:szCs w:val="21"/>
              </w:rPr>
              <w:t>453</w:t>
            </w:r>
          </w:p>
        </w:tc>
        <w:tc>
          <w:tcPr>
            <w:tcW w:w="1260" w:type="dxa"/>
            <w:vAlign w:val="center"/>
          </w:tcPr>
          <w:p>
            <w:pPr>
              <w:jc w:val="center"/>
              <w:rPr>
                <w:sz w:val="21"/>
                <w:szCs w:val="21"/>
              </w:rPr>
            </w:pPr>
            <w:r>
              <w:rPr>
                <w:sz w:val="21"/>
                <w:szCs w:val="21"/>
              </w:rPr>
              <w:t>179</w:t>
            </w:r>
          </w:p>
        </w:tc>
        <w:tc>
          <w:tcPr>
            <w:tcW w:w="1440" w:type="dxa"/>
            <w:vAlign w:val="center"/>
          </w:tcPr>
          <w:p>
            <w:pPr>
              <w:jc w:val="center"/>
              <w:rPr>
                <w:sz w:val="21"/>
                <w:szCs w:val="21"/>
              </w:rPr>
            </w:pPr>
            <w:r>
              <w:rPr>
                <w:sz w:val="21"/>
                <w:szCs w:val="21"/>
              </w:rPr>
              <w:t>11783</w:t>
            </w:r>
          </w:p>
        </w:tc>
        <w:tc>
          <w:tcPr>
            <w:tcW w:w="1558" w:type="dxa"/>
            <w:vAlign w:val="center"/>
          </w:tcPr>
          <w:p>
            <w:pPr>
              <w:jc w:val="center"/>
              <w:rPr>
                <w:sz w:val="21"/>
                <w:szCs w:val="21"/>
              </w:rPr>
            </w:pPr>
            <w:r>
              <w:rPr>
                <w:sz w:val="21"/>
                <w:szCs w:val="21"/>
              </w:rPr>
              <w:t>18.29</w:t>
            </w:r>
          </w:p>
        </w:tc>
        <w:tc>
          <w:tcPr>
            <w:tcW w:w="1260" w:type="dxa"/>
            <w:vAlign w:val="center"/>
          </w:tcPr>
          <w:p>
            <w:pPr>
              <w:jc w:val="center"/>
              <w:rPr>
                <w:sz w:val="21"/>
                <w:szCs w:val="21"/>
              </w:rPr>
            </w:pPr>
            <w:r>
              <w:rPr>
                <w:sz w:val="21"/>
                <w:szCs w:val="21"/>
              </w:rPr>
              <w:t>14.97</w:t>
            </w:r>
          </w:p>
        </w:tc>
        <w:tc>
          <w:tcPr>
            <w:tcW w:w="1221" w:type="dxa"/>
            <w:vAlign w:val="center"/>
          </w:tcPr>
          <w:p>
            <w:pPr>
              <w:jc w:val="center"/>
              <w:rPr>
                <w:sz w:val="21"/>
                <w:szCs w:val="21"/>
              </w:rPr>
            </w:pPr>
            <w:r>
              <w:rPr>
                <w:sz w:val="21"/>
                <w:szCs w:val="21"/>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蒸  水</w:t>
            </w:r>
          </w:p>
        </w:tc>
        <w:tc>
          <w:tcPr>
            <w:tcW w:w="720" w:type="dxa"/>
            <w:vAlign w:val="center"/>
          </w:tcPr>
          <w:p>
            <w:pPr>
              <w:rPr>
                <w:sz w:val="21"/>
                <w:szCs w:val="21"/>
              </w:rPr>
            </w:pPr>
            <w:r>
              <w:rPr>
                <w:sz w:val="21"/>
                <w:szCs w:val="21"/>
              </w:rPr>
              <w:t>194</w:t>
            </w:r>
          </w:p>
        </w:tc>
        <w:tc>
          <w:tcPr>
            <w:tcW w:w="1260" w:type="dxa"/>
            <w:vAlign w:val="center"/>
          </w:tcPr>
          <w:p>
            <w:pPr>
              <w:jc w:val="center"/>
              <w:rPr>
                <w:sz w:val="21"/>
                <w:szCs w:val="21"/>
              </w:rPr>
            </w:pPr>
            <w:r>
              <w:rPr>
                <w:sz w:val="21"/>
                <w:szCs w:val="21"/>
              </w:rPr>
              <w:t>152.4</w:t>
            </w:r>
          </w:p>
        </w:tc>
        <w:tc>
          <w:tcPr>
            <w:tcW w:w="1440" w:type="dxa"/>
            <w:vAlign w:val="center"/>
          </w:tcPr>
          <w:p>
            <w:pPr>
              <w:jc w:val="center"/>
              <w:rPr>
                <w:sz w:val="21"/>
                <w:szCs w:val="21"/>
              </w:rPr>
            </w:pPr>
            <w:r>
              <w:rPr>
                <w:sz w:val="21"/>
                <w:szCs w:val="21"/>
              </w:rPr>
              <w:t>3470</w:t>
            </w:r>
          </w:p>
        </w:tc>
        <w:tc>
          <w:tcPr>
            <w:tcW w:w="1558" w:type="dxa"/>
            <w:vAlign w:val="center"/>
          </w:tcPr>
          <w:p>
            <w:pPr>
              <w:jc w:val="center"/>
              <w:rPr>
                <w:sz w:val="21"/>
                <w:szCs w:val="21"/>
              </w:rPr>
            </w:pPr>
            <w:r>
              <w:rPr>
                <w:sz w:val="21"/>
                <w:szCs w:val="21"/>
              </w:rPr>
              <w:t>4.39</w:t>
            </w:r>
          </w:p>
        </w:tc>
        <w:tc>
          <w:tcPr>
            <w:tcW w:w="1260" w:type="dxa"/>
            <w:vAlign w:val="center"/>
          </w:tcPr>
          <w:p>
            <w:pPr>
              <w:jc w:val="center"/>
              <w:rPr>
                <w:sz w:val="21"/>
                <w:szCs w:val="21"/>
              </w:rPr>
            </w:pPr>
            <w:r>
              <w:rPr>
                <w:sz w:val="21"/>
                <w:szCs w:val="21"/>
              </w:rPr>
              <w:t>1.45</w:t>
            </w:r>
          </w:p>
        </w:tc>
        <w:tc>
          <w:tcPr>
            <w:tcW w:w="1221" w:type="dxa"/>
            <w:vAlign w:val="center"/>
          </w:tcPr>
          <w:p>
            <w:pPr>
              <w:jc w:val="center"/>
              <w:rPr>
                <w:sz w:val="21"/>
                <w:szCs w:val="21"/>
              </w:rPr>
            </w:pPr>
            <w:r>
              <w:rPr>
                <w:sz w:val="21"/>
                <w:szCs w:val="21"/>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舂陵水</w:t>
            </w:r>
          </w:p>
        </w:tc>
        <w:tc>
          <w:tcPr>
            <w:tcW w:w="720" w:type="dxa"/>
            <w:vAlign w:val="center"/>
          </w:tcPr>
          <w:p>
            <w:pPr>
              <w:rPr>
                <w:sz w:val="21"/>
                <w:szCs w:val="21"/>
              </w:rPr>
            </w:pPr>
            <w:r>
              <w:rPr>
                <w:sz w:val="21"/>
                <w:szCs w:val="21"/>
              </w:rPr>
              <w:t>223</w:t>
            </w:r>
          </w:p>
        </w:tc>
        <w:tc>
          <w:tcPr>
            <w:tcW w:w="1260" w:type="dxa"/>
            <w:vAlign w:val="center"/>
          </w:tcPr>
          <w:p>
            <w:pPr>
              <w:jc w:val="center"/>
              <w:rPr>
                <w:sz w:val="21"/>
                <w:szCs w:val="21"/>
              </w:rPr>
            </w:pPr>
            <w:r>
              <w:rPr>
                <w:sz w:val="21"/>
                <w:szCs w:val="21"/>
              </w:rPr>
              <w:t>69</w:t>
            </w:r>
          </w:p>
        </w:tc>
        <w:tc>
          <w:tcPr>
            <w:tcW w:w="1440" w:type="dxa"/>
            <w:vAlign w:val="center"/>
          </w:tcPr>
          <w:p>
            <w:pPr>
              <w:jc w:val="center"/>
              <w:rPr>
                <w:sz w:val="21"/>
                <w:szCs w:val="21"/>
              </w:rPr>
            </w:pPr>
            <w:r>
              <w:rPr>
                <w:sz w:val="21"/>
                <w:szCs w:val="21"/>
              </w:rPr>
              <w:t>6623</w:t>
            </w:r>
          </w:p>
        </w:tc>
        <w:tc>
          <w:tcPr>
            <w:tcW w:w="1558" w:type="dxa"/>
            <w:vAlign w:val="center"/>
          </w:tcPr>
          <w:p>
            <w:pPr>
              <w:jc w:val="center"/>
              <w:rPr>
                <w:sz w:val="21"/>
                <w:szCs w:val="21"/>
              </w:rPr>
            </w:pPr>
            <w:r>
              <w:rPr>
                <w:sz w:val="21"/>
                <w:szCs w:val="21"/>
              </w:rPr>
              <w:t>4.67</w:t>
            </w:r>
          </w:p>
        </w:tc>
        <w:tc>
          <w:tcPr>
            <w:tcW w:w="1260" w:type="dxa"/>
            <w:vAlign w:val="center"/>
          </w:tcPr>
          <w:p>
            <w:pPr>
              <w:jc w:val="center"/>
              <w:rPr>
                <w:sz w:val="21"/>
                <w:szCs w:val="21"/>
              </w:rPr>
            </w:pPr>
            <w:r>
              <w:rPr>
                <w:sz w:val="21"/>
                <w:szCs w:val="21"/>
              </w:rPr>
              <w:t>1.75</w:t>
            </w:r>
          </w:p>
        </w:tc>
        <w:tc>
          <w:tcPr>
            <w:tcW w:w="1221" w:type="dxa"/>
            <w:vAlign w:val="center"/>
          </w:tcPr>
          <w:p>
            <w:pPr>
              <w:jc w:val="center"/>
              <w:rPr>
                <w:sz w:val="21"/>
                <w:szCs w:val="21"/>
              </w:rPr>
            </w:pPr>
            <w:r>
              <w:rPr>
                <w:sz w:val="21"/>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洣  水</w:t>
            </w:r>
          </w:p>
        </w:tc>
        <w:tc>
          <w:tcPr>
            <w:tcW w:w="720" w:type="dxa"/>
            <w:vAlign w:val="center"/>
          </w:tcPr>
          <w:p>
            <w:pPr>
              <w:rPr>
                <w:sz w:val="21"/>
                <w:szCs w:val="21"/>
              </w:rPr>
            </w:pPr>
            <w:r>
              <w:rPr>
                <w:sz w:val="21"/>
                <w:szCs w:val="21"/>
              </w:rPr>
              <w:t>296</w:t>
            </w:r>
          </w:p>
        </w:tc>
        <w:tc>
          <w:tcPr>
            <w:tcW w:w="1260" w:type="dxa"/>
            <w:vAlign w:val="center"/>
          </w:tcPr>
          <w:p>
            <w:pPr>
              <w:jc w:val="center"/>
              <w:rPr>
                <w:sz w:val="21"/>
                <w:szCs w:val="21"/>
              </w:rPr>
            </w:pPr>
            <w:r>
              <w:rPr>
                <w:sz w:val="21"/>
                <w:szCs w:val="21"/>
              </w:rPr>
              <w:t>72.5</w:t>
            </w:r>
          </w:p>
        </w:tc>
        <w:tc>
          <w:tcPr>
            <w:tcW w:w="1440" w:type="dxa"/>
            <w:vAlign w:val="center"/>
          </w:tcPr>
          <w:p>
            <w:pPr>
              <w:jc w:val="center"/>
              <w:rPr>
                <w:sz w:val="21"/>
                <w:szCs w:val="21"/>
              </w:rPr>
            </w:pPr>
            <w:r>
              <w:rPr>
                <w:sz w:val="21"/>
                <w:szCs w:val="21"/>
              </w:rPr>
              <w:t>10305</w:t>
            </w:r>
          </w:p>
        </w:tc>
        <w:tc>
          <w:tcPr>
            <w:tcW w:w="1558" w:type="dxa"/>
            <w:vAlign w:val="center"/>
          </w:tcPr>
          <w:p>
            <w:pPr>
              <w:jc w:val="center"/>
              <w:rPr>
                <w:sz w:val="21"/>
                <w:szCs w:val="21"/>
              </w:rPr>
            </w:pPr>
            <w:r>
              <w:rPr>
                <w:sz w:val="21"/>
                <w:szCs w:val="21"/>
              </w:rPr>
              <w:t>5.74</w:t>
            </w:r>
          </w:p>
        </w:tc>
        <w:tc>
          <w:tcPr>
            <w:tcW w:w="1260" w:type="dxa"/>
            <w:vAlign w:val="center"/>
          </w:tcPr>
          <w:p>
            <w:pPr>
              <w:jc w:val="center"/>
              <w:rPr>
                <w:sz w:val="21"/>
                <w:szCs w:val="21"/>
              </w:rPr>
            </w:pPr>
            <w:r>
              <w:rPr>
                <w:sz w:val="21"/>
                <w:szCs w:val="21"/>
              </w:rPr>
              <w:t>3.24</w:t>
            </w:r>
          </w:p>
        </w:tc>
        <w:tc>
          <w:tcPr>
            <w:tcW w:w="1221" w:type="dxa"/>
            <w:vAlign w:val="center"/>
          </w:tcPr>
          <w:p>
            <w:pPr>
              <w:jc w:val="center"/>
              <w:rPr>
                <w:sz w:val="21"/>
                <w:szCs w:val="21"/>
              </w:rPr>
            </w:pPr>
            <w:r>
              <w:rPr>
                <w:sz w:val="21"/>
                <w:szCs w:val="21"/>
              </w:rPr>
              <w:t>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exact"/>
          <w:jc w:val="center"/>
        </w:trPr>
        <w:tc>
          <w:tcPr>
            <w:tcW w:w="883" w:type="dxa"/>
            <w:vAlign w:val="center"/>
          </w:tcPr>
          <w:p>
            <w:pPr>
              <w:rPr>
                <w:sz w:val="21"/>
                <w:szCs w:val="21"/>
              </w:rPr>
            </w:pPr>
            <w:r>
              <w:rPr>
                <w:sz w:val="21"/>
                <w:szCs w:val="21"/>
              </w:rPr>
              <w:t>宜  水</w:t>
            </w:r>
          </w:p>
        </w:tc>
        <w:tc>
          <w:tcPr>
            <w:tcW w:w="720" w:type="dxa"/>
            <w:vAlign w:val="center"/>
          </w:tcPr>
          <w:p>
            <w:pPr>
              <w:rPr>
                <w:sz w:val="21"/>
                <w:szCs w:val="21"/>
              </w:rPr>
            </w:pPr>
            <w:r>
              <w:rPr>
                <w:sz w:val="21"/>
                <w:szCs w:val="21"/>
              </w:rPr>
              <w:t>86</w:t>
            </w:r>
          </w:p>
        </w:tc>
        <w:tc>
          <w:tcPr>
            <w:tcW w:w="1260" w:type="dxa"/>
            <w:vAlign w:val="center"/>
          </w:tcPr>
          <w:p>
            <w:pPr>
              <w:jc w:val="center"/>
              <w:rPr>
                <w:sz w:val="21"/>
                <w:szCs w:val="21"/>
              </w:rPr>
            </w:pPr>
            <w:r>
              <w:rPr>
                <w:sz w:val="21"/>
                <w:szCs w:val="21"/>
              </w:rPr>
              <w:t>78</w:t>
            </w:r>
          </w:p>
        </w:tc>
        <w:tc>
          <w:tcPr>
            <w:tcW w:w="1440" w:type="dxa"/>
            <w:vAlign w:val="center"/>
          </w:tcPr>
          <w:p>
            <w:pPr>
              <w:jc w:val="center"/>
              <w:rPr>
                <w:sz w:val="21"/>
                <w:szCs w:val="21"/>
              </w:rPr>
            </w:pPr>
            <w:r>
              <w:rPr>
                <w:sz w:val="21"/>
                <w:szCs w:val="21"/>
              </w:rPr>
              <w:t>1056</w:t>
            </w:r>
          </w:p>
        </w:tc>
        <w:tc>
          <w:tcPr>
            <w:tcW w:w="1558" w:type="dxa"/>
            <w:vAlign w:val="center"/>
          </w:tcPr>
          <w:p>
            <w:pPr>
              <w:jc w:val="center"/>
              <w:rPr>
                <w:sz w:val="21"/>
                <w:szCs w:val="21"/>
              </w:rPr>
            </w:pPr>
            <w:r>
              <w:rPr>
                <w:sz w:val="21"/>
                <w:szCs w:val="21"/>
              </w:rPr>
              <w:t>3.21</w:t>
            </w:r>
          </w:p>
        </w:tc>
        <w:tc>
          <w:tcPr>
            <w:tcW w:w="1260" w:type="dxa"/>
            <w:vAlign w:val="center"/>
          </w:tcPr>
          <w:p>
            <w:pPr>
              <w:jc w:val="center"/>
              <w:rPr>
                <w:sz w:val="21"/>
                <w:szCs w:val="21"/>
              </w:rPr>
            </w:pPr>
            <w:r>
              <w:rPr>
                <w:sz w:val="21"/>
                <w:szCs w:val="21"/>
              </w:rPr>
              <w:t>1.48</w:t>
            </w:r>
          </w:p>
        </w:tc>
        <w:tc>
          <w:tcPr>
            <w:tcW w:w="1221" w:type="dxa"/>
            <w:vAlign w:val="center"/>
          </w:tcPr>
          <w:p>
            <w:pPr>
              <w:jc w:val="center"/>
              <w:rPr>
                <w:sz w:val="21"/>
                <w:szCs w:val="21"/>
              </w:rPr>
            </w:pPr>
            <w:r>
              <w:rPr>
                <w:sz w:val="21"/>
                <w:szCs w:val="21"/>
              </w:rPr>
              <w:t>0.57</w:t>
            </w:r>
          </w:p>
        </w:tc>
      </w:tr>
    </w:tbl>
    <w:p>
      <w:pPr>
        <w:pStyle w:val="38"/>
      </w:pPr>
      <w:bookmarkStart w:id="29" w:name="_Toc28536"/>
      <w:r>
        <w:rPr>
          <w:rFonts w:hint="eastAsia"/>
        </w:rPr>
        <w:t>2</w:t>
      </w:r>
      <w:r>
        <w:t>.2.6</w:t>
      </w:r>
      <w:r>
        <w:rPr>
          <w:rFonts w:hint="eastAsia"/>
        </w:rPr>
        <w:t>生物多样性</w:t>
      </w:r>
      <w:bookmarkEnd w:id="29"/>
    </w:p>
    <w:p>
      <w:pPr>
        <w:pStyle w:val="30"/>
        <w:ind w:firstLine="480"/>
      </w:pPr>
      <w:r>
        <w:rPr>
          <w:rFonts w:hint="eastAsia"/>
        </w:rPr>
        <w:t>1、植物资源</w:t>
      </w:r>
    </w:p>
    <w:p>
      <w:pPr>
        <w:pStyle w:val="30"/>
        <w:ind w:firstLine="480"/>
      </w:pPr>
      <w:r>
        <w:t>祁东县区域山地森林植被优良，属亚热带常绿阔叶林区，多为次生植被。乔木主要有杉木、马尾松和国外松以及毛竹；灌木主要有金刚刺、冬青、胡枝子、盐肤木、栀子等；地被植物主要为苔藓、冬茅草等，植被覆盖率高。</w:t>
      </w:r>
    </w:p>
    <w:p>
      <w:pPr>
        <w:pStyle w:val="30"/>
        <w:ind w:firstLine="480"/>
      </w:pPr>
      <w:r>
        <w:t>祁东县内树种资源计85科，231属，488种。用材林树种有杉木、松树、樟树、</w:t>
      </w:r>
      <w:r>
        <w:rPr>
          <w:rFonts w:hint="eastAsia"/>
        </w:rPr>
        <w:t>桐树</w:t>
      </w:r>
      <w:r>
        <w:t>、枫香、泡桐等292种；经济林树种有白栋、抢木、枣、桃、李、梨、女贞、山苍子、柑桔、板栗、油桐、油茶、乌</w:t>
      </w:r>
      <w:r>
        <w:rPr>
          <w:rFonts w:hint="eastAsia"/>
        </w:rPr>
        <w:t>香</w:t>
      </w:r>
      <w:r>
        <w:t>、茶叶、</w:t>
      </w:r>
      <w:r>
        <w:rPr>
          <w:rFonts w:hint="eastAsia"/>
        </w:rPr>
        <w:t>棕树</w:t>
      </w:r>
      <w:r>
        <w:t>等140种；薪炭林有刺槐、</w:t>
      </w:r>
      <w:r>
        <w:rPr>
          <w:rFonts w:hint="eastAsia"/>
        </w:rPr>
        <w:t>杜鹃</w:t>
      </w:r>
      <w:r>
        <w:t>等42种；稀有珍贵树种有白玉兰、银杏、香果、青钱柳、白乐、兰果木、紫穗槐等14种。</w:t>
      </w:r>
    </w:p>
    <w:p>
      <w:pPr>
        <w:pStyle w:val="30"/>
        <w:ind w:firstLine="480"/>
      </w:pPr>
      <w:r>
        <w:t>祁东县成片草场94处，山地草丛类和丘陵草丛类的植被结构以多年生禾本科牧草为主，间杂山竹及</w:t>
      </w:r>
      <w:r>
        <w:rPr>
          <w:rFonts w:hint="eastAsia"/>
        </w:rPr>
        <w:t>少量</w:t>
      </w:r>
      <w:r>
        <w:t>灌木植物。其主要品种有五节芒、白茅、野古草、鹅观草、葛藤、紫藤等。农地杂草有探麦粮、水草、灯芯草、三棱草、游草、鸭舌草、稗、鱼腥草、狗尾草、浮萍、水浮莲、水葫芦、菱、四叶草、水花生、马鞭草、蒿、夏姑草、车前草等。境内还有蜜源植物43种，大部分分布在东南部岗丘地带。</w:t>
      </w:r>
    </w:p>
    <w:p>
      <w:pPr>
        <w:pStyle w:val="30"/>
        <w:ind w:firstLine="480"/>
      </w:pPr>
      <w:r>
        <w:rPr>
          <w:rFonts w:hint="eastAsia"/>
        </w:rPr>
        <w:t>2、动物资源</w:t>
      </w:r>
    </w:p>
    <w:p>
      <w:pPr>
        <w:pStyle w:val="30"/>
        <w:ind w:firstLine="480"/>
      </w:pPr>
      <w:r>
        <w:t>祁东县野生动物资源生态分类属中亚热带林灌草地农田动物群，种类繁多，其中：哺乳类有7目18科33种，鸟类有12目29科66种，爬行类有3目10科84种，两栖类有2目7科，鱼类有7目16科89种；节肢动物中：昆虫有13目74科206种，蛛形类有16科2种，还有虾、蟹等甲壳类，蜈蚣、百足虫等多足类动物；环节动物中常见有蚯蚓、水蝗、山蝗等；软体动物有4目10科，主要有</w:t>
      </w:r>
      <w:r>
        <w:rPr>
          <w:rFonts w:hint="eastAsia"/>
        </w:rPr>
        <w:t>圆田螺</w:t>
      </w:r>
      <w:r>
        <w:t>等10余种螺，</w:t>
      </w:r>
      <w:r>
        <w:rPr>
          <w:rFonts w:hint="eastAsia"/>
        </w:rPr>
        <w:t>圆顶</w:t>
      </w:r>
      <w:r>
        <w:t>蚌、背瘤蛎蚌、背角无齿蚌、河蚬、湖蛛蚬、蜗牛、大蜗、蛞蝓等。县域现存的野生陆生动物主要为一些小型的两栖动物、爬行动物、哺乳动物及鸟类等；家畜家禽主要有猪、狗、牛、鸡、鸭等；飞禽主要为常见鸟类，如麻雀、乌鸦等。区域鸟类种类繁多，有白鹭、斑鸠、麻雀、山鹰、画眉等20个多种类以及鸳鸯、鸬鹚等水禽类。</w:t>
      </w:r>
    </w:p>
    <w:p>
      <w:pPr>
        <w:pStyle w:val="30"/>
        <w:ind w:firstLine="480"/>
      </w:pPr>
      <w:r>
        <w:rPr>
          <w:rFonts w:hint="eastAsia"/>
        </w:rPr>
        <w:t>3、</w:t>
      </w:r>
      <w:r>
        <w:t>项目所在地生态环境特征</w:t>
      </w:r>
    </w:p>
    <w:p>
      <w:pPr>
        <w:pStyle w:val="30"/>
        <w:ind w:firstLine="480"/>
      </w:pPr>
      <w:r>
        <w:rPr>
          <w:rFonts w:hint="eastAsia"/>
        </w:rPr>
        <w:t>本项目位于祁东县鸟江镇集镇区，占地范围为空地，周边植被较少，植被类型以原生草本植物、灌木、自然作物为主。现场调查及走访未在项目区域范围内发现珍稀保护动植物。</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30" w:name="_Toc25629"/>
      <w:r>
        <w:rPr>
          <w:rFonts w:hint="eastAsia"/>
        </w:rPr>
        <w:t>3水功能区（水域）管理要求和现有取排水状况</w:t>
      </w:r>
      <w:bookmarkEnd w:id="30"/>
    </w:p>
    <w:p>
      <w:pPr>
        <w:pStyle w:val="35"/>
      </w:pPr>
      <w:bookmarkStart w:id="31" w:name="_Toc16643"/>
      <w:r>
        <w:rPr>
          <w:rFonts w:hint="eastAsia"/>
        </w:rPr>
        <w:t>3</w:t>
      </w:r>
      <w:r>
        <w:t>.1</w:t>
      </w:r>
      <w:r>
        <w:rPr>
          <w:rFonts w:hint="eastAsia"/>
        </w:rPr>
        <w:t>水功能区（水域）保护水质管理目标与要求</w:t>
      </w:r>
      <w:bookmarkEnd w:id="31"/>
    </w:p>
    <w:p>
      <w:pPr>
        <w:pStyle w:val="30"/>
        <w:ind w:firstLine="480"/>
      </w:pPr>
      <w:r>
        <w:rPr>
          <w:rFonts w:hint="eastAsia"/>
        </w:rPr>
        <w:t>水功能区，是指为满足水资源合理开发和有效保护的需求，根据水资源的自然条件、功能要求、开发利用现状，按照流域综合规划、水资源保护规划和经济社会发展要求，在相应水域按其主导功能划定并执行相应质量标准的特定区域。水功能区分为水功能一级区和水功能二级区。</w:t>
      </w:r>
    </w:p>
    <w:p>
      <w:pPr>
        <w:pStyle w:val="43"/>
      </w:pPr>
      <w:r>
        <w:drawing>
          <wp:inline distT="0" distB="0" distL="0" distR="0">
            <wp:extent cx="5274310" cy="2933700"/>
            <wp:effectExtent l="0" t="0" r="2540" b="0"/>
            <wp:docPr id="10463504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50451" name="图片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310" cy="2933700"/>
                    </a:xfrm>
                    <a:prstGeom prst="rect">
                      <a:avLst/>
                    </a:prstGeom>
                    <a:noFill/>
                    <a:ln>
                      <a:noFill/>
                    </a:ln>
                  </pic:spPr>
                </pic:pic>
              </a:graphicData>
            </a:graphic>
          </wp:inline>
        </w:drawing>
      </w:r>
    </w:p>
    <w:p>
      <w:pPr>
        <w:pStyle w:val="41"/>
      </w:pPr>
      <w:r>
        <w:t>图3.1-1 水功能区分级分类系统</w:t>
      </w:r>
    </w:p>
    <w:p>
      <w:pPr>
        <w:pStyle w:val="30"/>
        <w:ind w:firstLine="480"/>
      </w:pPr>
      <w:r>
        <w:rPr>
          <w:rFonts w:hint="eastAsia"/>
        </w:rPr>
        <w:t>水功能一级区分为保护区、缓冲区、开发利用区和保留区四类。</w:t>
      </w:r>
    </w:p>
    <w:p>
      <w:pPr>
        <w:pStyle w:val="30"/>
        <w:ind w:firstLine="480"/>
      </w:pPr>
      <w:r>
        <w:rPr>
          <w:rFonts w:hint="eastAsia"/>
        </w:rPr>
        <w:t>水功能二级区在开发利用区中划分，分为饮用水源区、工业用水区、农业用水区、渔业用水区、景观娱乐用水区、过渡区和排污控制区七类。</w:t>
      </w:r>
    </w:p>
    <w:p>
      <w:pPr>
        <w:pStyle w:val="30"/>
        <w:ind w:firstLine="480"/>
      </w:pPr>
      <w:r>
        <w:rPr>
          <w:rFonts w:hint="eastAsia"/>
        </w:rPr>
        <w:t>对照《水功能区划标准》（GB/T50594-2010），水功能区水质标准要求如下表。</w:t>
      </w:r>
    </w:p>
    <w:p>
      <w:pPr>
        <w:pStyle w:val="41"/>
      </w:pPr>
      <w:r>
        <w:t>表3.1-1 水功能区水质标准要求</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575"/>
        <w:gridCol w:w="56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tcPr>
          <w:p>
            <w:pPr>
              <w:pStyle w:val="43"/>
            </w:pPr>
            <w:r>
              <w:t>类别</w:t>
            </w:r>
          </w:p>
        </w:tc>
        <w:tc>
          <w:tcPr>
            <w:tcW w:w="1575" w:type="dxa"/>
          </w:tcPr>
          <w:p>
            <w:pPr>
              <w:pStyle w:val="43"/>
            </w:pPr>
            <w:r>
              <w:t>水功能区</w:t>
            </w:r>
          </w:p>
        </w:tc>
        <w:tc>
          <w:tcPr>
            <w:tcW w:w="5682" w:type="dxa"/>
          </w:tcPr>
          <w:p>
            <w:pPr>
              <w:pStyle w:val="43"/>
            </w:pPr>
            <w:r>
              <w:t>水质标准要求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restart"/>
            <w:vAlign w:val="center"/>
          </w:tcPr>
          <w:p>
            <w:pPr>
              <w:pStyle w:val="43"/>
            </w:pPr>
            <w:r>
              <w:t>一级水功能区</w:t>
            </w:r>
          </w:p>
        </w:tc>
        <w:tc>
          <w:tcPr>
            <w:tcW w:w="1575" w:type="dxa"/>
            <w:vAlign w:val="center"/>
          </w:tcPr>
          <w:p>
            <w:pPr>
              <w:pStyle w:val="43"/>
            </w:pPr>
            <w:r>
              <w:t>保护区</w:t>
            </w:r>
          </w:p>
        </w:tc>
        <w:tc>
          <w:tcPr>
            <w:tcW w:w="5682" w:type="dxa"/>
          </w:tcPr>
          <w:p>
            <w:pPr>
              <w:pStyle w:val="43"/>
            </w:pPr>
            <w:r>
              <w:t>保护区水质标准应符合现行国家标准《地表水环境质量标准》（GB3838-2002）中Ⅰ类或Ⅱ类水质标准；当由于自然、地质原因不满足Ⅰ类或Ⅱ类水质标准时，应维持现状水质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保留区</w:t>
            </w:r>
          </w:p>
        </w:tc>
        <w:tc>
          <w:tcPr>
            <w:tcW w:w="5682" w:type="dxa"/>
          </w:tcPr>
          <w:p>
            <w:pPr>
              <w:pStyle w:val="43"/>
            </w:pPr>
            <w:r>
              <w:t>保留区水质标准应不低于现行国家标准《地表水环境质量标准》（GB3838-2002）规定的Ⅲ类水质标准或应按现状水质类别控制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65" w:type="dxa"/>
            <w:vMerge w:val="continue"/>
            <w:vAlign w:val="center"/>
          </w:tcPr>
          <w:p>
            <w:pPr>
              <w:pStyle w:val="43"/>
            </w:pPr>
          </w:p>
        </w:tc>
        <w:tc>
          <w:tcPr>
            <w:tcW w:w="1575" w:type="dxa"/>
            <w:vAlign w:val="center"/>
          </w:tcPr>
          <w:p>
            <w:pPr>
              <w:pStyle w:val="43"/>
            </w:pPr>
            <w:r>
              <w:t>开发利用区</w:t>
            </w:r>
          </w:p>
        </w:tc>
        <w:tc>
          <w:tcPr>
            <w:tcW w:w="5682" w:type="dxa"/>
          </w:tcPr>
          <w:p>
            <w:pPr>
              <w:pStyle w:val="43"/>
            </w:pPr>
            <w:r>
              <w:t>开发利用区水质标准由二级水功能区划相应类别的水质标准确定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缓冲区</w:t>
            </w:r>
          </w:p>
        </w:tc>
        <w:tc>
          <w:tcPr>
            <w:tcW w:w="5682" w:type="dxa"/>
          </w:tcPr>
          <w:p>
            <w:pPr>
              <w:pStyle w:val="43"/>
            </w:pPr>
            <w:r>
              <w:t>缓冲区水质标准应根据实际需要执行相关水质标准或按现状水质控制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restart"/>
            <w:vAlign w:val="center"/>
          </w:tcPr>
          <w:p>
            <w:pPr>
              <w:pStyle w:val="43"/>
            </w:pPr>
            <w:r>
              <w:t>二级水功能区</w:t>
            </w:r>
          </w:p>
        </w:tc>
        <w:tc>
          <w:tcPr>
            <w:tcW w:w="1575" w:type="dxa"/>
            <w:vAlign w:val="center"/>
          </w:tcPr>
          <w:p>
            <w:pPr>
              <w:pStyle w:val="43"/>
            </w:pPr>
            <w:r>
              <w:t>饮用水源区</w:t>
            </w:r>
          </w:p>
        </w:tc>
        <w:tc>
          <w:tcPr>
            <w:tcW w:w="5682" w:type="dxa"/>
          </w:tcPr>
          <w:p>
            <w:pPr>
              <w:pStyle w:val="43"/>
            </w:pPr>
            <w:r>
              <w:t>饮用水源区水质标准应符合现行国家标准《地表水环境质量标准》（GB3838-2002）中Ⅱ类或Ⅲ类水质标准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工业用水区</w:t>
            </w:r>
          </w:p>
        </w:tc>
        <w:tc>
          <w:tcPr>
            <w:tcW w:w="5682" w:type="dxa"/>
          </w:tcPr>
          <w:p>
            <w:pPr>
              <w:pStyle w:val="43"/>
            </w:pPr>
            <w:r>
              <w:t>工业用水区水质标准应符合现行国家标准《地表水环境质量标准》（GB3838-2002）中Ⅳ类水质标准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农业用水区</w:t>
            </w:r>
          </w:p>
        </w:tc>
        <w:tc>
          <w:tcPr>
            <w:tcW w:w="5682" w:type="dxa"/>
          </w:tcPr>
          <w:p>
            <w:pPr>
              <w:pStyle w:val="43"/>
            </w:pPr>
            <w:r>
              <w:t>农业用水区水质标准应符合现行国家标准《农田灌溉水质标准》（GB5084）的规定，也可按现行国家标准《地表水环境质量标准》（GB3838-2002）中Ⅴ类标准确定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渔业用水区</w:t>
            </w:r>
          </w:p>
        </w:tc>
        <w:tc>
          <w:tcPr>
            <w:tcW w:w="5682" w:type="dxa"/>
          </w:tcPr>
          <w:p>
            <w:pPr>
              <w:pStyle w:val="43"/>
            </w:pPr>
            <w:r>
              <w:t>渔业用水区水质标准应符合现行国家标准《渔业水质标准》</w:t>
            </w:r>
          </w:p>
          <w:p>
            <w:pPr>
              <w:pStyle w:val="43"/>
            </w:pPr>
            <w:r>
              <w:t>（GB11607）的有关规定，也可按现行国家标准《地表水环境质量标准》（GB3838-2002）中Ⅱ类或Ⅲ类水质标准确定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景观娱乐用水区</w:t>
            </w:r>
          </w:p>
        </w:tc>
        <w:tc>
          <w:tcPr>
            <w:tcW w:w="5682" w:type="dxa"/>
          </w:tcPr>
          <w:p>
            <w:pPr>
              <w:pStyle w:val="43"/>
            </w:pPr>
            <w:r>
              <w:t>景观娱乐用水区水质标准应符合现行国家标准《地表水环境质量标准》（GB3838-2002）中Ⅲ类或Ⅳ类水质标准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过渡区</w:t>
            </w:r>
          </w:p>
        </w:tc>
        <w:tc>
          <w:tcPr>
            <w:tcW w:w="5682" w:type="dxa"/>
          </w:tcPr>
          <w:p>
            <w:pPr>
              <w:pStyle w:val="43"/>
            </w:pPr>
            <w:r>
              <w:t>过渡区水质标准应按出流断面水质达到相邻功能区的水质目标要求选择相应的控制标准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3"/>
            </w:pPr>
          </w:p>
        </w:tc>
        <w:tc>
          <w:tcPr>
            <w:tcW w:w="1575" w:type="dxa"/>
            <w:vAlign w:val="center"/>
          </w:tcPr>
          <w:p>
            <w:pPr>
              <w:pStyle w:val="43"/>
            </w:pPr>
            <w:r>
              <w:t>排污控制区</w:t>
            </w:r>
          </w:p>
        </w:tc>
        <w:tc>
          <w:tcPr>
            <w:tcW w:w="5682" w:type="dxa"/>
          </w:tcPr>
          <w:p>
            <w:pPr>
              <w:pStyle w:val="43"/>
            </w:pPr>
            <w:r>
              <w:t>污染控制区水质标准应按其出流断面的水质状况达到相邻水功能区的水质控制标准确定</w:t>
            </w:r>
          </w:p>
        </w:tc>
      </w:tr>
    </w:tbl>
    <w:p>
      <w:pPr>
        <w:pStyle w:val="30"/>
        <w:ind w:firstLine="480"/>
        <w:rPr>
          <w:u w:val="single"/>
        </w:rPr>
      </w:pPr>
      <w:r>
        <w:rPr>
          <w:u w:val="single"/>
        </w:rPr>
        <w:t>本项目</w:t>
      </w:r>
      <w:r>
        <w:rPr>
          <w:rFonts w:hint="eastAsia"/>
          <w:u w:val="single"/>
        </w:rPr>
        <w:t>入河排污口设置位置位于白河右岸，根据《湖南省主要地表水系水环境功能区划》（DB43/023-2005）可知，白河的花尾乡老龙潭至归阳状元桥水域（87km）为渔业用水区，水质目标为《地表水环境质量标准》</w:t>
      </w:r>
      <w:r>
        <w:rPr>
          <w:u w:val="single"/>
        </w:rPr>
        <w:t>（GB3838-2002) Ⅲ</w:t>
      </w:r>
      <w:r>
        <w:rPr>
          <w:rFonts w:hint="eastAsia"/>
          <w:u w:val="single"/>
        </w:rPr>
        <w:t>类。</w:t>
      </w:r>
    </w:p>
    <w:p>
      <w:pPr>
        <w:pStyle w:val="35"/>
      </w:pPr>
      <w:bookmarkStart w:id="32" w:name="_Toc19586"/>
      <w:r>
        <w:rPr>
          <w:rFonts w:hint="eastAsia"/>
        </w:rPr>
        <w:t>3</w:t>
      </w:r>
      <w:r>
        <w:t>.2</w:t>
      </w:r>
      <w:r>
        <w:rPr>
          <w:rFonts w:hint="eastAsia"/>
        </w:rPr>
        <w:t>水功能区（水域）纳污能力及限制排放总量</w:t>
      </w:r>
      <w:bookmarkEnd w:id="32"/>
    </w:p>
    <w:p>
      <w:pPr>
        <w:pStyle w:val="30"/>
        <w:ind w:firstLine="480"/>
        <w:rPr>
          <w:u w:val="single"/>
        </w:rPr>
      </w:pPr>
      <w:r>
        <w:rPr>
          <w:u w:val="single"/>
        </w:rPr>
        <w:t>根据《入河排污口管理技术导则》（SL532-2011）5.3.6条“水域纳污能力应采纳各级水行政主管部门或流域管理机构核定的数据，未核定纳污能力的水域，应按</w:t>
      </w:r>
      <w:r>
        <w:rPr>
          <w:rFonts w:hint="eastAsia"/>
          <w:u w:val="single"/>
        </w:rPr>
        <w:t>GB/T25173</w:t>
      </w:r>
      <w:r>
        <w:rPr>
          <w:u w:val="single"/>
        </w:rPr>
        <w:t>的规定和水功能区管理要求核算纳污能力”。</w:t>
      </w:r>
      <w:r>
        <w:rPr>
          <w:rFonts w:hint="eastAsia"/>
          <w:u w:val="single"/>
        </w:rPr>
        <w:t>由于东侧沟渠为区域农业退水渠，枯水期渠道基本无上游来水，因此本次主要计算白河纳污能力。</w:t>
      </w:r>
    </w:p>
    <w:p>
      <w:pPr>
        <w:pStyle w:val="38"/>
      </w:pPr>
      <w:bookmarkStart w:id="33" w:name="_Toc2913"/>
      <w:r>
        <w:rPr>
          <w:rFonts w:hint="eastAsia"/>
        </w:rPr>
        <w:t>3</w:t>
      </w:r>
      <w:r>
        <w:t>.2.1</w:t>
      </w:r>
      <w:r>
        <w:rPr>
          <w:rFonts w:hint="eastAsia"/>
        </w:rPr>
        <w:t>计算方法及模型选定</w:t>
      </w:r>
      <w:bookmarkEnd w:id="33"/>
    </w:p>
    <w:p>
      <w:pPr>
        <w:pStyle w:val="30"/>
        <w:ind w:firstLine="480"/>
      </w:pPr>
      <w:r>
        <w:t>本项目纳污水体为</w:t>
      </w:r>
      <w:r>
        <w:rPr>
          <w:rFonts w:hint="eastAsia"/>
        </w:rPr>
        <w:t>白河</w:t>
      </w:r>
      <w:r>
        <w:t>，</w:t>
      </w:r>
      <w:r>
        <w:rPr>
          <w:rFonts w:hint="eastAsia"/>
        </w:rPr>
        <w:t>白河流域面积约为865平方公里，多年平均流量约12m</w:t>
      </w:r>
      <w:r>
        <w:rPr>
          <w:vertAlign w:val="superscript"/>
        </w:rPr>
        <w:t>3</w:t>
      </w:r>
      <w:r>
        <w:t>/</w:t>
      </w:r>
      <w:r>
        <w:rPr>
          <w:rFonts w:hint="eastAsia"/>
        </w:rPr>
        <w:t>s，多年平均径流量3.88亿立方米。</w:t>
      </w:r>
    </w:p>
    <w:p>
      <w:pPr>
        <w:pStyle w:val="30"/>
        <w:ind w:firstLine="480"/>
        <w:rPr>
          <w:rFonts w:ascii="宋体" w:hAnsi="宋体" w:cs="宋体"/>
        </w:rPr>
      </w:pPr>
      <w:r>
        <w:t>根据《水域纳污能力计算规程》（GBT25173-2010）</w:t>
      </w:r>
      <w:r>
        <w:rPr>
          <w:rFonts w:hint="eastAsia"/>
        </w:rPr>
        <w:t>，河段多年平均流量Q&lt;15m</w:t>
      </w:r>
      <w:r>
        <w:rPr>
          <w:rFonts w:hint="eastAsia"/>
          <w:vertAlign w:val="superscript"/>
        </w:rPr>
        <w:t>3</w:t>
      </w:r>
      <w:r>
        <w:rPr>
          <w:rFonts w:hint="eastAsia"/>
        </w:rPr>
        <w:t>/s的为小型河段，白河</w:t>
      </w:r>
      <w:r>
        <w:rPr>
          <w:szCs w:val="24"/>
        </w:rPr>
        <w:t>多年平均流量为</w:t>
      </w:r>
      <w:r>
        <w:rPr>
          <w:rFonts w:hint="eastAsia"/>
          <w:szCs w:val="24"/>
        </w:rPr>
        <w:t>12</w:t>
      </w:r>
      <w:r>
        <w:rPr>
          <w:rFonts w:hint="eastAsia"/>
        </w:rPr>
        <w:t>m</w:t>
      </w:r>
      <w:r>
        <w:rPr>
          <w:rFonts w:hint="eastAsia"/>
          <w:vertAlign w:val="superscript"/>
        </w:rPr>
        <w:t>3</w:t>
      </w:r>
      <w:r>
        <w:rPr>
          <w:szCs w:val="24"/>
        </w:rPr>
        <w:t>/</w:t>
      </w:r>
      <w:r>
        <w:rPr>
          <w:rFonts w:hint="eastAsia"/>
          <w:szCs w:val="24"/>
        </w:rPr>
        <w:t>s，属于小型河流，</w:t>
      </w:r>
      <w:r>
        <w:rPr>
          <w:rFonts w:ascii="宋体" w:hAnsi="宋体" w:cs="宋体"/>
        </w:rPr>
        <w:t>其水域纳污能力采用</w:t>
      </w:r>
      <w:r>
        <w:rPr>
          <w:rFonts w:hint="eastAsia" w:ascii="宋体" w:hAnsi="宋体" w:cs="宋体"/>
        </w:rPr>
        <w:t>河流一维模型</w:t>
      </w:r>
      <w:r>
        <w:rPr>
          <w:rFonts w:ascii="宋体" w:hAnsi="宋体" w:cs="宋体"/>
        </w:rPr>
        <w:t>公式计算：</w:t>
      </w:r>
    </w:p>
    <w:p>
      <w:pPr>
        <w:pStyle w:val="30"/>
        <w:ind w:firstLine="480"/>
        <w:rPr>
          <w:rFonts w:ascii="宋体" w:hAnsi="宋体" w:cs="宋体"/>
        </w:rPr>
      </w:pPr>
      <w:r>
        <w:t>1）</w:t>
      </w:r>
      <w:r>
        <w:rPr>
          <w:rFonts w:hint="eastAsia" w:ascii="宋体" w:hAnsi="宋体" w:cs="宋体"/>
        </w:rPr>
        <w:t>河段污染物浓度：</w:t>
      </w:r>
      <w:r>
        <w:rPr>
          <w:rFonts w:ascii="宋体" w:hAnsi="宋体" w:cs="宋体"/>
        </w:rPr>
        <w:pict>
          <v:shape id="_x0000_i1025" o:spt="75" type="#_x0000_t75" style="height:31.5pt;width:100.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lang w:val=&quot;EN-US&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gt;&lt;/w:rPr&gt;&lt;/m:ctrlPr&gt;&lt;/m:e&gt;&lt;m:sub&gt;&lt;m:r&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gt;&lt;/w:rPr&gt;&lt;/m:ctrlPr&gt;&lt;/m:sub&gt;&lt;/m:sSub&gt;&lt;m:r&gt;&lt;m:rPr&gt;&lt;m:scr m:val=&quot;roman&quot;/&gt;&lt;/m:rPr&gt;&lt;w:rPr&gt;&lt;w:rFonts w:ascii=&quot;Cambria Math&quot; w:h-ansi=&quot;Cambria Math&quot; w:hint=&quot;default&quot;/&gt;&lt;w:lang w:val=&quot;EN-US&quot; w:fareast=&quot;ZH-CN&quot;/&gt;&lt;/w:rPr&gt;&lt;m:t&gt;=&lt;/m:t&gt;&lt;/m:r&gt;&lt;m:sSub&gt;&lt;m:sSubPr&gt;&lt;m:ctrlPr&gt;&lt;w:rPr&gt;&lt;w:rFonts w:ascii=&quot;Cambria Math&quot; w:h-ansi=&quot;Cambria Math&quot; w:hint=&quot;default&quot;/&gt;&lt;w:i/&gt;&lt;w:lang w:val=&quot;EN-US&quot; w:fareast=&quot;ZH-CN&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 w:fareast=&quot;ZH-CN&quot;/&gt;&lt;/w:rPr&gt;&lt;/m:ctrlPr&gt;&lt;/m:e&gt;&lt;m:sub&gt;&lt;m:r&gt;&lt;m:rPr&gt;&lt;m:scr m:val=&quot;roman&quot;/&gt;&lt;/m:rPr&gt;&lt;w:rPr&gt;&lt;w:rFonts w:ascii=&quot;Cambria Math&quot; w:h-ansi=&quot;Cambria Math&quot; w:hint=&quot;default&quot;/&gt;&lt;w:lang w:val=&quot;EN-US&quot; w:fareast=&quot;ZH-CN&quot;/&gt;&lt;/w:rPr&gt;&lt;m:t&gt;0&lt;/m:t&gt;&lt;/m:r&gt;&lt;m:ctrlPr&gt;&lt;w:rPr&gt;&lt;w:rFonts w:ascii=&quot;Cambria Math&quot; w:h-ansi=&quot;Cambria Math&quot; w:hint=&quot;default&quot;/&gt;&lt;w:i/&gt;&lt;w:lang w:val=&quot;EN-US&quot; w:fareast=&quot;ZH-CN&quot;/&gt;&lt;/w:rPr&gt;&lt;/m:ctrlPr&gt;&lt;/m:sub&gt;&lt;/m:sSub&gt;&lt;m:r&gt;&lt;m:rPr&gt;&lt;m:scr m:val=&quot;roman&quot;/&gt;&lt;/m:rPr&gt;&lt;w:rPr&gt;&lt;w:rFonts w:ascii=&quot;Cambria Math&quot; w:h-ansi=&quot;Cambria Math&quot; w:hint=&quot;default&quot;/&gt;&lt;w:lang w:val=&quot;EN-US&quot; w:fareast=&quot;ZH-CN&quot;/&gt;&lt;/w:rPr&gt;&lt;m:t&gt;exp(鈭扠&lt;/m:t&gt;&lt;/m:r&gt;&lt;m:f&gt;&lt;m:fPr&gt;&lt;m:ctrlPr&gt;&lt;w:rPr&gt;&lt;w:rFonts w:ascii=&quot;Cambria Math&quot; w:h-ansi=&quot;Cambria Math&quot; w:hint=&quot;default&quot;/&gt;&lt;w:i/&gt;&lt;w:lang w:val=&quot;EN-US&quot; w:fareast=&quot;ZH-CN&quot;/&gt;&lt;/w:rPr&gt;&lt;/m:ctrlPr&gt;&lt;/m:fPr&gt;&lt;m:num&gt;&lt;m:rg g g g g &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 w:fareast=&quot;ZH-CN&quot;/&gt;&lt;/w:rPr&gt;&lt;/m:ctrlPr&gt;&lt;/m:num&gt;&lt;m:den&gt;&lt;m:r&gt;&lt;m:rPr&gt;&lt;m:scr m:val=&quot;roman&quot;/&gt;&lt;/m:rPr&gt;&lt;w:rPr&gt;&lt;w:rFonts w:ascii=&quot;Cambria Math&quot; w:h-ansi=&quot;Cambria Math&quot; w:hint=&quot;default&quot;/&gt;&lt;w:lang w:val=&quot;EN-US&quot; w:fareast=&quot;ZH-CN&quot;/&gt;&lt;/w:rPr&gt;&lt;m:t&gt;u&lt;/m:t&gt;&lt;/m:r&gt;&lt;m:ctrlPr&gt;&lt;w:rPr&gt;&lt;w:rFonts w:ascii=&quot;Cambria Math&quot; w:h-ansi=&quot;Cambria Math&quot; w:hint=&quot;default&quot;/&gt;&lt;w:i/&gt;&lt;w:lang w:val=&quot;EN-US&quot; w:fareast=&quot;ZH-CN&quot;/&gt;&lt;/w:rPr&gt;&lt;/m:ctrlPr&gt;&lt;/m:den&gt;&lt;/m:f&gt;&lt;m:r&gt;&lt;m:rPr&gt;&lt;m:scr m:val=&quot;roman&quot;/&gt;&lt;/m:rPr&gt;&lt;w:rPr&gt;&lt;w:rFonts w:ascii=&quot;Cambria Math&quot; w:h-ansi=&quot;Cambria Math&quot; w:hint=&quot;default&quot;/&gt;&lt;w:lang w:val=&quot;EN-US&quot; w:fareast=&quot;ZH-CN&quot;/&gt;&lt;/w:rPr&gt;&lt;m:t&gt;)&lt;/m:t&gt;&lt;/m:r&gt;&lt;/m:oMath&gt;&lt;/m:oMathPara&gt;&lt;/w:p&gt;&lt;/wx:sect&gt;&lt;/w:body&gt;&lt;/w:wordDocument">
            <v:path/>
            <v:fill on="f" focussize="0,0"/>
            <v:stroke on="f" joinstyle="miter"/>
            <v:imagedata r:id="rId16" o:title=""/>
            <o:lock v:ext="edit" aspectratio="f"/>
            <w10:wrap type="none"/>
            <w10:anchorlock/>
          </v:shape>
        </w:pict>
      </w:r>
    </w:p>
    <w:p>
      <w:pPr>
        <w:pStyle w:val="30"/>
        <w:ind w:firstLine="480"/>
      </w:pPr>
      <w:r>
        <w:rPr>
          <w:rFonts w:hint="eastAsia" w:cs="宋体"/>
        </w:rPr>
        <w:t>式中：C</w:t>
      </w:r>
      <w:r>
        <w:rPr>
          <w:rFonts w:hint="eastAsia" w:cs="宋体"/>
          <w:vertAlign w:val="subscript"/>
        </w:rPr>
        <w:t>x</w:t>
      </w:r>
      <w:r>
        <w:t>—</w:t>
      </w:r>
      <w:r>
        <w:rPr>
          <w:rFonts w:hint="eastAsia"/>
        </w:rPr>
        <w:t>流经x距离后的污染物浓度，mg/L</w:t>
      </w:r>
    </w:p>
    <w:p>
      <w:pPr>
        <w:pStyle w:val="30"/>
        <w:ind w:firstLine="480"/>
        <w:rPr>
          <w:rFonts w:ascii="宋体" w:hAnsi="宋体" w:cs="宋体"/>
          <w:color w:val="000000"/>
          <w:szCs w:val="24"/>
        </w:rPr>
      </w:pPr>
      <w:r>
        <w:rPr>
          <w:rFonts w:hint="eastAsia"/>
          <w:color w:val="000000"/>
          <w:szCs w:val="24"/>
        </w:rPr>
        <w:t>C</w:t>
      </w:r>
      <w:r>
        <w:rPr>
          <w:rFonts w:hint="eastAsia"/>
          <w:color w:val="000000"/>
          <w:szCs w:val="24"/>
          <w:vertAlign w:val="subscript"/>
        </w:rPr>
        <w:t>0</w:t>
      </w:r>
      <w:r>
        <w:rPr>
          <w:rFonts w:eastAsia="Sim Sun+ 2"/>
          <w:color w:val="000000"/>
          <w:szCs w:val="24"/>
        </w:rPr>
        <w:t>—</w:t>
      </w:r>
      <w:r>
        <w:rPr>
          <w:rFonts w:hint="eastAsia" w:ascii="宋体" w:hAnsi="宋体" w:cs="宋体"/>
          <w:color w:val="000000"/>
          <w:szCs w:val="24"/>
        </w:rPr>
        <w:t>初始断面的污染物浓度，</w:t>
      </w:r>
      <w:r>
        <w:rPr>
          <w:color w:val="000000"/>
          <w:szCs w:val="24"/>
        </w:rPr>
        <w:t>mg/L</w:t>
      </w:r>
    </w:p>
    <w:p>
      <w:pPr>
        <w:pStyle w:val="30"/>
        <w:ind w:firstLine="480"/>
        <w:rPr>
          <w:rFonts w:cs="宋体"/>
          <w:color w:val="000000"/>
          <w:szCs w:val="24"/>
        </w:rPr>
      </w:pPr>
      <w:r>
        <w:rPr>
          <w:rFonts w:hint="eastAsia"/>
          <w:color w:val="000000"/>
          <w:szCs w:val="24"/>
        </w:rPr>
        <w:t>x</w:t>
      </w:r>
      <w:r>
        <w:rPr>
          <w:color w:val="000000"/>
          <w:szCs w:val="24"/>
        </w:rPr>
        <w:t>—</w:t>
      </w:r>
      <w:r>
        <w:rPr>
          <w:rFonts w:hint="eastAsia" w:cs="宋体"/>
          <w:color w:val="000000"/>
          <w:szCs w:val="24"/>
        </w:rPr>
        <w:t>沿河段的纵向距离，</w:t>
      </w:r>
      <w:r>
        <w:rPr>
          <w:color w:val="000000"/>
          <w:szCs w:val="24"/>
        </w:rPr>
        <w:t>m</w:t>
      </w:r>
    </w:p>
    <w:p>
      <w:pPr>
        <w:pStyle w:val="30"/>
        <w:ind w:firstLine="480"/>
        <w:rPr>
          <w:rFonts w:cs="宋体"/>
          <w:color w:val="000000"/>
          <w:szCs w:val="24"/>
        </w:rPr>
      </w:pPr>
      <w:r>
        <w:rPr>
          <w:color w:val="000000"/>
          <w:szCs w:val="24"/>
        </w:rPr>
        <w:t>u—</w:t>
      </w:r>
      <w:r>
        <w:rPr>
          <w:rFonts w:hint="eastAsia" w:cs="宋体"/>
          <w:color w:val="000000"/>
          <w:szCs w:val="24"/>
        </w:rPr>
        <w:t>设计流量下河道断面的平均流速，</w:t>
      </w:r>
      <w:r>
        <w:rPr>
          <w:color w:val="000000"/>
          <w:szCs w:val="24"/>
        </w:rPr>
        <w:t>m/s</w:t>
      </w:r>
    </w:p>
    <w:p>
      <w:pPr>
        <w:pStyle w:val="30"/>
        <w:ind w:firstLine="480"/>
        <w:rPr>
          <w:rFonts w:cs="宋体"/>
        </w:rPr>
      </w:pPr>
      <w:r>
        <w:rPr>
          <w:rFonts w:hint="eastAsia" w:cs="宋体"/>
        </w:rPr>
        <w:t>K</w:t>
      </w:r>
      <w:r>
        <w:t>—</w:t>
      </w:r>
      <w:r>
        <w:rPr>
          <w:rFonts w:hint="eastAsia"/>
        </w:rPr>
        <w:t>污染物综合衰减系数，1/s</w:t>
      </w:r>
    </w:p>
    <w:p>
      <w:pPr>
        <w:pStyle w:val="30"/>
        <w:ind w:firstLine="480"/>
        <w:rPr>
          <w:rFonts w:eastAsia="Sim Sun+ 2" w:cs="宋体"/>
          <w:color w:val="000000"/>
          <w:szCs w:val="24"/>
        </w:rPr>
      </w:pPr>
      <w:r>
        <w:rPr>
          <w:rFonts w:hint="eastAsia" w:cs="宋体"/>
          <w:color w:val="000000"/>
          <w:szCs w:val="24"/>
        </w:rPr>
        <w:t>2）相应的水域纳污能力：</w:t>
      </w:r>
      <w:r>
        <w:rPr>
          <w:rFonts w:eastAsia="Sim Sun+ 2" w:cs="宋体"/>
          <w:color w:val="000000"/>
          <w:szCs w:val="24"/>
        </w:rPr>
        <w:pict>
          <v:shape id="_x0000_i1026" o:spt="75" type="#_x0000_t75" style="height:31.5pt;width:117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瀹嬩綋&quot; w:hint=&quot;default&quot;/&gt;&lt;w:color w:val=&quot;000000&quot;/&gt;&lt;w:sz w:val=&quot;24&quot;/&gt;&lt;w:sz-cs w:val=&quot;24&quot;/&gt;&lt;w:lang w:val=&quot;EN-US&quot; w:fareast=&quot;ZH-CN&quot; w:bidi=&quot;AR-SA&quot;/&gt;&lt;/w:rPr&gt;&lt;m:t&gt;M=(&lt;/m:t&gt;&lt;/m:r&gt;&lt;rPr&gt;&lt;wrPr&gt;&lt;wrPr&gt;&lt;wrPr&gt;&lt;wrPr&gt;&lt;wm:sSub&gt;&lt;m:sSubPr&gt;&lt;m:ctrlPr&gt;&lt;w:rPr&gt;&lt;w:rFonts w:ascii=&quot;Cambria Math&quot; w:h-ansi=&quot;Cambria Math&quot; w:fareast=&quot;瀹嬩綋&quot; w:cs=&quot;瀹嬩綋&quot; w:hint=&quot;default&quot;/&gt;&lt;w:color w:val=&quot;000000&quot;/&gt;&lt;w:sz w:val=&quot;24&quot;/&gt;&lt;w:sz-cs w:val=&quot;24&quot;/&gt;&lt;w:lang w:val=&quot;EN-US&quot; w:frPr&gt;&lt;wareastrPr&gt;&lt;w=&quot;ZH-CrPr&gt;&lt;wN&quot; w:brPr&gt;&lt;widi=&quot;ArPr&gt;&lt;wR-SA&quot;/&gt;&lt;/w:rPr&gt;&lt;/m:ctrlPr&gt;&lt;/m:sSubPr&gt;&lt;m:e&gt;&lt;m:r&gt;&lt;m:rPr&gt;&lt;m:sty m:val=&quot;p&quot;/&gt;&lt;m:scr m:val=&quot;roman&quot;/&gt;&lt;/m:rPr&gt;&lt;w:rPr&gt;&lt;w:rFonts w:ascii=&quot;Cambria Math&quot; w:h-ansi=&quot;Cambria Math&quot; w:fareast=&quot;瀹嬩綋&quot; w:cs=&quot;瀹嬩綋&quot; w:hint=&quot;rPr&gt;&lt;wdefault&quot;/&gt;&lt;wrPr&gt;&lt;w:color w:valrPr&gt;&lt;w=&quot;000000&quot;/&gt;&lt;rPr&gt;&lt;ww:sz w:val=&quot;rPr&gt;&lt;w24&quot;/&gt;&lt;w:sz-cs w:val=&quot;24&quot;/&gt;&lt;w:lang w:val=&quot;EN-US&quot; w:fareast=&quot;ZH-CN&quot; w:bidi=&quot;AR-SA&quot;/&gt;&lt;/w:rPr&gt;&lt;m:t&gt;C&lt;/m:t&gt;&lt;/m:r&gt;&lt;m:ctrlPr&gt;&lt;w:rPr&gt;&lt;w:rFonts w:ascii=&quot;Cambria Math&quot; w:h-ansi=&quot;Cambria Math&quot; w:fareast=&quot;瀹嬩綋&quot; &gt;&lt;ww:cs=&quot;瀹嬩綋&quot; w:hirPr&gt;&lt;wnt=&quot;default&quot;/&gt;&lt;w:crPr&gt;&lt;wolor w:val=&quot;000000rPr&gt;&lt;w&quot;/&gt;&lt;w:sz w:val=&quot;24&quot;/&gt;&lt;w:sz-cs w:val=&quot;24&quot;/&gt;&lt;w:lang w:val=&quot;EN-US&quot; w:fareast=&quot;ZH-CN&quot; w:bidi=&quot;AR-SA&quot;/&gt;&lt;/w:rPr&gt;&lt;/m:ctrlPr&gt;&lt;/m:e&gt;&lt;m:sub&gt;&lt;m:r&gt;&lt;m:rPr&gt;&lt;m:sty m:val=&quot;p&quot;/&gt;&lt;math&quot; w:scr m:val=&quot;roman&quot;/&gt;&lt;&gt;&lt;w/m:rPr&gt;&lt;w:rPr&gt;&lt;w:rFonts w:ascii=&quot;Cambria Math&quot; w:h-ansi=&quot;Cambria Math&quot; w:fareast=&quot;瀹嬩綋&quot; w:cs=&quot;瀹嬩綋&quot; w:hint=&quot;default&quot;/&gt;&lt;w:color w:val=&quot;000000&quot;/&gt;&lt;w:sz w:val=&quot;24&quot;/&gt;&lt;w:sz-cs w:val=&quot;24&quot;/&gt;&lt;w:lang w:val=&quot;EN-US&quot; w:fareast=&quot;ZH-CN&quot; w:bidath&quot; wi=&quot;AR-SA&quot;/&gt;&lt;/w:rPr&gt;&lt;m:t&gt;/&gt;&lt;&gt;&lt;ws&lt;/m:t&gt;&lt;/m:r&gt;&lt;m:ctrlPr&gt;&lt;Fonts w:rPr&gt;&lt;w:rFonts w:ascii=ath&quot; w&quot;Cambria Math&quot; w:h-ansi=ath&quot; w&quot;Cambria Math&quot; w:fareast=&quot;瀹嬩綋&quot; w:cs=&quot;瀹嬩綋&quot; w:hint=&quot;default&quot;/&gt;&lt;w:color w:val=&quot;000000&quot;/&gt;&lt;w:sz w:val=&quot;24&quot;/&gt;&lt;w:sz-cs w:val=&quot;24&quot;/&gt;&lt;w:laath&quot; wng w:val=&quot;EN-US&quot; w:fareast=&quot;ZH/&gt;&lt;&gt;&lt;w-CN&quot; w:bidi=&quot;AR-SA&quot;/&gt;&lt;/w:rPr&gt;&lt;Fonts /m:ctrlPr&gt;&lt;/m:sub&gt;&lt;/m:sSub&gt;&lt;m:ath&quot; wr&gt;&lt;m:rPr&gt;&lt;m:sty m:val=&quot;p&quot;/&gt;&lt;m:ath&quot; wscr m:val=&quot;roman&quot;/&gt;&lt;/m:rPr&gt;&lt;w:rPr&gt;&lt;w:rFonts w:ascii=&quot;Cambria Math&quot; w:h-ansi=&quot;Cambria Math&quot; w:fareast=&quot;瀹嬩綋&quot; w&quot; w:cs=&quot;瀹嬩綋&quot; w:hint=&quot;default&quot;/&gt;&lt;w:co/&gt;&lt;&gt;&lt;wlor w:val=&quot;000000&quot;/&gt;&lt;w:sz w:val=&quot;24&quot;Fonts /&gt;&lt;w:sz-cs w:val=&quot;24&quot;/&gt;&lt;w:lang w:valath&quot; w=&quot;EN-US&quot; w:fareast=&quot;ZH-CN&quot; w:bidi=&quot;Aath&quot; wR-SA&quot;/&gt;&lt;/w:rPr&gt;&lt;m:t&gt;鈭?/m:t&gt;&lt;/m:r&gt;&lt;m:sSub&gt;&lt;m:sSubPr&gt;&lt;m:ctrlPr&gt;&lt;w:rPr&gt;&lt;w:rFonts w:ascii=w&quot; w&quot;Cambria Math&quot; w:h-ansi=&quot;Cambria Math&quot; w:fwareast=&quot;瀹嬩綋&quot; w:cs=&quot;瀹嬩綋&quot; w:hint=&quot;defa&quot;Fonts ult&quot;/&gt;&lt;w:color w:val=&quot;000000&quot;/&gt;&lt;w:sz w:vallath&quot; w=&quot;24&quot;/&gt;&lt;w:sz-cs w:val=&quot;24&quot;/&gt;&lt;w:lang w:val&quot;Aath&quot; w=&quot;EN-US&quot; w:fareast=&quot;ZH-CN&quot; w:bidi=&quot;AR-SA&quot;/&gt;&lt;/w:rPr&gt;&lt;/m:ctrlPr&gt;&lt;/mi=w&quot; w:sSubPr&gt;&lt;m:e&gt;&lt;m:r&gt;&lt;m:rPr&gt;&lt;m:sty m:val=&quot;p&quot;/&gt;&quot; w:fw&lt;m:scr m:val=&quot;roman&quot;/&gt;&lt;/m:rPr&gt;&lt;w:rPr&gt;&lt;w:rFonts w:ascii=&quot;Cambria Math&quot; w:h-ansi=&quot;Cambria Math&quot; w:fareast=&quot;瀹嬩綋&quot; w:cs=&quot;瀹嬩綋&quot; w:hint=&quot;default&quot;/&gt;&lt;wath&quot; w:color w:val=&quot;000000&quot;/&gt;&lt;w:sz w:val=&quot;24&quot;/&gt;&lt;w:sz-cs w:vi=w&quot; wal=&quot;24&quot;/&gt;&lt;w:lang w:val=&quot;EN-US&quot; w:fareast=&quot;ZH-CN&quot; &quot; w:fww:bidi=&quot;AR-SA&quot;/&gt;&lt;/w:rPr&gt;&lt;m:t&gt;C&lt;/m:t&gt;&lt;/m:r&gt;&lt;m:ctrlnts w:Pr&gt;&lt;w:rPr&gt;&lt;w:rFonts w:ascii=&quot;Cambria Math&quot; w:h-an&quot; w:fasi=&quot;Cambria Math&quot; w:fareast=&quot;瀹嬩綋&quot; w:cs=&quot;瀹嬩綋&quot; w:hiath&quot; wnt=&quot;default&quot;/&gt;&lt;w:color w:val=i=w&quot; w&quot;000000&quot;/&gt;&lt;w:sz w:val=&quot;24&quot;/&gt;&lt;w:sz-cs w:val=&quot;24&quot;/&gt;&lt;w:lan&quot; w:fwg w:val=&quot;EN-US&quot; w:fareast=&quot;ZH-CN&quot; w:bidi=&quot;AR-SA&quot;/&gt;&lt;/w:rnts w:Pr&gt;&lt;/m:ctrlPr&gt;&lt;/m:e&gt;&lt;m:sub&gt;&lt;m:r&gt;&lt;m:rPr&gt;&lt;m:sty m:val=&quot;p&quot;&quot; w:fa/&gt;&lt;m:scr m:val=&quot;roman&quot;/&gt;&lt;/m:rPr&gt;&lt;w:rPr&gt;&lt;w:rFonts w:ascii=&quot;Cambria Math&quot; w:h-ansi=&quot;Cambria Math&quot; w:fareast=&quot;瀹嬩綋&quot; w:cs=&quot;瀹嬩綋&quot; w:hi&quot; w:fwnt=&quot;default&quot;/&gt;&lt;w:color w:val=&quot;000000&quot;/&gt;&lt;w:sz w:val=&quot;24&quot;/&gt;&lt;w:snts w:z-cs w:val=&quot;24&quot;/&gt;&lt;w:lang w:val=&quot;EN-US&quot; w:fareast=&quot;ZH-CN&quot; w:bi&quot; w:fadi=&quot;AR-SA&quot;/&gt;&lt;/w:rPr&gt;&lt;m:t&gt;x&lt;/m:t&gt;&lt;/m:r&gt;&lt;m:ctrlPr&gt;&lt;w:rPrMath&quot; &gt;&lt;w:rFoi=&quot;Camnts w:ascii=&quot;Cambria Math&quot; w:h-ansi=&quot;Cambria Math&quot; w:fareast=&quot;瀹嬩綋&quot; w:cs=&quot;瀹嬩綋&quot; w:hint=&quot;default&quot;/&gt;&lt;w:color w:val=&quot;000nts w:000&quot;/&gt;&lt;w:sz w:val=&quot;24&quot;/&gt;&lt;w:sz-cs w:val=&quot;24&quot;/&gt;&lt;w:lang w:val=&quot;EN-US&quot; &quot; w:faw:fareast=&quot;ZH-CN&quot; w:bidi=&quot;AR-SA&quot;/&gt;&lt;/w:rPr&gt;Math&quot; &lt;/m:ctrlPr&gt;&lt;/m:sub&gt;&lt;/m:sSi=&quot;Camub&gt;&lt;m:r&gt;&lt;m:rPr&gt;&lt;m:sty m:val=&quot;p&quot;/&gt;&lt;m:h&quot; w:fscr m:val=&quot;roman&quot;/&gt;&lt;/m:rPr&gt;&lt;w:rPr&gt;&lt;w:rFonts w:ascii=&quot;Cambria Math&quot; w:h-ansi=&quot;Cambria Math&quot; w:fareast=&quot;瀹嬩綋&quot; w:cs=&quot;瀹嬩綋&quot; w:hint=&quot;default&quot;/&gt;&lt;w:c&quot; w:faolor w:val=&quot;000000&quot;/&gt;&lt;w:sz w:vMath&quot; al=&quot;24&quot;/&gt;&lt;w:sz-cs w:val=&quot;24&quot;/&gt;&lt;w:lang w:vali=&quot;Cam=&quot;EN-US&quot; w:fareast=&quot;ZH-Ch&quot; w:fN&quot; w:bidi=&quot;AR-SA&quot;/&gt;&lt;/w:rPr&gt;&lt;m:t&gt;)(Q+&lt;/m:t&gt;&lt;/m:r&gt;&lt;m:sSub&gt;&lt;m:sSubPr&gt;&lt;m:ctrlw:h-anPr&gt;&lt;w:rPr&gt;&lt;w:rFonts w:ascii=&quot;Cambria Math&quot; w:h-ansi=&quot;Cambria Math&quot; w:fareast=&quot;?畫浣? w:cs=&quot;瀹嬩綋ath&quot; &quot; w:hint=&quot;default&quot;/&gt;&lt;w:color w:val=&quot;000000&quot;/&gt;&lt;w:sz w:val=&quot;24i=&quot;Cam&quot;/&gt;&lt;w:sz-cs w&quot; w:f:val=&quot;24&quot;/&gt;&lt;w:lang w:val=&quot;EN-US&quot; w:fareast=&quot;ZH-CN&quot; w:bidi=&quot;AR-SA&quot;/&gt;&lt;/w:rPr&gt;&lt;/m::h-anctrlPr&gt;&lt;/m:sSubPr&gt;&lt;m:e&gt;&lt;m:r&gt;&lt;m:rPr&gt;&lt;m:sty m:val=&quot;p&quot;/&gt;&lt;m:scr m:val=&quot;roman&quot;/&gt;&lt;/mast=&quot;?:rPr&gt;&lt;w:rPr&gt;&lt;w:rFonts w:ascii=&quot;Cambria Math&quot; w:h-ansi=&quot;Cambria Math&quot; w:fareast=&quot;瀹嬩?am:f? w:cs=&quot;瀹嬩綋&quot; w:hint=&quot;default&quot;/&gt;&lt;w:color w:val=&quot;000000&quot;/&gt;&lt;w:sz w:val=&quot;24&quot;/&gt;&lt;w:sz-c:h-ans w:val=&quot;24&quot;/&gt;&lt;w:lang w:val=&quot;EN-US&quot; w:fareast=&quot;ZH-CN&quot; w:bidi=&quot;AR-SA&quot;/&gt;&lt;/w:rPr&gt;&lt;m&quot;?:rP:t&gt;Qst=&quot;?&lt;/m:t&gt;&lt;/m:r&gt;&lt;m:ctrlPr&gt;&lt;w:rPr&gt;&lt;w:rFonts w:ascii=&quot;Cambria Math&quot; w:h-ansi=&quot;Cambrm:fia Math&quot; 嬩?amw:fareast=&quot;瀹嬩綋&quot; w:cs=&quot;瀹嬩綋&quot; w:hint=&quot;default&quot;/&gt;&lt;w:color w:val=&quot;000000&quot;/-c:h-an&gt;&lt;w:sz w:val=&quot;24&quot;/&gt;&lt;w:sz-cs w:val=&quot;24&quot;/&gt;&lt;w:lang w:val=&quot;EN-US&quot; w:fareas&lt;m&quot;?:rPt=&quot;ZH-CN&quot; w:bidi=&quot;A&gt;Qst=&quot;?R-SA&quot;/&gt;&lt;/w:rPr&gt;&lt;/m:ctrlPr&gt;&lt;/m:e&gt;&lt;m:sub&gt;&lt;m:r&gt;&lt;m:rPr&gt;&lt;m:sty m:valambrm:f=&quot;p&quot;/&gt;&lt;m:scr m:val=&quot;roman&quot;/&gt;&quot; 嬩?am&lt;/m:rPr&gt;&lt;w:rPr&gt;&lt;w:rFonts w:ascii=&quot;Cambria Math&quot; w:h-ansi=&quot;Camnbria Math&quot; w:fareast=&quot;瀹嬩綋&quot; w:cs=&quot;瀹嬩綋&quot; w:hint=&quot;default&quot;/&gt;&lt;m&quot;?:rP&lt;w:color w:val=&quot;000000&quot;/&gt;&lt;w:sz w:v&gt;Qst=&quot;?al=&quot;24&quot;/&gt;&lt;w:sz-cs w:val=&quot;24&quot;/&gt;&lt;w:lang w:val=&quot;EN-US&quot; w:fambrm:fareast=&quot;ZH-CN&quot; w:bidi=&quot;AR-SA&quot;/&gt;&lt;/w:rPr&gt;&lt;m:t&quot; 嬩?am&gt;p&lt;/m:t&gt;&lt;/m:r&gt;&lt;m:ctrlPr&gt;&lt;w:rPr&gt;&lt;w:rFonts w:ascii=&quot;Camni=&quot;Cambria Math&quot; w:h-ansi=&quot;Cambria Math&quot; w:fareaPst=&quot;瀹嬩綋&quot; w:cs=&quot;瀹嬩綋&quot; w:hint=&quot;default&quot;/&gt;&lt;w:color w:&gt;Qst=&quot;?val=&quot;000000&quot;/&gt;&lt;w:sz w:val=&quot;24&quot;/&gt;&lt;w:sz-cs ambrm:fw:val=&quot;24&quot;/&gt;&lt;w:lang w:val=&quot;EN-US&quot; w:fareast=&quot;ZH-CN&quot; w:bidi=&quot;AR-S&quot; 嬩?amA&quot;/&gt;&lt;/w:rPr&gt;&lt;/m:ctrlPr&gt;&lt;/m:sub&gt;&lt;/i=&quot;Camnm:sSub&gt;&lt;m:r&gt;&lt;m:rPr&gt;&lt;m:sty m:val=&quot;p:fareaP&quot;/&gt;&lt;m:scr m:val=&quot;roman&quot;/&gt;&lt;/m:rPr&gt;&lt;w:rPr&gt;&lt;w:rFonts w:ascii=&quot;Cambria Math&quot; w:h?-ansi=&quot;Cambria Math&quot; w:fareast=&quot;?f畫浣? w:cs=&quot;瀹嬩綋&quot; w:hint=&quot;default&quot;/&gt;&lt;w:color w:val=&quot;000000&quot;/&gt;&lt;w:sz w:val=&quot;24&quot; 嬩?am&quot;/&gt;&lt;w:sz-cs w:val=&quot;24&quot;/&gt;&lt;i=&quot;Camnw:lang w:val=&quot;EN-US&quot; w:farefareaPast=&quot;ZH-CN&quot; w:bidi=&quot;AR-SA&quot;/&gt;&lt;/w:rPr&gt;&lt;m:t&gt;)&lt;/m:t&gt;&lt;/m:r&gt;&lt;/m:oMath&gt;&lt;/m:oMathPara&gt;&lt;/w:p&gt;h&quot; w:h?&lt;/wx:sect&gt;&lt;/w:body&gt;ast=&quot;?f&lt;/w:wordDocument">
            <v:path/>
            <v:fill on="f" focussize="0,0"/>
            <v:stroke on="f" joinstyle="miter"/>
            <v:imagedata r:id="rId17" o:title=""/>
            <o:lock v:ext="edit" aspectratio="f"/>
            <w10:wrap type="none"/>
            <w10:anchorlock/>
          </v:shape>
        </w:pict>
      </w:r>
    </w:p>
    <w:p>
      <w:pPr>
        <w:pStyle w:val="30"/>
        <w:ind w:firstLine="480"/>
        <w:rPr>
          <w:rFonts w:ascii="宋体" w:hAnsi="宋体" w:cs="宋体"/>
        </w:rPr>
      </w:pPr>
      <w:r>
        <w:rPr>
          <w:rFonts w:hint="eastAsia" w:cs="宋体"/>
        </w:rPr>
        <w:t>式中：M</w:t>
      </w:r>
      <w:r>
        <w:t>—</w:t>
      </w:r>
      <w:r>
        <w:rPr>
          <w:rFonts w:hint="eastAsia"/>
        </w:rPr>
        <w:t>水域纳污能力，g/s</w:t>
      </w:r>
    </w:p>
    <w:p>
      <w:pPr>
        <w:pStyle w:val="30"/>
        <w:ind w:firstLine="480"/>
        <w:rPr>
          <w:rFonts w:eastAsia="Sim Sun+ 2"/>
          <w:color w:val="000000"/>
          <w:szCs w:val="24"/>
        </w:rPr>
      </w:pPr>
      <w:r>
        <w:rPr>
          <w:rFonts w:hint="eastAsia" w:cs="宋体"/>
          <w:color w:val="000000"/>
          <w:szCs w:val="24"/>
        </w:rPr>
        <w:t>C</w:t>
      </w:r>
      <w:r>
        <w:rPr>
          <w:rFonts w:hint="eastAsia" w:cs="宋体"/>
          <w:color w:val="000000"/>
          <w:szCs w:val="24"/>
          <w:vertAlign w:val="subscript"/>
        </w:rPr>
        <w:t>s</w:t>
      </w:r>
      <w:r>
        <w:rPr>
          <w:rFonts w:eastAsia="Sim Sun+ 2"/>
          <w:color w:val="000000"/>
          <w:szCs w:val="24"/>
        </w:rPr>
        <w:t>—</w:t>
      </w:r>
      <w:r>
        <w:rPr>
          <w:rFonts w:hint="eastAsia" w:ascii="宋体" w:hAnsi="宋体" w:cs="宋体"/>
          <w:color w:val="000000"/>
          <w:szCs w:val="24"/>
        </w:rPr>
        <w:t>水质目标浓度值，</w:t>
      </w:r>
      <w:r>
        <w:rPr>
          <w:rFonts w:hint="eastAsia" w:eastAsia="Sim Sun+ 2"/>
          <w:color w:val="000000"/>
          <w:szCs w:val="24"/>
        </w:rPr>
        <w:t>mg/L</w:t>
      </w:r>
    </w:p>
    <w:p>
      <w:pPr>
        <w:pStyle w:val="30"/>
        <w:ind w:firstLine="480"/>
        <w:rPr>
          <w:rFonts w:cs="宋体"/>
        </w:rPr>
      </w:pPr>
      <w:r>
        <w:rPr>
          <w:rFonts w:hint="eastAsia" w:cs="宋体"/>
        </w:rPr>
        <w:t>Q</w:t>
      </w:r>
      <w:r>
        <w:t>—</w:t>
      </w:r>
      <w:r>
        <w:rPr>
          <w:rFonts w:hint="eastAsia"/>
        </w:rPr>
        <w:t>初始断面的入流流量，m</w:t>
      </w:r>
      <w:r>
        <w:rPr>
          <w:rFonts w:hint="eastAsia"/>
          <w:vertAlign w:val="superscript"/>
        </w:rPr>
        <w:t>3</w:t>
      </w:r>
      <w:r>
        <w:rPr>
          <w:rFonts w:hint="eastAsia"/>
        </w:rPr>
        <w:t>/s</w:t>
      </w:r>
    </w:p>
    <w:p>
      <w:pPr>
        <w:pStyle w:val="30"/>
        <w:ind w:firstLine="480"/>
      </w:pPr>
      <w:r>
        <w:rPr>
          <w:rFonts w:hint="eastAsia" w:cs="宋体"/>
        </w:rPr>
        <w:t>Q</w:t>
      </w:r>
      <w:r>
        <w:rPr>
          <w:rFonts w:hint="eastAsia" w:cs="宋体"/>
          <w:vertAlign w:val="subscript"/>
        </w:rPr>
        <w:t>p</w:t>
      </w:r>
      <w:r>
        <w:t>—</w:t>
      </w:r>
      <w:r>
        <w:rPr>
          <w:rFonts w:hint="eastAsia"/>
        </w:rPr>
        <w:t>废污水排放流量，m</w:t>
      </w:r>
      <w:r>
        <w:rPr>
          <w:rFonts w:hint="eastAsia"/>
          <w:vertAlign w:val="superscript"/>
        </w:rPr>
        <w:t>3</w:t>
      </w:r>
      <w:r>
        <w:rPr>
          <w:rFonts w:hint="eastAsia"/>
        </w:rPr>
        <w:t>/s</w:t>
      </w:r>
    </w:p>
    <w:p>
      <w:pPr>
        <w:pStyle w:val="38"/>
      </w:pPr>
      <w:bookmarkStart w:id="34" w:name="_Toc4832"/>
      <w:r>
        <w:rPr>
          <w:rFonts w:hint="eastAsia"/>
        </w:rPr>
        <w:t>3</w:t>
      </w:r>
      <w:r>
        <w:t>.2.2</w:t>
      </w:r>
      <w:r>
        <w:rPr>
          <w:rFonts w:hint="eastAsia"/>
        </w:rPr>
        <w:t>各计算参数的确定</w:t>
      </w:r>
      <w:bookmarkEnd w:id="34"/>
    </w:p>
    <w:p>
      <w:pPr>
        <w:pStyle w:val="30"/>
        <w:ind w:firstLine="480"/>
      </w:pPr>
      <w:r>
        <w:rPr>
          <w:rFonts w:hint="eastAsia"/>
        </w:rPr>
        <w:t>（1）水质目标Cs的确定</w:t>
      </w:r>
    </w:p>
    <w:p>
      <w:pPr>
        <w:pStyle w:val="30"/>
        <w:ind w:firstLine="480"/>
        <w:rPr>
          <w:color w:val="4F81BD"/>
        </w:rPr>
      </w:pPr>
      <w:r>
        <w:t>本入河排污口</w:t>
      </w:r>
      <w:r>
        <w:rPr>
          <w:rFonts w:hint="eastAsia"/>
        </w:rPr>
        <w:t>所在河段为渔业用水区</w:t>
      </w:r>
      <w:r>
        <w:t>，水质目标值按《地表水环境质量标准》（GB3838—2002）</w:t>
      </w:r>
      <w:r>
        <w:rPr>
          <w:rFonts w:hint="eastAsia"/>
        </w:rPr>
        <w:t>Ⅲ类</w:t>
      </w:r>
      <w:r>
        <w:t>水质标准执行</w:t>
      </w:r>
      <w:r>
        <w:rPr>
          <w:rFonts w:hint="eastAsia"/>
        </w:rPr>
        <w:t>，</w:t>
      </w:r>
      <w:r>
        <w:t>即污染物CODcr的Cs值为</w:t>
      </w:r>
      <w:r>
        <w:rPr>
          <w:rFonts w:hint="eastAsia"/>
        </w:rPr>
        <w:t>20</w:t>
      </w:r>
      <w:r>
        <w:t>mg/L；NH</w:t>
      </w:r>
      <w:r>
        <w:rPr>
          <w:vertAlign w:val="subscript"/>
        </w:rPr>
        <w:t>3</w:t>
      </w:r>
      <w:r>
        <w:t>-N的Cs值为</w:t>
      </w:r>
      <w:r>
        <w:rPr>
          <w:rFonts w:hint="eastAsia"/>
        </w:rPr>
        <w:t>1.0</w:t>
      </w:r>
      <w:r>
        <w:t>mg/L</w:t>
      </w:r>
      <w:r>
        <w:rPr>
          <w:rFonts w:hint="eastAsia"/>
        </w:rPr>
        <w:t>；总磷</w:t>
      </w:r>
      <w:r>
        <w:t>的Cs值为</w:t>
      </w:r>
      <w:r>
        <w:rPr>
          <w:rFonts w:hint="eastAsia"/>
        </w:rPr>
        <w:t>0.2</w:t>
      </w:r>
      <w:r>
        <w:t>mg/L。</w:t>
      </w:r>
    </w:p>
    <w:p>
      <w:pPr>
        <w:pStyle w:val="30"/>
        <w:ind w:firstLine="480"/>
      </w:pPr>
      <w:r>
        <w:rPr>
          <w:rFonts w:hint="eastAsia"/>
        </w:rPr>
        <w:t>（2）初始断面入流流量Q的确定</w:t>
      </w:r>
    </w:p>
    <w:p>
      <w:pPr>
        <w:pStyle w:val="30"/>
        <w:ind w:firstLine="480"/>
      </w:pPr>
      <w:r>
        <w:rPr>
          <w:rFonts w:hint="eastAsia"/>
        </w:rPr>
        <w:t>白河近年来枯水期流量为9.37m</w:t>
      </w:r>
      <w:r>
        <w:rPr>
          <w:vertAlign w:val="superscript"/>
        </w:rPr>
        <w:t>3</w:t>
      </w:r>
      <w:r>
        <w:t>/s</w:t>
      </w:r>
      <w:r>
        <w:rPr>
          <w:rFonts w:hint="eastAsia"/>
        </w:rPr>
        <w:t>。</w:t>
      </w:r>
    </w:p>
    <w:p>
      <w:pPr>
        <w:pStyle w:val="30"/>
        <w:ind w:firstLine="480"/>
      </w:pPr>
      <w:r>
        <w:rPr>
          <w:rFonts w:hint="eastAsia"/>
        </w:rPr>
        <w:t>（3）</w:t>
      </w:r>
      <w:r>
        <w:t>初始断面</w:t>
      </w:r>
      <w:r>
        <w:rPr>
          <w:rFonts w:hint="eastAsia"/>
        </w:rPr>
        <w:t>的</w:t>
      </w:r>
      <w:r>
        <w:t>污染物浓度</w:t>
      </w:r>
    </w:p>
    <w:p>
      <w:pPr>
        <w:pStyle w:val="30"/>
        <w:ind w:firstLine="480"/>
      </w:pPr>
      <w:r>
        <w:rPr>
          <w:rFonts w:hint="eastAsia"/>
        </w:rPr>
        <w:t>根据本次补充监测数据，白河排污口上游5</w:t>
      </w:r>
      <w:r>
        <w:t>00</w:t>
      </w:r>
      <w:r>
        <w:rPr>
          <w:rFonts w:hint="eastAsia"/>
        </w:rPr>
        <w:t>m处断面水质浓度作为初始浓度，则COD初始浓度为14.0mg</w:t>
      </w:r>
      <w:r>
        <w:t>/L</w:t>
      </w:r>
      <w:r>
        <w:rPr>
          <w:rFonts w:hint="eastAsia"/>
        </w:rPr>
        <w:t>，氨氮初始浓度为0</w:t>
      </w:r>
      <w:r>
        <w:t>.</w:t>
      </w:r>
      <w:r>
        <w:rPr>
          <w:rFonts w:hint="eastAsia"/>
        </w:rPr>
        <w:t>589mg</w:t>
      </w:r>
      <w:r>
        <w:t>/L</w:t>
      </w:r>
      <w:r>
        <w:rPr>
          <w:rFonts w:hint="eastAsia"/>
        </w:rPr>
        <w:t>，总磷的初始浓度为0.13mg</w:t>
      </w:r>
      <w:r>
        <w:t>/L</w:t>
      </w:r>
      <w:r>
        <w:rPr>
          <w:rFonts w:hint="eastAsia"/>
        </w:rPr>
        <w:t>。</w:t>
      </w:r>
    </w:p>
    <w:p>
      <w:pPr>
        <w:pStyle w:val="38"/>
      </w:pPr>
      <w:bookmarkStart w:id="35" w:name="_Toc14209"/>
      <w:r>
        <w:rPr>
          <w:rFonts w:hint="eastAsia"/>
        </w:rPr>
        <w:t>3</w:t>
      </w:r>
      <w:r>
        <w:t>.2.3</w:t>
      </w:r>
      <w:r>
        <w:rPr>
          <w:rFonts w:hint="eastAsia"/>
        </w:rPr>
        <w:t>河段纳污能力结果分析</w:t>
      </w:r>
      <w:bookmarkEnd w:id="35"/>
    </w:p>
    <w:p>
      <w:pPr>
        <w:pStyle w:val="30"/>
        <w:ind w:firstLine="480"/>
        <w:rPr>
          <w:u w:val="single"/>
        </w:rPr>
      </w:pPr>
      <w:r>
        <w:rPr>
          <w:u w:val="single"/>
        </w:rPr>
        <w:t>经计算，在设计水文条件下，</w:t>
      </w:r>
      <w:r>
        <w:rPr>
          <w:rFonts w:hint="eastAsia"/>
          <w:u w:val="single"/>
        </w:rPr>
        <w:t>白河论证河段</w:t>
      </w:r>
      <w:r>
        <w:rPr>
          <w:u w:val="single"/>
        </w:rPr>
        <w:t>CODcr的纳污能力为</w:t>
      </w:r>
      <w:r>
        <w:rPr>
          <w:rFonts w:hint="eastAsia"/>
          <w:u w:val="single"/>
        </w:rPr>
        <w:t>1865</w:t>
      </w:r>
      <w:r>
        <w:rPr>
          <w:u w:val="single"/>
        </w:rPr>
        <w:t>t/a，NH</w:t>
      </w:r>
      <w:r>
        <w:rPr>
          <w:u w:val="single"/>
          <w:vertAlign w:val="subscript"/>
        </w:rPr>
        <w:t>3</w:t>
      </w:r>
      <w:r>
        <w:rPr>
          <w:u w:val="single"/>
        </w:rPr>
        <w:t>-N的纳污能力为</w:t>
      </w:r>
      <w:r>
        <w:rPr>
          <w:rFonts w:hint="eastAsia"/>
          <w:u w:val="single"/>
        </w:rPr>
        <w:t>124.7</w:t>
      </w:r>
      <w:r>
        <w:rPr>
          <w:u w:val="single"/>
        </w:rPr>
        <w:t>t/a</w:t>
      </w:r>
      <w:r>
        <w:rPr>
          <w:rFonts w:hint="eastAsia"/>
          <w:u w:val="single"/>
        </w:rPr>
        <w:t>、总磷的纳污能力为21.0t/a，</w:t>
      </w:r>
      <w:r>
        <w:rPr>
          <w:u w:val="single"/>
        </w:rPr>
        <w:t>计算结果见表3.2-</w:t>
      </w:r>
      <w:r>
        <w:rPr>
          <w:rFonts w:hint="eastAsia"/>
          <w:u w:val="single"/>
        </w:rPr>
        <w:t>1</w:t>
      </w:r>
      <w:r>
        <w:rPr>
          <w:u w:val="single"/>
        </w:rPr>
        <w:t>。</w:t>
      </w:r>
    </w:p>
    <w:p>
      <w:pPr>
        <w:pStyle w:val="41"/>
        <w:rPr>
          <w:u w:val="single"/>
          <w:lang w:val="zh-CN"/>
        </w:rPr>
      </w:pPr>
      <w:r>
        <w:rPr>
          <w:u w:val="single"/>
        </w:rPr>
        <w:t>表3.2-</w:t>
      </w:r>
      <w:r>
        <w:rPr>
          <w:rFonts w:hint="eastAsia"/>
          <w:u w:val="single"/>
        </w:rPr>
        <w:t>1</w:t>
      </w:r>
      <w:r>
        <w:rPr>
          <w:u w:val="single"/>
        </w:rPr>
        <w:t>本项目排污口所在水功能区规划纳污能力</w:t>
      </w:r>
      <w:r>
        <w:rPr>
          <w:u w:val="single"/>
          <w:lang w:val="zh-CN"/>
        </w:rPr>
        <w:t>一览表</w:t>
      </w:r>
    </w:p>
    <w:tbl>
      <w:tblPr>
        <w:tblStyle w:val="2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4"/>
        <w:gridCol w:w="1863"/>
        <w:gridCol w:w="2146"/>
        <w:gridCol w:w="2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7" w:type="pct"/>
            <w:vMerge w:val="restart"/>
            <w:vAlign w:val="center"/>
          </w:tcPr>
          <w:p>
            <w:pPr>
              <w:pStyle w:val="43"/>
            </w:pPr>
            <w:r>
              <w:t>河流</w:t>
            </w:r>
          </w:p>
        </w:tc>
        <w:tc>
          <w:tcPr>
            <w:tcW w:w="1093" w:type="pct"/>
            <w:vAlign w:val="center"/>
          </w:tcPr>
          <w:p>
            <w:pPr>
              <w:pStyle w:val="43"/>
            </w:pPr>
            <w:r>
              <w:t>COD（t/a）</w:t>
            </w:r>
          </w:p>
        </w:tc>
        <w:tc>
          <w:tcPr>
            <w:tcW w:w="1259" w:type="pct"/>
            <w:vAlign w:val="center"/>
          </w:tcPr>
          <w:p>
            <w:pPr>
              <w:pStyle w:val="43"/>
            </w:pPr>
            <w:r>
              <w:t>氨氮（t/a）</w:t>
            </w:r>
          </w:p>
        </w:tc>
        <w:tc>
          <w:tcPr>
            <w:tcW w:w="1259" w:type="pct"/>
            <w:vAlign w:val="center"/>
          </w:tcPr>
          <w:p>
            <w:pPr>
              <w:pStyle w:val="43"/>
            </w:pPr>
            <w:r>
              <w:rPr>
                <w:rFonts w:hint="eastAsia"/>
              </w:rPr>
              <w:t>总磷</w:t>
            </w:r>
            <w: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7" w:type="pct"/>
            <w:vMerge w:val="continue"/>
            <w:vAlign w:val="center"/>
          </w:tcPr>
          <w:p>
            <w:pPr>
              <w:pStyle w:val="43"/>
            </w:pPr>
          </w:p>
        </w:tc>
        <w:tc>
          <w:tcPr>
            <w:tcW w:w="1093" w:type="pct"/>
            <w:vAlign w:val="center"/>
          </w:tcPr>
          <w:p>
            <w:pPr>
              <w:pStyle w:val="43"/>
            </w:pPr>
            <w:r>
              <w:rPr>
                <w:rFonts w:hint="eastAsia"/>
              </w:rPr>
              <w:t>白河</w:t>
            </w:r>
            <w:r>
              <w:t>纳污能力</w:t>
            </w:r>
          </w:p>
        </w:tc>
        <w:tc>
          <w:tcPr>
            <w:tcW w:w="1259" w:type="pct"/>
            <w:vAlign w:val="center"/>
          </w:tcPr>
          <w:p>
            <w:pPr>
              <w:pStyle w:val="43"/>
            </w:pPr>
            <w:r>
              <w:rPr>
                <w:rFonts w:hint="eastAsia"/>
              </w:rPr>
              <w:t>白河</w:t>
            </w:r>
            <w:r>
              <w:t>纳污能力</w:t>
            </w:r>
          </w:p>
        </w:tc>
        <w:tc>
          <w:tcPr>
            <w:tcW w:w="1259" w:type="pct"/>
            <w:vAlign w:val="center"/>
          </w:tcPr>
          <w:p>
            <w:pPr>
              <w:pStyle w:val="43"/>
            </w:pPr>
            <w:r>
              <w:rPr>
                <w:rFonts w:hint="eastAsia"/>
              </w:rPr>
              <w:t>白河</w:t>
            </w:r>
            <w:r>
              <w:t>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7" w:type="pct"/>
            <w:vAlign w:val="center"/>
          </w:tcPr>
          <w:p>
            <w:pPr>
              <w:pStyle w:val="43"/>
            </w:pPr>
            <w:r>
              <w:rPr>
                <w:rFonts w:hint="eastAsia"/>
              </w:rPr>
              <w:t>白河</w:t>
            </w:r>
          </w:p>
        </w:tc>
        <w:tc>
          <w:tcPr>
            <w:tcW w:w="1093" w:type="pct"/>
            <w:vAlign w:val="center"/>
          </w:tcPr>
          <w:p>
            <w:pPr>
              <w:pStyle w:val="43"/>
            </w:pPr>
            <w:r>
              <w:rPr>
                <w:rFonts w:hint="eastAsia"/>
              </w:rPr>
              <w:t>1865</w:t>
            </w:r>
          </w:p>
        </w:tc>
        <w:tc>
          <w:tcPr>
            <w:tcW w:w="1259" w:type="pct"/>
            <w:vAlign w:val="center"/>
          </w:tcPr>
          <w:p>
            <w:pPr>
              <w:pStyle w:val="43"/>
            </w:pPr>
            <w:r>
              <w:rPr>
                <w:rFonts w:hint="eastAsia"/>
              </w:rPr>
              <w:t>124.7</w:t>
            </w:r>
          </w:p>
        </w:tc>
        <w:tc>
          <w:tcPr>
            <w:tcW w:w="1259" w:type="pct"/>
            <w:vAlign w:val="center"/>
          </w:tcPr>
          <w:p>
            <w:pPr>
              <w:pStyle w:val="43"/>
            </w:pPr>
            <w:r>
              <w:rPr>
                <w:rFonts w:hint="eastAsia"/>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7" w:type="pct"/>
            <w:vAlign w:val="center"/>
          </w:tcPr>
          <w:p>
            <w:pPr>
              <w:pStyle w:val="43"/>
            </w:pPr>
            <w:r>
              <w:t>本项目排入河流的量</w:t>
            </w:r>
            <w:r>
              <w:rPr>
                <w:rFonts w:hint="eastAsia"/>
              </w:rPr>
              <w:t>（近期）</w:t>
            </w:r>
          </w:p>
        </w:tc>
        <w:tc>
          <w:tcPr>
            <w:tcW w:w="1093" w:type="pct"/>
            <w:vAlign w:val="center"/>
          </w:tcPr>
          <w:p>
            <w:pPr>
              <w:pStyle w:val="43"/>
            </w:pPr>
            <w:r>
              <w:rPr>
                <w:rFonts w:hint="eastAsia"/>
              </w:rPr>
              <w:t>4.38</w:t>
            </w:r>
          </w:p>
        </w:tc>
        <w:tc>
          <w:tcPr>
            <w:tcW w:w="1259" w:type="pct"/>
            <w:vAlign w:val="center"/>
          </w:tcPr>
          <w:p>
            <w:pPr>
              <w:pStyle w:val="43"/>
            </w:pPr>
            <w:r>
              <w:rPr>
                <w:rFonts w:hint="eastAsia"/>
              </w:rPr>
              <w:t>0.58</w:t>
            </w:r>
          </w:p>
        </w:tc>
        <w:tc>
          <w:tcPr>
            <w:tcW w:w="1259" w:type="pct"/>
            <w:vAlign w:val="center"/>
          </w:tcPr>
          <w:p>
            <w:pPr>
              <w:pStyle w:val="43"/>
            </w:pPr>
            <w:r>
              <w:rPr>
                <w:rFonts w:hint="eastAsia"/>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7" w:type="pct"/>
            <w:vAlign w:val="center"/>
          </w:tcPr>
          <w:p>
            <w:pPr>
              <w:pStyle w:val="43"/>
            </w:pPr>
            <w:r>
              <w:t>本项目排入河流的量</w:t>
            </w:r>
            <w:r>
              <w:rPr>
                <w:rFonts w:hint="eastAsia"/>
              </w:rPr>
              <w:t>（远期）</w:t>
            </w:r>
          </w:p>
        </w:tc>
        <w:tc>
          <w:tcPr>
            <w:tcW w:w="1093" w:type="pct"/>
            <w:vAlign w:val="center"/>
          </w:tcPr>
          <w:p>
            <w:pPr>
              <w:pStyle w:val="43"/>
            </w:pPr>
            <w:r>
              <w:rPr>
                <w:rFonts w:hint="eastAsia"/>
              </w:rPr>
              <w:t>8.76</w:t>
            </w:r>
          </w:p>
        </w:tc>
        <w:tc>
          <w:tcPr>
            <w:tcW w:w="1259" w:type="pct"/>
            <w:vAlign w:val="center"/>
          </w:tcPr>
          <w:p>
            <w:pPr>
              <w:pStyle w:val="43"/>
            </w:pPr>
            <w:r>
              <w:rPr>
                <w:rFonts w:hint="eastAsia"/>
              </w:rPr>
              <w:t>1.17</w:t>
            </w:r>
          </w:p>
        </w:tc>
        <w:tc>
          <w:tcPr>
            <w:tcW w:w="1259" w:type="pct"/>
            <w:vAlign w:val="center"/>
          </w:tcPr>
          <w:p>
            <w:pPr>
              <w:pStyle w:val="43"/>
            </w:pPr>
            <w:r>
              <w:rPr>
                <w:rFonts w:hint="eastAsia"/>
              </w:rPr>
              <w:t>0.15</w:t>
            </w:r>
          </w:p>
        </w:tc>
      </w:tr>
    </w:tbl>
    <w:p>
      <w:pPr>
        <w:pStyle w:val="30"/>
        <w:ind w:firstLine="480"/>
        <w:rPr>
          <w:u w:val="single"/>
        </w:rPr>
      </w:pPr>
      <w:r>
        <w:rPr>
          <w:szCs w:val="21"/>
          <w:u w:val="single"/>
        </w:rPr>
        <w:t>由表3.2-</w:t>
      </w:r>
      <w:r>
        <w:rPr>
          <w:rFonts w:hint="eastAsia"/>
          <w:szCs w:val="21"/>
          <w:u w:val="single"/>
        </w:rPr>
        <w:t>1</w:t>
      </w:r>
      <w:r>
        <w:rPr>
          <w:szCs w:val="21"/>
          <w:u w:val="single"/>
        </w:rPr>
        <w:t>可看出</w:t>
      </w:r>
      <w:r>
        <w:rPr>
          <w:u w:val="single"/>
        </w:rPr>
        <w:t>COD、NH</w:t>
      </w:r>
      <w:r>
        <w:rPr>
          <w:u w:val="single"/>
          <w:vertAlign w:val="subscript"/>
        </w:rPr>
        <w:t>3</w:t>
      </w:r>
      <w:r>
        <w:rPr>
          <w:u w:val="single"/>
        </w:rPr>
        <w:t>-N</w:t>
      </w:r>
      <w:r>
        <w:rPr>
          <w:rFonts w:hint="eastAsia"/>
          <w:u w:val="single"/>
        </w:rPr>
        <w:t>、总磷的</w:t>
      </w:r>
      <w:r>
        <w:rPr>
          <w:u w:val="single"/>
        </w:rPr>
        <w:t>排放量占环境容量的</w:t>
      </w:r>
      <w:r>
        <w:rPr>
          <w:rFonts w:hint="eastAsia"/>
          <w:u w:val="single"/>
        </w:rPr>
        <w:t>0.23</w:t>
      </w:r>
      <w:r>
        <w:rPr>
          <w:u w:val="single"/>
        </w:rPr>
        <w:t>%</w:t>
      </w:r>
      <w:r>
        <w:rPr>
          <w:rFonts w:hint="eastAsia"/>
          <w:u w:val="single"/>
        </w:rPr>
        <w:t>-0.47%</w:t>
      </w:r>
      <w:r>
        <w:rPr>
          <w:u w:val="single"/>
        </w:rPr>
        <w:t>、</w:t>
      </w:r>
      <w:r>
        <w:rPr>
          <w:rFonts w:hint="eastAsia"/>
          <w:u w:val="single"/>
        </w:rPr>
        <w:t>0.46</w:t>
      </w:r>
      <w:r>
        <w:rPr>
          <w:u w:val="single"/>
        </w:rPr>
        <w:t>%</w:t>
      </w:r>
      <w:r>
        <w:rPr>
          <w:rFonts w:hint="eastAsia"/>
          <w:u w:val="single"/>
        </w:rPr>
        <w:t>-0.94%、0.33%-0.71%，</w:t>
      </w:r>
      <w:r>
        <w:rPr>
          <w:u w:val="single"/>
        </w:rPr>
        <w:t>小于环境容量控制要求</w:t>
      </w:r>
      <w:r>
        <w:rPr>
          <w:szCs w:val="21"/>
          <w:u w:val="single"/>
        </w:rPr>
        <w:t>。</w:t>
      </w:r>
    </w:p>
    <w:p>
      <w:pPr>
        <w:pStyle w:val="35"/>
      </w:pPr>
      <w:bookmarkStart w:id="36" w:name="_Toc16880"/>
      <w:r>
        <w:rPr>
          <w:rFonts w:hint="eastAsia"/>
        </w:rPr>
        <w:t>3</w:t>
      </w:r>
      <w:r>
        <w:t>.3</w:t>
      </w:r>
      <w:r>
        <w:rPr>
          <w:rFonts w:hint="eastAsia"/>
        </w:rPr>
        <w:t>论证水功能区（水域）现有取排水状况</w:t>
      </w:r>
      <w:bookmarkEnd w:id="36"/>
    </w:p>
    <w:p>
      <w:pPr>
        <w:pStyle w:val="30"/>
        <w:ind w:firstLine="480"/>
        <w:rPr>
          <w:u w:val="single"/>
        </w:rPr>
      </w:pPr>
      <w:r>
        <w:rPr>
          <w:szCs w:val="24"/>
          <w:u w:val="single"/>
        </w:rPr>
        <w:t>（1）</w:t>
      </w:r>
      <w:r>
        <w:rPr>
          <w:rFonts w:hint="eastAsia"/>
          <w:u w:val="single"/>
        </w:rPr>
        <w:t>论证范围内的取水现状</w:t>
      </w:r>
    </w:p>
    <w:p>
      <w:pPr>
        <w:pStyle w:val="30"/>
        <w:ind w:firstLine="480"/>
        <w:rPr>
          <w:color w:val="000000"/>
          <w:u w:val="single"/>
        </w:rPr>
      </w:pPr>
      <w:r>
        <w:rPr>
          <w:color w:val="000000"/>
          <w:u w:val="single"/>
        </w:rPr>
        <w:t>根据调查，论证范围河段内</w:t>
      </w:r>
      <w:r>
        <w:rPr>
          <w:rFonts w:hint="eastAsia"/>
          <w:color w:val="000000"/>
          <w:u w:val="single"/>
        </w:rPr>
        <w:t>分布农田，以水稻和经济作物为主，沿线农田取水以临时水泵或灌溉水渠取水的方式进行；论证范围河段内无工业企业，不存在经批准获得取水许可的工业企业取水口，无产业园取水口；论证范围河段内无饮用水水源保护区，周边村民饮水以自备水井或乡镇自来水管网供水为主；论证范围河段不涉及利用天然水体养殖的企业单位。综上所述，论证范围河段内只存在零散的农村灌溉取水</w:t>
      </w:r>
      <w:r>
        <w:rPr>
          <w:color w:val="000000"/>
          <w:u w:val="single"/>
        </w:rPr>
        <w:t>。</w:t>
      </w:r>
    </w:p>
    <w:p>
      <w:pPr>
        <w:pStyle w:val="30"/>
        <w:ind w:firstLine="480"/>
        <w:rPr>
          <w:color w:val="000000"/>
          <w:u w:val="single"/>
        </w:rPr>
      </w:pPr>
      <w:r>
        <w:rPr>
          <w:color w:val="000000"/>
          <w:szCs w:val="24"/>
          <w:u w:val="single"/>
        </w:rPr>
        <w:t>（2）</w:t>
      </w:r>
      <w:r>
        <w:rPr>
          <w:color w:val="000000"/>
          <w:u w:val="single"/>
        </w:rPr>
        <w:t>论证范围的排水现状</w:t>
      </w:r>
    </w:p>
    <w:p>
      <w:pPr>
        <w:pStyle w:val="30"/>
        <w:ind w:firstLine="480"/>
        <w:rPr>
          <w:u w:val="single"/>
        </w:rPr>
      </w:pPr>
      <w:r>
        <w:rPr>
          <w:rFonts w:hint="eastAsia"/>
          <w:color w:val="000000"/>
          <w:u w:val="single"/>
        </w:rPr>
        <w:t>根据调查，论证范围内河道沿岸主要为农田和零散居民，因此存在零散的农村生活污水排入以及农田灌溉导致的农业面源污水排入，论证范围内河道沿岸不存在现有、在建或拟建的大型工业入河排污口。</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37" w:name="_Toc31896"/>
      <w:r>
        <w:rPr>
          <w:rFonts w:hint="eastAsia"/>
        </w:rPr>
        <w:t>4入河排污口所在水功能区（水域）水质现状及纳污状况</w:t>
      </w:r>
      <w:bookmarkEnd w:id="37"/>
    </w:p>
    <w:p>
      <w:pPr>
        <w:pStyle w:val="35"/>
      </w:pPr>
      <w:bookmarkStart w:id="38" w:name="_Toc13814"/>
      <w:r>
        <w:rPr>
          <w:rFonts w:hint="eastAsia"/>
        </w:rPr>
        <w:t>4</w:t>
      </w:r>
      <w:r>
        <w:t>.1</w:t>
      </w:r>
      <w:r>
        <w:rPr>
          <w:rFonts w:hint="eastAsia"/>
        </w:rPr>
        <w:t>水功能区（水域）管理要求</w:t>
      </w:r>
      <w:bookmarkEnd w:id="38"/>
    </w:p>
    <w:p>
      <w:pPr>
        <w:pStyle w:val="30"/>
        <w:ind w:firstLine="480"/>
      </w:pPr>
      <w:r>
        <w:t>本项目入河排污口位于</w:t>
      </w:r>
      <w:r>
        <w:rPr>
          <w:rFonts w:hint="eastAsia"/>
        </w:rPr>
        <w:t>祁东县鸟江镇</w:t>
      </w:r>
      <w:r>
        <w:t>，</w:t>
      </w:r>
      <w:r>
        <w:rPr>
          <w:rFonts w:hint="eastAsia"/>
        </w:rPr>
        <w:t>本项目入河排污口设置位置位于白河右岸，主要为渔业用水，按照</w:t>
      </w:r>
      <w:r>
        <w:t>《地表水环境质量标准》（GB3838-2002）规定的Ⅲ类水质标准控制</w:t>
      </w:r>
      <w:r>
        <w:rPr>
          <w:rFonts w:hint="eastAsia"/>
        </w:rPr>
        <w:t>。</w:t>
      </w:r>
    </w:p>
    <w:p>
      <w:pPr>
        <w:pStyle w:val="30"/>
        <w:ind w:firstLine="480"/>
      </w:pPr>
      <w:r>
        <w:rPr>
          <w:rFonts w:hint="eastAsia"/>
        </w:rPr>
        <w:t>本次论证范围内不涉及饮用水水源保护区。</w:t>
      </w:r>
    </w:p>
    <w:p>
      <w:pPr>
        <w:pStyle w:val="35"/>
      </w:pPr>
      <w:bookmarkStart w:id="39" w:name="_Toc10319"/>
      <w:r>
        <w:rPr>
          <w:rFonts w:hint="eastAsia"/>
        </w:rPr>
        <w:t>4</w:t>
      </w:r>
      <w:r>
        <w:t>.2</w:t>
      </w:r>
      <w:r>
        <w:rPr>
          <w:rFonts w:hint="eastAsia"/>
        </w:rPr>
        <w:t>水功能区（水域）水质现状</w:t>
      </w:r>
      <w:bookmarkEnd w:id="39"/>
    </w:p>
    <w:p>
      <w:pPr>
        <w:pStyle w:val="30"/>
        <w:ind w:firstLine="480"/>
      </w:pPr>
      <w:r>
        <w:rPr>
          <w:rFonts w:hint="eastAsia"/>
        </w:rPr>
        <w:t>为进一步了解本入河排污口上下游白河水质现状，于202</w:t>
      </w:r>
      <w:r>
        <w:t>4</w:t>
      </w:r>
      <w:r>
        <w:rPr>
          <w:rFonts w:hint="eastAsia"/>
        </w:rPr>
        <w:t>年</w:t>
      </w:r>
      <w:r>
        <w:t>3</w:t>
      </w:r>
      <w:r>
        <w:rPr>
          <w:rFonts w:hint="eastAsia"/>
        </w:rPr>
        <w:t>月3日-5日对白河进行一期监测。</w:t>
      </w:r>
    </w:p>
    <w:p>
      <w:pPr>
        <w:pStyle w:val="30"/>
        <w:ind w:firstLine="480"/>
        <w:rPr>
          <w:szCs w:val="24"/>
        </w:rPr>
      </w:pPr>
      <w:r>
        <w:rPr>
          <w:szCs w:val="24"/>
        </w:rPr>
        <w:t>（1）</w:t>
      </w:r>
      <w:bookmarkStart w:id="40" w:name="监测断面"/>
      <w:bookmarkEnd w:id="40"/>
      <w:r>
        <w:rPr>
          <w:szCs w:val="24"/>
        </w:rPr>
        <w:t>监测断面设置：</w:t>
      </w:r>
    </w:p>
    <w:p>
      <w:pPr>
        <w:pStyle w:val="30"/>
        <w:ind w:firstLine="480"/>
        <w:rPr>
          <w:szCs w:val="24"/>
        </w:rPr>
      </w:pPr>
      <w:r>
        <w:rPr>
          <w:bCs/>
          <w:szCs w:val="24"/>
        </w:rPr>
        <w:t>W1：</w:t>
      </w:r>
      <w:r>
        <w:rPr>
          <w:rFonts w:hint="eastAsia"/>
          <w:bCs/>
          <w:szCs w:val="24"/>
        </w:rPr>
        <w:t>废水入</w:t>
      </w:r>
      <w:r>
        <w:rPr>
          <w:rFonts w:hint="eastAsia"/>
        </w:rPr>
        <w:t>白河</w:t>
      </w:r>
      <w:r>
        <w:rPr>
          <w:bCs/>
          <w:szCs w:val="24"/>
        </w:rPr>
        <w:t>排污口上游500m</w:t>
      </w:r>
      <w:r>
        <w:rPr>
          <w:szCs w:val="24"/>
        </w:rPr>
        <w:t>；</w:t>
      </w:r>
    </w:p>
    <w:p>
      <w:pPr>
        <w:pStyle w:val="30"/>
        <w:ind w:firstLine="480"/>
        <w:rPr>
          <w:szCs w:val="24"/>
        </w:rPr>
      </w:pPr>
      <w:r>
        <w:rPr>
          <w:szCs w:val="24"/>
        </w:rPr>
        <w:t>W2：</w:t>
      </w:r>
      <w:r>
        <w:rPr>
          <w:rFonts w:hint="eastAsia"/>
          <w:bCs/>
          <w:szCs w:val="24"/>
        </w:rPr>
        <w:t>废水入</w:t>
      </w:r>
      <w:r>
        <w:rPr>
          <w:rFonts w:hint="eastAsia"/>
        </w:rPr>
        <w:t>白河</w:t>
      </w:r>
      <w:r>
        <w:rPr>
          <w:szCs w:val="24"/>
        </w:rPr>
        <w:t>排污口下游1000m</w:t>
      </w:r>
      <w:r>
        <w:rPr>
          <w:rFonts w:hint="eastAsia"/>
          <w:szCs w:val="24"/>
        </w:rPr>
        <w:t>；</w:t>
      </w:r>
    </w:p>
    <w:p>
      <w:pPr>
        <w:pStyle w:val="30"/>
        <w:ind w:firstLine="480"/>
        <w:rPr>
          <w:szCs w:val="24"/>
        </w:rPr>
      </w:pPr>
      <w:r>
        <w:rPr>
          <w:rFonts w:hint="eastAsia"/>
          <w:szCs w:val="24"/>
        </w:rPr>
        <w:t>W</w:t>
      </w:r>
      <w:r>
        <w:rPr>
          <w:szCs w:val="24"/>
        </w:rPr>
        <w:t>3</w:t>
      </w:r>
      <w:r>
        <w:rPr>
          <w:rFonts w:hint="eastAsia"/>
          <w:szCs w:val="24"/>
        </w:rPr>
        <w:t>：项目南侧灌溉渠（汇入口处），</w:t>
      </w:r>
      <w:r>
        <w:rPr>
          <w:szCs w:val="24"/>
        </w:rPr>
        <w:t>监测断面具体位置详见附图。</w:t>
      </w:r>
    </w:p>
    <w:p>
      <w:pPr>
        <w:pStyle w:val="30"/>
        <w:ind w:firstLine="480"/>
        <w:rPr>
          <w:szCs w:val="24"/>
        </w:rPr>
      </w:pPr>
      <w:r>
        <w:rPr>
          <w:szCs w:val="24"/>
        </w:rPr>
        <w:t>（2）监测时间及频率：连续监测</w:t>
      </w:r>
      <w:r>
        <w:rPr>
          <w:rFonts w:hint="eastAsia"/>
          <w:szCs w:val="24"/>
        </w:rPr>
        <w:t>3</w:t>
      </w:r>
      <w:r>
        <w:rPr>
          <w:szCs w:val="24"/>
        </w:rPr>
        <w:t>天，20</w:t>
      </w:r>
      <w:r>
        <w:rPr>
          <w:rFonts w:hint="eastAsia"/>
          <w:szCs w:val="24"/>
        </w:rPr>
        <w:t>2</w:t>
      </w:r>
      <w:r>
        <w:rPr>
          <w:szCs w:val="24"/>
        </w:rPr>
        <w:t>4年3月3日</w:t>
      </w:r>
      <w:r>
        <w:rPr>
          <w:rFonts w:hint="eastAsia"/>
          <w:szCs w:val="24"/>
        </w:rPr>
        <w:t>～</w:t>
      </w:r>
      <w:r>
        <w:rPr>
          <w:szCs w:val="24"/>
        </w:rPr>
        <w:t>5日，监测频次为每天1次。</w:t>
      </w:r>
    </w:p>
    <w:p>
      <w:pPr>
        <w:pStyle w:val="30"/>
        <w:ind w:firstLine="480"/>
      </w:pPr>
      <w:r>
        <w:t>（3）监测项目：pH、CODCr、SS、BOD</w:t>
      </w:r>
      <w:r>
        <w:rPr>
          <w:vertAlign w:val="subscript"/>
        </w:rPr>
        <w:t>5</w:t>
      </w:r>
      <w:r>
        <w:t>、</w:t>
      </w:r>
      <w:r>
        <w:rPr>
          <w:rFonts w:hint="eastAsia"/>
        </w:rPr>
        <w:t>高锰酸盐指数、总磷、总氮、</w:t>
      </w:r>
      <w:r>
        <w:t>氨氮、石油类、粪大肠菌群。</w:t>
      </w:r>
    </w:p>
    <w:p>
      <w:pPr>
        <w:pStyle w:val="30"/>
        <w:ind w:firstLine="480"/>
      </w:pPr>
      <w:r>
        <w:t>（4）采样和分析方法：样品的采集和保存、分析均按《地表水和污水监测技术规范》（HJ/T91-2002）《水质监测质量保证手册》和《环境监测标准分析方法》中的有关规定进行。</w:t>
      </w:r>
      <w:bookmarkStart w:id="41" w:name="_Toc314042903"/>
      <w:bookmarkStart w:id="42" w:name="_Toc338401938"/>
    </w:p>
    <w:bookmarkEnd w:id="41"/>
    <w:bookmarkEnd w:id="42"/>
    <w:p>
      <w:pPr>
        <w:pStyle w:val="30"/>
        <w:ind w:firstLine="480"/>
      </w:pPr>
      <w:r>
        <w:t>（5）评价标准：执行《地表水环境质量标准》（GB3838-2002）</w:t>
      </w:r>
      <w:r>
        <w:rPr>
          <w:rFonts w:hint="eastAsia"/>
        </w:rPr>
        <w:t>Ⅲ类</w:t>
      </w:r>
      <w:r>
        <w:t>标准。</w:t>
      </w:r>
    </w:p>
    <w:p>
      <w:pPr>
        <w:pStyle w:val="30"/>
        <w:ind w:firstLine="480"/>
      </w:pPr>
      <w:r>
        <w:t>（6）评价方法：采用超标率和最大超标倍数等数理统计法进行评价。</w:t>
      </w:r>
    </w:p>
    <w:p>
      <w:pPr>
        <w:pStyle w:val="30"/>
        <w:ind w:firstLine="480"/>
      </w:pPr>
      <w:r>
        <w:t>（7）监测结果：监测及评价结果见表4.2-1。</w:t>
      </w:r>
    </w:p>
    <w:p>
      <w:pPr>
        <w:pStyle w:val="41"/>
      </w:pPr>
      <w:r>
        <w:rPr>
          <w:rFonts w:hint="eastAsia"/>
        </w:rPr>
        <w:t>表4</w:t>
      </w:r>
      <w:r>
        <w:t>.2-1  地表水水质现状监测及评价结果</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1476"/>
        <w:gridCol w:w="858"/>
        <w:gridCol w:w="1056"/>
        <w:gridCol w:w="1056"/>
        <w:gridCol w:w="1056"/>
        <w:gridCol w:w="663"/>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vAlign w:val="center"/>
          </w:tcPr>
          <w:p>
            <w:pPr>
              <w:pStyle w:val="43"/>
            </w:pPr>
            <w:r>
              <w:t>监测点位</w:t>
            </w:r>
          </w:p>
        </w:tc>
        <w:tc>
          <w:tcPr>
            <w:tcW w:w="1476" w:type="dxa"/>
            <w:vMerge w:val="restart"/>
            <w:vAlign w:val="center"/>
          </w:tcPr>
          <w:p>
            <w:pPr>
              <w:pStyle w:val="43"/>
            </w:pPr>
            <w:r>
              <w:t>监测项目</w:t>
            </w:r>
          </w:p>
        </w:tc>
        <w:tc>
          <w:tcPr>
            <w:tcW w:w="858" w:type="dxa"/>
            <w:vMerge w:val="restart"/>
            <w:vAlign w:val="center"/>
          </w:tcPr>
          <w:p>
            <w:pPr>
              <w:pStyle w:val="43"/>
            </w:pPr>
            <w:r>
              <w:t>单位</w:t>
            </w:r>
          </w:p>
        </w:tc>
        <w:tc>
          <w:tcPr>
            <w:tcW w:w="3168" w:type="dxa"/>
            <w:gridSpan w:val="3"/>
            <w:vAlign w:val="center"/>
          </w:tcPr>
          <w:p>
            <w:pPr>
              <w:pStyle w:val="43"/>
            </w:pPr>
            <w:r>
              <w:t>监测结果</w:t>
            </w:r>
          </w:p>
        </w:tc>
        <w:tc>
          <w:tcPr>
            <w:tcW w:w="663" w:type="dxa"/>
            <w:vMerge w:val="restart"/>
            <w:vAlign w:val="center"/>
          </w:tcPr>
          <w:p>
            <w:pPr>
              <w:pStyle w:val="43"/>
            </w:pPr>
            <w:r>
              <w:t>标准</w:t>
            </w:r>
          </w:p>
          <w:p>
            <w:pPr>
              <w:pStyle w:val="43"/>
            </w:pPr>
            <w:r>
              <w:t>限值</w:t>
            </w:r>
          </w:p>
        </w:tc>
        <w:tc>
          <w:tcPr>
            <w:tcW w:w="827" w:type="dxa"/>
            <w:vMerge w:val="restart"/>
            <w:vAlign w:val="center"/>
          </w:tcPr>
          <w:p>
            <w:pPr>
              <w:pStyle w:val="43"/>
            </w:pPr>
            <w:r>
              <w:t>达标</w:t>
            </w:r>
          </w:p>
          <w:p>
            <w:pPr>
              <w:pStyle w:val="43"/>
            </w:pPr>
            <w: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Merge w:val="continue"/>
            <w:vAlign w:val="center"/>
          </w:tcPr>
          <w:p>
            <w:pPr>
              <w:pStyle w:val="43"/>
            </w:pPr>
          </w:p>
        </w:tc>
        <w:tc>
          <w:tcPr>
            <w:tcW w:w="858" w:type="dxa"/>
            <w:vMerge w:val="continue"/>
            <w:vAlign w:val="center"/>
          </w:tcPr>
          <w:p>
            <w:pPr>
              <w:pStyle w:val="43"/>
            </w:pPr>
          </w:p>
        </w:tc>
        <w:tc>
          <w:tcPr>
            <w:tcW w:w="1056" w:type="dxa"/>
            <w:vAlign w:val="center"/>
          </w:tcPr>
          <w:p>
            <w:pPr>
              <w:pStyle w:val="43"/>
            </w:pPr>
            <w:r>
              <w:t>20240303</w:t>
            </w:r>
          </w:p>
        </w:tc>
        <w:tc>
          <w:tcPr>
            <w:tcW w:w="1056" w:type="dxa"/>
            <w:vAlign w:val="center"/>
          </w:tcPr>
          <w:p>
            <w:pPr>
              <w:pStyle w:val="43"/>
            </w:pPr>
            <w:r>
              <w:t>20240304</w:t>
            </w:r>
          </w:p>
        </w:tc>
        <w:tc>
          <w:tcPr>
            <w:tcW w:w="1056" w:type="dxa"/>
            <w:vAlign w:val="center"/>
          </w:tcPr>
          <w:p>
            <w:pPr>
              <w:pStyle w:val="43"/>
            </w:pPr>
            <w:r>
              <w:t>20240305</w:t>
            </w:r>
          </w:p>
        </w:tc>
        <w:tc>
          <w:tcPr>
            <w:tcW w:w="663" w:type="dxa"/>
            <w:vMerge w:val="continue"/>
            <w:vAlign w:val="center"/>
          </w:tcPr>
          <w:p>
            <w:pPr>
              <w:pStyle w:val="43"/>
            </w:pPr>
          </w:p>
        </w:tc>
        <w:tc>
          <w:tcPr>
            <w:tcW w:w="827" w:type="dxa"/>
            <w:vMerge w:val="continue"/>
            <w:vAlign w:val="center"/>
          </w:tcPr>
          <w:p>
            <w:pPr>
              <w:pStyle w:val="4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vAlign w:val="center"/>
          </w:tcPr>
          <w:p>
            <w:pPr>
              <w:pStyle w:val="43"/>
            </w:pPr>
            <w:r>
              <w:t>W1：</w:t>
            </w:r>
          </w:p>
          <w:p>
            <w:pPr>
              <w:pStyle w:val="43"/>
            </w:pPr>
            <w:r>
              <w:t>废水入白河排</w:t>
            </w:r>
          </w:p>
          <w:p>
            <w:pPr>
              <w:pStyle w:val="43"/>
            </w:pPr>
            <w:r>
              <w:t>污口上游</w:t>
            </w:r>
          </w:p>
          <w:p>
            <w:pPr>
              <w:pStyle w:val="43"/>
            </w:pPr>
            <w:r>
              <w:t>500m</w:t>
            </w:r>
          </w:p>
        </w:tc>
        <w:tc>
          <w:tcPr>
            <w:tcW w:w="1476" w:type="dxa"/>
            <w:vAlign w:val="center"/>
          </w:tcPr>
          <w:p>
            <w:pPr>
              <w:pStyle w:val="43"/>
            </w:pPr>
            <w:r>
              <w:t>pH值</w:t>
            </w:r>
          </w:p>
        </w:tc>
        <w:tc>
          <w:tcPr>
            <w:tcW w:w="858" w:type="dxa"/>
            <w:vAlign w:val="center"/>
          </w:tcPr>
          <w:p>
            <w:pPr>
              <w:pStyle w:val="43"/>
            </w:pPr>
            <w:r>
              <w:t>无量纲</w:t>
            </w:r>
          </w:p>
        </w:tc>
        <w:tc>
          <w:tcPr>
            <w:tcW w:w="1056" w:type="dxa"/>
            <w:vAlign w:val="center"/>
          </w:tcPr>
          <w:p>
            <w:pPr>
              <w:pStyle w:val="43"/>
            </w:pPr>
            <w:r>
              <w:t>7.9</w:t>
            </w:r>
          </w:p>
        </w:tc>
        <w:tc>
          <w:tcPr>
            <w:tcW w:w="1056" w:type="dxa"/>
            <w:vAlign w:val="center"/>
          </w:tcPr>
          <w:p>
            <w:pPr>
              <w:pStyle w:val="43"/>
            </w:pPr>
            <w:r>
              <w:t>7.9</w:t>
            </w:r>
          </w:p>
        </w:tc>
        <w:tc>
          <w:tcPr>
            <w:tcW w:w="1056" w:type="dxa"/>
            <w:vAlign w:val="center"/>
          </w:tcPr>
          <w:p>
            <w:pPr>
              <w:pStyle w:val="43"/>
            </w:pPr>
            <w:r>
              <w:t>8.1</w:t>
            </w:r>
          </w:p>
        </w:tc>
        <w:tc>
          <w:tcPr>
            <w:tcW w:w="663" w:type="dxa"/>
            <w:vAlign w:val="center"/>
          </w:tcPr>
          <w:p>
            <w:pPr>
              <w:pStyle w:val="43"/>
            </w:pPr>
            <w:r>
              <w:t>6~9</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COD</w:t>
            </w:r>
          </w:p>
        </w:tc>
        <w:tc>
          <w:tcPr>
            <w:tcW w:w="858" w:type="dxa"/>
            <w:vAlign w:val="center"/>
          </w:tcPr>
          <w:p>
            <w:pPr>
              <w:pStyle w:val="43"/>
            </w:pPr>
            <w:r>
              <w:t>mg/L</w:t>
            </w:r>
          </w:p>
        </w:tc>
        <w:tc>
          <w:tcPr>
            <w:tcW w:w="1056" w:type="dxa"/>
            <w:vAlign w:val="center"/>
          </w:tcPr>
          <w:p>
            <w:pPr>
              <w:pStyle w:val="43"/>
            </w:pPr>
            <w:r>
              <w:t>11</w:t>
            </w:r>
          </w:p>
        </w:tc>
        <w:tc>
          <w:tcPr>
            <w:tcW w:w="1056" w:type="dxa"/>
            <w:vAlign w:val="center"/>
          </w:tcPr>
          <w:p>
            <w:pPr>
              <w:pStyle w:val="43"/>
            </w:pPr>
            <w:r>
              <w:t>11</w:t>
            </w:r>
          </w:p>
        </w:tc>
        <w:tc>
          <w:tcPr>
            <w:tcW w:w="1056" w:type="dxa"/>
            <w:vAlign w:val="center"/>
          </w:tcPr>
          <w:p>
            <w:pPr>
              <w:pStyle w:val="43"/>
            </w:pPr>
            <w:r>
              <w:t>14</w:t>
            </w:r>
          </w:p>
        </w:tc>
        <w:tc>
          <w:tcPr>
            <w:tcW w:w="663" w:type="dxa"/>
            <w:vAlign w:val="center"/>
          </w:tcPr>
          <w:p>
            <w:pPr>
              <w:pStyle w:val="43"/>
            </w:pPr>
            <w:r>
              <w:t>20</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BOD</w:t>
            </w:r>
            <w:r>
              <w:rPr>
                <w:vertAlign w:val="subscript"/>
              </w:rPr>
              <w:t>5</w:t>
            </w:r>
          </w:p>
        </w:tc>
        <w:tc>
          <w:tcPr>
            <w:tcW w:w="858" w:type="dxa"/>
            <w:vAlign w:val="center"/>
          </w:tcPr>
          <w:p>
            <w:pPr>
              <w:pStyle w:val="43"/>
            </w:pPr>
            <w:r>
              <w:t>mg/L</w:t>
            </w:r>
          </w:p>
        </w:tc>
        <w:tc>
          <w:tcPr>
            <w:tcW w:w="1056" w:type="dxa"/>
            <w:vAlign w:val="center"/>
          </w:tcPr>
          <w:p>
            <w:pPr>
              <w:pStyle w:val="43"/>
            </w:pPr>
            <w:r>
              <w:t>2.6</w:t>
            </w:r>
          </w:p>
        </w:tc>
        <w:tc>
          <w:tcPr>
            <w:tcW w:w="1056" w:type="dxa"/>
            <w:vAlign w:val="center"/>
          </w:tcPr>
          <w:p>
            <w:pPr>
              <w:pStyle w:val="43"/>
            </w:pPr>
            <w:r>
              <w:t>2.6</w:t>
            </w:r>
          </w:p>
        </w:tc>
        <w:tc>
          <w:tcPr>
            <w:tcW w:w="1056" w:type="dxa"/>
            <w:vAlign w:val="center"/>
          </w:tcPr>
          <w:p>
            <w:pPr>
              <w:pStyle w:val="43"/>
            </w:pPr>
            <w:r>
              <w:t>3.4</w:t>
            </w:r>
          </w:p>
        </w:tc>
        <w:tc>
          <w:tcPr>
            <w:tcW w:w="663" w:type="dxa"/>
            <w:vAlign w:val="center"/>
          </w:tcPr>
          <w:p>
            <w:pPr>
              <w:pStyle w:val="43"/>
            </w:pPr>
            <w:r>
              <w:t>4</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高锰酸盐指数</w:t>
            </w:r>
          </w:p>
        </w:tc>
        <w:tc>
          <w:tcPr>
            <w:tcW w:w="858" w:type="dxa"/>
            <w:vAlign w:val="center"/>
          </w:tcPr>
          <w:p>
            <w:pPr>
              <w:pStyle w:val="43"/>
            </w:pPr>
            <w:r>
              <w:t>mg/L</w:t>
            </w:r>
          </w:p>
        </w:tc>
        <w:tc>
          <w:tcPr>
            <w:tcW w:w="1056" w:type="dxa"/>
            <w:vAlign w:val="center"/>
          </w:tcPr>
          <w:p>
            <w:pPr>
              <w:pStyle w:val="43"/>
            </w:pPr>
            <w:r>
              <w:t>3.9</w:t>
            </w:r>
          </w:p>
        </w:tc>
        <w:tc>
          <w:tcPr>
            <w:tcW w:w="1056" w:type="dxa"/>
            <w:vAlign w:val="center"/>
          </w:tcPr>
          <w:p>
            <w:pPr>
              <w:pStyle w:val="43"/>
            </w:pPr>
            <w:r>
              <w:t>3.9</w:t>
            </w:r>
          </w:p>
        </w:tc>
        <w:tc>
          <w:tcPr>
            <w:tcW w:w="1056" w:type="dxa"/>
            <w:vAlign w:val="center"/>
          </w:tcPr>
          <w:p>
            <w:pPr>
              <w:pStyle w:val="43"/>
            </w:pPr>
            <w:r>
              <w:t>3.1</w:t>
            </w:r>
          </w:p>
        </w:tc>
        <w:tc>
          <w:tcPr>
            <w:tcW w:w="663" w:type="dxa"/>
            <w:vAlign w:val="center"/>
          </w:tcPr>
          <w:p>
            <w:pPr>
              <w:pStyle w:val="43"/>
            </w:pPr>
            <w:r>
              <w:t>6</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氨氮</w:t>
            </w:r>
          </w:p>
        </w:tc>
        <w:tc>
          <w:tcPr>
            <w:tcW w:w="858" w:type="dxa"/>
            <w:vAlign w:val="center"/>
          </w:tcPr>
          <w:p>
            <w:pPr>
              <w:pStyle w:val="43"/>
            </w:pPr>
            <w:r>
              <w:t>mg/L</w:t>
            </w:r>
          </w:p>
        </w:tc>
        <w:tc>
          <w:tcPr>
            <w:tcW w:w="1056" w:type="dxa"/>
            <w:vAlign w:val="center"/>
          </w:tcPr>
          <w:p>
            <w:pPr>
              <w:pStyle w:val="43"/>
            </w:pPr>
            <w:r>
              <w:t>0.411</w:t>
            </w:r>
          </w:p>
        </w:tc>
        <w:tc>
          <w:tcPr>
            <w:tcW w:w="1056" w:type="dxa"/>
            <w:vAlign w:val="center"/>
          </w:tcPr>
          <w:p>
            <w:pPr>
              <w:pStyle w:val="43"/>
            </w:pPr>
            <w:r>
              <w:t>0.486</w:t>
            </w:r>
          </w:p>
        </w:tc>
        <w:tc>
          <w:tcPr>
            <w:tcW w:w="1056" w:type="dxa"/>
            <w:vAlign w:val="center"/>
          </w:tcPr>
          <w:p>
            <w:pPr>
              <w:pStyle w:val="43"/>
            </w:pPr>
            <w:r>
              <w:t>0.589</w:t>
            </w:r>
          </w:p>
        </w:tc>
        <w:tc>
          <w:tcPr>
            <w:tcW w:w="663" w:type="dxa"/>
            <w:vAlign w:val="center"/>
          </w:tcPr>
          <w:p>
            <w:pPr>
              <w:pStyle w:val="43"/>
            </w:pPr>
            <w:r>
              <w:t>1</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TP</w:t>
            </w:r>
          </w:p>
        </w:tc>
        <w:tc>
          <w:tcPr>
            <w:tcW w:w="858" w:type="dxa"/>
            <w:vAlign w:val="center"/>
          </w:tcPr>
          <w:p>
            <w:pPr>
              <w:pStyle w:val="43"/>
            </w:pPr>
            <w:r>
              <w:t>mg/L</w:t>
            </w:r>
          </w:p>
        </w:tc>
        <w:tc>
          <w:tcPr>
            <w:tcW w:w="1056" w:type="dxa"/>
            <w:vAlign w:val="center"/>
          </w:tcPr>
          <w:p>
            <w:pPr>
              <w:pStyle w:val="43"/>
            </w:pPr>
            <w:r>
              <w:t>0.13</w:t>
            </w:r>
          </w:p>
        </w:tc>
        <w:tc>
          <w:tcPr>
            <w:tcW w:w="1056" w:type="dxa"/>
            <w:vAlign w:val="center"/>
          </w:tcPr>
          <w:p>
            <w:pPr>
              <w:pStyle w:val="43"/>
            </w:pPr>
            <w:r>
              <w:t>0.13</w:t>
            </w:r>
          </w:p>
        </w:tc>
        <w:tc>
          <w:tcPr>
            <w:tcW w:w="1056" w:type="dxa"/>
            <w:vAlign w:val="center"/>
          </w:tcPr>
          <w:p>
            <w:pPr>
              <w:pStyle w:val="43"/>
            </w:pPr>
            <w:r>
              <w:t>0.11</w:t>
            </w:r>
          </w:p>
        </w:tc>
        <w:tc>
          <w:tcPr>
            <w:tcW w:w="663" w:type="dxa"/>
            <w:vAlign w:val="center"/>
          </w:tcPr>
          <w:p>
            <w:pPr>
              <w:pStyle w:val="43"/>
            </w:pPr>
            <w:r>
              <w:t>0.2</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TN</w:t>
            </w:r>
          </w:p>
        </w:tc>
        <w:tc>
          <w:tcPr>
            <w:tcW w:w="858" w:type="dxa"/>
            <w:vAlign w:val="center"/>
          </w:tcPr>
          <w:p>
            <w:pPr>
              <w:pStyle w:val="43"/>
            </w:pPr>
            <w:r>
              <w:t>mg/L</w:t>
            </w:r>
          </w:p>
        </w:tc>
        <w:tc>
          <w:tcPr>
            <w:tcW w:w="1056" w:type="dxa"/>
            <w:vAlign w:val="center"/>
          </w:tcPr>
          <w:p>
            <w:pPr>
              <w:pStyle w:val="43"/>
            </w:pPr>
            <w:r>
              <w:t>2.13</w:t>
            </w:r>
          </w:p>
        </w:tc>
        <w:tc>
          <w:tcPr>
            <w:tcW w:w="1056" w:type="dxa"/>
            <w:vAlign w:val="center"/>
          </w:tcPr>
          <w:p>
            <w:pPr>
              <w:pStyle w:val="43"/>
            </w:pPr>
            <w:r>
              <w:t>2.00</w:t>
            </w:r>
          </w:p>
        </w:tc>
        <w:tc>
          <w:tcPr>
            <w:tcW w:w="1056" w:type="dxa"/>
            <w:vAlign w:val="center"/>
          </w:tcPr>
          <w:p>
            <w:pPr>
              <w:pStyle w:val="43"/>
            </w:pPr>
            <w:r>
              <w:t>1.68</w:t>
            </w:r>
          </w:p>
        </w:tc>
        <w:tc>
          <w:tcPr>
            <w:tcW w:w="663" w:type="dxa"/>
            <w:vAlign w:val="center"/>
          </w:tcPr>
          <w:p>
            <w:pPr>
              <w:pStyle w:val="43"/>
            </w:pPr>
            <w:r>
              <w:t>1</w:t>
            </w:r>
          </w:p>
        </w:tc>
        <w:tc>
          <w:tcPr>
            <w:tcW w:w="827" w:type="dxa"/>
            <w:vAlign w:val="center"/>
          </w:tcPr>
          <w:p>
            <w:pPr>
              <w:pStyle w:val="43"/>
            </w:pPr>
            <w:r>
              <w:t>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石油类</w:t>
            </w:r>
          </w:p>
        </w:tc>
        <w:tc>
          <w:tcPr>
            <w:tcW w:w="858" w:type="dxa"/>
            <w:vAlign w:val="center"/>
          </w:tcPr>
          <w:p>
            <w:pPr>
              <w:pStyle w:val="43"/>
            </w:pPr>
            <w:r>
              <w:t>mg/L</w:t>
            </w:r>
          </w:p>
        </w:tc>
        <w:tc>
          <w:tcPr>
            <w:tcW w:w="1056" w:type="dxa"/>
            <w:vAlign w:val="center"/>
          </w:tcPr>
          <w:p>
            <w:pPr>
              <w:pStyle w:val="43"/>
            </w:pPr>
            <w:r>
              <w:t>0.01L</w:t>
            </w:r>
          </w:p>
        </w:tc>
        <w:tc>
          <w:tcPr>
            <w:tcW w:w="1056" w:type="dxa"/>
            <w:vAlign w:val="center"/>
          </w:tcPr>
          <w:p>
            <w:pPr>
              <w:pStyle w:val="43"/>
            </w:pPr>
            <w:r>
              <w:t>0.01L</w:t>
            </w:r>
          </w:p>
        </w:tc>
        <w:tc>
          <w:tcPr>
            <w:tcW w:w="1056" w:type="dxa"/>
            <w:vAlign w:val="center"/>
          </w:tcPr>
          <w:p>
            <w:pPr>
              <w:pStyle w:val="43"/>
            </w:pPr>
            <w:r>
              <w:t>0.01L</w:t>
            </w:r>
          </w:p>
        </w:tc>
        <w:tc>
          <w:tcPr>
            <w:tcW w:w="663" w:type="dxa"/>
            <w:vAlign w:val="center"/>
          </w:tcPr>
          <w:p>
            <w:pPr>
              <w:pStyle w:val="43"/>
            </w:pPr>
            <w:r>
              <w:t>0.05</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粪大肠菌群</w:t>
            </w:r>
          </w:p>
        </w:tc>
        <w:tc>
          <w:tcPr>
            <w:tcW w:w="858" w:type="dxa"/>
            <w:vAlign w:val="center"/>
          </w:tcPr>
          <w:p>
            <w:pPr>
              <w:pStyle w:val="43"/>
            </w:pPr>
            <w:r>
              <w:t xml:space="preserve">MPN/L </w:t>
            </w:r>
          </w:p>
        </w:tc>
        <w:tc>
          <w:tcPr>
            <w:tcW w:w="1056" w:type="dxa"/>
            <w:vAlign w:val="center"/>
          </w:tcPr>
          <w:p>
            <w:pPr>
              <w:pStyle w:val="43"/>
            </w:pPr>
            <w:r>
              <w:t>200</w:t>
            </w:r>
          </w:p>
        </w:tc>
        <w:tc>
          <w:tcPr>
            <w:tcW w:w="1056" w:type="dxa"/>
            <w:vAlign w:val="center"/>
          </w:tcPr>
          <w:p>
            <w:pPr>
              <w:pStyle w:val="43"/>
            </w:pPr>
            <w:r>
              <w:t>500</w:t>
            </w:r>
          </w:p>
        </w:tc>
        <w:tc>
          <w:tcPr>
            <w:tcW w:w="1056" w:type="dxa"/>
            <w:vAlign w:val="center"/>
          </w:tcPr>
          <w:p>
            <w:pPr>
              <w:pStyle w:val="43"/>
            </w:pPr>
            <w:r>
              <w:t>400</w:t>
            </w:r>
          </w:p>
        </w:tc>
        <w:tc>
          <w:tcPr>
            <w:tcW w:w="663" w:type="dxa"/>
            <w:vAlign w:val="center"/>
          </w:tcPr>
          <w:p>
            <w:pPr>
              <w:pStyle w:val="43"/>
            </w:pPr>
            <w:r>
              <w:t>10000</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SS</w:t>
            </w:r>
          </w:p>
        </w:tc>
        <w:tc>
          <w:tcPr>
            <w:tcW w:w="858" w:type="dxa"/>
            <w:vAlign w:val="center"/>
          </w:tcPr>
          <w:p>
            <w:pPr>
              <w:pStyle w:val="43"/>
            </w:pPr>
            <w:r>
              <w:t>mg/L</w:t>
            </w:r>
          </w:p>
        </w:tc>
        <w:tc>
          <w:tcPr>
            <w:tcW w:w="1056" w:type="dxa"/>
            <w:vAlign w:val="center"/>
          </w:tcPr>
          <w:p>
            <w:pPr>
              <w:pStyle w:val="43"/>
            </w:pPr>
            <w:r>
              <w:t>11</w:t>
            </w:r>
          </w:p>
        </w:tc>
        <w:tc>
          <w:tcPr>
            <w:tcW w:w="1056" w:type="dxa"/>
            <w:vAlign w:val="center"/>
          </w:tcPr>
          <w:p>
            <w:pPr>
              <w:pStyle w:val="43"/>
            </w:pPr>
            <w:r>
              <w:t>29</w:t>
            </w:r>
          </w:p>
        </w:tc>
        <w:tc>
          <w:tcPr>
            <w:tcW w:w="1056" w:type="dxa"/>
            <w:vAlign w:val="center"/>
          </w:tcPr>
          <w:p>
            <w:pPr>
              <w:pStyle w:val="43"/>
            </w:pPr>
            <w:r>
              <w:t>18</w:t>
            </w:r>
          </w:p>
        </w:tc>
        <w:tc>
          <w:tcPr>
            <w:tcW w:w="663" w:type="dxa"/>
            <w:vAlign w:val="center"/>
          </w:tcPr>
          <w:p>
            <w:pPr>
              <w:pStyle w:val="43"/>
            </w:pPr>
            <w:r>
              <w:t>/</w:t>
            </w:r>
          </w:p>
        </w:tc>
        <w:tc>
          <w:tcPr>
            <w:tcW w:w="827" w:type="dxa"/>
            <w:vAlign w:val="center"/>
          </w:tcPr>
          <w:p>
            <w:pPr>
              <w:pStyle w:val="43"/>
            </w:pPr>
            <w:r>
              <w:t>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vAlign w:val="center"/>
          </w:tcPr>
          <w:p>
            <w:pPr>
              <w:pStyle w:val="43"/>
            </w:pPr>
            <w:r>
              <w:t>W2：</w:t>
            </w:r>
          </w:p>
          <w:p>
            <w:pPr>
              <w:pStyle w:val="43"/>
            </w:pPr>
            <w:r>
              <w:t>废水入白河排</w:t>
            </w:r>
          </w:p>
          <w:p>
            <w:pPr>
              <w:pStyle w:val="43"/>
            </w:pPr>
            <w:r>
              <w:t>污口下游</w:t>
            </w:r>
          </w:p>
          <w:p>
            <w:pPr>
              <w:pStyle w:val="43"/>
            </w:pPr>
            <w:r>
              <w:t>1000m</w:t>
            </w:r>
          </w:p>
        </w:tc>
        <w:tc>
          <w:tcPr>
            <w:tcW w:w="1476" w:type="dxa"/>
            <w:vAlign w:val="center"/>
          </w:tcPr>
          <w:p>
            <w:pPr>
              <w:pStyle w:val="43"/>
            </w:pPr>
            <w:r>
              <w:t>pH值</w:t>
            </w:r>
          </w:p>
        </w:tc>
        <w:tc>
          <w:tcPr>
            <w:tcW w:w="858" w:type="dxa"/>
            <w:vAlign w:val="center"/>
          </w:tcPr>
          <w:p>
            <w:pPr>
              <w:pStyle w:val="43"/>
            </w:pPr>
            <w:r>
              <w:t>无量纲</w:t>
            </w:r>
          </w:p>
        </w:tc>
        <w:tc>
          <w:tcPr>
            <w:tcW w:w="1056" w:type="dxa"/>
            <w:vAlign w:val="center"/>
          </w:tcPr>
          <w:p>
            <w:pPr>
              <w:pStyle w:val="43"/>
            </w:pPr>
            <w:r>
              <w:t>7.8</w:t>
            </w:r>
          </w:p>
        </w:tc>
        <w:tc>
          <w:tcPr>
            <w:tcW w:w="1056" w:type="dxa"/>
            <w:vAlign w:val="center"/>
          </w:tcPr>
          <w:p>
            <w:pPr>
              <w:pStyle w:val="43"/>
            </w:pPr>
            <w:r>
              <w:t>7.8</w:t>
            </w:r>
          </w:p>
        </w:tc>
        <w:tc>
          <w:tcPr>
            <w:tcW w:w="1056" w:type="dxa"/>
            <w:vAlign w:val="center"/>
          </w:tcPr>
          <w:p>
            <w:pPr>
              <w:pStyle w:val="43"/>
            </w:pPr>
            <w:r>
              <w:t>8.0</w:t>
            </w:r>
          </w:p>
        </w:tc>
        <w:tc>
          <w:tcPr>
            <w:tcW w:w="663" w:type="dxa"/>
            <w:vAlign w:val="center"/>
          </w:tcPr>
          <w:p>
            <w:pPr>
              <w:pStyle w:val="43"/>
            </w:pPr>
            <w:r>
              <w:t>6~9</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COD</w:t>
            </w:r>
          </w:p>
        </w:tc>
        <w:tc>
          <w:tcPr>
            <w:tcW w:w="858" w:type="dxa"/>
            <w:vAlign w:val="center"/>
          </w:tcPr>
          <w:p>
            <w:pPr>
              <w:pStyle w:val="43"/>
            </w:pPr>
            <w:r>
              <w:t>mg/L</w:t>
            </w:r>
          </w:p>
        </w:tc>
        <w:tc>
          <w:tcPr>
            <w:tcW w:w="1056" w:type="dxa"/>
            <w:vAlign w:val="center"/>
          </w:tcPr>
          <w:p>
            <w:pPr>
              <w:pStyle w:val="43"/>
            </w:pPr>
            <w:r>
              <w:t>13</w:t>
            </w:r>
          </w:p>
        </w:tc>
        <w:tc>
          <w:tcPr>
            <w:tcW w:w="1056" w:type="dxa"/>
            <w:vAlign w:val="center"/>
          </w:tcPr>
          <w:p>
            <w:pPr>
              <w:pStyle w:val="43"/>
            </w:pPr>
            <w:r>
              <w:t>13</w:t>
            </w:r>
          </w:p>
        </w:tc>
        <w:tc>
          <w:tcPr>
            <w:tcW w:w="1056" w:type="dxa"/>
            <w:vAlign w:val="center"/>
          </w:tcPr>
          <w:p>
            <w:pPr>
              <w:pStyle w:val="43"/>
            </w:pPr>
            <w:r>
              <w:t>12</w:t>
            </w:r>
          </w:p>
        </w:tc>
        <w:tc>
          <w:tcPr>
            <w:tcW w:w="663" w:type="dxa"/>
            <w:vAlign w:val="center"/>
          </w:tcPr>
          <w:p>
            <w:pPr>
              <w:pStyle w:val="43"/>
            </w:pPr>
            <w:r>
              <w:t>20</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BOD</w:t>
            </w:r>
            <w:r>
              <w:rPr>
                <w:vertAlign w:val="subscript"/>
              </w:rPr>
              <w:t>5</w:t>
            </w:r>
          </w:p>
        </w:tc>
        <w:tc>
          <w:tcPr>
            <w:tcW w:w="858" w:type="dxa"/>
            <w:vAlign w:val="center"/>
          </w:tcPr>
          <w:p>
            <w:pPr>
              <w:pStyle w:val="43"/>
            </w:pPr>
            <w:r>
              <w:t>mg/L</w:t>
            </w:r>
          </w:p>
        </w:tc>
        <w:tc>
          <w:tcPr>
            <w:tcW w:w="1056" w:type="dxa"/>
            <w:vAlign w:val="center"/>
          </w:tcPr>
          <w:p>
            <w:pPr>
              <w:pStyle w:val="43"/>
            </w:pPr>
            <w:r>
              <w:t>3.3</w:t>
            </w:r>
          </w:p>
        </w:tc>
        <w:tc>
          <w:tcPr>
            <w:tcW w:w="1056" w:type="dxa"/>
            <w:vAlign w:val="center"/>
          </w:tcPr>
          <w:p>
            <w:pPr>
              <w:pStyle w:val="43"/>
            </w:pPr>
            <w:r>
              <w:t>3.3</w:t>
            </w:r>
          </w:p>
        </w:tc>
        <w:tc>
          <w:tcPr>
            <w:tcW w:w="1056" w:type="dxa"/>
            <w:vAlign w:val="center"/>
          </w:tcPr>
          <w:p>
            <w:pPr>
              <w:pStyle w:val="43"/>
            </w:pPr>
            <w:r>
              <w:t>2.9</w:t>
            </w:r>
          </w:p>
        </w:tc>
        <w:tc>
          <w:tcPr>
            <w:tcW w:w="663" w:type="dxa"/>
            <w:vAlign w:val="center"/>
          </w:tcPr>
          <w:p>
            <w:pPr>
              <w:pStyle w:val="43"/>
            </w:pPr>
            <w:r>
              <w:t>4</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高锰酸盐指数</w:t>
            </w:r>
          </w:p>
        </w:tc>
        <w:tc>
          <w:tcPr>
            <w:tcW w:w="858" w:type="dxa"/>
            <w:vAlign w:val="center"/>
          </w:tcPr>
          <w:p>
            <w:pPr>
              <w:pStyle w:val="43"/>
            </w:pPr>
            <w:r>
              <w:t>mg/L</w:t>
            </w:r>
          </w:p>
        </w:tc>
        <w:tc>
          <w:tcPr>
            <w:tcW w:w="1056" w:type="dxa"/>
            <w:vAlign w:val="center"/>
          </w:tcPr>
          <w:p>
            <w:pPr>
              <w:pStyle w:val="43"/>
            </w:pPr>
            <w:r>
              <w:t>3.9</w:t>
            </w:r>
          </w:p>
        </w:tc>
        <w:tc>
          <w:tcPr>
            <w:tcW w:w="1056" w:type="dxa"/>
            <w:vAlign w:val="center"/>
          </w:tcPr>
          <w:p>
            <w:pPr>
              <w:pStyle w:val="43"/>
            </w:pPr>
            <w:r>
              <w:t>3.9</w:t>
            </w:r>
          </w:p>
        </w:tc>
        <w:tc>
          <w:tcPr>
            <w:tcW w:w="1056" w:type="dxa"/>
            <w:vAlign w:val="center"/>
          </w:tcPr>
          <w:p>
            <w:pPr>
              <w:pStyle w:val="43"/>
            </w:pPr>
            <w:r>
              <w:t>3.9</w:t>
            </w:r>
          </w:p>
        </w:tc>
        <w:tc>
          <w:tcPr>
            <w:tcW w:w="663" w:type="dxa"/>
            <w:vAlign w:val="center"/>
          </w:tcPr>
          <w:p>
            <w:pPr>
              <w:pStyle w:val="43"/>
            </w:pPr>
            <w:r>
              <w:t>6</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氨氮</w:t>
            </w:r>
          </w:p>
        </w:tc>
        <w:tc>
          <w:tcPr>
            <w:tcW w:w="858" w:type="dxa"/>
            <w:vAlign w:val="center"/>
          </w:tcPr>
          <w:p>
            <w:pPr>
              <w:pStyle w:val="43"/>
            </w:pPr>
            <w:r>
              <w:t>mg/L</w:t>
            </w:r>
          </w:p>
        </w:tc>
        <w:tc>
          <w:tcPr>
            <w:tcW w:w="1056" w:type="dxa"/>
            <w:vAlign w:val="center"/>
          </w:tcPr>
          <w:p>
            <w:pPr>
              <w:pStyle w:val="43"/>
            </w:pPr>
            <w:r>
              <w:t>0.408</w:t>
            </w:r>
          </w:p>
        </w:tc>
        <w:tc>
          <w:tcPr>
            <w:tcW w:w="1056" w:type="dxa"/>
            <w:vAlign w:val="center"/>
          </w:tcPr>
          <w:p>
            <w:pPr>
              <w:pStyle w:val="43"/>
            </w:pPr>
            <w:r>
              <w:t>0.620</w:t>
            </w:r>
          </w:p>
        </w:tc>
        <w:tc>
          <w:tcPr>
            <w:tcW w:w="1056" w:type="dxa"/>
            <w:vAlign w:val="center"/>
          </w:tcPr>
          <w:p>
            <w:pPr>
              <w:pStyle w:val="43"/>
            </w:pPr>
            <w:r>
              <w:t>0.561</w:t>
            </w:r>
          </w:p>
        </w:tc>
        <w:tc>
          <w:tcPr>
            <w:tcW w:w="663" w:type="dxa"/>
            <w:vAlign w:val="center"/>
          </w:tcPr>
          <w:p>
            <w:pPr>
              <w:pStyle w:val="43"/>
            </w:pPr>
            <w:r>
              <w:t>1</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TP</w:t>
            </w:r>
          </w:p>
        </w:tc>
        <w:tc>
          <w:tcPr>
            <w:tcW w:w="858" w:type="dxa"/>
            <w:vAlign w:val="center"/>
          </w:tcPr>
          <w:p>
            <w:pPr>
              <w:pStyle w:val="43"/>
            </w:pPr>
            <w:r>
              <w:t>mg/L</w:t>
            </w:r>
          </w:p>
        </w:tc>
        <w:tc>
          <w:tcPr>
            <w:tcW w:w="1056" w:type="dxa"/>
            <w:vAlign w:val="center"/>
          </w:tcPr>
          <w:p>
            <w:pPr>
              <w:pStyle w:val="43"/>
            </w:pPr>
            <w:r>
              <w:t>0.13</w:t>
            </w:r>
          </w:p>
        </w:tc>
        <w:tc>
          <w:tcPr>
            <w:tcW w:w="1056" w:type="dxa"/>
            <w:vAlign w:val="center"/>
          </w:tcPr>
          <w:p>
            <w:pPr>
              <w:pStyle w:val="43"/>
            </w:pPr>
            <w:r>
              <w:t>0.14</w:t>
            </w:r>
          </w:p>
        </w:tc>
        <w:tc>
          <w:tcPr>
            <w:tcW w:w="1056" w:type="dxa"/>
            <w:vAlign w:val="center"/>
          </w:tcPr>
          <w:p>
            <w:pPr>
              <w:pStyle w:val="43"/>
            </w:pPr>
            <w:r>
              <w:t>0.13</w:t>
            </w:r>
          </w:p>
        </w:tc>
        <w:tc>
          <w:tcPr>
            <w:tcW w:w="663" w:type="dxa"/>
            <w:vAlign w:val="center"/>
          </w:tcPr>
          <w:p>
            <w:pPr>
              <w:pStyle w:val="43"/>
            </w:pPr>
            <w:r>
              <w:t>0.2</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TN</w:t>
            </w:r>
          </w:p>
        </w:tc>
        <w:tc>
          <w:tcPr>
            <w:tcW w:w="858" w:type="dxa"/>
            <w:vAlign w:val="center"/>
          </w:tcPr>
          <w:p>
            <w:pPr>
              <w:pStyle w:val="43"/>
            </w:pPr>
            <w:r>
              <w:t>mg/L</w:t>
            </w:r>
          </w:p>
        </w:tc>
        <w:tc>
          <w:tcPr>
            <w:tcW w:w="1056" w:type="dxa"/>
            <w:vAlign w:val="center"/>
          </w:tcPr>
          <w:p>
            <w:pPr>
              <w:pStyle w:val="43"/>
            </w:pPr>
            <w:r>
              <w:t>2.24</w:t>
            </w:r>
          </w:p>
        </w:tc>
        <w:tc>
          <w:tcPr>
            <w:tcW w:w="1056" w:type="dxa"/>
            <w:vAlign w:val="center"/>
          </w:tcPr>
          <w:p>
            <w:pPr>
              <w:pStyle w:val="43"/>
            </w:pPr>
            <w:r>
              <w:t>3.50</w:t>
            </w:r>
          </w:p>
        </w:tc>
        <w:tc>
          <w:tcPr>
            <w:tcW w:w="1056" w:type="dxa"/>
            <w:vAlign w:val="center"/>
          </w:tcPr>
          <w:p>
            <w:pPr>
              <w:pStyle w:val="43"/>
            </w:pPr>
            <w:r>
              <w:t>1.35</w:t>
            </w:r>
          </w:p>
        </w:tc>
        <w:tc>
          <w:tcPr>
            <w:tcW w:w="663" w:type="dxa"/>
            <w:vAlign w:val="center"/>
          </w:tcPr>
          <w:p>
            <w:pPr>
              <w:pStyle w:val="43"/>
            </w:pPr>
            <w:r>
              <w:t>1</w:t>
            </w:r>
          </w:p>
        </w:tc>
        <w:tc>
          <w:tcPr>
            <w:tcW w:w="827" w:type="dxa"/>
            <w:vAlign w:val="center"/>
          </w:tcPr>
          <w:p>
            <w:pPr>
              <w:pStyle w:val="43"/>
            </w:pPr>
            <w:r>
              <w:t>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石油类</w:t>
            </w:r>
          </w:p>
        </w:tc>
        <w:tc>
          <w:tcPr>
            <w:tcW w:w="858" w:type="dxa"/>
            <w:vAlign w:val="center"/>
          </w:tcPr>
          <w:p>
            <w:pPr>
              <w:pStyle w:val="43"/>
            </w:pPr>
            <w:r>
              <w:t>mg/L</w:t>
            </w:r>
          </w:p>
        </w:tc>
        <w:tc>
          <w:tcPr>
            <w:tcW w:w="1056" w:type="dxa"/>
            <w:vAlign w:val="center"/>
          </w:tcPr>
          <w:p>
            <w:pPr>
              <w:pStyle w:val="43"/>
            </w:pPr>
            <w:r>
              <w:t>0.01L</w:t>
            </w:r>
          </w:p>
        </w:tc>
        <w:tc>
          <w:tcPr>
            <w:tcW w:w="1056" w:type="dxa"/>
            <w:vAlign w:val="center"/>
          </w:tcPr>
          <w:p>
            <w:pPr>
              <w:pStyle w:val="43"/>
            </w:pPr>
            <w:r>
              <w:t>0.01L</w:t>
            </w:r>
          </w:p>
        </w:tc>
        <w:tc>
          <w:tcPr>
            <w:tcW w:w="1056" w:type="dxa"/>
            <w:vAlign w:val="center"/>
          </w:tcPr>
          <w:p>
            <w:pPr>
              <w:pStyle w:val="43"/>
              <w:rPr>
                <w:b/>
                <w:bCs/>
              </w:rPr>
            </w:pPr>
            <w:r>
              <w:t>0.01L</w:t>
            </w:r>
          </w:p>
        </w:tc>
        <w:tc>
          <w:tcPr>
            <w:tcW w:w="663" w:type="dxa"/>
            <w:vAlign w:val="center"/>
          </w:tcPr>
          <w:p>
            <w:pPr>
              <w:pStyle w:val="43"/>
            </w:pPr>
            <w:r>
              <w:t>0.05</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粪大肠菌群</w:t>
            </w:r>
          </w:p>
        </w:tc>
        <w:tc>
          <w:tcPr>
            <w:tcW w:w="858" w:type="dxa"/>
            <w:vAlign w:val="center"/>
          </w:tcPr>
          <w:p>
            <w:pPr>
              <w:pStyle w:val="43"/>
            </w:pPr>
            <w:r>
              <w:t xml:space="preserve">MPN/L </w:t>
            </w:r>
          </w:p>
        </w:tc>
        <w:tc>
          <w:tcPr>
            <w:tcW w:w="1056" w:type="dxa"/>
            <w:vAlign w:val="center"/>
          </w:tcPr>
          <w:p>
            <w:pPr>
              <w:pStyle w:val="43"/>
            </w:pPr>
            <w:r>
              <w:t>1800</w:t>
            </w:r>
          </w:p>
        </w:tc>
        <w:tc>
          <w:tcPr>
            <w:tcW w:w="1056" w:type="dxa"/>
            <w:vAlign w:val="center"/>
          </w:tcPr>
          <w:p>
            <w:pPr>
              <w:pStyle w:val="43"/>
            </w:pPr>
            <w:r>
              <w:t>300</w:t>
            </w:r>
          </w:p>
        </w:tc>
        <w:tc>
          <w:tcPr>
            <w:tcW w:w="1056" w:type="dxa"/>
            <w:vAlign w:val="center"/>
          </w:tcPr>
          <w:p>
            <w:pPr>
              <w:pStyle w:val="43"/>
            </w:pPr>
            <w:r>
              <w:t>200</w:t>
            </w:r>
          </w:p>
        </w:tc>
        <w:tc>
          <w:tcPr>
            <w:tcW w:w="663" w:type="dxa"/>
            <w:vAlign w:val="center"/>
          </w:tcPr>
          <w:p>
            <w:pPr>
              <w:pStyle w:val="43"/>
            </w:pPr>
            <w:r>
              <w:t>10000</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SS</w:t>
            </w:r>
          </w:p>
        </w:tc>
        <w:tc>
          <w:tcPr>
            <w:tcW w:w="858" w:type="dxa"/>
            <w:vAlign w:val="center"/>
          </w:tcPr>
          <w:p>
            <w:pPr>
              <w:pStyle w:val="43"/>
            </w:pPr>
            <w:r>
              <w:t>mg/L</w:t>
            </w:r>
          </w:p>
        </w:tc>
        <w:tc>
          <w:tcPr>
            <w:tcW w:w="1056" w:type="dxa"/>
            <w:vAlign w:val="center"/>
          </w:tcPr>
          <w:p>
            <w:pPr>
              <w:pStyle w:val="43"/>
            </w:pPr>
            <w:r>
              <w:t>12</w:t>
            </w:r>
          </w:p>
        </w:tc>
        <w:tc>
          <w:tcPr>
            <w:tcW w:w="1056" w:type="dxa"/>
            <w:vAlign w:val="center"/>
          </w:tcPr>
          <w:p>
            <w:pPr>
              <w:pStyle w:val="43"/>
            </w:pPr>
            <w:r>
              <w:t>21</w:t>
            </w:r>
          </w:p>
        </w:tc>
        <w:tc>
          <w:tcPr>
            <w:tcW w:w="1056" w:type="dxa"/>
            <w:vAlign w:val="center"/>
          </w:tcPr>
          <w:p>
            <w:pPr>
              <w:pStyle w:val="43"/>
            </w:pPr>
            <w:r>
              <w:t>11</w:t>
            </w:r>
          </w:p>
        </w:tc>
        <w:tc>
          <w:tcPr>
            <w:tcW w:w="663" w:type="dxa"/>
            <w:vAlign w:val="center"/>
          </w:tcPr>
          <w:p>
            <w:pPr>
              <w:pStyle w:val="43"/>
            </w:pPr>
            <w:r>
              <w:t>/</w:t>
            </w:r>
          </w:p>
        </w:tc>
        <w:tc>
          <w:tcPr>
            <w:tcW w:w="827" w:type="dxa"/>
            <w:vAlign w:val="center"/>
          </w:tcPr>
          <w:p>
            <w:pPr>
              <w:pStyle w:val="43"/>
            </w:pPr>
            <w:r>
              <w:t>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vAlign w:val="center"/>
          </w:tcPr>
          <w:p>
            <w:pPr>
              <w:pStyle w:val="43"/>
            </w:pPr>
            <w:r>
              <w:t>W3：</w:t>
            </w:r>
          </w:p>
          <w:p>
            <w:pPr>
              <w:pStyle w:val="43"/>
            </w:pPr>
            <w:r>
              <w:t>项目南侧灌溉渠</w:t>
            </w:r>
          </w:p>
          <w:p>
            <w:pPr>
              <w:pStyle w:val="43"/>
            </w:pPr>
            <w:r>
              <w:t>（汇入口处）</w:t>
            </w:r>
          </w:p>
        </w:tc>
        <w:tc>
          <w:tcPr>
            <w:tcW w:w="1476" w:type="dxa"/>
            <w:vAlign w:val="center"/>
          </w:tcPr>
          <w:p>
            <w:pPr>
              <w:pStyle w:val="43"/>
            </w:pPr>
            <w:r>
              <w:t>pH值</w:t>
            </w:r>
          </w:p>
        </w:tc>
        <w:tc>
          <w:tcPr>
            <w:tcW w:w="858" w:type="dxa"/>
            <w:vAlign w:val="center"/>
          </w:tcPr>
          <w:p>
            <w:pPr>
              <w:pStyle w:val="43"/>
            </w:pPr>
            <w:r>
              <w:t>无量纲</w:t>
            </w:r>
          </w:p>
        </w:tc>
        <w:tc>
          <w:tcPr>
            <w:tcW w:w="1056" w:type="dxa"/>
            <w:vAlign w:val="center"/>
          </w:tcPr>
          <w:p>
            <w:pPr>
              <w:pStyle w:val="43"/>
            </w:pPr>
            <w:r>
              <w:t>8.0</w:t>
            </w:r>
          </w:p>
        </w:tc>
        <w:tc>
          <w:tcPr>
            <w:tcW w:w="1056" w:type="dxa"/>
            <w:vAlign w:val="center"/>
          </w:tcPr>
          <w:p>
            <w:pPr>
              <w:pStyle w:val="43"/>
            </w:pPr>
            <w:r>
              <w:t>8.0</w:t>
            </w:r>
          </w:p>
        </w:tc>
        <w:tc>
          <w:tcPr>
            <w:tcW w:w="1056" w:type="dxa"/>
            <w:vAlign w:val="center"/>
          </w:tcPr>
          <w:p>
            <w:pPr>
              <w:pStyle w:val="43"/>
            </w:pPr>
            <w:r>
              <w:t>7.9</w:t>
            </w:r>
          </w:p>
        </w:tc>
        <w:tc>
          <w:tcPr>
            <w:tcW w:w="663" w:type="dxa"/>
            <w:vAlign w:val="center"/>
          </w:tcPr>
          <w:p>
            <w:pPr>
              <w:pStyle w:val="43"/>
            </w:pPr>
            <w:r>
              <w:t>6~9</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COD</w:t>
            </w:r>
          </w:p>
        </w:tc>
        <w:tc>
          <w:tcPr>
            <w:tcW w:w="858" w:type="dxa"/>
            <w:vAlign w:val="center"/>
          </w:tcPr>
          <w:p>
            <w:pPr>
              <w:pStyle w:val="43"/>
            </w:pPr>
            <w:r>
              <w:t>mg/L</w:t>
            </w:r>
          </w:p>
        </w:tc>
        <w:tc>
          <w:tcPr>
            <w:tcW w:w="1056" w:type="dxa"/>
            <w:vAlign w:val="center"/>
          </w:tcPr>
          <w:p>
            <w:pPr>
              <w:pStyle w:val="43"/>
            </w:pPr>
            <w:r>
              <w:t>15</w:t>
            </w:r>
          </w:p>
        </w:tc>
        <w:tc>
          <w:tcPr>
            <w:tcW w:w="1056" w:type="dxa"/>
            <w:vAlign w:val="center"/>
          </w:tcPr>
          <w:p>
            <w:pPr>
              <w:pStyle w:val="43"/>
            </w:pPr>
            <w:r>
              <w:t>15</w:t>
            </w:r>
          </w:p>
        </w:tc>
        <w:tc>
          <w:tcPr>
            <w:tcW w:w="1056" w:type="dxa"/>
            <w:vAlign w:val="center"/>
          </w:tcPr>
          <w:p>
            <w:pPr>
              <w:pStyle w:val="43"/>
            </w:pPr>
            <w:r>
              <w:t>17</w:t>
            </w:r>
          </w:p>
        </w:tc>
        <w:tc>
          <w:tcPr>
            <w:tcW w:w="663" w:type="dxa"/>
            <w:vAlign w:val="center"/>
          </w:tcPr>
          <w:p>
            <w:pPr>
              <w:pStyle w:val="43"/>
            </w:pPr>
            <w:r>
              <w:t>20</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BOD</w:t>
            </w:r>
            <w:r>
              <w:rPr>
                <w:vertAlign w:val="subscript"/>
              </w:rPr>
              <w:t>5</w:t>
            </w:r>
          </w:p>
        </w:tc>
        <w:tc>
          <w:tcPr>
            <w:tcW w:w="858" w:type="dxa"/>
            <w:vAlign w:val="center"/>
          </w:tcPr>
          <w:p>
            <w:pPr>
              <w:pStyle w:val="43"/>
            </w:pPr>
            <w:r>
              <w:t>mg/L</w:t>
            </w:r>
          </w:p>
        </w:tc>
        <w:tc>
          <w:tcPr>
            <w:tcW w:w="1056" w:type="dxa"/>
            <w:vAlign w:val="center"/>
          </w:tcPr>
          <w:p>
            <w:pPr>
              <w:pStyle w:val="43"/>
            </w:pPr>
            <w:r>
              <w:t>3.6</w:t>
            </w:r>
          </w:p>
        </w:tc>
        <w:tc>
          <w:tcPr>
            <w:tcW w:w="1056" w:type="dxa"/>
            <w:vAlign w:val="center"/>
          </w:tcPr>
          <w:p>
            <w:pPr>
              <w:pStyle w:val="43"/>
            </w:pPr>
            <w:r>
              <w:t>3.6</w:t>
            </w:r>
          </w:p>
        </w:tc>
        <w:tc>
          <w:tcPr>
            <w:tcW w:w="1056" w:type="dxa"/>
            <w:vAlign w:val="center"/>
          </w:tcPr>
          <w:p>
            <w:pPr>
              <w:pStyle w:val="43"/>
            </w:pPr>
            <w:r>
              <w:t>3.8</w:t>
            </w:r>
          </w:p>
        </w:tc>
        <w:tc>
          <w:tcPr>
            <w:tcW w:w="663" w:type="dxa"/>
            <w:vAlign w:val="center"/>
          </w:tcPr>
          <w:p>
            <w:pPr>
              <w:pStyle w:val="43"/>
            </w:pPr>
            <w:r>
              <w:t>4</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高锰酸盐指数</w:t>
            </w:r>
          </w:p>
        </w:tc>
        <w:tc>
          <w:tcPr>
            <w:tcW w:w="858" w:type="dxa"/>
            <w:vAlign w:val="center"/>
          </w:tcPr>
          <w:p>
            <w:pPr>
              <w:pStyle w:val="43"/>
            </w:pPr>
            <w:r>
              <w:t>mg/L</w:t>
            </w:r>
          </w:p>
        </w:tc>
        <w:tc>
          <w:tcPr>
            <w:tcW w:w="1056" w:type="dxa"/>
            <w:vAlign w:val="center"/>
          </w:tcPr>
          <w:p>
            <w:pPr>
              <w:pStyle w:val="43"/>
            </w:pPr>
            <w:r>
              <w:t>5.2</w:t>
            </w:r>
          </w:p>
        </w:tc>
        <w:tc>
          <w:tcPr>
            <w:tcW w:w="1056" w:type="dxa"/>
            <w:vAlign w:val="center"/>
          </w:tcPr>
          <w:p>
            <w:pPr>
              <w:pStyle w:val="43"/>
            </w:pPr>
            <w:r>
              <w:t>5.2</w:t>
            </w:r>
          </w:p>
        </w:tc>
        <w:tc>
          <w:tcPr>
            <w:tcW w:w="1056" w:type="dxa"/>
            <w:vAlign w:val="center"/>
          </w:tcPr>
          <w:p>
            <w:pPr>
              <w:pStyle w:val="43"/>
            </w:pPr>
            <w:r>
              <w:t>5.3</w:t>
            </w:r>
          </w:p>
        </w:tc>
        <w:tc>
          <w:tcPr>
            <w:tcW w:w="663" w:type="dxa"/>
            <w:vAlign w:val="center"/>
          </w:tcPr>
          <w:p>
            <w:pPr>
              <w:pStyle w:val="43"/>
            </w:pPr>
            <w:r>
              <w:t>6</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氨氮</w:t>
            </w:r>
          </w:p>
        </w:tc>
        <w:tc>
          <w:tcPr>
            <w:tcW w:w="858" w:type="dxa"/>
            <w:vAlign w:val="center"/>
          </w:tcPr>
          <w:p>
            <w:pPr>
              <w:pStyle w:val="43"/>
            </w:pPr>
            <w:r>
              <w:t>mg/L</w:t>
            </w:r>
          </w:p>
        </w:tc>
        <w:tc>
          <w:tcPr>
            <w:tcW w:w="1056" w:type="dxa"/>
            <w:vAlign w:val="center"/>
          </w:tcPr>
          <w:p>
            <w:pPr>
              <w:pStyle w:val="43"/>
            </w:pPr>
            <w:r>
              <w:t>0.486</w:t>
            </w:r>
          </w:p>
        </w:tc>
        <w:tc>
          <w:tcPr>
            <w:tcW w:w="1056" w:type="dxa"/>
            <w:vAlign w:val="center"/>
          </w:tcPr>
          <w:p>
            <w:pPr>
              <w:pStyle w:val="43"/>
            </w:pPr>
            <w:r>
              <w:t>0.495</w:t>
            </w:r>
          </w:p>
        </w:tc>
        <w:tc>
          <w:tcPr>
            <w:tcW w:w="1056" w:type="dxa"/>
            <w:vAlign w:val="center"/>
          </w:tcPr>
          <w:p>
            <w:pPr>
              <w:pStyle w:val="43"/>
            </w:pPr>
            <w:r>
              <w:t>0.618</w:t>
            </w:r>
          </w:p>
        </w:tc>
        <w:tc>
          <w:tcPr>
            <w:tcW w:w="663" w:type="dxa"/>
            <w:vAlign w:val="center"/>
          </w:tcPr>
          <w:p>
            <w:pPr>
              <w:pStyle w:val="43"/>
            </w:pPr>
            <w:r>
              <w:t>1</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TP</w:t>
            </w:r>
          </w:p>
        </w:tc>
        <w:tc>
          <w:tcPr>
            <w:tcW w:w="858" w:type="dxa"/>
            <w:vAlign w:val="center"/>
          </w:tcPr>
          <w:p>
            <w:pPr>
              <w:pStyle w:val="43"/>
            </w:pPr>
            <w:r>
              <w:t>mg/L</w:t>
            </w:r>
          </w:p>
        </w:tc>
        <w:tc>
          <w:tcPr>
            <w:tcW w:w="1056" w:type="dxa"/>
            <w:vAlign w:val="center"/>
          </w:tcPr>
          <w:p>
            <w:pPr>
              <w:pStyle w:val="43"/>
            </w:pPr>
            <w:r>
              <w:t>0.18</w:t>
            </w:r>
          </w:p>
        </w:tc>
        <w:tc>
          <w:tcPr>
            <w:tcW w:w="1056" w:type="dxa"/>
            <w:vAlign w:val="center"/>
          </w:tcPr>
          <w:p>
            <w:pPr>
              <w:pStyle w:val="43"/>
            </w:pPr>
            <w:r>
              <w:t>0.18</w:t>
            </w:r>
          </w:p>
        </w:tc>
        <w:tc>
          <w:tcPr>
            <w:tcW w:w="1056" w:type="dxa"/>
            <w:vAlign w:val="center"/>
          </w:tcPr>
          <w:p>
            <w:pPr>
              <w:pStyle w:val="43"/>
            </w:pPr>
            <w:r>
              <w:t>0.19</w:t>
            </w:r>
          </w:p>
        </w:tc>
        <w:tc>
          <w:tcPr>
            <w:tcW w:w="663" w:type="dxa"/>
            <w:vAlign w:val="center"/>
          </w:tcPr>
          <w:p>
            <w:pPr>
              <w:pStyle w:val="43"/>
            </w:pPr>
            <w:r>
              <w:t>0.2</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TN</w:t>
            </w:r>
          </w:p>
        </w:tc>
        <w:tc>
          <w:tcPr>
            <w:tcW w:w="858" w:type="dxa"/>
            <w:vAlign w:val="center"/>
          </w:tcPr>
          <w:p>
            <w:pPr>
              <w:pStyle w:val="43"/>
            </w:pPr>
            <w:r>
              <w:t>mg/L</w:t>
            </w:r>
          </w:p>
        </w:tc>
        <w:tc>
          <w:tcPr>
            <w:tcW w:w="1056" w:type="dxa"/>
            <w:vAlign w:val="center"/>
          </w:tcPr>
          <w:p>
            <w:pPr>
              <w:pStyle w:val="43"/>
            </w:pPr>
            <w:r>
              <w:t>2.53</w:t>
            </w:r>
          </w:p>
        </w:tc>
        <w:tc>
          <w:tcPr>
            <w:tcW w:w="1056" w:type="dxa"/>
            <w:vAlign w:val="center"/>
          </w:tcPr>
          <w:p>
            <w:pPr>
              <w:pStyle w:val="43"/>
            </w:pPr>
            <w:r>
              <w:t>1.65</w:t>
            </w:r>
          </w:p>
        </w:tc>
        <w:tc>
          <w:tcPr>
            <w:tcW w:w="1056" w:type="dxa"/>
            <w:vAlign w:val="center"/>
          </w:tcPr>
          <w:p>
            <w:pPr>
              <w:pStyle w:val="43"/>
            </w:pPr>
            <w:r>
              <w:t>1.11</w:t>
            </w:r>
          </w:p>
        </w:tc>
        <w:tc>
          <w:tcPr>
            <w:tcW w:w="663" w:type="dxa"/>
            <w:vAlign w:val="center"/>
          </w:tcPr>
          <w:p>
            <w:pPr>
              <w:pStyle w:val="43"/>
            </w:pPr>
            <w:r>
              <w:t>1</w:t>
            </w:r>
          </w:p>
        </w:tc>
        <w:tc>
          <w:tcPr>
            <w:tcW w:w="827" w:type="dxa"/>
            <w:vAlign w:val="center"/>
          </w:tcPr>
          <w:p>
            <w:pPr>
              <w:pStyle w:val="43"/>
            </w:pPr>
            <w:r>
              <w:t>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石油类</w:t>
            </w:r>
          </w:p>
        </w:tc>
        <w:tc>
          <w:tcPr>
            <w:tcW w:w="858" w:type="dxa"/>
            <w:vAlign w:val="center"/>
          </w:tcPr>
          <w:p>
            <w:pPr>
              <w:pStyle w:val="43"/>
            </w:pPr>
            <w:r>
              <w:t>mg/L</w:t>
            </w:r>
          </w:p>
        </w:tc>
        <w:tc>
          <w:tcPr>
            <w:tcW w:w="1056" w:type="dxa"/>
            <w:vAlign w:val="center"/>
          </w:tcPr>
          <w:p>
            <w:pPr>
              <w:pStyle w:val="43"/>
            </w:pPr>
            <w:r>
              <w:t>0.01L</w:t>
            </w:r>
          </w:p>
        </w:tc>
        <w:tc>
          <w:tcPr>
            <w:tcW w:w="1056" w:type="dxa"/>
            <w:vAlign w:val="center"/>
          </w:tcPr>
          <w:p>
            <w:pPr>
              <w:pStyle w:val="43"/>
            </w:pPr>
            <w:r>
              <w:t>0.01L</w:t>
            </w:r>
          </w:p>
        </w:tc>
        <w:tc>
          <w:tcPr>
            <w:tcW w:w="1056" w:type="dxa"/>
            <w:vAlign w:val="center"/>
          </w:tcPr>
          <w:p>
            <w:pPr>
              <w:pStyle w:val="43"/>
            </w:pPr>
            <w:r>
              <w:t>0.01L</w:t>
            </w:r>
          </w:p>
        </w:tc>
        <w:tc>
          <w:tcPr>
            <w:tcW w:w="663" w:type="dxa"/>
            <w:vAlign w:val="center"/>
          </w:tcPr>
          <w:p>
            <w:pPr>
              <w:pStyle w:val="43"/>
            </w:pPr>
            <w:r>
              <w:t>0.05</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粪大肠菌群</w:t>
            </w:r>
          </w:p>
        </w:tc>
        <w:tc>
          <w:tcPr>
            <w:tcW w:w="858" w:type="dxa"/>
            <w:vAlign w:val="center"/>
          </w:tcPr>
          <w:p>
            <w:pPr>
              <w:pStyle w:val="43"/>
            </w:pPr>
            <w:r>
              <w:t xml:space="preserve">MPN/L </w:t>
            </w:r>
          </w:p>
        </w:tc>
        <w:tc>
          <w:tcPr>
            <w:tcW w:w="1056" w:type="dxa"/>
            <w:vAlign w:val="center"/>
          </w:tcPr>
          <w:p>
            <w:pPr>
              <w:pStyle w:val="43"/>
            </w:pPr>
            <w:r>
              <w:t>2100</w:t>
            </w:r>
          </w:p>
        </w:tc>
        <w:tc>
          <w:tcPr>
            <w:tcW w:w="1056" w:type="dxa"/>
            <w:vAlign w:val="center"/>
          </w:tcPr>
          <w:p>
            <w:pPr>
              <w:pStyle w:val="43"/>
            </w:pPr>
            <w:r>
              <w:t>500</w:t>
            </w:r>
          </w:p>
        </w:tc>
        <w:tc>
          <w:tcPr>
            <w:tcW w:w="1056" w:type="dxa"/>
            <w:vAlign w:val="center"/>
          </w:tcPr>
          <w:p>
            <w:pPr>
              <w:pStyle w:val="43"/>
            </w:pPr>
            <w:r>
              <w:t>2700</w:t>
            </w:r>
          </w:p>
        </w:tc>
        <w:tc>
          <w:tcPr>
            <w:tcW w:w="663" w:type="dxa"/>
            <w:vAlign w:val="center"/>
          </w:tcPr>
          <w:p>
            <w:pPr>
              <w:pStyle w:val="43"/>
            </w:pPr>
            <w:r>
              <w:t>10000</w:t>
            </w:r>
          </w:p>
        </w:tc>
        <w:tc>
          <w:tcPr>
            <w:tcW w:w="827" w:type="dxa"/>
            <w:vAlign w:val="center"/>
          </w:tcPr>
          <w:p>
            <w:pPr>
              <w:pStyle w:val="43"/>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vAlign w:val="center"/>
          </w:tcPr>
          <w:p>
            <w:pPr>
              <w:pStyle w:val="43"/>
            </w:pPr>
          </w:p>
        </w:tc>
        <w:tc>
          <w:tcPr>
            <w:tcW w:w="1476" w:type="dxa"/>
            <w:vAlign w:val="center"/>
          </w:tcPr>
          <w:p>
            <w:pPr>
              <w:pStyle w:val="43"/>
            </w:pPr>
            <w:r>
              <w:t>SS</w:t>
            </w:r>
          </w:p>
        </w:tc>
        <w:tc>
          <w:tcPr>
            <w:tcW w:w="858" w:type="dxa"/>
            <w:vAlign w:val="center"/>
          </w:tcPr>
          <w:p>
            <w:pPr>
              <w:pStyle w:val="43"/>
            </w:pPr>
            <w:r>
              <w:t>mg/L</w:t>
            </w:r>
          </w:p>
        </w:tc>
        <w:tc>
          <w:tcPr>
            <w:tcW w:w="1056" w:type="dxa"/>
            <w:vAlign w:val="center"/>
          </w:tcPr>
          <w:p>
            <w:pPr>
              <w:pStyle w:val="43"/>
            </w:pPr>
            <w:r>
              <w:t>30</w:t>
            </w:r>
          </w:p>
        </w:tc>
        <w:tc>
          <w:tcPr>
            <w:tcW w:w="1056" w:type="dxa"/>
            <w:vAlign w:val="center"/>
          </w:tcPr>
          <w:p>
            <w:pPr>
              <w:pStyle w:val="43"/>
            </w:pPr>
            <w:r>
              <w:t>42</w:t>
            </w:r>
          </w:p>
        </w:tc>
        <w:tc>
          <w:tcPr>
            <w:tcW w:w="1056" w:type="dxa"/>
            <w:vAlign w:val="center"/>
          </w:tcPr>
          <w:p>
            <w:pPr>
              <w:pStyle w:val="43"/>
            </w:pPr>
            <w:r>
              <w:t>28</w:t>
            </w:r>
          </w:p>
        </w:tc>
        <w:tc>
          <w:tcPr>
            <w:tcW w:w="663" w:type="dxa"/>
            <w:vAlign w:val="center"/>
          </w:tcPr>
          <w:p>
            <w:pPr>
              <w:pStyle w:val="43"/>
            </w:pPr>
            <w:r>
              <w:t>/</w:t>
            </w:r>
          </w:p>
        </w:tc>
        <w:tc>
          <w:tcPr>
            <w:tcW w:w="827" w:type="dxa"/>
            <w:vAlign w:val="center"/>
          </w:tcPr>
          <w:p>
            <w:pPr>
              <w:pStyle w:val="43"/>
            </w:pPr>
            <w:r>
              <w:t>不评价</w:t>
            </w:r>
          </w:p>
        </w:tc>
      </w:tr>
    </w:tbl>
    <w:p>
      <w:pPr>
        <w:pStyle w:val="30"/>
        <w:ind w:firstLine="480"/>
        <w:rPr>
          <w:rFonts w:ascii="宋体" w:hAnsi="宋体" w:cs="宋体"/>
          <w:color w:val="000000"/>
        </w:rPr>
      </w:pPr>
      <w:r>
        <w:rPr>
          <w:rFonts w:hint="eastAsia" w:ascii="宋体" w:hAnsi="宋体" w:cs="宋体"/>
          <w:color w:val="000000"/>
        </w:rPr>
        <w:t>根据监测结果，断面除总氮和悬浮物外各监测因子均满足水环境功能区划要求，总氮和悬浮物不进行评价。</w:t>
      </w:r>
    </w:p>
    <w:p>
      <w:pPr>
        <w:pStyle w:val="30"/>
        <w:ind w:firstLine="480"/>
        <w:rPr>
          <w:color w:val="000000"/>
          <w:u w:val="single"/>
        </w:rPr>
      </w:pPr>
      <w:r>
        <w:rPr>
          <w:color w:val="000000"/>
          <w:u w:val="single"/>
        </w:rPr>
        <w:t>本次论证还收集了白河近三年常规监测断面白河入湘江口处的水质现状结论，根据衡阳市生态环境局发布的《关于2023年12月及1-12月全市环境质量状况的通报》可知，白河入湘江口处断面2023年1-12月水质类别可达到II类；根据《衡阳市生态环境局关于2022年12月及1-12月全市环境质量状况的通报》可知，白河入湘江口处断面2022年1-12月水质类别可达到</w:t>
      </w:r>
      <w:r>
        <w:rPr>
          <w:u w:val="single"/>
        </w:rPr>
        <w:t>Ⅲ</w:t>
      </w:r>
      <w:r>
        <w:rPr>
          <w:color w:val="000000"/>
          <w:u w:val="single"/>
        </w:rPr>
        <w:t>类；根据《衡阳市生态环境局关于2021年12月及1-12月全市环境质量状况的通报》可知，白河入湘江口处断面2021年1-12月水质类别可达到</w:t>
      </w:r>
      <w:r>
        <w:rPr>
          <w:u w:val="single"/>
        </w:rPr>
        <w:t>Ⅲ</w:t>
      </w:r>
      <w:r>
        <w:rPr>
          <w:color w:val="000000"/>
          <w:u w:val="single"/>
        </w:rPr>
        <w:t>类。</w:t>
      </w:r>
    </w:p>
    <w:p>
      <w:pPr>
        <w:pStyle w:val="35"/>
      </w:pPr>
      <w:bookmarkStart w:id="43" w:name="_Toc9878"/>
      <w:r>
        <w:rPr>
          <w:rFonts w:hint="eastAsia"/>
        </w:rPr>
        <w:t>4</w:t>
      </w:r>
      <w:r>
        <w:t>.3</w:t>
      </w:r>
      <w:r>
        <w:rPr>
          <w:rFonts w:hint="eastAsia"/>
        </w:rPr>
        <w:t>所在水功能区（水域）纳污状况</w:t>
      </w:r>
      <w:bookmarkEnd w:id="43"/>
    </w:p>
    <w:p>
      <w:pPr>
        <w:pStyle w:val="30"/>
        <w:ind w:firstLine="480"/>
        <w:rPr>
          <w:szCs w:val="24"/>
          <w:u w:val="single"/>
        </w:rPr>
      </w:pPr>
      <w:r>
        <w:rPr>
          <w:szCs w:val="24"/>
          <w:u w:val="single"/>
        </w:rPr>
        <w:t>根据3.2章节，排污口所在白河段CODcr的纳污能力为1865t/a，NH</w:t>
      </w:r>
      <w:r>
        <w:rPr>
          <w:szCs w:val="24"/>
          <w:u w:val="single"/>
          <w:vertAlign w:val="subscript"/>
        </w:rPr>
        <w:t>3</w:t>
      </w:r>
      <w:r>
        <w:rPr>
          <w:szCs w:val="24"/>
          <w:u w:val="single"/>
        </w:rPr>
        <w:t>-N的纳污能力为124.7t/a，总磷纳污能力为21.0t/a。本排污口COD、NH</w:t>
      </w:r>
      <w:r>
        <w:rPr>
          <w:szCs w:val="24"/>
          <w:u w:val="single"/>
          <w:vertAlign w:val="subscript"/>
        </w:rPr>
        <w:t>3</w:t>
      </w:r>
      <w:r>
        <w:rPr>
          <w:szCs w:val="24"/>
          <w:u w:val="single"/>
        </w:rPr>
        <w:t>-N、总磷的排放量占环境容量的0.23%-0.47%、0.46%-0.94%、0.33%-0.71%，小于环境容量控制要求。</w:t>
      </w:r>
    </w:p>
    <w:p>
      <w:pPr>
        <w:widowControl/>
        <w:spacing w:line="360" w:lineRule="auto"/>
        <w:ind w:firstLine="480" w:firstLineChars="200"/>
        <w:jc w:val="left"/>
        <w:rPr>
          <w:sz w:val="24"/>
          <w:szCs w:val="24"/>
          <w:u w:val="single"/>
        </w:rPr>
      </w:pPr>
      <w:r>
        <w:rPr>
          <w:color w:val="000000"/>
          <w:kern w:val="0"/>
          <w:sz w:val="24"/>
          <w:szCs w:val="24"/>
          <w:u w:val="single"/>
          <w:lang w:bidi="ar"/>
        </w:rPr>
        <w:t>由于鸟江镇目前无污水处理系统，水功能区（水域）纳污能力其实已经</w:t>
      </w:r>
      <w:r>
        <w:rPr>
          <w:rFonts w:hint="eastAsia"/>
          <w:color w:val="000000"/>
          <w:kern w:val="0"/>
          <w:sz w:val="24"/>
          <w:szCs w:val="24"/>
          <w:u w:val="single"/>
          <w:lang w:bidi="ar"/>
        </w:rPr>
        <w:t>包含</w:t>
      </w:r>
      <w:r>
        <w:rPr>
          <w:color w:val="000000"/>
          <w:kern w:val="0"/>
          <w:sz w:val="24"/>
          <w:szCs w:val="24"/>
          <w:u w:val="single"/>
          <w:lang w:bidi="ar"/>
        </w:rPr>
        <w:t>该区域污染物排放量，当鸟江镇污水处理工程建设完成后，将大量减轻鸟江镇</w:t>
      </w:r>
      <w:r>
        <w:rPr>
          <w:rFonts w:hint="eastAsia"/>
          <w:color w:val="000000"/>
          <w:kern w:val="0"/>
          <w:sz w:val="24"/>
          <w:szCs w:val="24"/>
          <w:u w:val="single"/>
          <w:lang w:bidi="ar"/>
        </w:rPr>
        <w:t>集镇居民</w:t>
      </w:r>
      <w:r>
        <w:rPr>
          <w:color w:val="000000"/>
          <w:kern w:val="0"/>
          <w:sz w:val="24"/>
          <w:szCs w:val="24"/>
          <w:u w:val="single"/>
          <w:lang w:bidi="ar"/>
        </w:rPr>
        <w:t>生活污水对白河的影响负荷，有利于区域水环境进一步改善。</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44" w:name="_Toc22970"/>
      <w:r>
        <w:rPr>
          <w:rFonts w:hint="eastAsia"/>
        </w:rPr>
        <w:t>5入河排污口设置可行性分析论证及入河排污口设置情况</w:t>
      </w:r>
      <w:bookmarkEnd w:id="44"/>
    </w:p>
    <w:p>
      <w:pPr>
        <w:pStyle w:val="35"/>
      </w:pPr>
      <w:bookmarkStart w:id="45" w:name="_Toc27799"/>
      <w:r>
        <w:rPr>
          <w:rFonts w:hint="eastAsia"/>
        </w:rPr>
        <w:t>5</w:t>
      </w:r>
      <w:r>
        <w:t>.1</w:t>
      </w:r>
      <w:r>
        <w:rPr>
          <w:rFonts w:hint="eastAsia"/>
        </w:rPr>
        <w:t>废污水来源及构成</w:t>
      </w:r>
      <w:bookmarkEnd w:id="45"/>
    </w:p>
    <w:p>
      <w:pPr>
        <w:pStyle w:val="30"/>
        <w:ind w:firstLine="480"/>
      </w:pPr>
      <w:r>
        <w:rPr>
          <w:rFonts w:hint="eastAsia"/>
        </w:rPr>
        <w:t>鸟江镇污水处理工程位于鸟江镇，主要服务区域为集镇区域，服务面积为0.4km</w:t>
      </w:r>
      <w:r>
        <w:rPr>
          <w:rFonts w:hint="eastAsia"/>
          <w:vertAlign w:val="superscript"/>
        </w:rPr>
        <w:t>2</w:t>
      </w:r>
      <w:r>
        <w:rPr>
          <w:rFonts w:hint="eastAsia"/>
        </w:rPr>
        <w:t>。污水处理总规模为近期200m</w:t>
      </w:r>
      <w:r>
        <w:rPr>
          <w:rFonts w:hint="eastAsia"/>
          <w:vertAlign w:val="superscript"/>
        </w:rPr>
        <w:t>3</w:t>
      </w:r>
      <w:r>
        <w:rPr>
          <w:rFonts w:hint="eastAsia"/>
        </w:rPr>
        <w:t>/d，远期400m</w:t>
      </w:r>
      <w:r>
        <w:rPr>
          <w:rFonts w:hint="eastAsia"/>
          <w:vertAlign w:val="superscript"/>
        </w:rPr>
        <w:t>3</w:t>
      </w:r>
      <w:r>
        <w:rPr>
          <w:rFonts w:hint="eastAsia"/>
        </w:rPr>
        <w:t>/d。由于鸟江镇工业企业以及服务行业相对较少，污水性质较为固定，因此鸟江镇污水处理工程收集的污水主要包括城镇生活污水、公共设施污水。</w:t>
      </w:r>
    </w:p>
    <w:p>
      <w:pPr>
        <w:pStyle w:val="30"/>
        <w:ind w:firstLine="480"/>
      </w:pPr>
      <w:r>
        <w:rPr>
          <w:rFonts w:hint="eastAsia"/>
        </w:rPr>
        <w:t>综上所述，鸟江镇污水处理工程污水来源主要为城镇生活污水、公共设施污水。</w:t>
      </w:r>
    </w:p>
    <w:p>
      <w:pPr>
        <w:pStyle w:val="35"/>
      </w:pPr>
      <w:bookmarkStart w:id="46" w:name="_Toc19606"/>
      <w:r>
        <w:rPr>
          <w:rFonts w:hint="eastAsia"/>
        </w:rPr>
        <w:t>5</w:t>
      </w:r>
      <w:r>
        <w:t>.2</w:t>
      </w:r>
      <w:r>
        <w:rPr>
          <w:rFonts w:hint="eastAsia"/>
        </w:rPr>
        <w:t>废污水所含主要污染物种类及排放浓度、总量</w:t>
      </w:r>
      <w:bookmarkEnd w:id="46"/>
    </w:p>
    <w:p>
      <w:pPr>
        <w:pStyle w:val="21"/>
        <w:ind w:firstLine="480" w:firstLineChars="200"/>
        <w:rPr>
          <w:rFonts w:eastAsia="宋体"/>
          <w:sz w:val="24"/>
        </w:rPr>
      </w:pPr>
      <w:r>
        <w:rPr>
          <w:rFonts w:hint="eastAsia" w:eastAsia="宋体"/>
          <w:sz w:val="24"/>
        </w:rPr>
        <w:t>鸟江镇污水处理工程设计出水水质中污染物排放限值均执行《城镇污水处理厂污染物排放标准》（GB18918-2002）一级B标准后经灌溉渠排入白河。各污染物产生及排放情况见下表。</w:t>
      </w:r>
    </w:p>
    <w:p>
      <w:pPr>
        <w:spacing w:line="360" w:lineRule="auto"/>
        <w:ind w:firstLine="482" w:firstLineChars="200"/>
        <w:jc w:val="center"/>
        <w:rPr>
          <w:kern w:val="0"/>
          <w:sz w:val="24"/>
        </w:rPr>
      </w:pPr>
      <w:r>
        <w:rPr>
          <w:b/>
          <w:bCs/>
          <w:kern w:val="0"/>
          <w:sz w:val="24"/>
        </w:rPr>
        <w:t>表</w:t>
      </w:r>
      <w:r>
        <w:rPr>
          <w:rFonts w:hint="eastAsia"/>
          <w:b/>
          <w:bCs/>
          <w:kern w:val="0"/>
          <w:sz w:val="24"/>
        </w:rPr>
        <w:t>5.2-1</w:t>
      </w:r>
      <w:r>
        <w:rPr>
          <w:b/>
          <w:bCs/>
          <w:kern w:val="0"/>
          <w:sz w:val="24"/>
        </w:rPr>
        <w:t xml:space="preserve">  本项目污水处理厂</w:t>
      </w:r>
      <w:r>
        <w:rPr>
          <w:rFonts w:hint="eastAsia"/>
          <w:b/>
          <w:bCs/>
          <w:kern w:val="0"/>
          <w:sz w:val="24"/>
        </w:rPr>
        <w:t>设计</w:t>
      </w:r>
      <w:r>
        <w:rPr>
          <w:b/>
          <w:bCs/>
          <w:kern w:val="0"/>
          <w:sz w:val="24"/>
        </w:rPr>
        <w:t>进出</w:t>
      </w:r>
      <w:r>
        <w:rPr>
          <w:rFonts w:hint="eastAsia"/>
          <w:b/>
          <w:bCs/>
          <w:kern w:val="0"/>
          <w:sz w:val="24"/>
        </w:rPr>
        <w:t>水</w:t>
      </w:r>
      <w:r>
        <w:rPr>
          <w:b/>
          <w:bCs/>
          <w:kern w:val="0"/>
          <w:sz w:val="24"/>
        </w:rPr>
        <w:t>水质一览表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017"/>
        <w:gridCol w:w="1100"/>
        <w:gridCol w:w="1083"/>
        <w:gridCol w:w="1100"/>
        <w:gridCol w:w="1034"/>
        <w:gridCol w:w="1044"/>
        <w:gridCol w:w="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restart"/>
            <w:vAlign w:val="center"/>
          </w:tcPr>
          <w:p>
            <w:pPr>
              <w:pStyle w:val="30"/>
              <w:spacing w:line="240" w:lineRule="auto"/>
              <w:ind w:firstLine="0" w:firstLineChars="0"/>
              <w:jc w:val="center"/>
              <w:rPr>
                <w:sz w:val="21"/>
                <w:szCs w:val="21"/>
              </w:rPr>
            </w:pPr>
            <w:r>
              <w:rPr>
                <w:sz w:val="21"/>
                <w:szCs w:val="21"/>
              </w:rPr>
              <w:t>污水处理规模</w:t>
            </w:r>
          </w:p>
        </w:tc>
        <w:tc>
          <w:tcPr>
            <w:tcW w:w="1017" w:type="dxa"/>
            <w:vMerge w:val="restart"/>
            <w:vAlign w:val="center"/>
          </w:tcPr>
          <w:p>
            <w:pPr>
              <w:pStyle w:val="30"/>
              <w:spacing w:line="240" w:lineRule="auto"/>
              <w:ind w:firstLine="0" w:firstLineChars="0"/>
              <w:jc w:val="center"/>
              <w:rPr>
                <w:sz w:val="21"/>
                <w:szCs w:val="21"/>
              </w:rPr>
            </w:pPr>
            <w:r>
              <w:rPr>
                <w:sz w:val="21"/>
                <w:szCs w:val="21"/>
              </w:rPr>
              <w:t>污染物</w:t>
            </w:r>
          </w:p>
        </w:tc>
        <w:tc>
          <w:tcPr>
            <w:tcW w:w="3283" w:type="dxa"/>
            <w:gridSpan w:val="3"/>
            <w:vAlign w:val="center"/>
          </w:tcPr>
          <w:p>
            <w:pPr>
              <w:pStyle w:val="30"/>
              <w:spacing w:line="240" w:lineRule="auto"/>
              <w:ind w:firstLine="0" w:firstLineChars="0"/>
              <w:jc w:val="center"/>
              <w:rPr>
                <w:sz w:val="21"/>
                <w:szCs w:val="21"/>
              </w:rPr>
            </w:pPr>
            <w:r>
              <w:rPr>
                <w:sz w:val="21"/>
                <w:szCs w:val="21"/>
              </w:rPr>
              <w:t>进水水质</w:t>
            </w:r>
          </w:p>
        </w:tc>
        <w:tc>
          <w:tcPr>
            <w:tcW w:w="2969" w:type="dxa"/>
            <w:gridSpan w:val="3"/>
            <w:vAlign w:val="center"/>
          </w:tcPr>
          <w:p>
            <w:pPr>
              <w:pStyle w:val="30"/>
              <w:spacing w:line="240" w:lineRule="auto"/>
              <w:ind w:firstLine="0" w:firstLineChars="0"/>
              <w:jc w:val="center"/>
              <w:rPr>
                <w:sz w:val="21"/>
                <w:szCs w:val="21"/>
              </w:rPr>
            </w:pPr>
            <w:r>
              <w:rPr>
                <w:sz w:val="21"/>
                <w:szCs w:val="21"/>
              </w:rPr>
              <w:t>出水水质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pStyle w:val="30"/>
              <w:spacing w:line="240" w:lineRule="auto"/>
              <w:ind w:firstLine="0" w:firstLineChars="0"/>
              <w:jc w:val="center"/>
              <w:rPr>
                <w:sz w:val="21"/>
                <w:szCs w:val="21"/>
              </w:rPr>
            </w:pPr>
          </w:p>
        </w:tc>
        <w:tc>
          <w:tcPr>
            <w:tcW w:w="1017" w:type="dxa"/>
            <w:vMerge w:val="continue"/>
            <w:vAlign w:val="center"/>
          </w:tcPr>
          <w:p>
            <w:pPr>
              <w:pStyle w:val="30"/>
              <w:spacing w:line="240" w:lineRule="auto"/>
              <w:ind w:firstLine="0" w:firstLineChars="0"/>
              <w:jc w:val="center"/>
              <w:rPr>
                <w:sz w:val="21"/>
                <w:szCs w:val="21"/>
              </w:rPr>
            </w:pPr>
          </w:p>
        </w:tc>
        <w:tc>
          <w:tcPr>
            <w:tcW w:w="1100" w:type="dxa"/>
            <w:vAlign w:val="center"/>
          </w:tcPr>
          <w:p>
            <w:pPr>
              <w:pStyle w:val="48"/>
              <w:adjustRightInd/>
              <w:snapToGrid/>
              <w:rPr>
                <w:szCs w:val="21"/>
              </w:rPr>
            </w:pPr>
            <w:r>
              <w:rPr>
                <w:szCs w:val="21"/>
              </w:rPr>
              <w:t>污染物产生浓度（mg/L）</w:t>
            </w:r>
          </w:p>
        </w:tc>
        <w:tc>
          <w:tcPr>
            <w:tcW w:w="1083" w:type="dxa"/>
            <w:vAlign w:val="center"/>
          </w:tcPr>
          <w:p>
            <w:pPr>
              <w:pStyle w:val="48"/>
              <w:adjustRightInd/>
              <w:snapToGrid/>
              <w:rPr>
                <w:szCs w:val="21"/>
              </w:rPr>
            </w:pPr>
            <w:r>
              <w:rPr>
                <w:rFonts w:hint="eastAsia"/>
                <w:szCs w:val="21"/>
                <w:lang w:val="en-US"/>
              </w:rPr>
              <w:t>近期</w:t>
            </w:r>
            <w:r>
              <w:rPr>
                <w:szCs w:val="21"/>
              </w:rPr>
              <w:t>污染物产生量（t/a）</w:t>
            </w:r>
          </w:p>
        </w:tc>
        <w:tc>
          <w:tcPr>
            <w:tcW w:w="1100" w:type="dxa"/>
            <w:vAlign w:val="center"/>
          </w:tcPr>
          <w:p>
            <w:pPr>
              <w:pStyle w:val="48"/>
              <w:adjustRightInd/>
              <w:snapToGrid/>
              <w:rPr>
                <w:szCs w:val="21"/>
              </w:rPr>
            </w:pPr>
            <w:r>
              <w:rPr>
                <w:rFonts w:hint="eastAsia"/>
                <w:szCs w:val="21"/>
                <w:lang w:val="en-US"/>
              </w:rPr>
              <w:t>远期</w:t>
            </w:r>
            <w:r>
              <w:rPr>
                <w:szCs w:val="21"/>
              </w:rPr>
              <w:t>污染物产生量（t/a）</w:t>
            </w:r>
          </w:p>
        </w:tc>
        <w:tc>
          <w:tcPr>
            <w:tcW w:w="1034" w:type="dxa"/>
            <w:vAlign w:val="center"/>
          </w:tcPr>
          <w:p>
            <w:pPr>
              <w:pStyle w:val="48"/>
              <w:adjustRightInd/>
              <w:snapToGrid/>
              <w:rPr>
                <w:szCs w:val="21"/>
              </w:rPr>
            </w:pPr>
            <w:r>
              <w:rPr>
                <w:szCs w:val="21"/>
              </w:rPr>
              <w:t>污染物排放浓度（mg/L）</w:t>
            </w:r>
          </w:p>
        </w:tc>
        <w:tc>
          <w:tcPr>
            <w:tcW w:w="1044" w:type="dxa"/>
            <w:vAlign w:val="center"/>
          </w:tcPr>
          <w:p>
            <w:pPr>
              <w:pStyle w:val="48"/>
              <w:adjustRightInd/>
              <w:snapToGrid/>
              <w:rPr>
                <w:szCs w:val="21"/>
              </w:rPr>
            </w:pPr>
            <w:r>
              <w:rPr>
                <w:rFonts w:hint="eastAsia"/>
                <w:szCs w:val="21"/>
                <w:lang w:val="en-US"/>
              </w:rPr>
              <w:t>近期</w:t>
            </w:r>
            <w:r>
              <w:rPr>
                <w:szCs w:val="21"/>
              </w:rPr>
              <w:t>污染物排放量（t/a）</w:t>
            </w:r>
          </w:p>
        </w:tc>
        <w:tc>
          <w:tcPr>
            <w:tcW w:w="891" w:type="dxa"/>
            <w:vAlign w:val="center"/>
          </w:tcPr>
          <w:p>
            <w:pPr>
              <w:pStyle w:val="48"/>
              <w:adjustRightInd/>
              <w:snapToGrid/>
              <w:rPr>
                <w:szCs w:val="21"/>
              </w:rPr>
            </w:pPr>
            <w:r>
              <w:rPr>
                <w:rFonts w:hint="eastAsia"/>
                <w:szCs w:val="21"/>
                <w:lang w:val="en-US"/>
              </w:rPr>
              <w:t>远期</w:t>
            </w:r>
            <w:r>
              <w:rPr>
                <w:szCs w:val="21"/>
              </w:rPr>
              <w:t>污染物排放量（t/a）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restart"/>
            <w:vAlign w:val="center"/>
          </w:tcPr>
          <w:p>
            <w:pPr>
              <w:pStyle w:val="30"/>
              <w:spacing w:line="240" w:lineRule="auto"/>
              <w:ind w:firstLine="0" w:firstLineChars="0"/>
              <w:jc w:val="center"/>
              <w:rPr>
                <w:sz w:val="21"/>
                <w:szCs w:val="21"/>
              </w:rPr>
            </w:pPr>
            <w:r>
              <w:rPr>
                <w:rFonts w:hint="eastAsia"/>
                <w:sz w:val="21"/>
                <w:szCs w:val="21"/>
              </w:rPr>
              <w:t>近期200</w:t>
            </w:r>
            <w:r>
              <w:rPr>
                <w:sz w:val="21"/>
                <w:szCs w:val="21"/>
              </w:rPr>
              <w:t>m</w:t>
            </w:r>
            <w:r>
              <w:rPr>
                <w:sz w:val="21"/>
                <w:szCs w:val="21"/>
                <w:vertAlign w:val="superscript"/>
              </w:rPr>
              <w:t>3</w:t>
            </w:r>
            <w:r>
              <w:rPr>
                <w:sz w:val="21"/>
                <w:szCs w:val="21"/>
              </w:rPr>
              <w:t>/d</w:t>
            </w:r>
            <w:r>
              <w:rPr>
                <w:rFonts w:hint="eastAsia"/>
                <w:sz w:val="21"/>
                <w:szCs w:val="21"/>
              </w:rPr>
              <w:t>，远期</w:t>
            </w:r>
            <w:r>
              <w:rPr>
                <w:sz w:val="21"/>
                <w:szCs w:val="21"/>
              </w:rPr>
              <w:t>400m</w:t>
            </w:r>
            <w:r>
              <w:rPr>
                <w:sz w:val="21"/>
                <w:szCs w:val="21"/>
                <w:vertAlign w:val="superscript"/>
              </w:rPr>
              <w:t>3</w:t>
            </w:r>
            <w:r>
              <w:rPr>
                <w:sz w:val="21"/>
                <w:szCs w:val="21"/>
              </w:rPr>
              <w:t>/d</w:t>
            </w:r>
          </w:p>
        </w:tc>
        <w:tc>
          <w:tcPr>
            <w:tcW w:w="1017" w:type="dxa"/>
            <w:vAlign w:val="center"/>
          </w:tcPr>
          <w:p>
            <w:pPr>
              <w:pStyle w:val="57"/>
              <w:spacing w:line="240" w:lineRule="auto"/>
              <w:ind w:left="0" w:leftChars="0" w:right="0" w:rightChars="0"/>
              <w:rPr>
                <w:sz w:val="21"/>
                <w:szCs w:val="21"/>
              </w:rPr>
            </w:pPr>
            <w:r>
              <w:rPr>
                <w:sz w:val="21"/>
                <w:szCs w:val="21"/>
              </w:rPr>
              <w:t>CODcr</w:t>
            </w:r>
          </w:p>
        </w:tc>
        <w:tc>
          <w:tcPr>
            <w:tcW w:w="1100" w:type="dxa"/>
            <w:vAlign w:val="center"/>
          </w:tcPr>
          <w:p>
            <w:pPr>
              <w:pStyle w:val="30"/>
              <w:spacing w:line="240" w:lineRule="auto"/>
              <w:ind w:firstLine="0" w:firstLineChars="0"/>
              <w:jc w:val="center"/>
              <w:rPr>
                <w:sz w:val="21"/>
                <w:szCs w:val="21"/>
              </w:rPr>
            </w:pPr>
            <w:r>
              <w:rPr>
                <w:sz w:val="21"/>
                <w:szCs w:val="21"/>
              </w:rPr>
              <w:t>280</w:t>
            </w:r>
          </w:p>
        </w:tc>
        <w:tc>
          <w:tcPr>
            <w:tcW w:w="1083" w:type="dxa"/>
            <w:vAlign w:val="center"/>
          </w:tcPr>
          <w:p>
            <w:pPr>
              <w:widowControl/>
              <w:jc w:val="center"/>
              <w:textAlignment w:val="top"/>
              <w:rPr>
                <w:sz w:val="21"/>
                <w:szCs w:val="21"/>
              </w:rPr>
            </w:pPr>
            <w:r>
              <w:rPr>
                <w:rFonts w:hint="eastAsia"/>
                <w:sz w:val="21"/>
                <w:szCs w:val="21"/>
              </w:rPr>
              <w:t>20.44</w:t>
            </w:r>
          </w:p>
        </w:tc>
        <w:tc>
          <w:tcPr>
            <w:tcW w:w="1100" w:type="dxa"/>
            <w:vAlign w:val="center"/>
          </w:tcPr>
          <w:p>
            <w:pPr>
              <w:widowControl/>
              <w:jc w:val="center"/>
              <w:textAlignment w:val="top"/>
              <w:rPr>
                <w:sz w:val="21"/>
                <w:szCs w:val="21"/>
              </w:rPr>
            </w:pPr>
            <w:r>
              <w:rPr>
                <w:color w:val="000000"/>
                <w:kern w:val="0"/>
                <w:sz w:val="21"/>
                <w:szCs w:val="21"/>
                <w:lang w:bidi="ar"/>
              </w:rPr>
              <w:t>40.88</w:t>
            </w:r>
          </w:p>
        </w:tc>
        <w:tc>
          <w:tcPr>
            <w:tcW w:w="1034" w:type="dxa"/>
            <w:vAlign w:val="center"/>
          </w:tcPr>
          <w:p>
            <w:pPr>
              <w:pStyle w:val="30"/>
              <w:spacing w:line="240" w:lineRule="auto"/>
              <w:ind w:firstLine="0" w:firstLineChars="0"/>
              <w:jc w:val="center"/>
              <w:rPr>
                <w:sz w:val="21"/>
                <w:szCs w:val="21"/>
              </w:rPr>
            </w:pPr>
            <w:r>
              <w:rPr>
                <w:sz w:val="21"/>
                <w:szCs w:val="21"/>
              </w:rPr>
              <w:t>60</w:t>
            </w:r>
          </w:p>
        </w:tc>
        <w:tc>
          <w:tcPr>
            <w:tcW w:w="1044" w:type="dxa"/>
            <w:vAlign w:val="center"/>
          </w:tcPr>
          <w:p>
            <w:pPr>
              <w:widowControl/>
              <w:jc w:val="center"/>
              <w:textAlignment w:val="center"/>
              <w:rPr>
                <w:sz w:val="21"/>
                <w:szCs w:val="21"/>
              </w:rPr>
            </w:pPr>
            <w:r>
              <w:rPr>
                <w:rFonts w:hint="eastAsia"/>
                <w:sz w:val="21"/>
                <w:szCs w:val="21"/>
              </w:rPr>
              <w:t>4.38</w:t>
            </w:r>
          </w:p>
        </w:tc>
        <w:tc>
          <w:tcPr>
            <w:tcW w:w="891" w:type="dxa"/>
            <w:vAlign w:val="center"/>
          </w:tcPr>
          <w:p>
            <w:pPr>
              <w:widowControl/>
              <w:jc w:val="center"/>
              <w:textAlignment w:val="center"/>
              <w:rPr>
                <w:sz w:val="21"/>
                <w:szCs w:val="21"/>
              </w:rPr>
            </w:pPr>
            <w:r>
              <w:rPr>
                <w:color w:val="000000"/>
                <w:kern w:val="0"/>
                <w:sz w:val="21"/>
                <w:szCs w:val="21"/>
                <w:lang w:bidi="ar"/>
              </w:rPr>
              <w:t>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pStyle w:val="30"/>
              <w:spacing w:line="240" w:lineRule="auto"/>
              <w:ind w:firstLine="0" w:firstLineChars="0"/>
              <w:jc w:val="center"/>
              <w:rPr>
                <w:sz w:val="21"/>
                <w:szCs w:val="21"/>
              </w:rPr>
            </w:pPr>
          </w:p>
        </w:tc>
        <w:tc>
          <w:tcPr>
            <w:tcW w:w="1017" w:type="dxa"/>
            <w:vAlign w:val="center"/>
          </w:tcPr>
          <w:p>
            <w:pPr>
              <w:pStyle w:val="57"/>
              <w:spacing w:line="240" w:lineRule="auto"/>
              <w:ind w:left="0" w:leftChars="0" w:right="0" w:rightChars="0"/>
              <w:rPr>
                <w:sz w:val="21"/>
                <w:szCs w:val="21"/>
              </w:rPr>
            </w:pPr>
            <w:r>
              <w:rPr>
                <w:sz w:val="21"/>
                <w:szCs w:val="21"/>
              </w:rPr>
              <w:t>BOD</w:t>
            </w:r>
            <w:r>
              <w:rPr>
                <w:sz w:val="21"/>
                <w:szCs w:val="21"/>
                <w:vertAlign w:val="subscript"/>
              </w:rPr>
              <w:t>5</w:t>
            </w:r>
          </w:p>
        </w:tc>
        <w:tc>
          <w:tcPr>
            <w:tcW w:w="1100" w:type="dxa"/>
            <w:vAlign w:val="center"/>
          </w:tcPr>
          <w:p>
            <w:pPr>
              <w:pStyle w:val="30"/>
              <w:spacing w:line="240" w:lineRule="auto"/>
              <w:ind w:firstLine="0" w:firstLineChars="0"/>
              <w:jc w:val="center"/>
              <w:rPr>
                <w:sz w:val="21"/>
                <w:szCs w:val="21"/>
              </w:rPr>
            </w:pPr>
            <w:r>
              <w:rPr>
                <w:sz w:val="21"/>
                <w:szCs w:val="21"/>
              </w:rPr>
              <w:t>150</w:t>
            </w:r>
          </w:p>
        </w:tc>
        <w:tc>
          <w:tcPr>
            <w:tcW w:w="1083" w:type="dxa"/>
            <w:vAlign w:val="center"/>
          </w:tcPr>
          <w:p>
            <w:pPr>
              <w:widowControl/>
              <w:jc w:val="center"/>
              <w:textAlignment w:val="top"/>
              <w:rPr>
                <w:sz w:val="21"/>
                <w:szCs w:val="21"/>
              </w:rPr>
            </w:pPr>
            <w:r>
              <w:rPr>
                <w:rFonts w:hint="eastAsia"/>
                <w:sz w:val="21"/>
                <w:szCs w:val="21"/>
              </w:rPr>
              <w:t>10.95</w:t>
            </w:r>
          </w:p>
        </w:tc>
        <w:tc>
          <w:tcPr>
            <w:tcW w:w="1100" w:type="dxa"/>
            <w:vAlign w:val="center"/>
          </w:tcPr>
          <w:p>
            <w:pPr>
              <w:widowControl/>
              <w:jc w:val="center"/>
              <w:textAlignment w:val="top"/>
              <w:rPr>
                <w:sz w:val="21"/>
                <w:szCs w:val="21"/>
              </w:rPr>
            </w:pPr>
            <w:r>
              <w:rPr>
                <w:color w:val="000000"/>
                <w:kern w:val="0"/>
                <w:sz w:val="21"/>
                <w:szCs w:val="21"/>
                <w:lang w:bidi="ar"/>
              </w:rPr>
              <w:t>21.9</w:t>
            </w:r>
          </w:p>
        </w:tc>
        <w:tc>
          <w:tcPr>
            <w:tcW w:w="1034" w:type="dxa"/>
            <w:vAlign w:val="center"/>
          </w:tcPr>
          <w:p>
            <w:pPr>
              <w:pStyle w:val="30"/>
              <w:spacing w:line="240" w:lineRule="auto"/>
              <w:ind w:firstLine="0" w:firstLineChars="0"/>
              <w:jc w:val="center"/>
              <w:rPr>
                <w:sz w:val="21"/>
                <w:szCs w:val="21"/>
              </w:rPr>
            </w:pPr>
            <w:r>
              <w:rPr>
                <w:sz w:val="21"/>
                <w:szCs w:val="21"/>
              </w:rPr>
              <w:t>20</w:t>
            </w:r>
          </w:p>
        </w:tc>
        <w:tc>
          <w:tcPr>
            <w:tcW w:w="1044" w:type="dxa"/>
            <w:vAlign w:val="center"/>
          </w:tcPr>
          <w:p>
            <w:pPr>
              <w:widowControl/>
              <w:jc w:val="center"/>
              <w:textAlignment w:val="center"/>
              <w:rPr>
                <w:sz w:val="21"/>
                <w:szCs w:val="21"/>
              </w:rPr>
            </w:pPr>
            <w:r>
              <w:rPr>
                <w:rFonts w:hint="eastAsia"/>
                <w:sz w:val="21"/>
                <w:szCs w:val="21"/>
              </w:rPr>
              <w:t>1.46</w:t>
            </w:r>
          </w:p>
        </w:tc>
        <w:tc>
          <w:tcPr>
            <w:tcW w:w="891" w:type="dxa"/>
            <w:vAlign w:val="center"/>
          </w:tcPr>
          <w:p>
            <w:pPr>
              <w:widowControl/>
              <w:jc w:val="center"/>
              <w:textAlignment w:val="center"/>
              <w:rPr>
                <w:sz w:val="21"/>
                <w:szCs w:val="21"/>
              </w:rPr>
            </w:pP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pStyle w:val="30"/>
              <w:spacing w:line="240" w:lineRule="auto"/>
              <w:ind w:firstLine="0" w:firstLineChars="0"/>
              <w:jc w:val="center"/>
              <w:rPr>
                <w:sz w:val="21"/>
                <w:szCs w:val="21"/>
              </w:rPr>
            </w:pPr>
          </w:p>
        </w:tc>
        <w:tc>
          <w:tcPr>
            <w:tcW w:w="1017" w:type="dxa"/>
            <w:vAlign w:val="center"/>
          </w:tcPr>
          <w:p>
            <w:pPr>
              <w:pStyle w:val="57"/>
              <w:spacing w:line="240" w:lineRule="auto"/>
              <w:ind w:left="0" w:leftChars="0" w:right="0" w:rightChars="0"/>
              <w:rPr>
                <w:sz w:val="21"/>
                <w:szCs w:val="21"/>
              </w:rPr>
            </w:pPr>
            <w:r>
              <w:rPr>
                <w:sz w:val="21"/>
                <w:szCs w:val="21"/>
              </w:rPr>
              <w:t>SS</w:t>
            </w:r>
          </w:p>
        </w:tc>
        <w:tc>
          <w:tcPr>
            <w:tcW w:w="1100" w:type="dxa"/>
            <w:vAlign w:val="center"/>
          </w:tcPr>
          <w:p>
            <w:pPr>
              <w:pStyle w:val="30"/>
              <w:spacing w:line="240" w:lineRule="auto"/>
              <w:ind w:firstLine="0" w:firstLineChars="0"/>
              <w:jc w:val="center"/>
              <w:rPr>
                <w:sz w:val="21"/>
                <w:szCs w:val="21"/>
              </w:rPr>
            </w:pPr>
            <w:r>
              <w:rPr>
                <w:sz w:val="21"/>
                <w:szCs w:val="21"/>
              </w:rPr>
              <w:t>200</w:t>
            </w:r>
          </w:p>
        </w:tc>
        <w:tc>
          <w:tcPr>
            <w:tcW w:w="1083" w:type="dxa"/>
            <w:vAlign w:val="center"/>
          </w:tcPr>
          <w:p>
            <w:pPr>
              <w:widowControl/>
              <w:jc w:val="center"/>
              <w:textAlignment w:val="top"/>
              <w:rPr>
                <w:sz w:val="21"/>
                <w:szCs w:val="21"/>
              </w:rPr>
            </w:pPr>
            <w:r>
              <w:rPr>
                <w:rFonts w:hint="eastAsia"/>
                <w:sz w:val="21"/>
                <w:szCs w:val="21"/>
              </w:rPr>
              <w:t>14.6</w:t>
            </w:r>
          </w:p>
        </w:tc>
        <w:tc>
          <w:tcPr>
            <w:tcW w:w="1100" w:type="dxa"/>
            <w:vAlign w:val="center"/>
          </w:tcPr>
          <w:p>
            <w:pPr>
              <w:widowControl/>
              <w:jc w:val="center"/>
              <w:textAlignment w:val="top"/>
              <w:rPr>
                <w:sz w:val="21"/>
                <w:szCs w:val="21"/>
              </w:rPr>
            </w:pPr>
            <w:r>
              <w:rPr>
                <w:color w:val="000000"/>
                <w:kern w:val="0"/>
                <w:sz w:val="21"/>
                <w:szCs w:val="21"/>
                <w:lang w:bidi="ar"/>
              </w:rPr>
              <w:t>29.2</w:t>
            </w:r>
          </w:p>
        </w:tc>
        <w:tc>
          <w:tcPr>
            <w:tcW w:w="1034" w:type="dxa"/>
            <w:vAlign w:val="center"/>
          </w:tcPr>
          <w:p>
            <w:pPr>
              <w:pStyle w:val="30"/>
              <w:spacing w:line="240" w:lineRule="auto"/>
              <w:ind w:firstLine="0" w:firstLineChars="0"/>
              <w:jc w:val="center"/>
              <w:rPr>
                <w:sz w:val="21"/>
                <w:szCs w:val="21"/>
              </w:rPr>
            </w:pPr>
            <w:r>
              <w:rPr>
                <w:sz w:val="21"/>
                <w:szCs w:val="21"/>
              </w:rPr>
              <w:t>20</w:t>
            </w:r>
          </w:p>
        </w:tc>
        <w:tc>
          <w:tcPr>
            <w:tcW w:w="1044" w:type="dxa"/>
            <w:vAlign w:val="center"/>
          </w:tcPr>
          <w:p>
            <w:pPr>
              <w:widowControl/>
              <w:jc w:val="center"/>
              <w:textAlignment w:val="center"/>
              <w:rPr>
                <w:sz w:val="21"/>
                <w:szCs w:val="21"/>
              </w:rPr>
            </w:pPr>
            <w:r>
              <w:rPr>
                <w:rFonts w:hint="eastAsia"/>
                <w:sz w:val="21"/>
                <w:szCs w:val="21"/>
              </w:rPr>
              <w:t>1.46</w:t>
            </w:r>
          </w:p>
        </w:tc>
        <w:tc>
          <w:tcPr>
            <w:tcW w:w="891" w:type="dxa"/>
            <w:vAlign w:val="center"/>
          </w:tcPr>
          <w:p>
            <w:pPr>
              <w:widowControl/>
              <w:jc w:val="center"/>
              <w:textAlignment w:val="center"/>
              <w:rPr>
                <w:sz w:val="21"/>
                <w:szCs w:val="21"/>
              </w:rPr>
            </w:pP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pStyle w:val="30"/>
              <w:spacing w:line="240" w:lineRule="auto"/>
              <w:ind w:firstLine="0" w:firstLineChars="0"/>
              <w:jc w:val="center"/>
              <w:rPr>
                <w:sz w:val="21"/>
                <w:szCs w:val="21"/>
              </w:rPr>
            </w:pPr>
          </w:p>
        </w:tc>
        <w:tc>
          <w:tcPr>
            <w:tcW w:w="1017" w:type="dxa"/>
            <w:vAlign w:val="center"/>
          </w:tcPr>
          <w:p>
            <w:pPr>
              <w:pStyle w:val="57"/>
              <w:spacing w:line="240" w:lineRule="auto"/>
              <w:ind w:left="0" w:leftChars="0" w:right="0" w:rightChars="0"/>
              <w:rPr>
                <w:sz w:val="21"/>
                <w:szCs w:val="21"/>
              </w:rPr>
            </w:pPr>
            <w:r>
              <w:rPr>
                <w:sz w:val="21"/>
                <w:szCs w:val="21"/>
              </w:rPr>
              <w:t>NH</w:t>
            </w:r>
            <w:r>
              <w:rPr>
                <w:sz w:val="21"/>
                <w:szCs w:val="21"/>
                <w:vertAlign w:val="subscript"/>
              </w:rPr>
              <w:t>3</w:t>
            </w:r>
            <w:r>
              <w:rPr>
                <w:sz w:val="21"/>
                <w:szCs w:val="21"/>
              </w:rPr>
              <w:t>-N</w:t>
            </w:r>
          </w:p>
        </w:tc>
        <w:tc>
          <w:tcPr>
            <w:tcW w:w="1100" w:type="dxa"/>
            <w:vAlign w:val="center"/>
          </w:tcPr>
          <w:p>
            <w:pPr>
              <w:pStyle w:val="30"/>
              <w:spacing w:line="240" w:lineRule="auto"/>
              <w:ind w:firstLine="0" w:firstLineChars="0"/>
              <w:jc w:val="center"/>
              <w:rPr>
                <w:sz w:val="21"/>
                <w:szCs w:val="21"/>
              </w:rPr>
            </w:pPr>
            <w:r>
              <w:rPr>
                <w:sz w:val="21"/>
                <w:szCs w:val="21"/>
              </w:rPr>
              <w:t>35</w:t>
            </w:r>
          </w:p>
        </w:tc>
        <w:tc>
          <w:tcPr>
            <w:tcW w:w="1083" w:type="dxa"/>
            <w:vAlign w:val="center"/>
          </w:tcPr>
          <w:p>
            <w:pPr>
              <w:widowControl/>
              <w:jc w:val="center"/>
              <w:textAlignment w:val="top"/>
              <w:rPr>
                <w:sz w:val="21"/>
                <w:szCs w:val="21"/>
              </w:rPr>
            </w:pPr>
            <w:r>
              <w:rPr>
                <w:rFonts w:hint="eastAsia"/>
                <w:sz w:val="21"/>
                <w:szCs w:val="21"/>
              </w:rPr>
              <w:t>2.56</w:t>
            </w:r>
          </w:p>
        </w:tc>
        <w:tc>
          <w:tcPr>
            <w:tcW w:w="1100" w:type="dxa"/>
            <w:vAlign w:val="center"/>
          </w:tcPr>
          <w:p>
            <w:pPr>
              <w:widowControl/>
              <w:jc w:val="center"/>
              <w:textAlignment w:val="top"/>
              <w:rPr>
                <w:sz w:val="21"/>
                <w:szCs w:val="21"/>
              </w:rPr>
            </w:pPr>
            <w:r>
              <w:rPr>
                <w:color w:val="000000"/>
                <w:kern w:val="0"/>
                <w:sz w:val="21"/>
                <w:szCs w:val="21"/>
                <w:lang w:bidi="ar"/>
              </w:rPr>
              <w:t>5.11</w:t>
            </w:r>
          </w:p>
        </w:tc>
        <w:tc>
          <w:tcPr>
            <w:tcW w:w="1034" w:type="dxa"/>
            <w:vAlign w:val="center"/>
          </w:tcPr>
          <w:p>
            <w:pPr>
              <w:pStyle w:val="30"/>
              <w:spacing w:line="240" w:lineRule="auto"/>
              <w:ind w:firstLine="0" w:firstLineChars="0"/>
              <w:jc w:val="center"/>
              <w:rPr>
                <w:sz w:val="21"/>
                <w:szCs w:val="21"/>
              </w:rPr>
            </w:pPr>
            <w:r>
              <w:rPr>
                <w:sz w:val="21"/>
                <w:szCs w:val="21"/>
              </w:rPr>
              <w:t>8</w:t>
            </w:r>
          </w:p>
        </w:tc>
        <w:tc>
          <w:tcPr>
            <w:tcW w:w="1044" w:type="dxa"/>
            <w:vAlign w:val="center"/>
          </w:tcPr>
          <w:p>
            <w:pPr>
              <w:widowControl/>
              <w:jc w:val="center"/>
              <w:textAlignment w:val="center"/>
              <w:rPr>
                <w:sz w:val="21"/>
                <w:szCs w:val="21"/>
              </w:rPr>
            </w:pPr>
            <w:r>
              <w:rPr>
                <w:rFonts w:hint="eastAsia"/>
                <w:sz w:val="21"/>
                <w:szCs w:val="21"/>
              </w:rPr>
              <w:t>0.58</w:t>
            </w:r>
          </w:p>
        </w:tc>
        <w:tc>
          <w:tcPr>
            <w:tcW w:w="891" w:type="dxa"/>
            <w:vAlign w:val="center"/>
          </w:tcPr>
          <w:p>
            <w:pPr>
              <w:widowControl/>
              <w:jc w:val="center"/>
              <w:textAlignment w:val="center"/>
              <w:rPr>
                <w:sz w:val="21"/>
                <w:szCs w:val="21"/>
              </w:rPr>
            </w:pPr>
            <w:r>
              <w:rPr>
                <w:color w:val="000000"/>
                <w:kern w:val="0"/>
                <w:sz w:val="21"/>
                <w:szCs w:val="21"/>
                <w:lang w:bidi="ar"/>
              </w:rPr>
              <w:t>1.168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pStyle w:val="30"/>
              <w:spacing w:line="240" w:lineRule="auto"/>
              <w:ind w:firstLine="0" w:firstLineChars="0"/>
              <w:jc w:val="center"/>
              <w:rPr>
                <w:sz w:val="21"/>
                <w:szCs w:val="21"/>
              </w:rPr>
            </w:pPr>
          </w:p>
        </w:tc>
        <w:tc>
          <w:tcPr>
            <w:tcW w:w="1017" w:type="dxa"/>
            <w:vAlign w:val="center"/>
          </w:tcPr>
          <w:p>
            <w:pPr>
              <w:pStyle w:val="57"/>
              <w:spacing w:line="240" w:lineRule="auto"/>
              <w:ind w:left="0" w:leftChars="0" w:right="0" w:rightChars="0"/>
              <w:rPr>
                <w:sz w:val="21"/>
                <w:szCs w:val="21"/>
              </w:rPr>
            </w:pPr>
            <w:r>
              <w:rPr>
                <w:sz w:val="21"/>
                <w:szCs w:val="21"/>
              </w:rPr>
              <w:t>TN</w:t>
            </w:r>
          </w:p>
        </w:tc>
        <w:tc>
          <w:tcPr>
            <w:tcW w:w="1100" w:type="dxa"/>
            <w:vAlign w:val="center"/>
          </w:tcPr>
          <w:p>
            <w:pPr>
              <w:pStyle w:val="30"/>
              <w:spacing w:line="240" w:lineRule="auto"/>
              <w:ind w:firstLine="0" w:firstLineChars="0"/>
              <w:jc w:val="center"/>
              <w:rPr>
                <w:sz w:val="21"/>
                <w:szCs w:val="21"/>
              </w:rPr>
            </w:pPr>
            <w:r>
              <w:rPr>
                <w:sz w:val="21"/>
                <w:szCs w:val="21"/>
              </w:rPr>
              <w:t>40</w:t>
            </w:r>
          </w:p>
        </w:tc>
        <w:tc>
          <w:tcPr>
            <w:tcW w:w="1083" w:type="dxa"/>
            <w:vAlign w:val="center"/>
          </w:tcPr>
          <w:p>
            <w:pPr>
              <w:widowControl/>
              <w:jc w:val="center"/>
              <w:textAlignment w:val="top"/>
              <w:rPr>
                <w:sz w:val="21"/>
                <w:szCs w:val="21"/>
              </w:rPr>
            </w:pPr>
            <w:r>
              <w:rPr>
                <w:rFonts w:hint="eastAsia"/>
                <w:sz w:val="21"/>
                <w:szCs w:val="21"/>
              </w:rPr>
              <w:t>2.92</w:t>
            </w:r>
          </w:p>
        </w:tc>
        <w:tc>
          <w:tcPr>
            <w:tcW w:w="1100" w:type="dxa"/>
            <w:vAlign w:val="center"/>
          </w:tcPr>
          <w:p>
            <w:pPr>
              <w:widowControl/>
              <w:jc w:val="center"/>
              <w:textAlignment w:val="top"/>
              <w:rPr>
                <w:sz w:val="21"/>
                <w:szCs w:val="21"/>
              </w:rPr>
            </w:pPr>
            <w:r>
              <w:rPr>
                <w:color w:val="000000"/>
                <w:kern w:val="0"/>
                <w:sz w:val="21"/>
                <w:szCs w:val="21"/>
                <w:lang w:bidi="ar"/>
              </w:rPr>
              <w:t>5.84</w:t>
            </w:r>
          </w:p>
        </w:tc>
        <w:tc>
          <w:tcPr>
            <w:tcW w:w="1034" w:type="dxa"/>
            <w:vAlign w:val="center"/>
          </w:tcPr>
          <w:p>
            <w:pPr>
              <w:pStyle w:val="30"/>
              <w:spacing w:line="240" w:lineRule="auto"/>
              <w:ind w:firstLine="0" w:firstLineChars="0"/>
              <w:jc w:val="center"/>
              <w:rPr>
                <w:sz w:val="21"/>
                <w:szCs w:val="21"/>
              </w:rPr>
            </w:pPr>
            <w:r>
              <w:rPr>
                <w:sz w:val="21"/>
                <w:szCs w:val="21"/>
              </w:rPr>
              <w:t>20</w:t>
            </w:r>
          </w:p>
        </w:tc>
        <w:tc>
          <w:tcPr>
            <w:tcW w:w="1044" w:type="dxa"/>
            <w:vAlign w:val="center"/>
          </w:tcPr>
          <w:p>
            <w:pPr>
              <w:widowControl/>
              <w:jc w:val="center"/>
              <w:textAlignment w:val="center"/>
              <w:rPr>
                <w:sz w:val="21"/>
                <w:szCs w:val="21"/>
              </w:rPr>
            </w:pPr>
            <w:r>
              <w:rPr>
                <w:rFonts w:hint="eastAsia"/>
                <w:sz w:val="21"/>
                <w:szCs w:val="21"/>
              </w:rPr>
              <w:t>1.46</w:t>
            </w:r>
          </w:p>
        </w:tc>
        <w:tc>
          <w:tcPr>
            <w:tcW w:w="891" w:type="dxa"/>
            <w:vAlign w:val="center"/>
          </w:tcPr>
          <w:p>
            <w:pPr>
              <w:widowControl/>
              <w:jc w:val="center"/>
              <w:textAlignment w:val="center"/>
              <w:rPr>
                <w:sz w:val="21"/>
                <w:szCs w:val="21"/>
              </w:rPr>
            </w:pPr>
            <w:r>
              <w:rPr>
                <w:color w:val="000000"/>
                <w:kern w:val="0"/>
                <w:sz w:val="21"/>
                <w:szCs w:val="21"/>
                <w:lang w:bidi="ar"/>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vMerge w:val="continue"/>
            <w:vAlign w:val="center"/>
          </w:tcPr>
          <w:p>
            <w:pPr>
              <w:pStyle w:val="30"/>
              <w:spacing w:line="240" w:lineRule="auto"/>
              <w:ind w:firstLine="0" w:firstLineChars="0"/>
              <w:jc w:val="center"/>
              <w:rPr>
                <w:sz w:val="21"/>
                <w:szCs w:val="21"/>
              </w:rPr>
            </w:pPr>
          </w:p>
        </w:tc>
        <w:tc>
          <w:tcPr>
            <w:tcW w:w="1017" w:type="dxa"/>
            <w:vAlign w:val="center"/>
          </w:tcPr>
          <w:p>
            <w:pPr>
              <w:pStyle w:val="57"/>
              <w:spacing w:line="240" w:lineRule="auto"/>
              <w:ind w:left="0" w:leftChars="0" w:right="0" w:rightChars="0"/>
              <w:rPr>
                <w:sz w:val="21"/>
                <w:szCs w:val="21"/>
              </w:rPr>
            </w:pPr>
            <w:r>
              <w:rPr>
                <w:sz w:val="21"/>
                <w:szCs w:val="21"/>
              </w:rPr>
              <w:t>TP</w:t>
            </w:r>
          </w:p>
        </w:tc>
        <w:tc>
          <w:tcPr>
            <w:tcW w:w="1100" w:type="dxa"/>
            <w:vAlign w:val="center"/>
          </w:tcPr>
          <w:p>
            <w:pPr>
              <w:pStyle w:val="30"/>
              <w:spacing w:line="240" w:lineRule="auto"/>
              <w:ind w:firstLine="0" w:firstLineChars="0"/>
              <w:jc w:val="center"/>
              <w:rPr>
                <w:sz w:val="21"/>
                <w:szCs w:val="21"/>
              </w:rPr>
            </w:pPr>
            <w:r>
              <w:rPr>
                <w:sz w:val="21"/>
                <w:szCs w:val="21"/>
              </w:rPr>
              <w:t>3</w:t>
            </w:r>
          </w:p>
        </w:tc>
        <w:tc>
          <w:tcPr>
            <w:tcW w:w="1083" w:type="dxa"/>
            <w:vAlign w:val="center"/>
          </w:tcPr>
          <w:p>
            <w:pPr>
              <w:widowControl/>
              <w:jc w:val="center"/>
              <w:textAlignment w:val="top"/>
              <w:rPr>
                <w:sz w:val="21"/>
                <w:szCs w:val="21"/>
              </w:rPr>
            </w:pPr>
            <w:r>
              <w:rPr>
                <w:rFonts w:hint="eastAsia"/>
                <w:sz w:val="21"/>
                <w:szCs w:val="21"/>
              </w:rPr>
              <w:t>0.22</w:t>
            </w:r>
          </w:p>
        </w:tc>
        <w:tc>
          <w:tcPr>
            <w:tcW w:w="1100" w:type="dxa"/>
            <w:vAlign w:val="center"/>
          </w:tcPr>
          <w:p>
            <w:pPr>
              <w:widowControl/>
              <w:jc w:val="center"/>
              <w:textAlignment w:val="top"/>
              <w:rPr>
                <w:sz w:val="21"/>
                <w:szCs w:val="21"/>
              </w:rPr>
            </w:pPr>
            <w:r>
              <w:rPr>
                <w:color w:val="000000"/>
                <w:kern w:val="0"/>
                <w:sz w:val="21"/>
                <w:szCs w:val="21"/>
                <w:lang w:bidi="ar"/>
              </w:rPr>
              <w:t>0.438</w:t>
            </w:r>
          </w:p>
        </w:tc>
        <w:tc>
          <w:tcPr>
            <w:tcW w:w="1034" w:type="dxa"/>
            <w:vAlign w:val="center"/>
          </w:tcPr>
          <w:p>
            <w:pPr>
              <w:pStyle w:val="30"/>
              <w:spacing w:line="240" w:lineRule="auto"/>
              <w:ind w:firstLine="0" w:firstLineChars="0"/>
              <w:jc w:val="center"/>
              <w:rPr>
                <w:sz w:val="21"/>
                <w:szCs w:val="21"/>
              </w:rPr>
            </w:pPr>
            <w:r>
              <w:rPr>
                <w:sz w:val="21"/>
                <w:szCs w:val="21"/>
              </w:rPr>
              <w:t>1</w:t>
            </w:r>
          </w:p>
        </w:tc>
        <w:tc>
          <w:tcPr>
            <w:tcW w:w="1044" w:type="dxa"/>
            <w:vAlign w:val="center"/>
          </w:tcPr>
          <w:p>
            <w:pPr>
              <w:widowControl/>
              <w:jc w:val="center"/>
              <w:textAlignment w:val="center"/>
              <w:rPr>
                <w:sz w:val="21"/>
                <w:szCs w:val="21"/>
              </w:rPr>
            </w:pPr>
            <w:r>
              <w:rPr>
                <w:rFonts w:hint="eastAsia"/>
                <w:sz w:val="21"/>
                <w:szCs w:val="21"/>
              </w:rPr>
              <w:t>0.07</w:t>
            </w:r>
          </w:p>
        </w:tc>
        <w:tc>
          <w:tcPr>
            <w:tcW w:w="891" w:type="dxa"/>
            <w:vAlign w:val="center"/>
          </w:tcPr>
          <w:p>
            <w:pPr>
              <w:widowControl/>
              <w:jc w:val="center"/>
              <w:textAlignment w:val="center"/>
              <w:rPr>
                <w:sz w:val="21"/>
                <w:szCs w:val="21"/>
              </w:rPr>
            </w:pPr>
            <w:r>
              <w:rPr>
                <w:color w:val="000000"/>
                <w:kern w:val="0"/>
                <w:sz w:val="21"/>
                <w:szCs w:val="21"/>
                <w:lang w:bidi="ar"/>
              </w:rPr>
              <w:t>0.146</w:t>
            </w:r>
          </w:p>
        </w:tc>
      </w:tr>
    </w:tbl>
    <w:p>
      <w:pPr>
        <w:pStyle w:val="35"/>
      </w:pPr>
      <w:bookmarkStart w:id="47" w:name="_Toc19078"/>
      <w:r>
        <w:rPr>
          <w:rFonts w:hint="eastAsia"/>
        </w:rPr>
        <w:t>5</w:t>
      </w:r>
      <w:r>
        <w:t>.3</w:t>
      </w:r>
      <w:r>
        <w:rPr>
          <w:rFonts w:hint="eastAsia"/>
        </w:rPr>
        <w:t>排污口设置可行性分析论证</w:t>
      </w:r>
      <w:bookmarkEnd w:id="47"/>
    </w:p>
    <w:p>
      <w:pPr>
        <w:pStyle w:val="38"/>
      </w:pPr>
      <w:bookmarkStart w:id="48" w:name="_Toc32734"/>
      <w:r>
        <w:rPr>
          <w:rFonts w:hint="eastAsia"/>
        </w:rPr>
        <w:t>5</w:t>
      </w:r>
      <w:r>
        <w:t>.3.1</w:t>
      </w:r>
      <w:r>
        <w:rPr>
          <w:rFonts w:hint="eastAsia"/>
        </w:rPr>
        <w:t>与《水污染防治行动计划》的符合性分析</w:t>
      </w:r>
      <w:bookmarkEnd w:id="48"/>
    </w:p>
    <w:p>
      <w:pPr>
        <w:pStyle w:val="30"/>
        <w:ind w:firstLine="480"/>
        <w:rPr>
          <w:color w:val="4F81BD"/>
        </w:rPr>
      </w:pPr>
      <w:r>
        <w:t>《水污染防治行动计划》提出</w:t>
      </w:r>
      <w:r>
        <w:rPr>
          <w:rFonts w:hint="eastAsia"/>
        </w:rPr>
        <w:t>“</w:t>
      </w:r>
      <w:r>
        <w:t>强化城镇生活污染治理</w:t>
      </w:r>
      <w:r>
        <w:rPr>
          <w:rFonts w:hint="eastAsia"/>
        </w:rPr>
        <w:t>，</w:t>
      </w:r>
      <w:r>
        <w:t>加快城镇污水处理设施建设与改造</w:t>
      </w:r>
      <w:r>
        <w:rPr>
          <w:rFonts w:hint="eastAsia"/>
        </w:rPr>
        <w:t>”</w:t>
      </w:r>
      <w:r>
        <w:t>。</w:t>
      </w:r>
      <w:r>
        <w:rPr>
          <w:rFonts w:hint="eastAsia"/>
        </w:rPr>
        <w:t>祁东县鸟江镇此前无污水处理厂，城镇生活污水排入周边灌溉渠，汇入白河，本项目建设鸟江镇污水处理工程是落实“水十条”的具体要求，对白河水环境质量改善具有重要意义。</w:t>
      </w:r>
    </w:p>
    <w:p>
      <w:pPr>
        <w:pStyle w:val="30"/>
        <w:ind w:firstLine="480"/>
      </w:pPr>
      <w:r>
        <w:t>本项目入河排污口位于</w:t>
      </w:r>
      <w:r>
        <w:rPr>
          <w:rFonts w:hint="eastAsia"/>
        </w:rPr>
        <w:t>祁东县鸟江镇</w:t>
      </w:r>
      <w:r>
        <w:t>，</w:t>
      </w:r>
      <w:r>
        <w:rPr>
          <w:rFonts w:hint="eastAsia"/>
        </w:rPr>
        <w:t>本项目入河排污口设置位置位于白河右岸，主要为渔业用水，按照</w:t>
      </w:r>
      <w:r>
        <w:t>《地表水环境质量标准》（GB3838-2002）规定的Ⅲ类水质标准控制</w:t>
      </w:r>
      <w:r>
        <w:rPr>
          <w:rFonts w:hint="eastAsia"/>
        </w:rPr>
        <w:t>。论证范围不属于水产种质资源保护区、鱼类“三场”及洄游通道，入河排污口位置不在自然保护区、风景名胜区及重要湿地等环境敏感区，因此本入河排污口不存在生态制约因素。</w:t>
      </w:r>
    </w:p>
    <w:p>
      <w:pPr>
        <w:pStyle w:val="38"/>
      </w:pPr>
      <w:bookmarkStart w:id="49" w:name="_Toc30606"/>
      <w:r>
        <w:rPr>
          <w:rFonts w:hint="eastAsia"/>
        </w:rPr>
        <w:t>5</w:t>
      </w:r>
      <w:r>
        <w:t>.3.2</w:t>
      </w:r>
      <w:r>
        <w:rPr>
          <w:rFonts w:hint="eastAsia"/>
        </w:rPr>
        <w:t>与《入河排污口监督管理办法》的符合性分析</w:t>
      </w:r>
      <w:bookmarkEnd w:id="49"/>
    </w:p>
    <w:p>
      <w:pPr>
        <w:pStyle w:val="30"/>
        <w:ind w:firstLine="480"/>
      </w:pPr>
      <w:r>
        <w:rPr>
          <w:rFonts w:hint="eastAsia"/>
        </w:rPr>
        <w:t>根据</w:t>
      </w:r>
      <w:r>
        <w:t>《入河排污口监督管理办法》（水利部令第47号）第十四条</w:t>
      </w:r>
      <w:r>
        <w:rPr>
          <w:rFonts w:hint="eastAsia"/>
        </w:rPr>
        <w:t>，</w:t>
      </w:r>
      <w:r>
        <w:t>有下列情形之一的，不予同意设置入河排污口：</w:t>
      </w:r>
    </w:p>
    <w:p>
      <w:pPr>
        <w:pStyle w:val="30"/>
        <w:ind w:firstLine="480"/>
      </w:pPr>
      <w:r>
        <w:t>（1）在饮用水水源保护区内设置入河排污口的；</w:t>
      </w:r>
    </w:p>
    <w:p>
      <w:pPr>
        <w:pStyle w:val="30"/>
        <w:ind w:firstLine="480"/>
      </w:pPr>
      <w:r>
        <w:t>（2）在省级以上人民政府要求削减排污总量的水域设置入河排污口的；</w:t>
      </w:r>
    </w:p>
    <w:p>
      <w:pPr>
        <w:pStyle w:val="30"/>
        <w:ind w:firstLine="480"/>
      </w:pPr>
      <w:r>
        <w:t>（3）入河排污口设置可能使水域水质达不到水功能区要求的；</w:t>
      </w:r>
    </w:p>
    <w:p>
      <w:pPr>
        <w:pStyle w:val="30"/>
        <w:ind w:firstLine="480"/>
      </w:pPr>
      <w:r>
        <w:t>（4）入河排污口设置直接影响合法取水户用水安全的；</w:t>
      </w:r>
    </w:p>
    <w:p>
      <w:pPr>
        <w:pStyle w:val="30"/>
        <w:ind w:firstLine="480"/>
      </w:pPr>
      <w:r>
        <w:t>（5）入河排污口设置不符合防洪要求的；</w:t>
      </w:r>
    </w:p>
    <w:p>
      <w:pPr>
        <w:pStyle w:val="30"/>
        <w:ind w:firstLine="480"/>
      </w:pPr>
      <w:r>
        <w:t>（6）不符合法律、法规和国家产业政策规定的；</w:t>
      </w:r>
    </w:p>
    <w:p>
      <w:pPr>
        <w:pStyle w:val="30"/>
        <w:ind w:firstLine="480"/>
      </w:pPr>
      <w:r>
        <w:t>（7）其他不符合国务院水行政主管部门规定条件的。</w:t>
      </w:r>
    </w:p>
    <w:p>
      <w:pPr>
        <w:pStyle w:val="30"/>
        <w:ind w:firstLine="480"/>
      </w:pPr>
      <w:r>
        <w:t>与《入河排污口监督管理办法》（水利部令第47号）第十四条符合性分析如下。</w:t>
      </w:r>
    </w:p>
    <w:p>
      <w:pPr>
        <w:pStyle w:val="41"/>
      </w:pPr>
      <w:r>
        <w:rPr>
          <w:rFonts w:hint="eastAsia"/>
        </w:rPr>
        <w:t>表5.3-1 与《</w:t>
      </w:r>
      <w:r>
        <w:t>入河排污口监督管理办法</w:t>
      </w:r>
      <w:r>
        <w:rPr>
          <w:rFonts w:hint="eastAsia"/>
        </w:rPr>
        <w:t>》第十四条符合性分析</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3232"/>
        <w:gridCol w:w="3488"/>
        <w:gridCol w:w="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序号</w:t>
            </w:r>
          </w:p>
        </w:tc>
        <w:tc>
          <w:tcPr>
            <w:tcW w:w="3232" w:type="dxa"/>
            <w:vAlign w:val="center"/>
          </w:tcPr>
          <w:p>
            <w:pPr>
              <w:pStyle w:val="43"/>
            </w:pPr>
            <w:r>
              <w:t>《入河排污口监督管理办法》（水利部令第47号）第十四条要求</w:t>
            </w:r>
          </w:p>
        </w:tc>
        <w:tc>
          <w:tcPr>
            <w:tcW w:w="3488" w:type="dxa"/>
            <w:vAlign w:val="center"/>
          </w:tcPr>
          <w:p>
            <w:pPr>
              <w:pStyle w:val="43"/>
            </w:pPr>
            <w:r>
              <w:t>本入河排污口情况</w:t>
            </w:r>
          </w:p>
        </w:tc>
        <w:tc>
          <w:tcPr>
            <w:tcW w:w="931" w:type="dxa"/>
            <w:vAlign w:val="center"/>
          </w:tcPr>
          <w:p>
            <w:pPr>
              <w:pStyle w:val="43"/>
            </w:pPr>
            <w:r>
              <w:t>是否有该情形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1</w:t>
            </w:r>
          </w:p>
        </w:tc>
        <w:tc>
          <w:tcPr>
            <w:tcW w:w="3232" w:type="dxa"/>
            <w:vAlign w:val="center"/>
          </w:tcPr>
          <w:p>
            <w:pPr>
              <w:pStyle w:val="43"/>
            </w:pPr>
            <w:r>
              <w:t>在饮用水水源保护区内设置入河排污口的</w:t>
            </w:r>
          </w:p>
        </w:tc>
        <w:tc>
          <w:tcPr>
            <w:tcW w:w="3488" w:type="dxa"/>
            <w:vAlign w:val="center"/>
          </w:tcPr>
          <w:p>
            <w:pPr>
              <w:pStyle w:val="43"/>
            </w:pPr>
            <w:r>
              <w:t>入河排污口设置于</w:t>
            </w:r>
            <w:r>
              <w:rPr>
                <w:rFonts w:hint="eastAsia"/>
              </w:rPr>
              <w:t>祁东县鸟江镇污水处理站东侧沟渠右岸</w:t>
            </w:r>
            <w:r>
              <w:t>，</w:t>
            </w:r>
            <w:r>
              <w:rPr>
                <w:rFonts w:hint="eastAsia"/>
              </w:rPr>
              <w:t>未设置在饮用水源保护区内，满足要求</w:t>
            </w:r>
          </w:p>
        </w:tc>
        <w:tc>
          <w:tcPr>
            <w:tcW w:w="931"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2</w:t>
            </w:r>
          </w:p>
        </w:tc>
        <w:tc>
          <w:tcPr>
            <w:tcW w:w="3232" w:type="dxa"/>
            <w:vAlign w:val="center"/>
          </w:tcPr>
          <w:p>
            <w:pPr>
              <w:pStyle w:val="43"/>
            </w:pPr>
            <w:r>
              <w:t>在省级以上人民政府要求削减排污总量的水域设置入河排污口的</w:t>
            </w:r>
          </w:p>
        </w:tc>
        <w:tc>
          <w:tcPr>
            <w:tcW w:w="3488" w:type="dxa"/>
            <w:vAlign w:val="center"/>
          </w:tcPr>
          <w:p>
            <w:pPr>
              <w:pStyle w:val="43"/>
            </w:pPr>
            <w:r>
              <w:rPr>
                <w:rFonts w:hint="eastAsia"/>
              </w:rPr>
              <w:t>不在省级以上人民政府要求削减排污总量的水域</w:t>
            </w:r>
          </w:p>
        </w:tc>
        <w:tc>
          <w:tcPr>
            <w:tcW w:w="931"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3</w:t>
            </w:r>
          </w:p>
        </w:tc>
        <w:tc>
          <w:tcPr>
            <w:tcW w:w="3232" w:type="dxa"/>
            <w:vAlign w:val="center"/>
          </w:tcPr>
          <w:p>
            <w:pPr>
              <w:pStyle w:val="43"/>
            </w:pPr>
            <w:r>
              <w:t>入河排污口设置可能使水域水质达不到水功能区要求的</w:t>
            </w:r>
          </w:p>
        </w:tc>
        <w:tc>
          <w:tcPr>
            <w:tcW w:w="3488" w:type="dxa"/>
            <w:vAlign w:val="center"/>
          </w:tcPr>
          <w:p>
            <w:pPr>
              <w:pStyle w:val="43"/>
            </w:pPr>
            <w:r>
              <w:rPr>
                <w:rFonts w:hint="eastAsia"/>
              </w:rPr>
              <w:t>根据预测结果分析，本入河排污口设置不会使水域水质达不到水功能区要求</w:t>
            </w:r>
          </w:p>
        </w:tc>
        <w:tc>
          <w:tcPr>
            <w:tcW w:w="931"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4</w:t>
            </w:r>
          </w:p>
        </w:tc>
        <w:tc>
          <w:tcPr>
            <w:tcW w:w="3232" w:type="dxa"/>
            <w:vAlign w:val="center"/>
          </w:tcPr>
          <w:p>
            <w:pPr>
              <w:pStyle w:val="43"/>
            </w:pPr>
            <w:r>
              <w:t>入河排污口设置直接影响合法取水户用水安全的</w:t>
            </w:r>
          </w:p>
        </w:tc>
        <w:tc>
          <w:tcPr>
            <w:tcW w:w="3488" w:type="dxa"/>
            <w:vAlign w:val="center"/>
          </w:tcPr>
          <w:p>
            <w:pPr>
              <w:pStyle w:val="43"/>
            </w:pPr>
            <w:r>
              <w:rPr>
                <w:rFonts w:hint="eastAsia"/>
              </w:rPr>
              <w:t>入河排污口下游论证范围内无饮用水水源保护区、生活、工业取水口分布</w:t>
            </w:r>
          </w:p>
        </w:tc>
        <w:tc>
          <w:tcPr>
            <w:tcW w:w="931"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5</w:t>
            </w:r>
          </w:p>
        </w:tc>
        <w:tc>
          <w:tcPr>
            <w:tcW w:w="3232" w:type="dxa"/>
            <w:vAlign w:val="center"/>
          </w:tcPr>
          <w:p>
            <w:pPr>
              <w:pStyle w:val="43"/>
            </w:pPr>
            <w:r>
              <w:t>入河排污口设置不符合防洪要求的</w:t>
            </w:r>
          </w:p>
        </w:tc>
        <w:tc>
          <w:tcPr>
            <w:tcW w:w="3488" w:type="dxa"/>
            <w:vAlign w:val="center"/>
          </w:tcPr>
          <w:p>
            <w:pPr>
              <w:pStyle w:val="43"/>
            </w:pPr>
            <w:r>
              <w:rPr>
                <w:rFonts w:hint="eastAsia"/>
              </w:rPr>
              <w:t>本入河排污口设置符合防洪要求</w:t>
            </w:r>
          </w:p>
        </w:tc>
        <w:tc>
          <w:tcPr>
            <w:tcW w:w="931"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6</w:t>
            </w:r>
          </w:p>
        </w:tc>
        <w:tc>
          <w:tcPr>
            <w:tcW w:w="3232" w:type="dxa"/>
            <w:vAlign w:val="center"/>
          </w:tcPr>
          <w:p>
            <w:pPr>
              <w:pStyle w:val="43"/>
            </w:pPr>
            <w:r>
              <w:t>不符合法律、法规和国家产业政策规定的</w:t>
            </w:r>
          </w:p>
        </w:tc>
        <w:tc>
          <w:tcPr>
            <w:tcW w:w="3488" w:type="dxa"/>
            <w:vAlign w:val="center"/>
          </w:tcPr>
          <w:p>
            <w:pPr>
              <w:pStyle w:val="43"/>
            </w:pPr>
            <w:r>
              <w:rPr>
                <w:rFonts w:hint="eastAsia"/>
              </w:rPr>
              <w:t>本入河排污口设置符合</w:t>
            </w:r>
            <w:r>
              <w:t>法律、法规和国家产业政策规定</w:t>
            </w:r>
          </w:p>
        </w:tc>
        <w:tc>
          <w:tcPr>
            <w:tcW w:w="931"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3"/>
            </w:pPr>
            <w:r>
              <w:t>7</w:t>
            </w:r>
          </w:p>
        </w:tc>
        <w:tc>
          <w:tcPr>
            <w:tcW w:w="3232" w:type="dxa"/>
            <w:vAlign w:val="center"/>
          </w:tcPr>
          <w:p>
            <w:pPr>
              <w:pStyle w:val="43"/>
            </w:pPr>
            <w:r>
              <w:t>其他不符合国务院水行政主管部门规定条件的</w:t>
            </w:r>
          </w:p>
        </w:tc>
        <w:tc>
          <w:tcPr>
            <w:tcW w:w="3488" w:type="dxa"/>
            <w:vAlign w:val="center"/>
          </w:tcPr>
          <w:p>
            <w:pPr>
              <w:pStyle w:val="43"/>
            </w:pPr>
            <w:r>
              <w:rPr>
                <w:rFonts w:hint="eastAsia"/>
              </w:rPr>
              <w:t>无其他不符合</w:t>
            </w:r>
            <w:r>
              <w:t>国务院水行政主管部门规定条件</w:t>
            </w:r>
          </w:p>
        </w:tc>
        <w:tc>
          <w:tcPr>
            <w:tcW w:w="931" w:type="dxa"/>
            <w:vAlign w:val="center"/>
          </w:tcPr>
          <w:p>
            <w:pPr>
              <w:pStyle w:val="43"/>
            </w:pPr>
            <w:r>
              <w:rPr>
                <w:rFonts w:hint="eastAsia"/>
              </w:rPr>
              <w:t>无</w:t>
            </w:r>
          </w:p>
        </w:tc>
      </w:tr>
    </w:tbl>
    <w:p>
      <w:pPr>
        <w:pStyle w:val="30"/>
        <w:ind w:firstLine="480"/>
      </w:pPr>
      <w:r>
        <w:rPr>
          <w:rFonts w:hint="eastAsia"/>
        </w:rPr>
        <w:t>对照上表可知，本工程建设无《入河排污口监督管理办法》第十四条所列情形，符合《入河排污口监督管理办法》要求。</w:t>
      </w:r>
    </w:p>
    <w:p>
      <w:pPr>
        <w:pStyle w:val="38"/>
      </w:pPr>
      <w:bookmarkStart w:id="50" w:name="_Toc6595"/>
      <w:r>
        <w:rPr>
          <w:rFonts w:hint="eastAsia"/>
        </w:rPr>
        <w:t>5</w:t>
      </w:r>
      <w:r>
        <w:t>.3.3</w:t>
      </w:r>
      <w:r>
        <w:rPr>
          <w:rFonts w:hint="eastAsia"/>
        </w:rPr>
        <w:t>与《湖南省入河排污口监督管理办法》符合性分析</w:t>
      </w:r>
      <w:bookmarkEnd w:id="50"/>
    </w:p>
    <w:p>
      <w:pPr>
        <w:pStyle w:val="30"/>
        <w:ind w:firstLine="480"/>
      </w:pPr>
      <w:r>
        <w:t>根据《湖南省入河排污口监督管理办法》（湘政办发〔2018〕44号）</w:t>
      </w:r>
      <w:r>
        <w:rPr>
          <w:rFonts w:hint="eastAsia"/>
        </w:rPr>
        <w:t>第十五条，有下列情形之一的，不予同意设置入河排污口：</w:t>
      </w:r>
    </w:p>
    <w:p>
      <w:pPr>
        <w:pStyle w:val="30"/>
        <w:ind w:firstLine="480"/>
      </w:pPr>
      <w:r>
        <w:rPr>
          <w:rFonts w:hint="eastAsia"/>
        </w:rPr>
        <w:t>（1）饮用水水源一级、二级保护区内；</w:t>
      </w:r>
    </w:p>
    <w:p>
      <w:pPr>
        <w:pStyle w:val="30"/>
        <w:ind w:firstLine="480"/>
      </w:pPr>
      <w:r>
        <w:rPr>
          <w:rFonts w:hint="eastAsia"/>
        </w:rPr>
        <w:t>（2）自然保护区核心区、缓冲区内；</w:t>
      </w:r>
    </w:p>
    <w:p>
      <w:pPr>
        <w:pStyle w:val="30"/>
        <w:ind w:firstLine="480"/>
      </w:pPr>
      <w:r>
        <w:rPr>
          <w:rFonts w:hint="eastAsia"/>
        </w:rPr>
        <w:t>（3）水产种质资源保护区内；</w:t>
      </w:r>
    </w:p>
    <w:p>
      <w:pPr>
        <w:pStyle w:val="30"/>
        <w:ind w:firstLine="480"/>
      </w:pPr>
      <w:r>
        <w:rPr>
          <w:rFonts w:hint="eastAsia"/>
        </w:rPr>
        <w:t>（4）省级以上湿地公园保育区、恢复重建区内；</w:t>
      </w:r>
    </w:p>
    <w:p>
      <w:pPr>
        <w:pStyle w:val="30"/>
        <w:ind w:firstLine="480"/>
      </w:pPr>
      <w:r>
        <w:rPr>
          <w:rFonts w:hint="eastAsia"/>
        </w:rPr>
        <w:t>（5）能够由污水系统接纳但拒不接入的；</w:t>
      </w:r>
    </w:p>
    <w:p>
      <w:pPr>
        <w:pStyle w:val="30"/>
        <w:ind w:firstLine="480"/>
      </w:pPr>
      <w:r>
        <w:rPr>
          <w:rFonts w:hint="eastAsia"/>
        </w:rPr>
        <w:t>（6）经论证不符合设置要求的；</w:t>
      </w:r>
    </w:p>
    <w:p>
      <w:pPr>
        <w:pStyle w:val="30"/>
        <w:ind w:firstLine="480"/>
      </w:pPr>
      <w:r>
        <w:rPr>
          <w:rFonts w:hint="eastAsia"/>
        </w:rPr>
        <w:t>（7）设置可能使水域水质达不到水功能区要求的；</w:t>
      </w:r>
    </w:p>
    <w:p>
      <w:pPr>
        <w:pStyle w:val="30"/>
        <w:ind w:firstLine="480"/>
      </w:pPr>
      <w:r>
        <w:rPr>
          <w:rFonts w:hint="eastAsia"/>
        </w:rPr>
        <w:t>（8）其他不符合法律、法规以及国家和地方有关规定的。</w:t>
      </w:r>
    </w:p>
    <w:p>
      <w:pPr>
        <w:pStyle w:val="30"/>
        <w:ind w:firstLine="480"/>
      </w:pPr>
      <w:r>
        <w:t>与《湖南省入河排污口监督管理办法》（湘政办发〔2018〕44号）</w:t>
      </w:r>
      <w:r>
        <w:rPr>
          <w:rFonts w:hint="eastAsia"/>
        </w:rPr>
        <w:t>第十五条</w:t>
      </w:r>
      <w:r>
        <w:t>符合性分析如下。</w:t>
      </w:r>
    </w:p>
    <w:p>
      <w:pPr>
        <w:pStyle w:val="41"/>
        <w:rPr>
          <w:sz w:val="21"/>
          <w:szCs w:val="21"/>
        </w:rPr>
      </w:pPr>
      <w:r>
        <w:rPr>
          <w:rFonts w:hint="eastAsia"/>
        </w:rPr>
        <w:t>表5.3-2 与《湖南省入河排污口监督管理办法》第十五条符合性分析</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2949"/>
        <w:gridCol w:w="3828"/>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t>序号</w:t>
            </w:r>
          </w:p>
        </w:tc>
        <w:tc>
          <w:tcPr>
            <w:tcW w:w="2949" w:type="dxa"/>
            <w:vAlign w:val="center"/>
          </w:tcPr>
          <w:p>
            <w:pPr>
              <w:pStyle w:val="43"/>
            </w:pPr>
            <w:r>
              <w:t>《湖南省入河排污口监督管理办法》（湘政办发〔2018〕44号）第十五条要求</w:t>
            </w:r>
          </w:p>
        </w:tc>
        <w:tc>
          <w:tcPr>
            <w:tcW w:w="3828" w:type="dxa"/>
            <w:vAlign w:val="center"/>
          </w:tcPr>
          <w:p>
            <w:pPr>
              <w:pStyle w:val="43"/>
            </w:pPr>
            <w:r>
              <w:t>本入河排污口情况</w:t>
            </w:r>
          </w:p>
        </w:tc>
        <w:tc>
          <w:tcPr>
            <w:tcW w:w="1038" w:type="dxa"/>
            <w:vAlign w:val="center"/>
          </w:tcPr>
          <w:p>
            <w:pPr>
              <w:pStyle w:val="43"/>
            </w:pPr>
            <w:r>
              <w:t>是否有该情形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t>1</w:t>
            </w:r>
          </w:p>
        </w:tc>
        <w:tc>
          <w:tcPr>
            <w:tcW w:w="2949" w:type="dxa"/>
            <w:vAlign w:val="center"/>
          </w:tcPr>
          <w:p>
            <w:pPr>
              <w:pStyle w:val="43"/>
            </w:pPr>
            <w:r>
              <w:t>饮用水水源一级、二级保护区内</w:t>
            </w:r>
          </w:p>
        </w:tc>
        <w:tc>
          <w:tcPr>
            <w:tcW w:w="3828" w:type="dxa"/>
            <w:vAlign w:val="center"/>
          </w:tcPr>
          <w:p>
            <w:pPr>
              <w:pStyle w:val="43"/>
            </w:pPr>
            <w:r>
              <w:t>入河排污口设置于</w:t>
            </w:r>
            <w:r>
              <w:rPr>
                <w:rFonts w:hint="eastAsia"/>
              </w:rPr>
              <w:t>祁东县鸟江镇污水处理站东侧沟渠右岸</w:t>
            </w:r>
            <w:r>
              <w:t>，</w:t>
            </w:r>
            <w:r>
              <w:rPr>
                <w:rFonts w:hint="eastAsia"/>
              </w:rPr>
              <w:t>未设置在饮用水源保护区内，满足要求</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t>2</w:t>
            </w:r>
          </w:p>
        </w:tc>
        <w:tc>
          <w:tcPr>
            <w:tcW w:w="2949" w:type="dxa"/>
            <w:vAlign w:val="center"/>
          </w:tcPr>
          <w:p>
            <w:pPr>
              <w:pStyle w:val="43"/>
            </w:pPr>
            <w:r>
              <w:t>自然保护区核心区、缓冲区内</w:t>
            </w:r>
          </w:p>
        </w:tc>
        <w:tc>
          <w:tcPr>
            <w:tcW w:w="3828" w:type="dxa"/>
            <w:vAlign w:val="center"/>
          </w:tcPr>
          <w:p>
            <w:pPr>
              <w:pStyle w:val="43"/>
            </w:pPr>
            <w:r>
              <w:rPr>
                <w:rFonts w:hint="eastAsia"/>
              </w:rPr>
              <w:t>不在</w:t>
            </w:r>
            <w:r>
              <w:t>自然保护区核心区、缓冲区内</w:t>
            </w:r>
            <w:r>
              <w:rPr>
                <w:rFonts w:hint="eastAsia"/>
              </w:rPr>
              <w:t>，满足要求</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t>3</w:t>
            </w:r>
          </w:p>
        </w:tc>
        <w:tc>
          <w:tcPr>
            <w:tcW w:w="2949" w:type="dxa"/>
            <w:vAlign w:val="center"/>
          </w:tcPr>
          <w:p>
            <w:pPr>
              <w:pStyle w:val="43"/>
            </w:pPr>
            <w:r>
              <w:t>水产种质资源保护区内</w:t>
            </w:r>
          </w:p>
        </w:tc>
        <w:tc>
          <w:tcPr>
            <w:tcW w:w="3828" w:type="dxa"/>
            <w:vAlign w:val="center"/>
          </w:tcPr>
          <w:p>
            <w:pPr>
              <w:pStyle w:val="43"/>
            </w:pPr>
            <w:r>
              <w:t>入河排污口设置于</w:t>
            </w:r>
            <w:r>
              <w:rPr>
                <w:rFonts w:hint="eastAsia"/>
              </w:rPr>
              <w:t>祁东县鸟江镇污水处理站东侧沟渠右岸</w:t>
            </w:r>
            <w:r>
              <w:t>，</w:t>
            </w:r>
            <w:r>
              <w:rPr>
                <w:rFonts w:hint="eastAsia"/>
              </w:rPr>
              <w:t>未设置在</w:t>
            </w:r>
            <w:r>
              <w:t>水产种质资源保护区内</w:t>
            </w:r>
            <w:r>
              <w:rPr>
                <w:rFonts w:hint="eastAsia"/>
              </w:rPr>
              <w:t>，满足要求</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t>4</w:t>
            </w:r>
          </w:p>
        </w:tc>
        <w:tc>
          <w:tcPr>
            <w:tcW w:w="2949" w:type="dxa"/>
            <w:vAlign w:val="center"/>
          </w:tcPr>
          <w:p>
            <w:pPr>
              <w:pStyle w:val="43"/>
            </w:pPr>
            <w:r>
              <w:t>省级以上湿地公园保育区、恢复重建区内</w:t>
            </w:r>
          </w:p>
        </w:tc>
        <w:tc>
          <w:tcPr>
            <w:tcW w:w="3828" w:type="dxa"/>
            <w:vAlign w:val="center"/>
          </w:tcPr>
          <w:p>
            <w:pPr>
              <w:pStyle w:val="43"/>
            </w:pPr>
            <w:r>
              <w:rPr>
                <w:rFonts w:hint="eastAsia"/>
              </w:rPr>
              <w:t>不在</w:t>
            </w:r>
            <w:r>
              <w:t>省级以上湿地公园保育区、恢复重建区内</w:t>
            </w:r>
            <w:r>
              <w:rPr>
                <w:rFonts w:hint="eastAsia"/>
              </w:rPr>
              <w:t>，满足要求</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t>5</w:t>
            </w:r>
          </w:p>
        </w:tc>
        <w:tc>
          <w:tcPr>
            <w:tcW w:w="2949" w:type="dxa"/>
            <w:vAlign w:val="center"/>
          </w:tcPr>
          <w:p>
            <w:pPr>
              <w:pStyle w:val="43"/>
            </w:pPr>
            <w:r>
              <w:t>能够由污水系统接纳但拒不接入的</w:t>
            </w:r>
          </w:p>
        </w:tc>
        <w:tc>
          <w:tcPr>
            <w:tcW w:w="3828" w:type="dxa"/>
            <w:vAlign w:val="center"/>
          </w:tcPr>
          <w:p>
            <w:pPr>
              <w:pStyle w:val="43"/>
            </w:pPr>
            <w:r>
              <w:rPr>
                <w:rFonts w:hint="eastAsia"/>
              </w:rPr>
              <w:t>本入河排污口属于城镇污水处理厂排污口，无其它污水接纳系统</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7" w:type="dxa"/>
            <w:vAlign w:val="center"/>
          </w:tcPr>
          <w:p>
            <w:pPr>
              <w:pStyle w:val="43"/>
            </w:pPr>
            <w:r>
              <w:t>6</w:t>
            </w:r>
          </w:p>
        </w:tc>
        <w:tc>
          <w:tcPr>
            <w:tcW w:w="2949" w:type="dxa"/>
            <w:vAlign w:val="center"/>
          </w:tcPr>
          <w:p>
            <w:pPr>
              <w:pStyle w:val="43"/>
            </w:pPr>
            <w:r>
              <w:t>经论证不符合设置要求的</w:t>
            </w:r>
          </w:p>
        </w:tc>
        <w:tc>
          <w:tcPr>
            <w:tcW w:w="3828" w:type="dxa"/>
            <w:vAlign w:val="center"/>
          </w:tcPr>
          <w:p>
            <w:pPr>
              <w:pStyle w:val="43"/>
            </w:pPr>
            <w:r>
              <w:rPr>
                <w:rFonts w:hint="eastAsia"/>
              </w:rPr>
              <w:t>根据本论证报告，本入河排污口符合设置要求</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7" w:type="dxa"/>
            <w:vAlign w:val="center"/>
          </w:tcPr>
          <w:p>
            <w:pPr>
              <w:pStyle w:val="43"/>
            </w:pPr>
            <w:r>
              <w:t>7</w:t>
            </w:r>
          </w:p>
        </w:tc>
        <w:tc>
          <w:tcPr>
            <w:tcW w:w="2949" w:type="dxa"/>
            <w:vAlign w:val="center"/>
          </w:tcPr>
          <w:p>
            <w:pPr>
              <w:pStyle w:val="43"/>
            </w:pPr>
            <w:r>
              <w:t>设置可能使水域水质达不到水功能区要求的</w:t>
            </w:r>
          </w:p>
        </w:tc>
        <w:tc>
          <w:tcPr>
            <w:tcW w:w="3828" w:type="dxa"/>
            <w:vAlign w:val="center"/>
          </w:tcPr>
          <w:p>
            <w:pPr>
              <w:pStyle w:val="43"/>
            </w:pPr>
            <w:r>
              <w:rPr>
                <w:rFonts w:hint="eastAsia"/>
              </w:rPr>
              <w:t>根据预测结果分析，本入河排污口设置不会使水域水质达不到水功能区要求</w:t>
            </w:r>
          </w:p>
        </w:tc>
        <w:tc>
          <w:tcPr>
            <w:tcW w:w="1038" w:type="dxa"/>
            <w:vAlign w:val="center"/>
          </w:tcPr>
          <w:p>
            <w:pPr>
              <w:pStyle w:val="43"/>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3"/>
            </w:pPr>
            <w:r>
              <w:rPr>
                <w:rFonts w:hint="eastAsia"/>
              </w:rPr>
              <w:t>8</w:t>
            </w:r>
          </w:p>
        </w:tc>
        <w:tc>
          <w:tcPr>
            <w:tcW w:w="2949" w:type="dxa"/>
            <w:vAlign w:val="center"/>
          </w:tcPr>
          <w:p>
            <w:pPr>
              <w:pStyle w:val="43"/>
            </w:pPr>
            <w:r>
              <w:t>其他不符合法律、法规和国家产业政策规定的</w:t>
            </w:r>
          </w:p>
        </w:tc>
        <w:tc>
          <w:tcPr>
            <w:tcW w:w="3828" w:type="dxa"/>
            <w:vAlign w:val="center"/>
          </w:tcPr>
          <w:p>
            <w:pPr>
              <w:pStyle w:val="43"/>
            </w:pPr>
            <w:r>
              <w:rPr>
                <w:rFonts w:hint="eastAsia"/>
              </w:rPr>
              <w:t>本入河排污口设置符合</w:t>
            </w:r>
            <w:r>
              <w:t>法律、法规和国家产业政策规定</w:t>
            </w:r>
          </w:p>
        </w:tc>
        <w:tc>
          <w:tcPr>
            <w:tcW w:w="1038" w:type="dxa"/>
            <w:vAlign w:val="center"/>
          </w:tcPr>
          <w:p>
            <w:pPr>
              <w:pStyle w:val="43"/>
            </w:pPr>
            <w:r>
              <w:rPr>
                <w:rFonts w:hint="eastAsia"/>
              </w:rPr>
              <w:t>无</w:t>
            </w:r>
          </w:p>
        </w:tc>
      </w:tr>
    </w:tbl>
    <w:p>
      <w:pPr>
        <w:pStyle w:val="30"/>
        <w:ind w:firstLine="480"/>
      </w:pPr>
      <w:r>
        <w:rPr>
          <w:rFonts w:hint="eastAsia"/>
        </w:rPr>
        <w:t>对照上表可知，本工程建设无《</w:t>
      </w:r>
      <w:r>
        <w:t>湖南省入河排污口监督管理办法</w:t>
      </w:r>
      <w:r>
        <w:rPr>
          <w:rFonts w:hint="eastAsia"/>
        </w:rPr>
        <w:t>》第十五条所列情形，符合《</w:t>
      </w:r>
      <w:r>
        <w:t>湖南省入河排污口监督管理办法</w:t>
      </w:r>
      <w:r>
        <w:rPr>
          <w:rFonts w:hint="eastAsia"/>
        </w:rPr>
        <w:t>》要求。</w:t>
      </w:r>
    </w:p>
    <w:p>
      <w:pPr>
        <w:pStyle w:val="38"/>
      </w:pPr>
      <w:bookmarkStart w:id="51" w:name="_Toc26121"/>
      <w:r>
        <w:rPr>
          <w:rFonts w:hint="eastAsia"/>
        </w:rPr>
        <w:t>5</w:t>
      </w:r>
      <w:r>
        <w:t>.3.4</w:t>
      </w:r>
      <w:r>
        <w:rPr>
          <w:rFonts w:hint="eastAsia"/>
        </w:rPr>
        <w:t>与防洪要求符合性分析</w:t>
      </w:r>
      <w:bookmarkEnd w:id="51"/>
    </w:p>
    <w:p>
      <w:pPr>
        <w:pStyle w:val="30"/>
        <w:ind w:firstLine="480"/>
      </w:pPr>
      <w:r>
        <w:rPr>
          <w:rFonts w:hint="eastAsia" w:hAnsi="宋体"/>
          <w:szCs w:val="24"/>
        </w:rPr>
        <w:t>入河排污口设置位置位于东侧沟渠右岸，地理坐标为</w:t>
      </w:r>
      <w:r>
        <w:rPr>
          <w:rFonts w:hint="eastAsia"/>
          <w:szCs w:val="24"/>
        </w:rPr>
        <w:t>E</w:t>
      </w:r>
      <w:r>
        <w:rPr>
          <w:szCs w:val="36"/>
        </w:rPr>
        <w:t>112°12′5.1″,</w:t>
      </w:r>
      <w:r>
        <w:rPr>
          <w:rFonts w:hint="eastAsia"/>
          <w:szCs w:val="36"/>
        </w:rPr>
        <w:t>N</w:t>
      </w:r>
      <w:r>
        <w:rPr>
          <w:szCs w:val="36"/>
        </w:rPr>
        <w:t>26°36′55.77″</w:t>
      </w:r>
      <w:r>
        <w:rPr>
          <w:szCs w:val="24"/>
        </w:rPr>
        <w:t>。</w:t>
      </w:r>
    </w:p>
    <w:p>
      <w:pPr>
        <w:pStyle w:val="30"/>
        <w:ind w:firstLine="480"/>
      </w:pPr>
      <w:r>
        <w:t>本</w:t>
      </w:r>
      <w:r>
        <w:rPr>
          <w:rFonts w:hint="eastAsia"/>
        </w:rPr>
        <w:t>入河排污口经灌溉渠排入白河右岸，灌溉渠主要功能为农业灌溉用水，不具备防洪泄洪能力，且本项目外排废水量很小，对白河水量冲击很小，</w:t>
      </w:r>
      <w:r>
        <w:t>不会对</w:t>
      </w:r>
      <w:r>
        <w:rPr>
          <w:rFonts w:hint="eastAsia"/>
        </w:rPr>
        <w:t>白河</w:t>
      </w:r>
      <w:r>
        <w:t>行洪及防洪产生影响，符合防洪要求。</w:t>
      </w:r>
    </w:p>
    <w:p>
      <w:pPr>
        <w:pStyle w:val="38"/>
      </w:pPr>
      <w:bookmarkStart w:id="52" w:name="_Toc15481"/>
      <w:r>
        <w:rPr>
          <w:rFonts w:hint="eastAsia"/>
        </w:rPr>
        <w:t>5</w:t>
      </w:r>
      <w:r>
        <w:t>.3.5</w:t>
      </w:r>
      <w:r>
        <w:rPr>
          <w:rFonts w:hint="eastAsia"/>
        </w:rPr>
        <w:t>与《水产种质资源保护区管理暂行办法》符合性分析</w:t>
      </w:r>
      <w:bookmarkEnd w:id="52"/>
    </w:p>
    <w:p>
      <w:pPr>
        <w:pStyle w:val="30"/>
        <w:ind w:firstLine="480"/>
      </w:pPr>
      <w:r>
        <w:rPr>
          <w:rFonts w:hint="eastAsia"/>
        </w:rPr>
        <w:t>根据《水产种质资源保护区管理暂行办法》（农业部令[2011]第1号）第二十一条规定“禁止在水产种质资源保护区内新建排污口”，</w:t>
      </w:r>
      <w:r>
        <w:t>本项目入河排污口位于</w:t>
      </w:r>
      <w:r>
        <w:rPr>
          <w:rFonts w:hint="eastAsia"/>
        </w:rPr>
        <w:t>祁东县鸟江镇</w:t>
      </w:r>
      <w:r>
        <w:t>，</w:t>
      </w:r>
      <w:r>
        <w:rPr>
          <w:rFonts w:hint="eastAsia"/>
        </w:rPr>
        <w:t>设置位置位于白河右岸，主要为渔业用水，按照</w:t>
      </w:r>
      <w:r>
        <w:t>《地表水环境质量标准》（GB3838-2002）规定的Ⅲ类水质标准控制</w:t>
      </w:r>
      <w:r>
        <w:rPr>
          <w:rFonts w:hint="eastAsia"/>
        </w:rPr>
        <w:t>。论证范围不在水产种质资源保护区内，符合《水产种质资源保护区管理暂行办法》的要求。</w:t>
      </w:r>
    </w:p>
    <w:p>
      <w:pPr>
        <w:pStyle w:val="38"/>
      </w:pPr>
      <w:bookmarkStart w:id="53" w:name="_Toc19344"/>
      <w:r>
        <w:rPr>
          <w:rFonts w:hint="eastAsia"/>
        </w:rPr>
        <w:t>5</w:t>
      </w:r>
      <w:r>
        <w:t>.3.6</w:t>
      </w:r>
      <w:r>
        <w:rPr>
          <w:rFonts w:hint="eastAsia"/>
        </w:rPr>
        <w:t>与《饮用水源保护区污染防治管理规定》符合性分析</w:t>
      </w:r>
      <w:bookmarkEnd w:id="53"/>
    </w:p>
    <w:p>
      <w:pPr>
        <w:pStyle w:val="30"/>
        <w:ind w:firstLine="480"/>
      </w:pPr>
      <w:r>
        <w:t>根据《饮用水源保护区污染防治管理规定》第十二条规定</w:t>
      </w:r>
      <w:r>
        <w:rPr>
          <w:rFonts w:hint="eastAsia"/>
        </w:rPr>
        <w:t>“一级保护区内禁止新建、扩建与供水设施和保护水源无关的建设项目；禁止向水域排放污水，已设置的排污口必须拆除。二级保护区内禁止新建、改建、扩建排放污染物的建设项目；原有排污口依法拆除或者关闭。准保护区内禁止新建、扩建对水体污染严重的建设项目；改建建设项目，不得增加排污量。”</w:t>
      </w:r>
      <w:r>
        <w:t xml:space="preserve"> 本项目入河排污口位于</w:t>
      </w:r>
      <w:r>
        <w:rPr>
          <w:rFonts w:hint="eastAsia"/>
        </w:rPr>
        <w:t>祁东县鸟江镇</w:t>
      </w:r>
      <w:r>
        <w:t>，</w:t>
      </w:r>
      <w:r>
        <w:rPr>
          <w:rFonts w:hint="eastAsia"/>
        </w:rPr>
        <w:t>设置位置位于白河右岸，主要为渔业用水，按照</w:t>
      </w:r>
      <w:r>
        <w:t>《地表水环境质量标准》（GB3838-2002）规定的Ⅲ类水质标准控制</w:t>
      </w:r>
      <w:r>
        <w:rPr>
          <w:rFonts w:hint="eastAsia"/>
        </w:rPr>
        <w:t>。论证范围不在饮用水源保护区内，符合</w:t>
      </w:r>
      <w:r>
        <w:t>《饮用水源保护区污染防治管理规定》</w:t>
      </w:r>
      <w:r>
        <w:rPr>
          <w:rFonts w:hint="eastAsia"/>
        </w:rPr>
        <w:t>的要求。</w:t>
      </w:r>
    </w:p>
    <w:p>
      <w:pPr>
        <w:pStyle w:val="35"/>
      </w:pPr>
      <w:bookmarkStart w:id="54" w:name="_Toc23177"/>
      <w:r>
        <w:rPr>
          <w:rFonts w:hint="eastAsia"/>
        </w:rPr>
        <w:t>5</w:t>
      </w:r>
      <w:r>
        <w:t>.4</w:t>
      </w:r>
      <w:r>
        <w:rPr>
          <w:rFonts w:hint="eastAsia"/>
        </w:rPr>
        <w:t>入河排污口设置方案</w:t>
      </w:r>
      <w:bookmarkEnd w:id="54"/>
    </w:p>
    <w:p>
      <w:pPr>
        <w:pStyle w:val="38"/>
      </w:pPr>
      <w:bookmarkStart w:id="55" w:name="_Toc24212"/>
      <w:r>
        <w:rPr>
          <w:rFonts w:hint="eastAsia"/>
        </w:rPr>
        <w:t>5</w:t>
      </w:r>
      <w:r>
        <w:t>.4.1</w:t>
      </w:r>
      <w:r>
        <w:rPr>
          <w:rFonts w:hint="eastAsia"/>
        </w:rPr>
        <w:t>入河排污口设置基本情况</w:t>
      </w:r>
      <w:bookmarkEnd w:id="55"/>
    </w:p>
    <w:p>
      <w:pPr>
        <w:pStyle w:val="30"/>
        <w:ind w:firstLine="480"/>
      </w:pPr>
      <w:r>
        <w:rPr>
          <w:rFonts w:hint="eastAsia"/>
        </w:rPr>
        <w:t>鸟江镇污水处理工程入河排污口基本情况见下表。</w:t>
      </w:r>
    </w:p>
    <w:p>
      <w:pPr>
        <w:pStyle w:val="41"/>
      </w:pPr>
      <w:r>
        <w:t>表5.4-1 入河排污口基本情况表</w:t>
      </w:r>
    </w:p>
    <w:tbl>
      <w:tblPr>
        <w:tblStyle w:val="22"/>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1"/>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2130" w:type="dxa"/>
            <w:vAlign w:val="center"/>
          </w:tcPr>
          <w:p>
            <w:pPr>
              <w:pStyle w:val="43"/>
            </w:pPr>
            <w:r>
              <w:t>入河排污口名称</w:t>
            </w:r>
          </w:p>
        </w:tc>
        <w:tc>
          <w:tcPr>
            <w:tcW w:w="6393" w:type="dxa"/>
            <w:gridSpan w:val="3"/>
            <w:vAlign w:val="center"/>
          </w:tcPr>
          <w:p>
            <w:pPr>
              <w:pStyle w:val="43"/>
            </w:pPr>
            <w:r>
              <w:rPr>
                <w:rFonts w:hint="eastAsia"/>
              </w:rPr>
              <w:t>鸟江镇污水处理工程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2130" w:type="dxa"/>
            <w:vAlign w:val="center"/>
          </w:tcPr>
          <w:p>
            <w:pPr>
              <w:pStyle w:val="43"/>
            </w:pPr>
            <w:r>
              <w:t>入河排污口分类</w:t>
            </w:r>
          </w:p>
        </w:tc>
        <w:tc>
          <w:tcPr>
            <w:tcW w:w="2131" w:type="dxa"/>
            <w:vAlign w:val="center"/>
          </w:tcPr>
          <w:p>
            <w:pPr>
              <w:pStyle w:val="43"/>
            </w:pPr>
            <w:r>
              <w:rPr>
                <w:rFonts w:hint="eastAsia"/>
              </w:rPr>
              <w:t>城镇污水处理厂排污口</w:t>
            </w:r>
          </w:p>
        </w:tc>
        <w:tc>
          <w:tcPr>
            <w:tcW w:w="2131" w:type="dxa"/>
            <w:vAlign w:val="center"/>
          </w:tcPr>
          <w:p>
            <w:pPr>
              <w:pStyle w:val="43"/>
            </w:pPr>
            <w:r>
              <w:t>入河排污口类型</w:t>
            </w:r>
          </w:p>
        </w:tc>
        <w:tc>
          <w:tcPr>
            <w:tcW w:w="2131" w:type="dxa"/>
            <w:vAlign w:val="center"/>
          </w:tcPr>
          <w:p>
            <w:pPr>
              <w:pStyle w:val="43"/>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2130" w:type="dxa"/>
            <w:vAlign w:val="center"/>
          </w:tcPr>
          <w:p>
            <w:pPr>
              <w:pStyle w:val="43"/>
            </w:pPr>
            <w:r>
              <w:t>入河排污口位置</w:t>
            </w:r>
          </w:p>
        </w:tc>
        <w:tc>
          <w:tcPr>
            <w:tcW w:w="6393" w:type="dxa"/>
            <w:gridSpan w:val="3"/>
            <w:vAlign w:val="center"/>
          </w:tcPr>
          <w:p>
            <w:pPr>
              <w:pStyle w:val="43"/>
            </w:pPr>
            <w:r>
              <w:rPr>
                <w:rFonts w:hint="eastAsia" w:hAnsi="宋体"/>
                <w:szCs w:val="24"/>
              </w:rPr>
              <w:t>入河排污口设置位置位于东侧沟渠右岸，地理坐标为</w:t>
            </w:r>
            <w:r>
              <w:rPr>
                <w:rFonts w:hint="eastAsia"/>
                <w:sz w:val="24"/>
                <w:szCs w:val="24"/>
              </w:rPr>
              <w:t>E</w:t>
            </w:r>
            <w:r>
              <w:rPr>
                <w:sz w:val="24"/>
                <w:szCs w:val="36"/>
              </w:rPr>
              <w:t>112°12′5.1″,</w:t>
            </w:r>
            <w:r>
              <w:rPr>
                <w:rFonts w:hint="eastAsia"/>
                <w:sz w:val="24"/>
                <w:szCs w:val="36"/>
              </w:rPr>
              <w:t>N</w:t>
            </w:r>
            <w:r>
              <w:rPr>
                <w:sz w:val="24"/>
                <w:szCs w:val="36"/>
              </w:rPr>
              <w:t>26°36′55.77″</w:t>
            </w:r>
            <w:r>
              <w:rPr>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130" w:type="dxa"/>
            <w:vAlign w:val="center"/>
          </w:tcPr>
          <w:p>
            <w:pPr>
              <w:pStyle w:val="43"/>
            </w:pPr>
            <w:r>
              <w:rPr>
                <w:rFonts w:hint="eastAsia"/>
              </w:rPr>
              <w:t>排放方式</w:t>
            </w:r>
          </w:p>
        </w:tc>
        <w:tc>
          <w:tcPr>
            <w:tcW w:w="2131" w:type="dxa"/>
            <w:vAlign w:val="center"/>
          </w:tcPr>
          <w:p>
            <w:pPr>
              <w:pStyle w:val="43"/>
            </w:pPr>
            <w:r>
              <w:rPr>
                <w:rFonts w:hint="eastAsia"/>
              </w:rPr>
              <w:t>连续</w:t>
            </w:r>
          </w:p>
        </w:tc>
        <w:tc>
          <w:tcPr>
            <w:tcW w:w="2131" w:type="dxa"/>
            <w:vAlign w:val="center"/>
          </w:tcPr>
          <w:p>
            <w:pPr>
              <w:pStyle w:val="43"/>
            </w:pPr>
            <w:r>
              <w:rPr>
                <w:rFonts w:hint="eastAsia"/>
              </w:rPr>
              <w:t>入河方式</w:t>
            </w:r>
          </w:p>
        </w:tc>
        <w:tc>
          <w:tcPr>
            <w:tcW w:w="2131" w:type="dxa"/>
            <w:vAlign w:val="center"/>
          </w:tcPr>
          <w:p>
            <w:pPr>
              <w:pStyle w:val="43"/>
            </w:pPr>
            <w:r>
              <w:rPr>
                <w:rFonts w:hint="eastAsia"/>
              </w:rPr>
              <w:t>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2130" w:type="dxa"/>
            <w:vAlign w:val="center"/>
          </w:tcPr>
          <w:p>
            <w:pPr>
              <w:pStyle w:val="43"/>
            </w:pPr>
            <w:r>
              <w:rPr>
                <w:rFonts w:hint="eastAsia"/>
              </w:rPr>
              <w:t>排放水功能区名称</w:t>
            </w:r>
          </w:p>
        </w:tc>
        <w:tc>
          <w:tcPr>
            <w:tcW w:w="6393" w:type="dxa"/>
            <w:gridSpan w:val="3"/>
            <w:vAlign w:val="center"/>
          </w:tcPr>
          <w:p>
            <w:pPr>
              <w:pStyle w:val="43"/>
            </w:pPr>
            <w:r>
              <w:rPr>
                <w:rFonts w:hint="eastAsia"/>
              </w:rPr>
              <w:t>渔业用水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9" w:hRule="atLeast"/>
          <w:jc w:val="center"/>
        </w:trPr>
        <w:tc>
          <w:tcPr>
            <w:tcW w:w="2130" w:type="dxa"/>
            <w:vAlign w:val="center"/>
          </w:tcPr>
          <w:p>
            <w:pPr>
              <w:pStyle w:val="43"/>
            </w:pPr>
            <w:r>
              <w:rPr>
                <w:rFonts w:hint="eastAsia"/>
              </w:rPr>
              <w:t>排入水体基本情况</w:t>
            </w:r>
          </w:p>
        </w:tc>
        <w:tc>
          <w:tcPr>
            <w:tcW w:w="6393" w:type="dxa"/>
            <w:gridSpan w:val="3"/>
            <w:vAlign w:val="center"/>
          </w:tcPr>
          <w:p>
            <w:pPr>
              <w:pStyle w:val="43"/>
            </w:pPr>
            <w:r>
              <w:rPr>
                <w:rFonts w:hint="eastAsia"/>
              </w:rPr>
              <w:t>白河属于湘江一级支流，其发源于祁东，流经祁东腹地，又在祁东汇入湘江，全长87公里。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2130" w:type="dxa"/>
            <w:vAlign w:val="center"/>
          </w:tcPr>
          <w:p>
            <w:pPr>
              <w:pStyle w:val="43"/>
            </w:pPr>
            <w:r>
              <w:rPr>
                <w:rFonts w:hint="eastAsia"/>
              </w:rPr>
              <w:t>水质保护目标</w:t>
            </w:r>
          </w:p>
        </w:tc>
        <w:tc>
          <w:tcPr>
            <w:tcW w:w="6393" w:type="dxa"/>
            <w:gridSpan w:val="3"/>
            <w:vAlign w:val="center"/>
          </w:tcPr>
          <w:p>
            <w:pPr>
              <w:pStyle w:val="43"/>
            </w:pPr>
            <w:r>
              <w:rPr>
                <w:rFonts w:hint="eastAsia"/>
              </w:rPr>
              <w:t>白河（Ⅲ类水质）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261" w:type="dxa"/>
            <w:gridSpan w:val="2"/>
            <w:vAlign w:val="center"/>
          </w:tcPr>
          <w:p>
            <w:pPr>
              <w:pStyle w:val="43"/>
            </w:pPr>
            <w:r>
              <w:rPr>
                <w:rFonts w:hint="eastAsia"/>
              </w:rPr>
              <w:t>外排废水量</w:t>
            </w:r>
          </w:p>
        </w:tc>
        <w:tc>
          <w:tcPr>
            <w:tcW w:w="4262" w:type="dxa"/>
            <w:gridSpan w:val="2"/>
            <w:vAlign w:val="center"/>
          </w:tcPr>
          <w:p>
            <w:pPr>
              <w:pStyle w:val="43"/>
            </w:pPr>
            <w:r>
              <w:rPr>
                <w:rFonts w:hint="eastAsia"/>
              </w:rPr>
              <w:t>近期200m</w:t>
            </w:r>
            <w:r>
              <w:rPr>
                <w:rFonts w:hint="eastAsia"/>
                <w:vertAlign w:val="superscript"/>
              </w:rPr>
              <w:t>3</w:t>
            </w:r>
            <w:r>
              <w:rPr>
                <w:rFonts w:hint="eastAsia"/>
              </w:rPr>
              <w:t>/d，远期400m</w:t>
            </w:r>
            <w:r>
              <w:rPr>
                <w:rFonts w:hint="eastAsia"/>
                <w:vertAlign w:val="superscript"/>
              </w:rPr>
              <w:t>3</w:t>
            </w:r>
            <w:r>
              <w:rPr>
                <w:rFonts w:hint="eastAsia"/>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2130" w:type="dxa"/>
            <w:vAlign w:val="center"/>
          </w:tcPr>
          <w:p>
            <w:pPr>
              <w:pStyle w:val="43"/>
            </w:pPr>
            <w:r>
              <w:rPr>
                <w:rFonts w:hint="eastAsia"/>
              </w:rPr>
              <w:t>执行标准</w:t>
            </w:r>
          </w:p>
        </w:tc>
        <w:tc>
          <w:tcPr>
            <w:tcW w:w="6393" w:type="dxa"/>
            <w:gridSpan w:val="3"/>
            <w:vAlign w:val="center"/>
          </w:tcPr>
          <w:p>
            <w:pPr>
              <w:pStyle w:val="43"/>
            </w:pPr>
            <w:r>
              <w:rPr>
                <w:rFonts w:hint="eastAsia"/>
              </w:rPr>
              <w:t>出水水质</w:t>
            </w:r>
            <w:r>
              <w:t>达到</w:t>
            </w:r>
            <w:r>
              <w:rPr>
                <w:rFonts w:hint="eastAsia"/>
              </w:rPr>
              <w:t>《城镇污水处理厂污染物排放标准》（GB18918－2002）一级B标准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2130" w:type="dxa"/>
            <w:vAlign w:val="center"/>
          </w:tcPr>
          <w:p>
            <w:pPr>
              <w:pStyle w:val="43"/>
            </w:pPr>
            <w:r>
              <w:rPr>
                <w:rFonts w:hint="eastAsia"/>
              </w:rPr>
              <w:t>设计出水水质</w:t>
            </w:r>
          </w:p>
        </w:tc>
        <w:tc>
          <w:tcPr>
            <w:tcW w:w="6393" w:type="dxa"/>
            <w:gridSpan w:val="3"/>
            <w:vAlign w:val="center"/>
          </w:tcPr>
          <w:p>
            <w:pPr>
              <w:pStyle w:val="43"/>
            </w:pPr>
            <w:r>
              <w:rPr>
                <w:rFonts w:hint="eastAsia"/>
              </w:rPr>
              <w:t>COD：60mg/L；BOD</w:t>
            </w:r>
            <w:r>
              <w:rPr>
                <w:rFonts w:hint="eastAsia"/>
                <w:vertAlign w:val="subscript"/>
              </w:rPr>
              <w:t>5</w:t>
            </w:r>
            <w:r>
              <w:rPr>
                <w:rFonts w:hint="eastAsia"/>
              </w:rPr>
              <w:t>：20mg/L；氨氮：8mg/L；SS：20mg/L；TP：1mg/L；TN：20mg/L。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130" w:type="dxa"/>
            <w:vAlign w:val="center"/>
          </w:tcPr>
          <w:p>
            <w:pPr>
              <w:pStyle w:val="43"/>
            </w:pPr>
            <w:r>
              <w:rPr>
                <w:rFonts w:hint="eastAsia"/>
              </w:rPr>
              <w:t>污染物年排放量</w:t>
            </w:r>
          </w:p>
        </w:tc>
        <w:tc>
          <w:tcPr>
            <w:tcW w:w="6393" w:type="dxa"/>
            <w:gridSpan w:val="3"/>
            <w:vAlign w:val="center"/>
          </w:tcPr>
          <w:p>
            <w:pPr>
              <w:pStyle w:val="43"/>
            </w:pPr>
            <w:r>
              <w:rPr>
                <w:rFonts w:hint="eastAsia"/>
              </w:rPr>
              <w:t>近期：COD：4.38t/a；BOD</w:t>
            </w:r>
            <w:r>
              <w:rPr>
                <w:rFonts w:hint="eastAsia"/>
                <w:vertAlign w:val="subscript"/>
              </w:rPr>
              <w:t>5</w:t>
            </w:r>
            <w:r>
              <w:rPr>
                <w:rFonts w:hint="eastAsia"/>
              </w:rPr>
              <w:t>：1.46t/a；氨氮：0.584t/a；SS：1.46t/a；TP：0.07t/a；TN：1.46t/a。</w:t>
            </w:r>
          </w:p>
          <w:p>
            <w:pPr>
              <w:pStyle w:val="43"/>
            </w:pPr>
            <w:r>
              <w:rPr>
                <w:rFonts w:hint="eastAsia"/>
              </w:rPr>
              <w:t>远期COD：8.76t/a；BOD</w:t>
            </w:r>
            <w:r>
              <w:rPr>
                <w:rFonts w:hint="eastAsia"/>
                <w:vertAlign w:val="subscript"/>
              </w:rPr>
              <w:t>5</w:t>
            </w:r>
            <w:r>
              <w:rPr>
                <w:rFonts w:hint="eastAsia"/>
              </w:rPr>
              <w:t>：2.92t/a；氨氮：1.17t/a；SS：2.92t/a；TP：0.15t/a；TN：2.92t/a。</w:t>
            </w:r>
          </w:p>
        </w:tc>
      </w:tr>
    </w:tbl>
    <w:p>
      <w:pPr>
        <w:pStyle w:val="38"/>
      </w:pPr>
      <w:bookmarkStart w:id="56" w:name="_Toc20095"/>
      <w:r>
        <w:rPr>
          <w:rFonts w:hint="eastAsia"/>
        </w:rPr>
        <w:t>5</w:t>
      </w:r>
      <w:r>
        <w:t>.4.2</w:t>
      </w:r>
      <w:r>
        <w:rPr>
          <w:rFonts w:hint="eastAsia"/>
        </w:rPr>
        <w:t>入河排污口规范化建设及管理要求</w:t>
      </w:r>
      <w:bookmarkEnd w:id="56"/>
    </w:p>
    <w:p>
      <w:pPr>
        <w:pStyle w:val="30"/>
        <w:ind w:firstLine="480"/>
        <w:rPr>
          <w:u w:val="single"/>
        </w:rPr>
      </w:pPr>
      <w:r>
        <w:rPr>
          <w:rFonts w:hint="eastAsia"/>
        </w:rPr>
        <w:t>入河排污口规范化建设是一项基础性工作，做好入河排污口规范化建设和管理，可以科学的掌握各类污染源实际排放情况。本工程建设单位应严格按照国家、省、市生态环境部门的规定和要求，切实满足监测和监管的需求，</w:t>
      </w:r>
      <w:r>
        <w:rPr>
          <w:rFonts w:hint="eastAsia"/>
          <w:u w:val="single"/>
        </w:rPr>
        <w:t>排污单位必须按照相关要求设置和制作入河排污口标志牌。未经管理部门允许，任何单位和个人不得擅自设置、移动、扩大入河排污口。排污单位要根据省市相关要求，建立入河排污口基础资料档案和监督检查档案。</w:t>
      </w:r>
    </w:p>
    <w:p>
      <w:pPr>
        <w:pStyle w:val="38"/>
      </w:pPr>
      <w:bookmarkStart w:id="57" w:name="_Toc7628"/>
      <w:r>
        <w:rPr>
          <w:rFonts w:hint="eastAsia"/>
        </w:rPr>
        <w:t>5</w:t>
      </w:r>
      <w:r>
        <w:t>.4.3</w:t>
      </w:r>
      <w:r>
        <w:rPr>
          <w:rFonts w:hint="eastAsia"/>
        </w:rPr>
        <w:t>入河排污口标识设置</w:t>
      </w:r>
      <w:bookmarkEnd w:id="57"/>
    </w:p>
    <w:p>
      <w:pPr>
        <w:pStyle w:val="30"/>
        <w:ind w:firstLine="480"/>
        <w:rPr>
          <w:u w:val="single"/>
        </w:rPr>
      </w:pPr>
      <w:r>
        <w:rPr>
          <w:u w:val="single"/>
        </w:rPr>
        <w:t>根据《入河排污口管理技术导则》（SL532-2011）要求，入河排污口应设立标志牌。因此，本入河排污口处需增设入河排污口明显标志牌。</w:t>
      </w:r>
      <w:r>
        <w:rPr>
          <w:rFonts w:hint="eastAsia"/>
          <w:u w:val="single"/>
        </w:rPr>
        <w:t>入河排污口标识内容如下：</w:t>
      </w:r>
    </w:p>
    <w:p>
      <w:pPr>
        <w:pStyle w:val="30"/>
        <w:ind w:firstLine="480"/>
        <w:rPr>
          <w:u w:val="single"/>
        </w:rPr>
      </w:pPr>
      <w:bookmarkStart w:id="58" w:name="_Toc8127"/>
      <w:r>
        <w:rPr>
          <w:rFonts w:hint="eastAsia"/>
          <w:u w:val="single"/>
        </w:rPr>
        <w:t>1、标志文字分为正反两面，其中正面应包括以下资料信息：</w:t>
      </w:r>
      <w:bookmarkEnd w:id="58"/>
    </w:p>
    <w:p>
      <w:pPr>
        <w:pStyle w:val="30"/>
        <w:ind w:firstLine="480"/>
        <w:rPr>
          <w:u w:val="single"/>
        </w:rPr>
      </w:pPr>
      <w:r>
        <w:rPr>
          <w:rFonts w:hint="eastAsia"/>
          <w:u w:val="single"/>
        </w:rPr>
        <w:t>（1）入河排污口名称：鸟江镇污水处理工程；</w:t>
      </w:r>
    </w:p>
    <w:p>
      <w:pPr>
        <w:pStyle w:val="30"/>
        <w:ind w:firstLine="480"/>
        <w:rPr>
          <w:u w:val="single"/>
        </w:rPr>
      </w:pPr>
      <w:r>
        <w:rPr>
          <w:rFonts w:hint="eastAsia"/>
          <w:u w:val="single"/>
        </w:rPr>
        <w:t>（2）入河排污口编号：按行政主管部门确定的编号建设；</w:t>
      </w:r>
    </w:p>
    <w:p>
      <w:pPr>
        <w:pStyle w:val="30"/>
        <w:ind w:firstLine="480"/>
        <w:rPr>
          <w:u w:val="single"/>
        </w:rPr>
      </w:pPr>
      <w:r>
        <w:rPr>
          <w:rFonts w:hint="eastAsia"/>
          <w:u w:val="single"/>
        </w:rPr>
        <w:t>（3）入河排污口地理位置及经纬度坐标：</w:t>
      </w:r>
      <w:r>
        <w:rPr>
          <w:rFonts w:hint="eastAsia" w:hAnsi="宋体"/>
          <w:szCs w:val="24"/>
        </w:rPr>
        <w:t>入河排污口设置位置位于东侧沟渠右岸，地理坐标为</w:t>
      </w:r>
      <w:r>
        <w:rPr>
          <w:rFonts w:hint="eastAsia"/>
          <w:szCs w:val="24"/>
        </w:rPr>
        <w:t>E</w:t>
      </w:r>
      <w:r>
        <w:rPr>
          <w:szCs w:val="36"/>
        </w:rPr>
        <w:t>112°12′5.1″,</w:t>
      </w:r>
      <w:r>
        <w:rPr>
          <w:rFonts w:hint="eastAsia"/>
          <w:szCs w:val="36"/>
        </w:rPr>
        <w:t>N</w:t>
      </w:r>
      <w:r>
        <w:rPr>
          <w:szCs w:val="36"/>
        </w:rPr>
        <w:t>26°36′55.77″</w:t>
      </w:r>
      <w:r>
        <w:rPr>
          <w:szCs w:val="24"/>
        </w:rPr>
        <w:t>。</w:t>
      </w:r>
    </w:p>
    <w:p>
      <w:pPr>
        <w:pStyle w:val="30"/>
        <w:ind w:firstLine="480"/>
        <w:rPr>
          <w:u w:val="single"/>
        </w:rPr>
      </w:pPr>
      <w:r>
        <w:rPr>
          <w:rFonts w:hint="eastAsia"/>
          <w:u w:val="single"/>
        </w:rPr>
        <w:t>（4）排入的水功能区名称及水质保护目标：水质</w:t>
      </w:r>
      <w:r>
        <w:rPr>
          <w:u w:val="single"/>
        </w:rPr>
        <w:t>目标为Ⅲ类；</w:t>
      </w:r>
    </w:p>
    <w:p>
      <w:pPr>
        <w:pStyle w:val="30"/>
        <w:ind w:firstLine="480"/>
        <w:rPr>
          <w:u w:val="single"/>
        </w:rPr>
      </w:pPr>
      <w:r>
        <w:rPr>
          <w:rFonts w:hint="eastAsia"/>
          <w:u w:val="single"/>
        </w:rPr>
        <w:t>（5）入河排污口主要污染物浓度：CODcr 60mg/L、BOD</w:t>
      </w:r>
      <w:r>
        <w:rPr>
          <w:rFonts w:hint="eastAsia"/>
          <w:u w:val="single"/>
          <w:vertAlign w:val="subscript"/>
        </w:rPr>
        <w:t>5</w:t>
      </w:r>
      <w:r>
        <w:rPr>
          <w:rFonts w:hint="eastAsia"/>
          <w:u w:val="single"/>
        </w:rPr>
        <w:t xml:space="preserve"> 20mg/L、SS 20mg/L、氨氮</w:t>
      </w:r>
      <w:r>
        <w:rPr>
          <w:u w:val="single"/>
        </w:rPr>
        <w:t>8</w:t>
      </w:r>
      <w:r>
        <w:rPr>
          <w:rFonts w:hint="eastAsia"/>
          <w:u w:val="single"/>
        </w:rPr>
        <w:t>mg/L、TP1mg/L、TN20mg/L。</w:t>
      </w:r>
    </w:p>
    <w:p>
      <w:pPr>
        <w:pStyle w:val="30"/>
        <w:ind w:firstLine="480"/>
        <w:rPr>
          <w:u w:val="single"/>
        </w:rPr>
      </w:pPr>
      <w:bookmarkStart w:id="59" w:name="_Toc10761"/>
      <w:r>
        <w:rPr>
          <w:rFonts w:hint="eastAsia"/>
          <w:u w:val="single"/>
        </w:rPr>
        <w:t>（6）入河排污口设置申请单位：</w:t>
      </w:r>
      <w:bookmarkEnd w:id="59"/>
    </w:p>
    <w:p>
      <w:pPr>
        <w:pStyle w:val="30"/>
        <w:ind w:firstLine="480"/>
        <w:rPr>
          <w:u w:val="single"/>
        </w:rPr>
      </w:pPr>
      <w:r>
        <w:rPr>
          <w:rFonts w:hint="eastAsia"/>
          <w:u w:val="single"/>
        </w:rPr>
        <w:t>（7）入河排污口设置审批单位及监督电话：衡阳市生态环境局；12369。</w:t>
      </w:r>
    </w:p>
    <w:p>
      <w:pPr>
        <w:pStyle w:val="30"/>
        <w:ind w:firstLine="480"/>
        <w:rPr>
          <w:u w:val="single"/>
        </w:rPr>
      </w:pPr>
      <w:r>
        <w:rPr>
          <w:rFonts w:hint="eastAsia"/>
          <w:u w:val="single"/>
        </w:rPr>
        <w:t>2、标志可以正反两面印制相同的文字及内容，也可在标志反面选择印制如下内容：</w:t>
      </w:r>
    </w:p>
    <w:p>
      <w:pPr>
        <w:pStyle w:val="30"/>
        <w:ind w:firstLine="480"/>
        <w:rPr>
          <w:u w:val="single"/>
        </w:rPr>
      </w:pPr>
      <w:r>
        <w:rPr>
          <w:rFonts w:hint="eastAsia"/>
          <w:u w:val="single"/>
        </w:rPr>
        <w:t>（1）《水法》等法律法规中有关入河排污口管理的条文节选；</w:t>
      </w:r>
    </w:p>
    <w:p>
      <w:pPr>
        <w:pStyle w:val="30"/>
        <w:ind w:firstLine="480"/>
        <w:rPr>
          <w:u w:val="single"/>
        </w:rPr>
      </w:pPr>
      <w:r>
        <w:rPr>
          <w:rFonts w:hint="eastAsia"/>
          <w:u w:val="single"/>
        </w:rPr>
        <w:t>（2）有关水资源保护工作的宣传口号。</w:t>
      </w:r>
    </w:p>
    <w:p>
      <w:pPr>
        <w:pStyle w:val="30"/>
        <w:ind w:firstLine="480"/>
        <w:rPr>
          <w:u w:val="single"/>
        </w:rPr>
      </w:pPr>
      <w:bookmarkStart w:id="60" w:name="_Toc25328"/>
      <w:r>
        <w:rPr>
          <w:rFonts w:hint="eastAsia"/>
          <w:u w:val="single"/>
        </w:rPr>
        <w:t>3、标志设计样式要美观大方，文字的字体、设计样式应保持统一。</w:t>
      </w:r>
      <w:bookmarkEnd w:id="60"/>
    </w:p>
    <w:p>
      <w:pPr>
        <w:pStyle w:val="38"/>
      </w:pPr>
      <w:bookmarkStart w:id="61" w:name="_Toc22825"/>
      <w:r>
        <w:rPr>
          <w:rFonts w:hint="eastAsia"/>
        </w:rPr>
        <w:t>5</w:t>
      </w:r>
      <w:r>
        <w:t>.4.4</w:t>
      </w:r>
      <w:r>
        <w:rPr>
          <w:rFonts w:hint="eastAsia"/>
        </w:rPr>
        <w:t>入河排污口监测</w:t>
      </w:r>
      <w:bookmarkEnd w:id="61"/>
    </w:p>
    <w:p>
      <w:pPr>
        <w:pStyle w:val="30"/>
        <w:ind w:firstLine="480"/>
      </w:pPr>
      <w:r>
        <w:rPr>
          <w:rFonts w:hint="eastAsia"/>
        </w:rPr>
        <w:t>1、概述</w:t>
      </w:r>
    </w:p>
    <w:p>
      <w:pPr>
        <w:pStyle w:val="30"/>
        <w:ind w:firstLine="480"/>
      </w:pPr>
      <w:r>
        <w:rPr>
          <w:rFonts w:hint="eastAsia"/>
        </w:rPr>
        <w:t>入河排污口管理单位可根据工作需要对入河排污口进行监测，监测主要分为人工监测和自动监测，入河排污总量以及入河污染总量按日计算。</w:t>
      </w:r>
    </w:p>
    <w:p>
      <w:pPr>
        <w:pStyle w:val="30"/>
        <w:ind w:firstLine="480"/>
      </w:pPr>
      <w:r>
        <w:rPr>
          <w:rFonts w:hint="eastAsia"/>
        </w:rPr>
        <w:t>2、人工监测要求</w:t>
      </w:r>
    </w:p>
    <w:p>
      <w:pPr>
        <w:pStyle w:val="30"/>
        <w:ind w:firstLine="480"/>
      </w:pPr>
      <w:bookmarkStart w:id="62" w:name="_Toc21194"/>
      <w:r>
        <w:rPr>
          <w:rFonts w:hint="eastAsia"/>
        </w:rPr>
        <w:t>（1）</w:t>
      </w:r>
      <w:r>
        <w:t>入河排污口人工监测应符合下列基本要求：</w:t>
      </w:r>
      <w:bookmarkEnd w:id="62"/>
    </w:p>
    <w:p>
      <w:pPr>
        <w:pStyle w:val="30"/>
        <w:ind w:firstLine="480"/>
      </w:pPr>
      <w:r>
        <w:t>1）应对入河排污口废污水排放量和主要污染物质的排放浓度实施同步监测；</w:t>
      </w:r>
    </w:p>
    <w:p>
      <w:pPr>
        <w:pStyle w:val="30"/>
        <w:ind w:firstLine="480"/>
      </w:pPr>
      <w:r>
        <w:t>2）在入河排污口进行样品测量、采样及运输时，应采取有效防护措施，防止有毒有害物质、放射性物质和热污染危及人身安全。</w:t>
      </w:r>
    </w:p>
    <w:p>
      <w:pPr>
        <w:pStyle w:val="30"/>
        <w:ind w:firstLine="480"/>
      </w:pPr>
      <w:bookmarkStart w:id="63" w:name="_Toc11806"/>
      <w:r>
        <w:rPr>
          <w:rFonts w:hint="eastAsia"/>
        </w:rPr>
        <w:t>（2）</w:t>
      </w:r>
      <w:r>
        <w:t>监测项目与采样方法应符合下列要求：</w:t>
      </w:r>
      <w:bookmarkEnd w:id="63"/>
    </w:p>
    <w:p>
      <w:pPr>
        <w:pStyle w:val="30"/>
        <w:ind w:firstLine="480"/>
      </w:pPr>
      <w:r>
        <w:t>1）常规监测项目为流量、水温、pH值、化学需氧量、五日生化需氧量、氨氮、总磷、总氮</w:t>
      </w:r>
      <w:r>
        <w:rPr>
          <w:rFonts w:hint="eastAsia"/>
        </w:rPr>
        <w:t>、悬浮物、动植物油、阴离子表面活性剂、粪大肠菌群。对于特殊排污单位应根据废污水性质，增加相应的特征污染物监测项目</w:t>
      </w:r>
      <w:r>
        <w:t>。</w:t>
      </w:r>
    </w:p>
    <w:p>
      <w:pPr>
        <w:pStyle w:val="30"/>
        <w:ind w:firstLine="480"/>
      </w:pPr>
      <w:r>
        <w:t>2）监测方法应按照国家现行的检验、检测方法执行，所采用的分析方法应符合国家和行业有关标准的规定。</w:t>
      </w:r>
    </w:p>
    <w:p>
      <w:pPr>
        <w:pStyle w:val="30"/>
        <w:ind w:firstLine="480"/>
      </w:pPr>
      <w:bookmarkStart w:id="64" w:name="_Toc27706"/>
      <w:r>
        <w:t>3）监测点位为污水处理厂尾水出水口。</w:t>
      </w:r>
      <w:bookmarkEnd w:id="64"/>
    </w:p>
    <w:p>
      <w:pPr>
        <w:pStyle w:val="30"/>
        <w:ind w:firstLine="480"/>
      </w:pPr>
      <w:r>
        <w:t>3</w:t>
      </w:r>
      <w:r>
        <w:rPr>
          <w:rFonts w:hint="eastAsia"/>
        </w:rPr>
        <w:t>、自动监测要求</w:t>
      </w:r>
    </w:p>
    <w:p>
      <w:pPr>
        <w:pStyle w:val="30"/>
        <w:ind w:firstLine="480"/>
      </w:pPr>
      <w:bookmarkStart w:id="65" w:name="_Toc32714"/>
      <w:r>
        <w:rPr>
          <w:rFonts w:hint="eastAsia"/>
        </w:rPr>
        <w:t>（1）</w:t>
      </w:r>
      <w:r>
        <w:t>入河排污口自动监测设置应符合下列基本要求：</w:t>
      </w:r>
      <w:bookmarkEnd w:id="65"/>
    </w:p>
    <w:p>
      <w:pPr>
        <w:pStyle w:val="30"/>
        <w:ind w:firstLine="480"/>
      </w:pPr>
      <w:r>
        <w:t>1）对排污量较大的入河排污口以及排入重要水域的水功能区的入河排污口应实施自动监测；</w:t>
      </w:r>
    </w:p>
    <w:p>
      <w:pPr>
        <w:pStyle w:val="30"/>
        <w:ind w:firstLine="480"/>
      </w:pPr>
      <w:r>
        <w:t>2）对入河排污口废污水的排放量和主要污染物质排放浓度应实施自动监测。</w:t>
      </w:r>
    </w:p>
    <w:p>
      <w:pPr>
        <w:pStyle w:val="30"/>
        <w:ind w:firstLine="480"/>
      </w:pPr>
      <w:r>
        <w:rPr>
          <w:rFonts w:hint="eastAsia"/>
        </w:rPr>
        <w:t>（2）</w:t>
      </w:r>
      <w:r>
        <w:t>自动监测项目为国家或地方考核项目的，实施水质水量同步自动监测。</w:t>
      </w:r>
    </w:p>
    <w:p>
      <w:pPr>
        <w:pStyle w:val="30"/>
        <w:ind w:firstLine="480"/>
      </w:pPr>
      <w:bookmarkStart w:id="66" w:name="_Toc24802"/>
      <w:r>
        <w:rPr>
          <w:rFonts w:hint="eastAsia"/>
        </w:rPr>
        <w:t>（3）</w:t>
      </w:r>
      <w:r>
        <w:t>污染物总量监测与计算方法应符合下列要求：</w:t>
      </w:r>
      <w:bookmarkEnd w:id="66"/>
    </w:p>
    <w:p>
      <w:pPr>
        <w:pStyle w:val="30"/>
        <w:ind w:firstLine="480"/>
      </w:pPr>
      <w:r>
        <w:t>1）对入河排污口流量、污染物浓度与时间排放曲线波动较小的，用瞬时流量、污染物浓度代表日平均流量和污染物平均浓度，计算每日入河排污总量；</w:t>
      </w:r>
    </w:p>
    <w:p>
      <w:pPr>
        <w:pStyle w:val="30"/>
        <w:ind w:firstLine="480"/>
      </w:pPr>
      <w:r>
        <w:t>2）对入河排污口流量、污染物浓度与时间排放曲线虽有明显波动，但其波动有固定的规律的，可用一天中几个等时间的瞬时流量、污染物浓度来计算平均流量和污染物平均浓度，计算每日入河排污总量；</w:t>
      </w:r>
    </w:p>
    <w:p>
      <w:pPr>
        <w:pStyle w:val="30"/>
        <w:ind w:firstLine="480"/>
      </w:pPr>
      <w:r>
        <w:t>3）对排污口流量、污染物浓度与时间排放曲线，即有明显波动又无规律可循的，必须连续定流量、污染物浓度，通过加权平均每日入河排污总量</w:t>
      </w:r>
      <w:r>
        <w:rPr>
          <w:rFonts w:hint="eastAsia"/>
        </w:rPr>
        <w:t>。</w:t>
      </w:r>
    </w:p>
    <w:p>
      <w:pPr>
        <w:pStyle w:val="30"/>
        <w:ind w:firstLine="480"/>
        <w:rPr>
          <w:u w:val="single"/>
        </w:rPr>
      </w:pPr>
      <w:r>
        <w:rPr>
          <w:u w:val="single"/>
        </w:rPr>
        <w:t>4</w:t>
      </w:r>
      <w:r>
        <w:rPr>
          <w:rFonts w:hint="eastAsia"/>
          <w:u w:val="single"/>
        </w:rPr>
        <w:t>、本项目监测方案</w:t>
      </w:r>
    </w:p>
    <w:p>
      <w:pPr>
        <w:pStyle w:val="30"/>
        <w:ind w:firstLine="480"/>
        <w:rPr>
          <w:u w:val="single"/>
        </w:rPr>
      </w:pPr>
      <w:r>
        <w:rPr>
          <w:u w:val="single"/>
        </w:rPr>
        <w:t>根据上述分析，本项目采用人工监测与自动监测相结合的方式对污水处理厂尾水监测，为行政主管部门管理提供数据。</w:t>
      </w:r>
    </w:p>
    <w:p>
      <w:pPr>
        <w:pStyle w:val="30"/>
        <w:ind w:firstLine="480"/>
        <w:rPr>
          <w:u w:val="single"/>
        </w:rPr>
      </w:pPr>
      <w:bookmarkStart w:id="67" w:name="_Toc2732"/>
      <w:r>
        <w:rPr>
          <w:rFonts w:hint="eastAsia"/>
          <w:u w:val="single"/>
        </w:rPr>
        <w:t>（1）</w:t>
      </w:r>
      <w:r>
        <w:rPr>
          <w:u w:val="single"/>
        </w:rPr>
        <w:t>自动监测</w:t>
      </w:r>
      <w:bookmarkEnd w:id="67"/>
    </w:p>
    <w:p>
      <w:pPr>
        <w:pStyle w:val="30"/>
        <w:ind w:firstLine="480"/>
        <w:rPr>
          <w:u w:val="single"/>
        </w:rPr>
      </w:pPr>
      <w:r>
        <w:rPr>
          <w:u w:val="single"/>
        </w:rPr>
        <w:t>1）监测项目：根据《排污许可证申请与核发技术规范 水处理</w:t>
      </w:r>
      <w:r>
        <w:rPr>
          <w:rFonts w:hint="eastAsia"/>
          <w:u w:val="single"/>
        </w:rPr>
        <w:t>（试行）</w:t>
      </w:r>
      <w:r>
        <w:rPr>
          <w:u w:val="single"/>
        </w:rPr>
        <w:t>》（HJ978-2018）中自行监测要求，常规监测项目为流量、水温、pH值、化学需氧量、氨氮、总磷、总氮。</w:t>
      </w:r>
    </w:p>
    <w:p>
      <w:pPr>
        <w:pStyle w:val="30"/>
        <w:ind w:firstLine="480"/>
        <w:rPr>
          <w:u w:val="single"/>
        </w:rPr>
      </w:pPr>
      <w:bookmarkStart w:id="68" w:name="_Toc4594"/>
      <w:r>
        <w:rPr>
          <w:u w:val="single"/>
        </w:rPr>
        <w:t>2）监测点位：污水处理厂出水口。</w:t>
      </w:r>
      <w:bookmarkEnd w:id="68"/>
    </w:p>
    <w:p>
      <w:pPr>
        <w:pStyle w:val="30"/>
        <w:ind w:firstLine="480"/>
        <w:rPr>
          <w:u w:val="single"/>
        </w:rPr>
      </w:pPr>
      <w:r>
        <w:rPr>
          <w:u w:val="single"/>
        </w:rPr>
        <w:t>3）监测方法：按照国家现行的检验、检测方法执行，所采用的分析方法应符合国家和行业有关标准的规定。</w:t>
      </w:r>
    </w:p>
    <w:p>
      <w:pPr>
        <w:pStyle w:val="30"/>
        <w:ind w:firstLine="480"/>
        <w:rPr>
          <w:u w:val="single"/>
        </w:rPr>
      </w:pPr>
      <w:bookmarkStart w:id="69" w:name="_Toc30682"/>
      <w:r>
        <w:rPr>
          <w:rFonts w:hint="eastAsia"/>
          <w:u w:val="single"/>
        </w:rPr>
        <w:t>（2）</w:t>
      </w:r>
      <w:r>
        <w:rPr>
          <w:u w:val="single"/>
        </w:rPr>
        <w:t>人工监测</w:t>
      </w:r>
      <w:bookmarkEnd w:id="69"/>
    </w:p>
    <w:p>
      <w:pPr>
        <w:pStyle w:val="30"/>
        <w:ind w:firstLine="480"/>
        <w:rPr>
          <w:u w:val="single"/>
        </w:rPr>
      </w:pPr>
      <w:r>
        <w:rPr>
          <w:u w:val="single"/>
        </w:rPr>
        <w:t>1）监测项目：悬浮物、</w:t>
      </w:r>
      <w:r>
        <w:rPr>
          <w:rFonts w:hint="eastAsia"/>
          <w:u w:val="single"/>
        </w:rPr>
        <w:t>色度、</w:t>
      </w:r>
      <w:r>
        <w:rPr>
          <w:u w:val="single"/>
        </w:rPr>
        <w:t>五日生化需氧量</w:t>
      </w:r>
      <w:r>
        <w:rPr>
          <w:rFonts w:hint="eastAsia"/>
          <w:u w:val="single"/>
        </w:rPr>
        <w:t>、动植物油、阴离子表面活性剂、粪大肠菌群</w:t>
      </w:r>
      <w:r>
        <w:rPr>
          <w:u w:val="single"/>
        </w:rPr>
        <w:t>。</w:t>
      </w:r>
    </w:p>
    <w:p>
      <w:pPr>
        <w:pStyle w:val="30"/>
        <w:ind w:firstLine="480"/>
        <w:rPr>
          <w:u w:val="single"/>
        </w:rPr>
      </w:pPr>
      <w:r>
        <w:rPr>
          <w:u w:val="single"/>
        </w:rPr>
        <w:t>2）监测点位：污水处理厂出水口。</w:t>
      </w:r>
    </w:p>
    <w:p>
      <w:pPr>
        <w:pStyle w:val="30"/>
        <w:ind w:firstLine="480"/>
        <w:rPr>
          <w:u w:val="single"/>
        </w:rPr>
      </w:pPr>
      <w:r>
        <w:rPr>
          <w:rFonts w:hint="eastAsia"/>
          <w:u w:val="single"/>
        </w:rPr>
        <w:t>3）监测频次：季度。</w:t>
      </w:r>
    </w:p>
    <w:p>
      <w:pPr>
        <w:pStyle w:val="30"/>
        <w:ind w:firstLine="480"/>
      </w:pPr>
      <w:r>
        <w:rPr>
          <w:u w:val="single"/>
        </w:rPr>
        <w:t>3）监测方法：按照国家现行的检验、检测方法执行，所采用的分析方法应符合国家和行业有关标准的规定。</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70" w:name="_Toc22519"/>
      <w:r>
        <w:rPr>
          <w:rFonts w:hint="eastAsia"/>
        </w:rPr>
        <w:t>6入河排污口设置对水功能区水质和水生态影响分析</w:t>
      </w:r>
      <w:bookmarkEnd w:id="70"/>
    </w:p>
    <w:p>
      <w:pPr>
        <w:pStyle w:val="35"/>
      </w:pPr>
      <w:bookmarkStart w:id="71" w:name="_Toc715"/>
      <w:r>
        <w:rPr>
          <w:rFonts w:hint="eastAsia"/>
        </w:rPr>
        <w:t>6</w:t>
      </w:r>
      <w:r>
        <w:t>.1</w:t>
      </w:r>
      <w:r>
        <w:rPr>
          <w:rFonts w:hint="eastAsia"/>
        </w:rPr>
        <w:t>影响范围</w:t>
      </w:r>
      <w:bookmarkEnd w:id="71"/>
    </w:p>
    <w:p>
      <w:pPr>
        <w:pStyle w:val="38"/>
      </w:pPr>
      <w:bookmarkStart w:id="72" w:name="_Toc7875"/>
      <w:r>
        <w:rPr>
          <w:rFonts w:hint="eastAsia"/>
        </w:rPr>
        <w:t>16</w:t>
      </w:r>
      <w:r>
        <w:t>.1.1</w:t>
      </w:r>
      <w:r>
        <w:rPr>
          <w:rFonts w:hint="eastAsia"/>
        </w:rPr>
        <w:t>预测因子的选择</w:t>
      </w:r>
      <w:bookmarkEnd w:id="72"/>
    </w:p>
    <w:p>
      <w:pPr>
        <w:pStyle w:val="30"/>
        <w:ind w:firstLine="480"/>
      </w:pPr>
      <w:r>
        <w:rPr>
          <w:rFonts w:hint="eastAsia"/>
          <w:color w:val="000000"/>
        </w:rPr>
        <w:t>根据工程排污特点，污水处理厂无工业企业污水排入污水处理厂，无其他特征因子，因此</w:t>
      </w:r>
      <w:r>
        <w:rPr>
          <w:rFonts w:hint="eastAsia"/>
          <w:color w:val="000000"/>
          <w:u w:val="single"/>
        </w:rPr>
        <w:t>本次论证选取CODcr、NH</w:t>
      </w:r>
      <w:r>
        <w:rPr>
          <w:rFonts w:hint="eastAsia"/>
          <w:color w:val="000000"/>
          <w:u w:val="single"/>
          <w:vertAlign w:val="subscript"/>
        </w:rPr>
        <w:t>3</w:t>
      </w:r>
      <w:r>
        <w:rPr>
          <w:rFonts w:hint="eastAsia"/>
          <w:color w:val="000000"/>
          <w:u w:val="single"/>
        </w:rPr>
        <w:t>-N、总磷作为预测因子。</w:t>
      </w:r>
    </w:p>
    <w:p>
      <w:pPr>
        <w:pStyle w:val="38"/>
      </w:pPr>
      <w:bookmarkStart w:id="73" w:name="_Toc32497"/>
      <w:r>
        <w:rPr>
          <w:rFonts w:hint="eastAsia"/>
        </w:rPr>
        <w:t>6</w:t>
      </w:r>
      <w:r>
        <w:t>.1.2</w:t>
      </w:r>
      <w:r>
        <w:rPr>
          <w:rFonts w:hint="eastAsia"/>
        </w:rPr>
        <w:t>水质预测方法</w:t>
      </w:r>
      <w:bookmarkEnd w:id="73"/>
    </w:p>
    <w:p>
      <w:pPr>
        <w:pStyle w:val="30"/>
        <w:ind w:firstLine="480"/>
        <w:rPr>
          <w:color w:val="000000"/>
        </w:rPr>
      </w:pPr>
      <w:r>
        <w:rPr>
          <w:rFonts w:hint="eastAsia"/>
          <w:color w:val="000000"/>
        </w:rPr>
        <w:t xml:space="preserve">由于东侧沟渠枯水期上游基本无来水，因此本次预测项目排水对白河的影响，根据项目污染物排放特点以及白河的自然特征，根据环境影响评价技术导则 地表水环境》（HJ2.3-2018）附录 E 中推荐的估算模式，采用纵向一维水动力数学模型，对本项目正常和事故两种情况下排放的 COD、NH3-N、总磷对白河水环境造成的影响进行预测。 </w:t>
      </w:r>
    </w:p>
    <w:p>
      <w:pPr>
        <w:pStyle w:val="30"/>
        <w:ind w:firstLine="480"/>
        <w:rPr>
          <w:color w:val="000000"/>
        </w:rPr>
      </w:pPr>
      <w:r>
        <w:rPr>
          <w:rFonts w:hint="eastAsia"/>
          <w:color w:val="000000"/>
        </w:rPr>
        <w:t>根据河流纵向一维水质模型方程的简化、分类判别条件（即：</w:t>
      </w:r>
      <w:r>
        <w:rPr>
          <w:color w:val="000000"/>
        </w:rPr>
        <w:t>O</w:t>
      </w:r>
      <w:r>
        <w:rPr>
          <w:rFonts w:hint="eastAsia"/>
          <w:color w:val="000000"/>
        </w:rPr>
        <w:t>，</w:t>
      </w:r>
      <w:r>
        <w:rPr>
          <w:color w:val="000000"/>
        </w:rPr>
        <w:t xml:space="preserve">Connor </w:t>
      </w:r>
      <w:r>
        <w:rPr>
          <w:rFonts w:hint="eastAsia"/>
          <w:color w:val="000000"/>
        </w:rPr>
        <w:t xml:space="preserve">数 </w:t>
      </w:r>
      <w:r>
        <w:rPr>
          <w:color w:val="000000"/>
        </w:rPr>
        <w:t xml:space="preserve">α </w:t>
      </w:r>
      <w:r>
        <w:rPr>
          <w:rFonts w:hint="eastAsia"/>
          <w:color w:val="000000"/>
        </w:rPr>
        <w:t xml:space="preserve">和贝克来数 </w:t>
      </w:r>
      <w:r>
        <w:rPr>
          <w:color w:val="000000"/>
        </w:rPr>
        <w:t xml:space="preserve">Pe </w:t>
      </w:r>
      <w:r>
        <w:rPr>
          <w:rFonts w:hint="eastAsia"/>
          <w:color w:val="000000"/>
        </w:rPr>
        <w:t>的临界值），选择相应的解析解公式。</w:t>
      </w:r>
    </w:p>
    <w:p>
      <w:pPr>
        <w:widowControl/>
        <w:jc w:val="center"/>
      </w:pPr>
      <w:r>
        <w:drawing>
          <wp:inline distT="0" distB="0" distL="114300" distR="114300">
            <wp:extent cx="3231515" cy="1207135"/>
            <wp:effectExtent l="0" t="0" r="6985" b="1206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8"/>
                    <a:stretch>
                      <a:fillRect/>
                    </a:stretch>
                  </pic:blipFill>
                  <pic:spPr>
                    <a:xfrm>
                      <a:off x="0" y="0"/>
                      <a:ext cx="3231515" cy="1207135"/>
                    </a:xfrm>
                    <a:prstGeom prst="rect">
                      <a:avLst/>
                    </a:prstGeom>
                    <a:noFill/>
                    <a:ln>
                      <a:noFill/>
                    </a:ln>
                  </pic:spPr>
                </pic:pic>
              </a:graphicData>
            </a:graphic>
          </wp:inline>
        </w:drawing>
      </w:r>
    </w:p>
    <w:p>
      <w:pPr>
        <w:pStyle w:val="30"/>
        <w:ind w:firstLine="480"/>
        <w:rPr>
          <w:color w:val="000000"/>
        </w:rPr>
      </w:pPr>
      <w:r>
        <w:rPr>
          <w:rFonts w:hint="eastAsia"/>
          <w:color w:val="000000"/>
        </w:rPr>
        <w:t>式中：</w:t>
      </w:r>
      <w:r>
        <w:rPr>
          <w:color w:val="000000"/>
        </w:rPr>
        <w:t xml:space="preserve">a——O’Connor </w:t>
      </w:r>
      <w:r>
        <w:rPr>
          <w:rFonts w:hint="eastAsia"/>
          <w:color w:val="000000"/>
        </w:rPr>
        <w:t>数，量纲为</w:t>
      </w:r>
      <w:r>
        <w:rPr>
          <w:color w:val="000000"/>
        </w:rPr>
        <w:t>1</w:t>
      </w:r>
      <w:r>
        <w:rPr>
          <w:rFonts w:hint="eastAsia"/>
          <w:color w:val="000000"/>
        </w:rPr>
        <w:t xml:space="preserve">，表征物质离散降解通量与移流通量比值； </w:t>
      </w:r>
    </w:p>
    <w:p>
      <w:pPr>
        <w:pStyle w:val="30"/>
        <w:ind w:firstLine="480"/>
        <w:rPr>
          <w:color w:val="000000"/>
        </w:rPr>
      </w:pPr>
      <w:r>
        <w:rPr>
          <w:color w:val="000000"/>
        </w:rPr>
        <w:t>Pe——</w:t>
      </w:r>
      <w:r>
        <w:rPr>
          <w:rFonts w:hint="eastAsia"/>
          <w:color w:val="000000"/>
        </w:rPr>
        <w:t>贝克莱数，量纲为</w:t>
      </w:r>
      <w:r>
        <w:rPr>
          <w:color w:val="000000"/>
        </w:rPr>
        <w:t>1</w:t>
      </w:r>
      <w:r>
        <w:rPr>
          <w:rFonts w:hint="eastAsia"/>
          <w:color w:val="000000"/>
        </w:rPr>
        <w:t xml:space="preserve">，表征物质移流量与离散量比值； </w:t>
      </w:r>
    </w:p>
    <w:p>
      <w:pPr>
        <w:pStyle w:val="30"/>
        <w:ind w:firstLine="480"/>
        <w:rPr>
          <w:color w:val="000000"/>
        </w:rPr>
      </w:pPr>
      <w:r>
        <w:rPr>
          <w:color w:val="000000"/>
        </w:rPr>
        <w:t>k——</w:t>
      </w:r>
      <w:r>
        <w:rPr>
          <w:rFonts w:hint="eastAsia"/>
          <w:color w:val="000000"/>
        </w:rPr>
        <w:t>污染物综合衰减系数，</w:t>
      </w:r>
      <w:r>
        <w:rPr>
          <w:color w:val="000000"/>
        </w:rPr>
        <w:t>1/s</w:t>
      </w:r>
      <w:r>
        <w:rPr>
          <w:rFonts w:hint="eastAsia"/>
          <w:color w:val="000000"/>
        </w:rPr>
        <w:t xml:space="preserve">； </w:t>
      </w:r>
    </w:p>
    <w:p>
      <w:pPr>
        <w:pStyle w:val="30"/>
        <w:ind w:firstLine="480"/>
        <w:rPr>
          <w:color w:val="000000"/>
        </w:rPr>
      </w:pPr>
      <w:r>
        <w:rPr>
          <w:color w:val="000000"/>
        </w:rPr>
        <w:t>Ex——</w:t>
      </w:r>
      <w:r>
        <w:rPr>
          <w:rFonts w:hint="eastAsia"/>
          <w:color w:val="000000"/>
        </w:rPr>
        <w:t>污染物纵向扩散系数，</w:t>
      </w:r>
      <w:r>
        <w:rPr>
          <w:color w:val="000000"/>
        </w:rPr>
        <w:t>m</w:t>
      </w:r>
      <w:r>
        <w:rPr>
          <w:color w:val="000000"/>
          <w:vertAlign w:val="superscript"/>
        </w:rPr>
        <w:t>2</w:t>
      </w:r>
      <w:r>
        <w:rPr>
          <w:color w:val="000000"/>
        </w:rPr>
        <w:t xml:space="preserve"> /s</w:t>
      </w:r>
      <w:r>
        <w:rPr>
          <w:rFonts w:hint="eastAsia"/>
          <w:color w:val="000000"/>
        </w:rPr>
        <w:t xml:space="preserve">； </w:t>
      </w:r>
    </w:p>
    <w:p>
      <w:pPr>
        <w:pStyle w:val="30"/>
        <w:ind w:firstLine="480"/>
        <w:rPr>
          <w:color w:val="000000"/>
        </w:rPr>
      </w:pPr>
      <w:r>
        <w:rPr>
          <w:color w:val="000000"/>
        </w:rPr>
        <w:t>u——</w:t>
      </w:r>
      <w:r>
        <w:rPr>
          <w:rFonts w:hint="eastAsia"/>
          <w:color w:val="000000"/>
        </w:rPr>
        <w:t>断面流速，</w:t>
      </w:r>
      <w:r>
        <w:rPr>
          <w:color w:val="000000"/>
        </w:rPr>
        <w:t>m/s</w:t>
      </w:r>
      <w:r>
        <w:rPr>
          <w:rFonts w:hint="eastAsia"/>
          <w:color w:val="000000"/>
        </w:rPr>
        <w:t xml:space="preserve">； </w:t>
      </w:r>
    </w:p>
    <w:p>
      <w:pPr>
        <w:pStyle w:val="30"/>
        <w:ind w:firstLine="480"/>
        <w:rPr>
          <w:color w:val="000000"/>
        </w:rPr>
      </w:pPr>
      <w:r>
        <w:rPr>
          <w:color w:val="000000"/>
        </w:rPr>
        <w:t>B——</w:t>
      </w:r>
      <w:r>
        <w:rPr>
          <w:rFonts w:hint="eastAsia"/>
          <w:color w:val="000000"/>
        </w:rPr>
        <w:t>水面宽度，</w:t>
      </w:r>
      <w:r>
        <w:rPr>
          <w:color w:val="000000"/>
        </w:rPr>
        <w:t>m</w:t>
      </w:r>
      <w:r>
        <w:rPr>
          <w:rFonts w:hint="eastAsia"/>
          <w:color w:val="000000"/>
        </w:rPr>
        <w:t>。</w:t>
      </w:r>
    </w:p>
    <w:p>
      <w:pPr>
        <w:pStyle w:val="30"/>
        <w:ind w:firstLine="480"/>
        <w:rPr>
          <w:color w:val="000000"/>
        </w:rPr>
      </w:pPr>
      <w:r>
        <w:rPr>
          <w:rFonts w:hint="eastAsia"/>
          <w:color w:val="000000"/>
        </w:rPr>
        <w:t xml:space="preserve">根据上式计算得到 本项目COD、氨氮、总磷均适用对流降解模型。 </w:t>
      </w:r>
    </w:p>
    <w:p>
      <w:pPr>
        <w:pStyle w:val="30"/>
        <w:ind w:firstLine="480"/>
        <w:rPr>
          <w:color w:val="000000"/>
        </w:rPr>
      </w:pPr>
      <w:r>
        <w:rPr>
          <w:rFonts w:hint="eastAsia"/>
          <w:color w:val="000000"/>
        </w:rPr>
        <w:t>本项目一维水质预测模式为：</w:t>
      </w:r>
    </w:p>
    <w:p>
      <w:pPr>
        <w:pStyle w:val="30"/>
        <w:ind w:firstLine="480"/>
        <w:jc w:val="center"/>
      </w:pPr>
      <w:r>
        <w:drawing>
          <wp:inline distT="0" distB="0" distL="114300" distR="114300">
            <wp:extent cx="1849755" cy="520065"/>
            <wp:effectExtent l="0" t="0" r="17145" b="133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9"/>
                    <a:stretch>
                      <a:fillRect/>
                    </a:stretch>
                  </pic:blipFill>
                  <pic:spPr>
                    <a:xfrm>
                      <a:off x="0" y="0"/>
                      <a:ext cx="1849755" cy="520065"/>
                    </a:xfrm>
                    <a:prstGeom prst="rect">
                      <a:avLst/>
                    </a:prstGeom>
                    <a:noFill/>
                    <a:ln>
                      <a:noFill/>
                    </a:ln>
                  </pic:spPr>
                </pic:pic>
              </a:graphicData>
            </a:graphic>
          </wp:inline>
        </w:drawing>
      </w:r>
    </w:p>
    <w:p>
      <w:pPr>
        <w:pStyle w:val="30"/>
        <w:ind w:firstLine="480"/>
        <w:jc w:val="left"/>
        <w:rPr>
          <w:szCs w:val="24"/>
        </w:rPr>
      </w:pPr>
      <w:r>
        <w:rPr>
          <w:rFonts w:hint="eastAsia"/>
          <w:szCs w:val="24"/>
        </w:rPr>
        <w:t>完全混合模式为：</w:t>
      </w:r>
    </w:p>
    <w:p>
      <w:pPr>
        <w:pStyle w:val="30"/>
        <w:ind w:firstLine="480"/>
        <w:jc w:val="center"/>
      </w:pPr>
      <w:r>
        <w:drawing>
          <wp:inline distT="0" distB="0" distL="114300" distR="114300">
            <wp:extent cx="2591435" cy="568960"/>
            <wp:effectExtent l="0" t="0" r="18415" b="254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0"/>
                    <a:stretch>
                      <a:fillRect/>
                    </a:stretch>
                  </pic:blipFill>
                  <pic:spPr>
                    <a:xfrm>
                      <a:off x="0" y="0"/>
                      <a:ext cx="2591435" cy="568960"/>
                    </a:xfrm>
                    <a:prstGeom prst="rect">
                      <a:avLst/>
                    </a:prstGeom>
                    <a:noFill/>
                    <a:ln>
                      <a:noFill/>
                    </a:ln>
                  </pic:spPr>
                </pic:pic>
              </a:graphicData>
            </a:graphic>
          </wp:inline>
        </w:drawing>
      </w:r>
    </w:p>
    <w:p>
      <w:pPr>
        <w:pStyle w:val="30"/>
        <w:ind w:firstLine="480"/>
      </w:pPr>
      <w:r>
        <w:rPr>
          <w:rFonts w:hint="eastAsia"/>
        </w:rPr>
        <w:t>式中：C</w:t>
      </w:r>
      <w:r>
        <w:rPr>
          <w:rFonts w:hint="eastAsia"/>
          <w:vertAlign w:val="subscript"/>
        </w:rPr>
        <w:t>1</w:t>
      </w:r>
      <w:r>
        <w:rPr>
          <w:rFonts w:hint="eastAsia"/>
        </w:rPr>
        <w:t>：污染物在河道中，经衰减后不同断面的浓度mg/L；</w:t>
      </w:r>
    </w:p>
    <w:p>
      <w:pPr>
        <w:pStyle w:val="30"/>
        <w:ind w:firstLine="480"/>
      </w:pPr>
      <w:r>
        <w:rPr>
          <w:rFonts w:hint="eastAsia"/>
        </w:rPr>
        <w:t>C</w:t>
      </w:r>
      <w:r>
        <w:rPr>
          <w:rFonts w:hint="eastAsia"/>
          <w:vertAlign w:val="subscript"/>
        </w:rPr>
        <w:t>0</w:t>
      </w:r>
      <w:r>
        <w:rPr>
          <w:rFonts w:hint="eastAsia"/>
        </w:rPr>
        <w:t>：混合后污染物排放浓度mg/L；</w:t>
      </w:r>
    </w:p>
    <w:p>
      <w:pPr>
        <w:pStyle w:val="30"/>
        <w:ind w:firstLine="480"/>
      </w:pPr>
      <w:r>
        <w:rPr>
          <w:rFonts w:hint="eastAsia"/>
        </w:rPr>
        <w:t>k：污染物衰减系数1/s；</w:t>
      </w:r>
    </w:p>
    <w:p>
      <w:pPr>
        <w:pStyle w:val="30"/>
        <w:ind w:firstLine="480"/>
      </w:pPr>
      <w:r>
        <w:rPr>
          <w:rFonts w:hint="eastAsia"/>
        </w:rPr>
        <w:t>x：距离m；</w:t>
      </w:r>
    </w:p>
    <w:p>
      <w:pPr>
        <w:pStyle w:val="30"/>
        <w:ind w:firstLine="480"/>
      </w:pPr>
      <w:r>
        <w:rPr>
          <w:rFonts w:hint="eastAsia"/>
        </w:rPr>
        <w:t>μ：平均流速m/s；</w:t>
      </w:r>
    </w:p>
    <w:p>
      <w:pPr>
        <w:pStyle w:val="30"/>
        <w:ind w:firstLine="480"/>
      </w:pPr>
      <w:r>
        <w:rPr>
          <w:rFonts w:hint="eastAsia"/>
        </w:rPr>
        <w:t>Cp：污水排放浓度，mg/L；</w:t>
      </w:r>
    </w:p>
    <w:p>
      <w:pPr>
        <w:pStyle w:val="30"/>
        <w:ind w:firstLine="480"/>
      </w:pPr>
      <w:r>
        <w:rPr>
          <w:rFonts w:hint="eastAsia"/>
        </w:rPr>
        <w:t>Qp：污水排放流量，m</w:t>
      </w:r>
      <w:r>
        <w:rPr>
          <w:rFonts w:hint="eastAsia"/>
          <w:vertAlign w:val="superscript"/>
        </w:rPr>
        <w:t>3</w:t>
      </w:r>
      <w:r>
        <w:rPr>
          <w:rFonts w:hint="eastAsia"/>
        </w:rPr>
        <w:t>/s；</w:t>
      </w:r>
    </w:p>
    <w:p>
      <w:pPr>
        <w:pStyle w:val="30"/>
        <w:ind w:firstLine="480"/>
      </w:pPr>
      <w:r>
        <w:rPr>
          <w:rFonts w:hint="eastAsia"/>
        </w:rPr>
        <w:t>C</w:t>
      </w:r>
      <w:r>
        <w:rPr>
          <w:rFonts w:hint="eastAsia"/>
          <w:vertAlign w:val="subscript"/>
        </w:rPr>
        <w:t>h</w:t>
      </w:r>
      <w:r>
        <w:rPr>
          <w:rFonts w:hint="eastAsia"/>
        </w:rPr>
        <w:t>：河水污染物浓度，mg/L；</w:t>
      </w:r>
    </w:p>
    <w:p>
      <w:pPr>
        <w:pStyle w:val="30"/>
        <w:ind w:firstLine="480"/>
      </w:pPr>
      <w:r>
        <w:rPr>
          <w:rFonts w:hint="eastAsia"/>
        </w:rPr>
        <w:t>Q</w:t>
      </w:r>
      <w:r>
        <w:rPr>
          <w:rFonts w:hint="eastAsia"/>
          <w:vertAlign w:val="subscript"/>
        </w:rPr>
        <w:t>h</w:t>
      </w:r>
      <w:r>
        <w:rPr>
          <w:rFonts w:hint="eastAsia"/>
        </w:rPr>
        <w:t>：河水流量，m</w:t>
      </w:r>
      <w:r>
        <w:rPr>
          <w:rFonts w:hint="eastAsia"/>
          <w:vertAlign w:val="superscript"/>
        </w:rPr>
        <w:t>3</w:t>
      </w:r>
      <w:r>
        <w:rPr>
          <w:rFonts w:hint="eastAsia"/>
        </w:rPr>
        <w:t>/s。</w:t>
      </w:r>
    </w:p>
    <w:p>
      <w:pPr>
        <w:pStyle w:val="38"/>
      </w:pPr>
      <w:bookmarkStart w:id="74" w:name="_Toc26072"/>
      <w:r>
        <w:rPr>
          <w:rFonts w:hint="eastAsia"/>
        </w:rPr>
        <w:t>6</w:t>
      </w:r>
      <w:r>
        <w:t>.1.3</w:t>
      </w:r>
      <w:r>
        <w:rPr>
          <w:rFonts w:hint="eastAsia"/>
        </w:rPr>
        <w:t>预测参数的确定</w:t>
      </w:r>
      <w:bookmarkEnd w:id="74"/>
    </w:p>
    <w:p>
      <w:pPr>
        <w:pStyle w:val="30"/>
        <w:ind w:firstLine="480"/>
        <w:rPr>
          <w:u w:val="single"/>
        </w:rPr>
      </w:pPr>
      <w:r>
        <w:rPr>
          <w:rFonts w:hint="eastAsia"/>
          <w:u w:val="single"/>
        </w:rPr>
        <w:t>①水文参数：参考本项目环评，同时经过现场实际测量河宽，流速等进行验证，得出白河水文参数如下：</w:t>
      </w:r>
    </w:p>
    <w:p>
      <w:pPr>
        <w:pStyle w:val="41"/>
        <w:rPr>
          <w:u w:val="single"/>
        </w:rPr>
      </w:pPr>
      <w:r>
        <w:rPr>
          <w:rFonts w:hint="eastAsia"/>
          <w:u w:val="single"/>
        </w:rPr>
        <w:t>表</w:t>
      </w:r>
      <w:r>
        <w:rPr>
          <w:u w:val="single"/>
        </w:rPr>
        <w:t>6.1-1</w:t>
      </w:r>
      <w:r>
        <w:rPr>
          <w:rFonts w:hint="eastAsia"/>
          <w:u w:val="single"/>
        </w:rPr>
        <w:t xml:space="preserve">   白河枯水期水文参数表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1529"/>
        <w:gridCol w:w="1304"/>
        <w:gridCol w:w="1754"/>
        <w:gridCol w:w="1902"/>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1" w:type="pct"/>
            <w:vAlign w:val="center"/>
          </w:tcPr>
          <w:p>
            <w:pPr>
              <w:pStyle w:val="43"/>
            </w:pPr>
            <w:r>
              <w:rPr>
                <w:rFonts w:hint="eastAsia"/>
              </w:rPr>
              <w:t>水期</w:t>
            </w:r>
          </w:p>
        </w:tc>
        <w:tc>
          <w:tcPr>
            <w:tcW w:w="897" w:type="pct"/>
            <w:vAlign w:val="center"/>
          </w:tcPr>
          <w:p>
            <w:pPr>
              <w:pStyle w:val="43"/>
            </w:pPr>
            <w:r>
              <w:rPr>
                <w:rFonts w:hint="eastAsia"/>
              </w:rPr>
              <w:t>流量（m</w:t>
            </w:r>
            <w:r>
              <w:rPr>
                <w:rFonts w:hint="eastAsia"/>
                <w:vertAlign w:val="superscript"/>
              </w:rPr>
              <w:t>3</w:t>
            </w:r>
            <w:r>
              <w:rPr>
                <w:rFonts w:hint="eastAsia"/>
              </w:rPr>
              <w:t>/s）</w:t>
            </w:r>
          </w:p>
        </w:tc>
        <w:tc>
          <w:tcPr>
            <w:tcW w:w="765" w:type="pct"/>
            <w:vAlign w:val="center"/>
          </w:tcPr>
          <w:p>
            <w:pPr>
              <w:pStyle w:val="43"/>
            </w:pPr>
            <w:r>
              <w:rPr>
                <w:rFonts w:hint="eastAsia"/>
              </w:rPr>
              <w:t>河宽（m）</w:t>
            </w:r>
          </w:p>
        </w:tc>
        <w:tc>
          <w:tcPr>
            <w:tcW w:w="1029" w:type="pct"/>
            <w:vAlign w:val="center"/>
          </w:tcPr>
          <w:p>
            <w:pPr>
              <w:pStyle w:val="43"/>
            </w:pPr>
            <w:r>
              <w:rPr>
                <w:rFonts w:hint="eastAsia"/>
              </w:rPr>
              <w:t>平均水深（m）</w:t>
            </w:r>
          </w:p>
        </w:tc>
        <w:tc>
          <w:tcPr>
            <w:tcW w:w="1116" w:type="pct"/>
            <w:vAlign w:val="center"/>
          </w:tcPr>
          <w:p>
            <w:pPr>
              <w:pStyle w:val="43"/>
            </w:pPr>
            <w:r>
              <w:rPr>
                <w:rFonts w:hint="eastAsia"/>
              </w:rPr>
              <w:t>平均流速（m/s）</w:t>
            </w:r>
          </w:p>
        </w:tc>
        <w:tc>
          <w:tcPr>
            <w:tcW w:w="662" w:type="pct"/>
            <w:vAlign w:val="center"/>
          </w:tcPr>
          <w:p>
            <w:pPr>
              <w:pStyle w:val="43"/>
            </w:pPr>
            <w:r>
              <w:rPr>
                <w:rFonts w:hint="eastAsia"/>
              </w:rPr>
              <w:t>河底坡降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1" w:type="pct"/>
            <w:vAlign w:val="center"/>
          </w:tcPr>
          <w:p>
            <w:pPr>
              <w:pStyle w:val="43"/>
            </w:pPr>
            <w:r>
              <w:rPr>
                <w:rFonts w:hint="eastAsia"/>
              </w:rPr>
              <w:t>枯水期</w:t>
            </w:r>
          </w:p>
        </w:tc>
        <w:tc>
          <w:tcPr>
            <w:tcW w:w="897" w:type="pct"/>
            <w:vAlign w:val="center"/>
          </w:tcPr>
          <w:p>
            <w:pPr>
              <w:pStyle w:val="43"/>
              <w:rPr>
                <w:highlight w:val="green"/>
              </w:rPr>
            </w:pPr>
            <w:r>
              <w:rPr>
                <w:rFonts w:hint="eastAsia"/>
              </w:rPr>
              <w:t>9.37</w:t>
            </w:r>
          </w:p>
        </w:tc>
        <w:tc>
          <w:tcPr>
            <w:tcW w:w="765" w:type="pct"/>
            <w:vAlign w:val="center"/>
          </w:tcPr>
          <w:p>
            <w:pPr>
              <w:pStyle w:val="43"/>
              <w:rPr>
                <w:highlight w:val="green"/>
              </w:rPr>
            </w:pPr>
            <w:r>
              <w:rPr>
                <w:rFonts w:hint="eastAsia"/>
              </w:rPr>
              <w:t>30-60</w:t>
            </w:r>
          </w:p>
        </w:tc>
        <w:tc>
          <w:tcPr>
            <w:tcW w:w="1029" w:type="pct"/>
            <w:vAlign w:val="center"/>
          </w:tcPr>
          <w:p>
            <w:pPr>
              <w:pStyle w:val="43"/>
              <w:rPr>
                <w:highlight w:val="green"/>
              </w:rPr>
            </w:pPr>
            <w:r>
              <w:rPr>
                <w:rFonts w:hint="eastAsia"/>
              </w:rPr>
              <w:t>1.74</w:t>
            </w:r>
          </w:p>
        </w:tc>
        <w:tc>
          <w:tcPr>
            <w:tcW w:w="1116" w:type="pct"/>
            <w:vAlign w:val="center"/>
          </w:tcPr>
          <w:p>
            <w:pPr>
              <w:pStyle w:val="43"/>
            </w:pPr>
            <w:r>
              <w:rPr>
                <w:rFonts w:hint="eastAsia"/>
              </w:rPr>
              <w:t>0.16</w:t>
            </w:r>
          </w:p>
        </w:tc>
        <w:tc>
          <w:tcPr>
            <w:tcW w:w="662" w:type="pct"/>
            <w:vAlign w:val="center"/>
          </w:tcPr>
          <w:p>
            <w:pPr>
              <w:pStyle w:val="43"/>
            </w:pPr>
            <w:r>
              <w:rPr>
                <w:rFonts w:hint="eastAsia"/>
              </w:rPr>
              <w:t>1.75‰</w:t>
            </w:r>
          </w:p>
        </w:tc>
      </w:tr>
    </w:tbl>
    <w:p>
      <w:pPr>
        <w:pStyle w:val="30"/>
        <w:ind w:firstLine="480"/>
      </w:pPr>
      <w:r>
        <w:rPr>
          <w:rFonts w:hint="eastAsia"/>
        </w:rPr>
        <w:t>②降解系数k的确定</w:t>
      </w:r>
    </w:p>
    <w:p>
      <w:pPr>
        <w:pStyle w:val="30"/>
        <w:ind w:firstLine="480"/>
      </w:pPr>
      <w:r>
        <w:rPr>
          <w:rFonts w:hint="eastAsia"/>
        </w:rPr>
        <w:t>查阅《全国地表水水环境容量核定技术复核要点》（中国环境规划院，2004年），COD和氨氮水质降解系数参考值见表</w:t>
      </w:r>
      <w:r>
        <w:t>6.1-2</w:t>
      </w:r>
      <w:r>
        <w:rPr>
          <w:rFonts w:hint="eastAsia"/>
        </w:rPr>
        <w:t>。</w:t>
      </w:r>
    </w:p>
    <w:p>
      <w:pPr>
        <w:pStyle w:val="41"/>
      </w:pPr>
      <w:r>
        <w:rPr>
          <w:rFonts w:hint="eastAsia"/>
        </w:rPr>
        <w:t>表</w:t>
      </w:r>
      <w:r>
        <w:t>6.1-2</w:t>
      </w:r>
      <w:r>
        <w:rPr>
          <w:rFonts w:hint="eastAsia"/>
        </w:rPr>
        <w:t xml:space="preserve">  水质降解系数参考值表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1420"/>
        <w:gridCol w:w="1420"/>
        <w:gridCol w:w="1420"/>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Merge w:val="restart"/>
            <w:vAlign w:val="center"/>
          </w:tcPr>
          <w:p>
            <w:pPr>
              <w:pStyle w:val="43"/>
            </w:pPr>
            <w:r>
              <w:rPr>
                <w:rFonts w:hint="eastAsia"/>
              </w:rPr>
              <w:t>水质及水生生态环境状况</w:t>
            </w:r>
          </w:p>
        </w:tc>
        <w:tc>
          <w:tcPr>
            <w:tcW w:w="3333" w:type="pct"/>
            <w:gridSpan w:val="4"/>
            <w:vAlign w:val="center"/>
          </w:tcPr>
          <w:p>
            <w:pPr>
              <w:pStyle w:val="43"/>
            </w:pPr>
            <w:r>
              <w:rPr>
                <w:rFonts w:hint="eastAsia"/>
              </w:rPr>
              <w:t>水质降解系数/d</w:t>
            </w:r>
            <w:r>
              <w:rPr>
                <w:rFonts w:hint="eastAsia"/>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Merge w:val="continue"/>
            <w:vAlign w:val="center"/>
          </w:tcPr>
          <w:p>
            <w:pPr>
              <w:pStyle w:val="43"/>
            </w:pPr>
          </w:p>
        </w:tc>
        <w:tc>
          <w:tcPr>
            <w:tcW w:w="1666" w:type="pct"/>
            <w:gridSpan w:val="2"/>
            <w:vAlign w:val="center"/>
          </w:tcPr>
          <w:p>
            <w:pPr>
              <w:pStyle w:val="43"/>
            </w:pPr>
            <w:r>
              <w:rPr>
                <w:rFonts w:hint="eastAsia"/>
              </w:rPr>
              <w:t>COD</w:t>
            </w:r>
          </w:p>
        </w:tc>
        <w:tc>
          <w:tcPr>
            <w:tcW w:w="1668" w:type="pct"/>
            <w:gridSpan w:val="2"/>
            <w:vAlign w:val="center"/>
          </w:tcPr>
          <w:p>
            <w:pPr>
              <w:pStyle w:val="43"/>
            </w:pPr>
            <w:r>
              <w:rPr>
                <w:rFonts w:hint="eastAsia"/>
              </w:rPr>
              <w:t>NH</w:t>
            </w:r>
            <w:r>
              <w:rPr>
                <w:rFonts w:hint="eastAsia"/>
                <w:vertAlign w:val="subscript"/>
              </w:rPr>
              <w:t>3</w:t>
            </w:r>
            <w:r>
              <w:rPr>
                <w:rFonts w:hint="eastAsia"/>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Merge w:val="continue"/>
            <w:vAlign w:val="center"/>
          </w:tcPr>
          <w:p>
            <w:pPr>
              <w:pStyle w:val="43"/>
            </w:pPr>
          </w:p>
        </w:tc>
        <w:tc>
          <w:tcPr>
            <w:tcW w:w="833" w:type="pct"/>
            <w:vAlign w:val="center"/>
          </w:tcPr>
          <w:p>
            <w:pPr>
              <w:pStyle w:val="43"/>
            </w:pPr>
            <w:r>
              <w:rPr>
                <w:rFonts w:hint="eastAsia"/>
              </w:rPr>
              <w:t>一般河流</w:t>
            </w:r>
          </w:p>
        </w:tc>
        <w:tc>
          <w:tcPr>
            <w:tcW w:w="833" w:type="pct"/>
            <w:vAlign w:val="center"/>
          </w:tcPr>
          <w:p>
            <w:pPr>
              <w:pStyle w:val="43"/>
            </w:pPr>
            <w:r>
              <w:rPr>
                <w:rFonts w:hint="eastAsia"/>
              </w:rPr>
              <w:t>湖泊水库</w:t>
            </w:r>
          </w:p>
        </w:tc>
        <w:tc>
          <w:tcPr>
            <w:tcW w:w="833" w:type="pct"/>
            <w:vAlign w:val="center"/>
          </w:tcPr>
          <w:p>
            <w:pPr>
              <w:pStyle w:val="43"/>
            </w:pPr>
            <w:r>
              <w:rPr>
                <w:rFonts w:hint="eastAsia"/>
              </w:rPr>
              <w:t>一般河流</w:t>
            </w:r>
          </w:p>
        </w:tc>
        <w:tc>
          <w:tcPr>
            <w:tcW w:w="835" w:type="pct"/>
            <w:vAlign w:val="center"/>
          </w:tcPr>
          <w:p>
            <w:pPr>
              <w:pStyle w:val="43"/>
            </w:pPr>
            <w:r>
              <w:rPr>
                <w:rFonts w:hint="eastAsia"/>
              </w:rPr>
              <w:t>湖泊水库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Align w:val="center"/>
          </w:tcPr>
          <w:p>
            <w:pPr>
              <w:pStyle w:val="43"/>
            </w:pPr>
            <w:r>
              <w:rPr>
                <w:rFonts w:hint="eastAsia"/>
              </w:rPr>
              <w:t>优（相应水质Ⅱ-Ⅲ）</w:t>
            </w:r>
          </w:p>
        </w:tc>
        <w:tc>
          <w:tcPr>
            <w:tcW w:w="833" w:type="pct"/>
            <w:vAlign w:val="center"/>
          </w:tcPr>
          <w:p>
            <w:pPr>
              <w:pStyle w:val="43"/>
            </w:pPr>
            <w:r>
              <w:rPr>
                <w:rFonts w:hint="eastAsia"/>
              </w:rPr>
              <w:t>0.18~0.25</w:t>
            </w:r>
          </w:p>
        </w:tc>
        <w:tc>
          <w:tcPr>
            <w:tcW w:w="833" w:type="pct"/>
            <w:vAlign w:val="center"/>
          </w:tcPr>
          <w:p>
            <w:pPr>
              <w:pStyle w:val="43"/>
            </w:pPr>
            <w:r>
              <w:rPr>
                <w:rFonts w:hint="eastAsia"/>
              </w:rPr>
              <w:t>0.06~0.10</w:t>
            </w:r>
          </w:p>
        </w:tc>
        <w:tc>
          <w:tcPr>
            <w:tcW w:w="833" w:type="pct"/>
            <w:vAlign w:val="center"/>
          </w:tcPr>
          <w:p>
            <w:pPr>
              <w:pStyle w:val="43"/>
            </w:pPr>
            <w:r>
              <w:rPr>
                <w:rFonts w:hint="eastAsia"/>
              </w:rPr>
              <w:t>0.15~0.20</w:t>
            </w:r>
          </w:p>
        </w:tc>
        <w:tc>
          <w:tcPr>
            <w:tcW w:w="835" w:type="pct"/>
            <w:vAlign w:val="center"/>
          </w:tcPr>
          <w:p>
            <w:pPr>
              <w:pStyle w:val="43"/>
            </w:pPr>
            <w:r>
              <w:rPr>
                <w:rFonts w:hint="eastAsia"/>
              </w:rPr>
              <w:t>0.06~0.10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Align w:val="center"/>
          </w:tcPr>
          <w:p>
            <w:pPr>
              <w:pStyle w:val="43"/>
            </w:pPr>
            <w:r>
              <w:rPr>
                <w:rFonts w:hint="eastAsia"/>
              </w:rPr>
              <w:t>中（相应水质Ⅲ-Ⅳ）</w:t>
            </w:r>
          </w:p>
        </w:tc>
        <w:tc>
          <w:tcPr>
            <w:tcW w:w="833" w:type="pct"/>
            <w:vAlign w:val="center"/>
          </w:tcPr>
          <w:p>
            <w:pPr>
              <w:pStyle w:val="43"/>
            </w:pPr>
            <w:r>
              <w:rPr>
                <w:rFonts w:hint="eastAsia"/>
              </w:rPr>
              <w:t>0.10~0.18</w:t>
            </w:r>
          </w:p>
        </w:tc>
        <w:tc>
          <w:tcPr>
            <w:tcW w:w="833" w:type="pct"/>
            <w:vAlign w:val="center"/>
          </w:tcPr>
          <w:p>
            <w:pPr>
              <w:pStyle w:val="43"/>
            </w:pPr>
            <w:r>
              <w:rPr>
                <w:rFonts w:hint="eastAsia"/>
              </w:rPr>
              <w:t>0.03~0.06</w:t>
            </w:r>
          </w:p>
        </w:tc>
        <w:tc>
          <w:tcPr>
            <w:tcW w:w="833" w:type="pct"/>
            <w:vAlign w:val="center"/>
          </w:tcPr>
          <w:p>
            <w:pPr>
              <w:pStyle w:val="43"/>
            </w:pPr>
            <w:r>
              <w:rPr>
                <w:rFonts w:hint="eastAsia"/>
              </w:rPr>
              <w:t>0.10~0.15</w:t>
            </w:r>
          </w:p>
        </w:tc>
        <w:tc>
          <w:tcPr>
            <w:tcW w:w="835" w:type="pct"/>
            <w:vAlign w:val="center"/>
          </w:tcPr>
          <w:p>
            <w:pPr>
              <w:pStyle w:val="43"/>
            </w:pPr>
            <w:r>
              <w:rPr>
                <w:rFonts w:hint="eastAsia"/>
              </w:rPr>
              <w:t>0.03~0.06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Align w:val="center"/>
          </w:tcPr>
          <w:p>
            <w:pPr>
              <w:pStyle w:val="43"/>
            </w:pPr>
            <w:r>
              <w:rPr>
                <w:rFonts w:hint="eastAsia"/>
              </w:rPr>
              <w:t>劣（相应水质Ⅴ类或劣Ⅴ类）</w:t>
            </w:r>
          </w:p>
        </w:tc>
        <w:tc>
          <w:tcPr>
            <w:tcW w:w="833" w:type="pct"/>
            <w:vAlign w:val="center"/>
          </w:tcPr>
          <w:p>
            <w:pPr>
              <w:pStyle w:val="43"/>
            </w:pPr>
            <w:r>
              <w:rPr>
                <w:rFonts w:hint="eastAsia"/>
              </w:rPr>
              <w:t>0.05~0.10</w:t>
            </w:r>
          </w:p>
        </w:tc>
        <w:tc>
          <w:tcPr>
            <w:tcW w:w="833" w:type="pct"/>
            <w:vAlign w:val="center"/>
          </w:tcPr>
          <w:p>
            <w:pPr>
              <w:pStyle w:val="43"/>
            </w:pPr>
            <w:r>
              <w:rPr>
                <w:rFonts w:hint="eastAsia"/>
              </w:rPr>
              <w:t>0.01~0.03</w:t>
            </w:r>
          </w:p>
        </w:tc>
        <w:tc>
          <w:tcPr>
            <w:tcW w:w="833" w:type="pct"/>
            <w:vAlign w:val="center"/>
          </w:tcPr>
          <w:p>
            <w:pPr>
              <w:pStyle w:val="43"/>
            </w:pPr>
            <w:r>
              <w:rPr>
                <w:rFonts w:hint="eastAsia"/>
              </w:rPr>
              <w:t>0.05~0.10</w:t>
            </w:r>
          </w:p>
        </w:tc>
        <w:tc>
          <w:tcPr>
            <w:tcW w:w="835" w:type="pct"/>
            <w:vAlign w:val="center"/>
          </w:tcPr>
          <w:p>
            <w:pPr>
              <w:pStyle w:val="43"/>
            </w:pPr>
            <w:r>
              <w:rPr>
                <w:rFonts w:hint="eastAsia"/>
              </w:rPr>
              <w:t>0.01~0.03</w:t>
            </w:r>
          </w:p>
        </w:tc>
      </w:tr>
    </w:tbl>
    <w:p>
      <w:pPr>
        <w:pStyle w:val="30"/>
        <w:ind w:firstLine="480"/>
      </w:pPr>
      <w:r>
        <w:rPr>
          <w:rFonts w:hint="eastAsia"/>
        </w:rPr>
        <w:t>确定本次评价k值为：k</w:t>
      </w:r>
      <w:r>
        <w:rPr>
          <w:rFonts w:hint="eastAsia"/>
          <w:vertAlign w:val="subscript"/>
        </w:rPr>
        <w:t>COD</w:t>
      </w:r>
      <w:r>
        <w:rPr>
          <w:rFonts w:hint="eastAsia"/>
        </w:rPr>
        <w:t>为0.18</w:t>
      </w:r>
      <w:r>
        <w:rPr>
          <w:rFonts w:hint="eastAsia"/>
          <w:sz w:val="21"/>
          <w:szCs w:val="21"/>
        </w:rPr>
        <w:t xml:space="preserve"> d</w:t>
      </w:r>
      <w:r>
        <w:rPr>
          <w:rFonts w:hint="eastAsia"/>
          <w:sz w:val="21"/>
          <w:szCs w:val="21"/>
          <w:vertAlign w:val="superscript"/>
        </w:rPr>
        <w:t>-1</w:t>
      </w:r>
      <w:r>
        <w:rPr>
          <w:rFonts w:hint="eastAsia"/>
        </w:rPr>
        <w:t>、k</w:t>
      </w:r>
      <w:r>
        <w:rPr>
          <w:rFonts w:hint="eastAsia"/>
          <w:vertAlign w:val="subscript"/>
        </w:rPr>
        <w:t>NH3-N</w:t>
      </w:r>
      <w:r>
        <w:rPr>
          <w:rFonts w:hint="eastAsia"/>
        </w:rPr>
        <w:t>为0.15</w:t>
      </w:r>
      <w:r>
        <w:rPr>
          <w:rFonts w:hint="eastAsia"/>
          <w:sz w:val="21"/>
          <w:szCs w:val="21"/>
        </w:rPr>
        <w:t xml:space="preserve"> d</w:t>
      </w:r>
      <w:r>
        <w:rPr>
          <w:rFonts w:hint="eastAsia"/>
          <w:sz w:val="21"/>
          <w:szCs w:val="21"/>
          <w:vertAlign w:val="superscript"/>
        </w:rPr>
        <w:t>-1</w:t>
      </w:r>
      <w:r>
        <w:rPr>
          <w:rFonts w:hint="eastAsia"/>
        </w:rPr>
        <w:t>。</w:t>
      </w:r>
    </w:p>
    <w:p>
      <w:pPr>
        <w:pStyle w:val="30"/>
        <w:ind w:firstLine="480"/>
      </w:pPr>
      <w:r>
        <w:rPr>
          <w:rFonts w:hint="eastAsia"/>
        </w:rPr>
        <w:t>总磷降解系数取0.07</w:t>
      </w:r>
      <w:r>
        <w:rPr>
          <w:rFonts w:hint="eastAsia"/>
          <w:sz w:val="21"/>
          <w:szCs w:val="21"/>
        </w:rPr>
        <w:t xml:space="preserve"> d</w:t>
      </w:r>
      <w:r>
        <w:rPr>
          <w:rFonts w:hint="eastAsia"/>
          <w:sz w:val="21"/>
          <w:szCs w:val="21"/>
          <w:vertAlign w:val="superscript"/>
        </w:rPr>
        <w:t>-1</w:t>
      </w:r>
      <w:r>
        <w:rPr>
          <w:rFonts w:hint="eastAsia"/>
        </w:rPr>
        <w:t>。</w:t>
      </w:r>
    </w:p>
    <w:p>
      <w:pPr>
        <w:pStyle w:val="38"/>
      </w:pPr>
      <w:bookmarkStart w:id="75" w:name="_Toc28609"/>
      <w:r>
        <w:rPr>
          <w:rFonts w:hint="eastAsia"/>
        </w:rPr>
        <w:t>6</w:t>
      </w:r>
      <w:r>
        <w:t>.1.4</w:t>
      </w:r>
      <w:r>
        <w:rPr>
          <w:rFonts w:hint="eastAsia"/>
        </w:rPr>
        <w:t>预测情形及排放源强</w:t>
      </w:r>
      <w:bookmarkEnd w:id="75"/>
    </w:p>
    <w:p>
      <w:pPr>
        <w:pStyle w:val="30"/>
        <w:ind w:firstLine="480"/>
      </w:pPr>
      <w:r>
        <w:rPr>
          <w:rFonts w:hint="eastAsia"/>
        </w:rPr>
        <w:t>本次预测考虑正常排放和事故排放两种预测情景，正常排放是在污水处理站正常运行状态下污染物能达标排放；事故排放是在出现自然灾害，停电或污水处理系统出现故障的状况下，污水处理站不能正常运行，出水水质不达标直接排放的情景。预测时按近期排放规模（200m</w:t>
      </w:r>
      <w:r>
        <w:rPr>
          <w:rFonts w:hint="eastAsia"/>
          <w:vertAlign w:val="superscript"/>
        </w:rPr>
        <w:t>3</w:t>
      </w:r>
      <w:r>
        <w:rPr>
          <w:rFonts w:hint="eastAsia"/>
        </w:rPr>
        <w:t>/d）、远期排放规模（400m</w:t>
      </w:r>
      <w:r>
        <w:rPr>
          <w:rFonts w:hint="eastAsia"/>
          <w:vertAlign w:val="superscript"/>
        </w:rPr>
        <w:t>3</w:t>
      </w:r>
      <w:r>
        <w:rPr>
          <w:rFonts w:hint="eastAsia"/>
        </w:rPr>
        <w:t>/d），正常排放出水水质COD为60mg/L，氨氮为8mg/L，总磷为1mg/L达标排放；事故排放出水水质COD为2</w:t>
      </w:r>
      <w:r>
        <w:t>8</w:t>
      </w:r>
      <w:r>
        <w:rPr>
          <w:rFonts w:hint="eastAsia"/>
        </w:rPr>
        <w:t>0mg/L，氨氮为3</w:t>
      </w:r>
      <w:r>
        <w:t>5</w:t>
      </w:r>
      <w:r>
        <w:rPr>
          <w:rFonts w:hint="eastAsia"/>
        </w:rPr>
        <w:t>mg/L，总磷为3mg/L。根据现状监测结果，排放口上游来水COD的初始浓度C</w:t>
      </w:r>
      <w:r>
        <w:rPr>
          <w:rFonts w:hint="eastAsia"/>
          <w:vertAlign w:val="subscript"/>
        </w:rPr>
        <w:t>0</w:t>
      </w:r>
      <w:r>
        <w:rPr>
          <w:rFonts w:hint="eastAsia"/>
        </w:rPr>
        <w:t>值为14.0mg/L，氨氮初始浓度C</w:t>
      </w:r>
      <w:r>
        <w:rPr>
          <w:rFonts w:hint="eastAsia"/>
          <w:vertAlign w:val="subscript"/>
        </w:rPr>
        <w:t>0</w:t>
      </w:r>
      <w:r>
        <w:rPr>
          <w:rFonts w:hint="eastAsia"/>
        </w:rPr>
        <w:t>值为0.589mg/L，总磷初始浓度C</w:t>
      </w:r>
      <w:r>
        <w:rPr>
          <w:rFonts w:hint="eastAsia"/>
          <w:vertAlign w:val="subscript"/>
        </w:rPr>
        <w:t>0</w:t>
      </w:r>
      <w:r>
        <w:rPr>
          <w:rFonts w:hint="eastAsia"/>
        </w:rPr>
        <w:t>值为0.13mg/L。</w:t>
      </w:r>
    </w:p>
    <w:p>
      <w:pPr>
        <w:pStyle w:val="35"/>
      </w:pPr>
      <w:bookmarkStart w:id="76" w:name="_Toc22362"/>
      <w:r>
        <w:rPr>
          <w:rFonts w:hint="eastAsia"/>
        </w:rPr>
        <w:t>6</w:t>
      </w:r>
      <w:r>
        <w:t>.2</w:t>
      </w:r>
      <w:r>
        <w:rPr>
          <w:rFonts w:hint="eastAsia"/>
        </w:rPr>
        <w:t>对水功能区水质影响分析</w:t>
      </w:r>
      <w:bookmarkEnd w:id="76"/>
    </w:p>
    <w:p>
      <w:pPr>
        <w:pStyle w:val="38"/>
      </w:pPr>
      <w:bookmarkStart w:id="77" w:name="_Toc3330"/>
      <w:r>
        <w:rPr>
          <w:rFonts w:hint="eastAsia"/>
        </w:rPr>
        <w:t>6</w:t>
      </w:r>
      <w:r>
        <w:t>.2.1</w:t>
      </w:r>
      <w:r>
        <w:rPr>
          <w:rFonts w:hint="eastAsia"/>
        </w:rPr>
        <w:t>正常排放情况预测</w:t>
      </w:r>
      <w:bookmarkEnd w:id="77"/>
    </w:p>
    <w:p>
      <w:pPr>
        <w:pStyle w:val="30"/>
        <w:ind w:firstLine="480"/>
        <w:rPr>
          <w:u w:val="single"/>
        </w:rPr>
      </w:pPr>
      <w:r>
        <w:rPr>
          <w:rFonts w:hint="eastAsia"/>
          <w:u w:val="single"/>
        </w:rPr>
        <w:t>在正常排放情况下，鸟江镇污水处理工程排污口下游河段污染物预测结果如下表。</w:t>
      </w:r>
    </w:p>
    <w:p>
      <w:pPr>
        <w:snapToGrid w:val="0"/>
        <w:spacing w:line="360" w:lineRule="auto"/>
        <w:jc w:val="center"/>
        <w:rPr>
          <w:sz w:val="24"/>
          <w:szCs w:val="24"/>
          <w:u w:val="single"/>
        </w:rPr>
      </w:pPr>
      <w:r>
        <w:rPr>
          <w:b/>
          <w:bCs/>
          <w:sz w:val="24"/>
          <w:szCs w:val="24"/>
          <w:u w:val="single"/>
        </w:rPr>
        <w:t>表6.2</w:t>
      </w:r>
      <w:r>
        <w:rPr>
          <w:rFonts w:hint="eastAsia"/>
          <w:b/>
          <w:bCs/>
          <w:sz w:val="24"/>
          <w:szCs w:val="24"/>
          <w:u w:val="single"/>
        </w:rPr>
        <w:t>-</w:t>
      </w:r>
      <w:r>
        <w:rPr>
          <w:b/>
          <w:bCs/>
          <w:sz w:val="24"/>
          <w:szCs w:val="24"/>
          <w:u w:val="single"/>
        </w:rPr>
        <w:t>1</w:t>
      </w:r>
      <w:r>
        <w:rPr>
          <w:rFonts w:hint="eastAsia"/>
          <w:b/>
          <w:bCs/>
          <w:sz w:val="24"/>
          <w:szCs w:val="24"/>
          <w:u w:val="single"/>
        </w:rPr>
        <w:t>近期</w:t>
      </w:r>
      <w:r>
        <w:rPr>
          <w:b/>
          <w:bCs/>
          <w:sz w:val="24"/>
          <w:szCs w:val="24"/>
          <w:u w:val="single"/>
        </w:rPr>
        <w:t>正常排放CODcr、氨氮</w:t>
      </w:r>
      <w:r>
        <w:rPr>
          <w:rFonts w:hint="eastAsia"/>
          <w:b/>
          <w:bCs/>
          <w:sz w:val="24"/>
          <w:szCs w:val="24"/>
          <w:u w:val="single"/>
        </w:rPr>
        <w:t>、总磷</w:t>
      </w:r>
      <w:r>
        <w:rPr>
          <w:b/>
          <w:bCs/>
          <w:sz w:val="24"/>
          <w:szCs w:val="24"/>
          <w:u w:val="single"/>
        </w:rPr>
        <w:t>对下游浓度影响分布（单位：mg/L）</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2129" w:type="dxa"/>
            <w:vAlign w:val="center"/>
          </w:tcPr>
          <w:p>
            <w:pPr>
              <w:jc w:val="center"/>
              <w:rPr>
                <w:bCs/>
                <w:sz w:val="21"/>
                <w:szCs w:val="21"/>
                <w:u w:val="single"/>
              </w:rPr>
            </w:pPr>
            <w:r>
              <w:rPr>
                <w:bCs/>
                <w:sz w:val="21"/>
                <w:szCs w:val="21"/>
                <w:u w:val="single"/>
              </w:rPr>
              <w:t>X(距排放口距离，m）</w:t>
            </w:r>
          </w:p>
        </w:tc>
        <w:tc>
          <w:tcPr>
            <w:tcW w:w="2130" w:type="dxa"/>
            <w:vAlign w:val="center"/>
          </w:tcPr>
          <w:p>
            <w:pPr>
              <w:jc w:val="center"/>
              <w:rPr>
                <w:sz w:val="21"/>
                <w:szCs w:val="21"/>
                <w:u w:val="single"/>
              </w:rPr>
            </w:pPr>
            <w:r>
              <w:rPr>
                <w:sz w:val="21"/>
                <w:szCs w:val="21"/>
                <w:u w:val="single"/>
              </w:rPr>
              <w:t>CODcr预测浓度（mg/L)</w:t>
            </w:r>
          </w:p>
        </w:tc>
        <w:tc>
          <w:tcPr>
            <w:tcW w:w="2130" w:type="dxa"/>
            <w:vAlign w:val="center"/>
          </w:tcPr>
          <w:p>
            <w:pPr>
              <w:jc w:val="center"/>
              <w:rPr>
                <w:sz w:val="21"/>
                <w:szCs w:val="21"/>
                <w:u w:val="single"/>
              </w:rPr>
            </w:pPr>
            <w:r>
              <w:rPr>
                <w:sz w:val="21"/>
                <w:szCs w:val="21"/>
                <w:u w:val="single"/>
              </w:rPr>
              <w:t>氨氮预测浓度（mg/L)</w:t>
            </w:r>
          </w:p>
        </w:tc>
        <w:tc>
          <w:tcPr>
            <w:tcW w:w="2130" w:type="dxa"/>
            <w:vAlign w:val="center"/>
          </w:tcPr>
          <w:p>
            <w:pPr>
              <w:jc w:val="center"/>
              <w:rPr>
                <w:sz w:val="21"/>
                <w:szCs w:val="21"/>
                <w:u w:val="single"/>
              </w:rPr>
            </w:pPr>
            <w:r>
              <w:rPr>
                <w:rFonts w:hint="eastAsia"/>
                <w:sz w:val="21"/>
                <w:szCs w:val="21"/>
                <w:u w:val="single"/>
              </w:rPr>
              <w:t>总磷预测浓度（mg/L)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14.01136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0.59083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14.00952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0.59077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14.00215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0.59051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13.99294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0.59018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13.97455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0.58954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13.95618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0.58889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13.91951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0.58760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0.12988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13.82827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0.58439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13.77743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0.58260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0.12937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pPr>
              <w:widowControl/>
              <w:jc w:val="center"/>
              <w:textAlignment w:val="center"/>
              <w:rPr>
                <w:color w:val="000000"/>
                <w:kern w:val="0"/>
                <w:sz w:val="21"/>
                <w:szCs w:val="21"/>
                <w:u w:val="single"/>
                <w:lang w:bidi="ar"/>
              </w:rPr>
            </w:pPr>
            <w:r>
              <w:rPr>
                <w:color w:val="000000"/>
                <w:kern w:val="0"/>
                <w:sz w:val="24"/>
                <w:szCs w:val="24"/>
                <w:lang w:bidi="ar"/>
              </w:rPr>
              <w:t xml:space="preserve">13.73762 </w:t>
            </w:r>
          </w:p>
        </w:tc>
        <w:tc>
          <w:tcPr>
            <w:tcW w:w="2130" w:type="dxa"/>
            <w:vAlign w:val="center"/>
          </w:tcPr>
          <w:p>
            <w:pPr>
              <w:widowControl/>
              <w:jc w:val="center"/>
              <w:textAlignment w:val="center"/>
              <w:rPr>
                <w:color w:val="000000"/>
                <w:kern w:val="0"/>
                <w:sz w:val="21"/>
                <w:szCs w:val="21"/>
                <w:u w:val="single"/>
                <w:lang w:bidi="ar"/>
              </w:rPr>
            </w:pPr>
            <w:r>
              <w:rPr>
                <w:color w:val="000000"/>
                <w:kern w:val="0"/>
                <w:sz w:val="24"/>
                <w:szCs w:val="24"/>
                <w:lang w:bidi="ar"/>
              </w:rPr>
              <w:t xml:space="preserve">0.58120 </w:t>
            </w:r>
          </w:p>
        </w:tc>
        <w:tc>
          <w:tcPr>
            <w:tcW w:w="2130" w:type="dxa"/>
            <w:vAlign w:val="center"/>
          </w:tcPr>
          <w:p>
            <w:pPr>
              <w:widowControl/>
              <w:jc w:val="center"/>
              <w:textAlignment w:val="center"/>
              <w:rPr>
                <w:color w:val="000000"/>
                <w:kern w:val="0"/>
                <w:sz w:val="21"/>
                <w:szCs w:val="21"/>
                <w:u w:val="single"/>
                <w:lang w:bidi="ar"/>
              </w:rPr>
            </w:pPr>
            <w:r>
              <w:rPr>
                <w:color w:val="000000"/>
                <w:kern w:val="0"/>
                <w:sz w:val="24"/>
                <w:szCs w:val="24"/>
                <w:lang w:bidi="ar"/>
              </w:rPr>
              <w:t xml:space="preserve">0.12922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13.64757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0.57802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0.12889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13.55810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0.57486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0.12856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13.46923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0.57172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0.12823 </w:t>
            </w:r>
          </w:p>
        </w:tc>
      </w:tr>
    </w:tbl>
    <w:p>
      <w:pPr>
        <w:snapToGrid w:val="0"/>
        <w:spacing w:line="360" w:lineRule="auto"/>
        <w:jc w:val="center"/>
        <w:rPr>
          <w:sz w:val="24"/>
          <w:szCs w:val="24"/>
          <w:u w:val="single"/>
        </w:rPr>
      </w:pPr>
      <w:r>
        <w:rPr>
          <w:b/>
          <w:bCs/>
          <w:sz w:val="24"/>
          <w:szCs w:val="24"/>
          <w:u w:val="single"/>
        </w:rPr>
        <w:t>表6.2</w:t>
      </w:r>
      <w:r>
        <w:rPr>
          <w:rFonts w:hint="eastAsia"/>
          <w:b/>
          <w:bCs/>
          <w:sz w:val="24"/>
          <w:szCs w:val="24"/>
          <w:u w:val="single"/>
        </w:rPr>
        <w:t>-2远期</w:t>
      </w:r>
      <w:r>
        <w:rPr>
          <w:b/>
          <w:bCs/>
          <w:sz w:val="24"/>
          <w:szCs w:val="24"/>
          <w:u w:val="single"/>
        </w:rPr>
        <w:t>正常排放CODcr、氨氮</w:t>
      </w:r>
      <w:r>
        <w:rPr>
          <w:rFonts w:hint="eastAsia"/>
          <w:b/>
          <w:bCs/>
          <w:sz w:val="24"/>
          <w:szCs w:val="24"/>
          <w:u w:val="single"/>
        </w:rPr>
        <w:t>、总磷</w:t>
      </w:r>
      <w:r>
        <w:rPr>
          <w:b/>
          <w:bCs/>
          <w:sz w:val="24"/>
          <w:szCs w:val="24"/>
          <w:u w:val="single"/>
        </w:rPr>
        <w:t>对下游浓度影响分布（单位：mg/L）</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2129" w:type="dxa"/>
            <w:vAlign w:val="center"/>
          </w:tcPr>
          <w:p>
            <w:pPr>
              <w:jc w:val="center"/>
              <w:rPr>
                <w:bCs/>
                <w:sz w:val="21"/>
                <w:szCs w:val="21"/>
                <w:u w:val="single"/>
              </w:rPr>
            </w:pPr>
            <w:r>
              <w:rPr>
                <w:bCs/>
                <w:sz w:val="21"/>
                <w:szCs w:val="21"/>
                <w:u w:val="single"/>
              </w:rPr>
              <w:t>X(距排放口距离，m）</w:t>
            </w:r>
          </w:p>
        </w:tc>
        <w:tc>
          <w:tcPr>
            <w:tcW w:w="2130" w:type="dxa"/>
            <w:vAlign w:val="center"/>
          </w:tcPr>
          <w:p>
            <w:pPr>
              <w:jc w:val="center"/>
              <w:rPr>
                <w:sz w:val="21"/>
                <w:szCs w:val="21"/>
                <w:u w:val="single"/>
              </w:rPr>
            </w:pPr>
            <w:r>
              <w:rPr>
                <w:sz w:val="21"/>
                <w:szCs w:val="21"/>
                <w:u w:val="single"/>
              </w:rPr>
              <w:t>CODcr预测浓度（mg/L)</w:t>
            </w:r>
          </w:p>
        </w:tc>
        <w:tc>
          <w:tcPr>
            <w:tcW w:w="2130" w:type="dxa"/>
            <w:vAlign w:val="center"/>
          </w:tcPr>
          <w:p>
            <w:pPr>
              <w:jc w:val="center"/>
              <w:rPr>
                <w:sz w:val="21"/>
                <w:szCs w:val="21"/>
                <w:u w:val="single"/>
              </w:rPr>
            </w:pPr>
            <w:r>
              <w:rPr>
                <w:sz w:val="21"/>
                <w:szCs w:val="21"/>
                <w:u w:val="single"/>
              </w:rPr>
              <w:t>氨氮预测浓度（mg/L)</w:t>
            </w:r>
          </w:p>
        </w:tc>
        <w:tc>
          <w:tcPr>
            <w:tcW w:w="2130" w:type="dxa"/>
            <w:vAlign w:val="center"/>
          </w:tcPr>
          <w:p>
            <w:pPr>
              <w:jc w:val="center"/>
              <w:rPr>
                <w:sz w:val="21"/>
                <w:szCs w:val="21"/>
                <w:u w:val="single"/>
              </w:rPr>
            </w:pPr>
            <w:r>
              <w:rPr>
                <w:rFonts w:hint="eastAsia"/>
                <w:sz w:val="21"/>
                <w:szCs w:val="21"/>
                <w:u w:val="single"/>
              </w:rPr>
              <w:t>总磷预测浓度（mg/L)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14.02272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0.59266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14.02087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0.59259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14.01350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0.59234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14.00428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0.59201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13.98588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0.59136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13.96749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0.59071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13.93079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0.58942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13.83947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0.58620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13.78860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0.58440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0.12958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pPr>
              <w:widowControl/>
              <w:jc w:val="center"/>
              <w:textAlignment w:val="center"/>
              <w:rPr>
                <w:color w:val="000000"/>
                <w:kern w:val="0"/>
                <w:sz w:val="21"/>
                <w:szCs w:val="21"/>
                <w:u w:val="single"/>
                <w:lang w:bidi="ar"/>
              </w:rPr>
            </w:pPr>
            <w:r>
              <w:rPr>
                <w:color w:val="000000"/>
                <w:kern w:val="0"/>
                <w:sz w:val="24"/>
                <w:szCs w:val="24"/>
                <w:lang w:bidi="ar"/>
              </w:rPr>
              <w:t xml:space="preserve">13.74875 </w:t>
            </w:r>
          </w:p>
        </w:tc>
        <w:tc>
          <w:tcPr>
            <w:tcW w:w="2130" w:type="dxa"/>
            <w:vAlign w:val="center"/>
          </w:tcPr>
          <w:p>
            <w:pPr>
              <w:widowControl/>
              <w:jc w:val="center"/>
              <w:textAlignment w:val="center"/>
              <w:rPr>
                <w:color w:val="000000"/>
                <w:kern w:val="0"/>
                <w:sz w:val="21"/>
                <w:szCs w:val="21"/>
                <w:u w:val="single"/>
                <w:lang w:bidi="ar"/>
              </w:rPr>
            </w:pPr>
            <w:r>
              <w:rPr>
                <w:color w:val="000000"/>
                <w:kern w:val="0"/>
                <w:sz w:val="24"/>
                <w:szCs w:val="24"/>
                <w:lang w:bidi="ar"/>
              </w:rPr>
              <w:t xml:space="preserve">0.58299 </w:t>
            </w:r>
          </w:p>
        </w:tc>
        <w:tc>
          <w:tcPr>
            <w:tcW w:w="2130" w:type="dxa"/>
            <w:vAlign w:val="center"/>
          </w:tcPr>
          <w:p>
            <w:pPr>
              <w:widowControl/>
              <w:jc w:val="center"/>
              <w:textAlignment w:val="center"/>
              <w:rPr>
                <w:color w:val="000000"/>
                <w:kern w:val="0"/>
                <w:sz w:val="21"/>
                <w:szCs w:val="21"/>
                <w:u w:val="single"/>
                <w:lang w:bidi="ar"/>
              </w:rPr>
            </w:pPr>
            <w:r>
              <w:rPr>
                <w:color w:val="000000"/>
                <w:kern w:val="0"/>
                <w:sz w:val="24"/>
                <w:szCs w:val="24"/>
                <w:lang w:bidi="ar"/>
              </w:rPr>
              <w:t xml:space="preserve">0.12943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13.65863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0.57981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13.56909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0.57664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0.12877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13.48014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0.57349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0.12844 </w:t>
            </w:r>
          </w:p>
        </w:tc>
      </w:tr>
    </w:tbl>
    <w:p>
      <w:pPr>
        <w:spacing w:line="360" w:lineRule="auto"/>
        <w:ind w:firstLine="482"/>
        <w:rPr>
          <w:sz w:val="24"/>
          <w:szCs w:val="24"/>
          <w:u w:val="single"/>
        </w:rPr>
      </w:pPr>
      <w:r>
        <w:rPr>
          <w:sz w:val="24"/>
          <w:szCs w:val="24"/>
          <w:u w:val="single"/>
        </w:rPr>
        <w:t>根据上述预测结果，近期鸟江镇污水处理工程尾水正常排放状态下，距离排污口下游10m处CODcr浓度为</w:t>
      </w:r>
      <w:r>
        <w:rPr>
          <w:color w:val="000000"/>
          <w:kern w:val="0"/>
          <w:sz w:val="24"/>
          <w:szCs w:val="24"/>
          <w:u w:val="single"/>
          <w:lang w:bidi="ar"/>
        </w:rPr>
        <w:t>14.00952</w:t>
      </w:r>
      <w:r>
        <w:rPr>
          <w:sz w:val="24"/>
          <w:szCs w:val="24"/>
          <w:u w:val="single"/>
        </w:rPr>
        <w:t>mg/L，氨氮最大浓度为</w:t>
      </w:r>
      <w:r>
        <w:rPr>
          <w:color w:val="000000"/>
          <w:kern w:val="0"/>
          <w:sz w:val="24"/>
          <w:szCs w:val="24"/>
          <w:u w:val="single"/>
          <w:lang w:bidi="ar"/>
        </w:rPr>
        <w:t>0.59077</w:t>
      </w:r>
      <w:r>
        <w:rPr>
          <w:sz w:val="24"/>
          <w:szCs w:val="24"/>
          <w:u w:val="single"/>
        </w:rPr>
        <w:t>mg/L，总磷最大浓度为</w:t>
      </w:r>
      <w:r>
        <w:rPr>
          <w:color w:val="000000"/>
          <w:kern w:val="0"/>
          <w:sz w:val="24"/>
          <w:szCs w:val="24"/>
          <w:u w:val="single"/>
          <w:lang w:bidi="ar"/>
        </w:rPr>
        <w:t>0.13021</w:t>
      </w:r>
      <w:r>
        <w:rPr>
          <w:sz w:val="24"/>
          <w:szCs w:val="24"/>
          <w:u w:val="single"/>
        </w:rPr>
        <w:t>mg/L；下游完全混合断面1280m处CODcr预测结果为</w:t>
      </w:r>
      <w:r>
        <w:rPr>
          <w:color w:val="000000"/>
          <w:kern w:val="0"/>
          <w:sz w:val="24"/>
          <w:szCs w:val="24"/>
          <w:u w:val="single"/>
          <w:lang w:bidi="ar"/>
        </w:rPr>
        <w:t>13.77743</w:t>
      </w:r>
      <w:r>
        <w:rPr>
          <w:sz w:val="24"/>
          <w:szCs w:val="24"/>
          <w:u w:val="single"/>
        </w:rPr>
        <w:t>mg/L；NH</w:t>
      </w:r>
      <w:r>
        <w:rPr>
          <w:sz w:val="24"/>
          <w:szCs w:val="24"/>
          <w:u w:val="single"/>
          <w:vertAlign w:val="subscript"/>
        </w:rPr>
        <w:t>3</w:t>
      </w:r>
      <w:r>
        <w:rPr>
          <w:sz w:val="24"/>
          <w:szCs w:val="24"/>
          <w:u w:val="single"/>
        </w:rPr>
        <w:t>-N预测结果为</w:t>
      </w:r>
      <w:r>
        <w:rPr>
          <w:color w:val="000000"/>
          <w:kern w:val="0"/>
          <w:sz w:val="24"/>
          <w:szCs w:val="24"/>
          <w:u w:val="single"/>
          <w:lang w:bidi="ar"/>
        </w:rPr>
        <w:t>0.58260</w:t>
      </w:r>
      <w:r>
        <w:rPr>
          <w:sz w:val="24"/>
          <w:szCs w:val="24"/>
          <w:u w:val="single"/>
        </w:rPr>
        <w:t>mg/L，总磷预测结果为</w:t>
      </w:r>
      <w:r>
        <w:rPr>
          <w:color w:val="000000"/>
          <w:kern w:val="0"/>
          <w:sz w:val="24"/>
          <w:szCs w:val="24"/>
          <w:u w:val="single"/>
          <w:lang w:bidi="ar"/>
        </w:rPr>
        <w:t xml:space="preserve">0.12937 </w:t>
      </w:r>
      <w:r>
        <w:rPr>
          <w:sz w:val="24"/>
          <w:szCs w:val="24"/>
          <w:u w:val="single"/>
        </w:rPr>
        <w:t>mg/L。远期鸟江镇污水处理工程尾水正常排放状态下，距离排污口下游10m处CODcr浓度为</w:t>
      </w:r>
      <w:r>
        <w:rPr>
          <w:color w:val="000000"/>
          <w:kern w:val="0"/>
          <w:sz w:val="24"/>
          <w:szCs w:val="24"/>
          <w:u w:val="single"/>
          <w:lang w:bidi="ar"/>
        </w:rPr>
        <w:t xml:space="preserve">14.02087 </w:t>
      </w:r>
      <w:r>
        <w:rPr>
          <w:sz w:val="24"/>
          <w:szCs w:val="24"/>
          <w:u w:val="single"/>
        </w:rPr>
        <w:t>mg/L，氨氮最大浓度为</w:t>
      </w:r>
      <w:r>
        <w:rPr>
          <w:color w:val="000000"/>
          <w:kern w:val="0"/>
          <w:sz w:val="24"/>
          <w:szCs w:val="24"/>
          <w:u w:val="single"/>
          <w:lang w:bidi="ar"/>
        </w:rPr>
        <w:t>0.59259</w:t>
      </w:r>
      <w:r>
        <w:rPr>
          <w:sz w:val="24"/>
          <w:szCs w:val="24"/>
          <w:u w:val="single"/>
        </w:rPr>
        <w:t>mg/L，总磷最大浓度为</w:t>
      </w:r>
      <w:r>
        <w:rPr>
          <w:color w:val="000000"/>
          <w:kern w:val="0"/>
          <w:sz w:val="24"/>
          <w:szCs w:val="24"/>
          <w:u w:val="single"/>
          <w:lang w:bidi="ar"/>
        </w:rPr>
        <w:t>0.13042</w:t>
      </w:r>
      <w:r>
        <w:rPr>
          <w:sz w:val="24"/>
          <w:szCs w:val="24"/>
          <w:u w:val="single"/>
        </w:rPr>
        <w:t>mg/L；下游完全混合断面1280m处CODcr预测结果为</w:t>
      </w:r>
      <w:r>
        <w:rPr>
          <w:color w:val="000000"/>
          <w:kern w:val="0"/>
          <w:sz w:val="24"/>
          <w:szCs w:val="24"/>
          <w:u w:val="single"/>
          <w:lang w:bidi="ar"/>
        </w:rPr>
        <w:t>13.78860</w:t>
      </w:r>
      <w:r>
        <w:rPr>
          <w:sz w:val="24"/>
          <w:szCs w:val="24"/>
          <w:u w:val="single"/>
        </w:rPr>
        <w:t>mg/L；NH</w:t>
      </w:r>
      <w:r>
        <w:rPr>
          <w:sz w:val="24"/>
          <w:szCs w:val="24"/>
          <w:u w:val="single"/>
          <w:vertAlign w:val="subscript"/>
        </w:rPr>
        <w:t>3</w:t>
      </w:r>
      <w:r>
        <w:rPr>
          <w:sz w:val="24"/>
          <w:szCs w:val="24"/>
          <w:u w:val="single"/>
        </w:rPr>
        <w:t>-N预测结果为</w:t>
      </w:r>
      <w:r>
        <w:rPr>
          <w:color w:val="000000"/>
          <w:kern w:val="0"/>
          <w:sz w:val="24"/>
          <w:szCs w:val="24"/>
          <w:u w:val="single"/>
          <w:lang w:bidi="ar"/>
        </w:rPr>
        <w:t xml:space="preserve">0.58440 </w:t>
      </w:r>
      <w:r>
        <w:rPr>
          <w:sz w:val="24"/>
          <w:szCs w:val="24"/>
          <w:u w:val="single"/>
        </w:rPr>
        <w:t>mg/L，总磷预测结果为</w:t>
      </w:r>
      <w:r>
        <w:rPr>
          <w:color w:val="000000"/>
          <w:kern w:val="0"/>
          <w:sz w:val="24"/>
          <w:szCs w:val="24"/>
          <w:u w:val="single"/>
          <w:lang w:bidi="ar"/>
        </w:rPr>
        <w:t xml:space="preserve">0.12958 </w:t>
      </w:r>
      <w:r>
        <w:rPr>
          <w:sz w:val="24"/>
          <w:szCs w:val="24"/>
          <w:u w:val="single"/>
        </w:rPr>
        <w:t>mg/L。均未超出《地表水环境质量标准》（GB3838-2002）Ⅲ类标准（COD：20mg/L、氨氮：1.0mg/L、总磷0.2mg/L）要求。</w:t>
      </w:r>
    </w:p>
    <w:p>
      <w:pPr>
        <w:pStyle w:val="38"/>
        <w:rPr>
          <w:u w:val="single"/>
        </w:rPr>
      </w:pPr>
      <w:bookmarkStart w:id="78" w:name="_Toc29024"/>
      <w:r>
        <w:rPr>
          <w:rFonts w:hint="eastAsia"/>
          <w:u w:val="single"/>
        </w:rPr>
        <w:t>6</w:t>
      </w:r>
      <w:r>
        <w:rPr>
          <w:u w:val="single"/>
        </w:rPr>
        <w:t>.2.2</w:t>
      </w:r>
      <w:r>
        <w:rPr>
          <w:rFonts w:hint="eastAsia"/>
          <w:u w:val="single"/>
        </w:rPr>
        <w:t>非正常排放情况预测</w:t>
      </w:r>
      <w:bookmarkEnd w:id="78"/>
    </w:p>
    <w:p>
      <w:pPr>
        <w:pStyle w:val="30"/>
        <w:ind w:firstLine="480"/>
        <w:rPr>
          <w:u w:val="single"/>
        </w:rPr>
      </w:pPr>
      <w:r>
        <w:rPr>
          <w:rFonts w:hint="eastAsia"/>
          <w:u w:val="single"/>
        </w:rPr>
        <w:t>在非正常排放情况下，鸟江镇污水处理工程排污口下游河段污染物预测结果如下表。</w:t>
      </w:r>
    </w:p>
    <w:p>
      <w:pPr>
        <w:snapToGrid w:val="0"/>
        <w:spacing w:line="360" w:lineRule="auto"/>
        <w:jc w:val="center"/>
        <w:rPr>
          <w:b/>
          <w:bCs/>
          <w:sz w:val="24"/>
          <w:szCs w:val="24"/>
          <w:u w:val="single"/>
        </w:rPr>
      </w:pPr>
      <w:r>
        <w:rPr>
          <w:rFonts w:hint="eastAsia"/>
          <w:b/>
          <w:bCs/>
          <w:sz w:val="24"/>
          <w:szCs w:val="24"/>
          <w:u w:val="single"/>
        </w:rPr>
        <w:t>表6.2-3 近期非正常排放CODcr、氨氮、总磷对下游浓度影响分布（单位：mg/L）</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5" w:hRule="atLeast"/>
        </w:trPr>
        <w:tc>
          <w:tcPr>
            <w:tcW w:w="2129" w:type="dxa"/>
            <w:vAlign w:val="center"/>
          </w:tcPr>
          <w:p>
            <w:pPr>
              <w:jc w:val="center"/>
              <w:rPr>
                <w:bCs/>
                <w:sz w:val="21"/>
                <w:szCs w:val="21"/>
                <w:u w:val="single"/>
              </w:rPr>
            </w:pPr>
            <w:r>
              <w:rPr>
                <w:bCs/>
                <w:sz w:val="21"/>
                <w:szCs w:val="21"/>
                <w:u w:val="single"/>
              </w:rPr>
              <w:t>X(距排放口距离，m）</w:t>
            </w:r>
          </w:p>
        </w:tc>
        <w:tc>
          <w:tcPr>
            <w:tcW w:w="2130" w:type="dxa"/>
            <w:vAlign w:val="center"/>
          </w:tcPr>
          <w:p>
            <w:pPr>
              <w:jc w:val="center"/>
              <w:rPr>
                <w:rFonts w:eastAsia="黑体"/>
                <w:sz w:val="21"/>
                <w:szCs w:val="21"/>
                <w:u w:val="single"/>
              </w:rPr>
            </w:pPr>
            <w:r>
              <w:rPr>
                <w:sz w:val="21"/>
                <w:szCs w:val="21"/>
                <w:u w:val="single"/>
              </w:rPr>
              <w:t>CODcr预测浓度（mg/L)</w:t>
            </w:r>
          </w:p>
        </w:tc>
        <w:tc>
          <w:tcPr>
            <w:tcW w:w="2130" w:type="dxa"/>
            <w:vAlign w:val="center"/>
          </w:tcPr>
          <w:p>
            <w:pPr>
              <w:jc w:val="center"/>
              <w:rPr>
                <w:sz w:val="21"/>
                <w:szCs w:val="21"/>
                <w:u w:val="single"/>
              </w:rPr>
            </w:pPr>
            <w:r>
              <w:rPr>
                <w:sz w:val="21"/>
                <w:szCs w:val="21"/>
                <w:u w:val="single"/>
              </w:rPr>
              <w:t>氨氮预测浓度（mg/L)</w:t>
            </w:r>
          </w:p>
        </w:tc>
        <w:tc>
          <w:tcPr>
            <w:tcW w:w="2130" w:type="dxa"/>
            <w:vAlign w:val="center"/>
          </w:tcPr>
          <w:p>
            <w:pPr>
              <w:jc w:val="center"/>
              <w:rPr>
                <w:sz w:val="21"/>
                <w:szCs w:val="21"/>
                <w:u w:val="single"/>
              </w:rPr>
            </w:pPr>
            <w:r>
              <w:rPr>
                <w:rFonts w:hint="eastAsia"/>
                <w:sz w:val="21"/>
                <w:szCs w:val="21"/>
                <w:u w:val="single"/>
              </w:rPr>
              <w:t>总磷</w:t>
            </w:r>
            <w:r>
              <w:rPr>
                <w:sz w:val="21"/>
                <w:szCs w:val="21"/>
                <w:u w:val="single"/>
              </w:rPr>
              <w:t>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14.06570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0.59750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14.06385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0.59743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14.05645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0.59717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14.04721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0.59684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14.02874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0.59619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14.01030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0.59554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13.97349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0.59423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13.88189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0.59099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0.13004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129" w:type="dxa"/>
            <w:vAlign w:val="center"/>
          </w:tcPr>
          <w:p>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13.83086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0.58917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0.12986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13.79089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0.58776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13.70049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0.58454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13.61068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0.58135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13.52146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0.57817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0.12872 </w:t>
            </w:r>
          </w:p>
        </w:tc>
      </w:tr>
    </w:tbl>
    <w:p>
      <w:pPr>
        <w:snapToGrid w:val="0"/>
        <w:spacing w:line="360" w:lineRule="auto"/>
        <w:jc w:val="center"/>
        <w:rPr>
          <w:b/>
          <w:bCs/>
          <w:sz w:val="24"/>
          <w:szCs w:val="24"/>
          <w:u w:val="single"/>
        </w:rPr>
      </w:pPr>
      <w:r>
        <w:rPr>
          <w:rFonts w:hint="eastAsia"/>
          <w:b/>
          <w:bCs/>
          <w:sz w:val="24"/>
          <w:szCs w:val="24"/>
          <w:u w:val="single"/>
        </w:rPr>
        <w:t>表6.2-4远期非正常排放CODcr、氨氮、总磷对下游浓度影响分布（单位：mg/L）</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2129" w:type="dxa"/>
            <w:vAlign w:val="center"/>
          </w:tcPr>
          <w:p>
            <w:pPr>
              <w:jc w:val="center"/>
              <w:rPr>
                <w:bCs/>
                <w:sz w:val="21"/>
                <w:szCs w:val="21"/>
                <w:u w:val="single"/>
              </w:rPr>
            </w:pPr>
            <w:r>
              <w:rPr>
                <w:bCs/>
                <w:sz w:val="21"/>
                <w:szCs w:val="21"/>
                <w:u w:val="single"/>
              </w:rPr>
              <w:t>X(距排放口距离，m）</w:t>
            </w:r>
          </w:p>
        </w:tc>
        <w:tc>
          <w:tcPr>
            <w:tcW w:w="2130" w:type="dxa"/>
            <w:vAlign w:val="center"/>
          </w:tcPr>
          <w:p>
            <w:pPr>
              <w:jc w:val="center"/>
              <w:rPr>
                <w:rFonts w:eastAsia="黑体"/>
                <w:sz w:val="21"/>
                <w:szCs w:val="21"/>
                <w:u w:val="single"/>
              </w:rPr>
            </w:pPr>
            <w:r>
              <w:rPr>
                <w:sz w:val="21"/>
                <w:szCs w:val="21"/>
                <w:u w:val="single"/>
              </w:rPr>
              <w:t>CODcr预测浓度（mg/L)</w:t>
            </w:r>
          </w:p>
        </w:tc>
        <w:tc>
          <w:tcPr>
            <w:tcW w:w="2130" w:type="dxa"/>
            <w:vAlign w:val="center"/>
          </w:tcPr>
          <w:p>
            <w:pPr>
              <w:jc w:val="center"/>
              <w:rPr>
                <w:sz w:val="21"/>
                <w:szCs w:val="21"/>
                <w:u w:val="single"/>
              </w:rPr>
            </w:pPr>
            <w:r>
              <w:rPr>
                <w:sz w:val="21"/>
                <w:szCs w:val="21"/>
                <w:u w:val="single"/>
              </w:rPr>
              <w:t>氨氮预测浓度（mg/L)</w:t>
            </w:r>
          </w:p>
        </w:tc>
        <w:tc>
          <w:tcPr>
            <w:tcW w:w="2130" w:type="dxa"/>
            <w:vAlign w:val="center"/>
          </w:tcPr>
          <w:p>
            <w:pPr>
              <w:jc w:val="center"/>
              <w:rPr>
                <w:sz w:val="21"/>
                <w:szCs w:val="21"/>
                <w:u w:val="single"/>
              </w:rPr>
            </w:pPr>
            <w:r>
              <w:rPr>
                <w:rFonts w:hint="eastAsia"/>
                <w:sz w:val="21"/>
                <w:szCs w:val="21"/>
                <w:u w:val="single"/>
              </w:rPr>
              <w:t>总磷</w:t>
            </w:r>
            <w:r>
              <w:rPr>
                <w:sz w:val="21"/>
                <w:szCs w:val="21"/>
                <w:u w:val="single"/>
              </w:rPr>
              <w:t>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14.13136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0.60599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14.12950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0.60593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14.12207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0.60566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14.11279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0.60533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14.09424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0.60467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14.07571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0.60400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14.03873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0.60268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0.13108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13.94670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0.59939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13.89543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0.59755 </w:t>
            </w:r>
          </w:p>
        </w:tc>
        <w:tc>
          <w:tcPr>
            <w:tcW w:w="2130" w:type="dxa"/>
            <w:vAlign w:val="center"/>
          </w:tcPr>
          <w:p>
            <w:pPr>
              <w:widowControl/>
              <w:jc w:val="center"/>
              <w:textAlignment w:val="center"/>
              <w:rPr>
                <w:color w:val="000000"/>
                <w:kern w:val="0"/>
                <w:sz w:val="24"/>
                <w:szCs w:val="24"/>
                <w:u w:val="single"/>
                <w:lang w:bidi="ar"/>
              </w:rPr>
            </w:pPr>
            <w:r>
              <w:rPr>
                <w:color w:val="000000"/>
                <w:kern w:val="0"/>
                <w:sz w:val="24"/>
                <w:szCs w:val="24"/>
                <w:lang w:bidi="ar"/>
              </w:rPr>
              <w:t xml:space="preserve">0.13056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13.85528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0.59611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13.76445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0.59285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0.13008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13.67422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0.58961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29" w:type="dxa"/>
            <w:vAlign w:val="center"/>
          </w:tcPr>
          <w:p>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13.58458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0.58639 </w:t>
            </w:r>
          </w:p>
        </w:tc>
        <w:tc>
          <w:tcPr>
            <w:tcW w:w="2130" w:type="dxa"/>
            <w:vAlign w:val="center"/>
          </w:tcPr>
          <w:p>
            <w:pPr>
              <w:widowControl/>
              <w:jc w:val="center"/>
              <w:textAlignment w:val="center"/>
              <w:rPr>
                <w:color w:val="000000"/>
                <w:sz w:val="21"/>
                <w:szCs w:val="21"/>
                <w:u w:val="single"/>
              </w:rPr>
            </w:pPr>
            <w:r>
              <w:rPr>
                <w:color w:val="000000"/>
                <w:kern w:val="0"/>
                <w:sz w:val="24"/>
                <w:szCs w:val="24"/>
                <w:lang w:bidi="ar"/>
              </w:rPr>
              <w:t xml:space="preserve">0.12942 </w:t>
            </w:r>
          </w:p>
        </w:tc>
      </w:tr>
    </w:tbl>
    <w:p>
      <w:pPr>
        <w:spacing w:line="360" w:lineRule="auto"/>
        <w:ind w:firstLine="482"/>
        <w:rPr>
          <w:sz w:val="24"/>
          <w:szCs w:val="24"/>
          <w:u w:val="single"/>
        </w:rPr>
      </w:pPr>
      <w:r>
        <w:rPr>
          <w:sz w:val="24"/>
          <w:szCs w:val="24"/>
          <w:u w:val="single"/>
        </w:rPr>
        <w:t>根据上述预测结果，近期鸟江镇污水处理工程尾水事故排放状态下，距离排污口下游10m处CODcr最大浓度为</w:t>
      </w:r>
      <w:r>
        <w:rPr>
          <w:color w:val="000000"/>
          <w:kern w:val="0"/>
          <w:sz w:val="24"/>
          <w:szCs w:val="24"/>
          <w:u w:val="single"/>
          <w:lang w:bidi="ar"/>
        </w:rPr>
        <w:t xml:space="preserve">14.06385 </w:t>
      </w:r>
      <w:r>
        <w:rPr>
          <w:sz w:val="24"/>
          <w:szCs w:val="24"/>
          <w:u w:val="single"/>
        </w:rPr>
        <w:t>mg/L，氨氮最大浓度为</w:t>
      </w:r>
      <w:r>
        <w:rPr>
          <w:color w:val="000000"/>
          <w:kern w:val="0"/>
          <w:sz w:val="24"/>
          <w:szCs w:val="24"/>
          <w:u w:val="single"/>
          <w:lang w:bidi="ar"/>
        </w:rPr>
        <w:t xml:space="preserve">0.59743 </w:t>
      </w:r>
      <w:r>
        <w:rPr>
          <w:sz w:val="24"/>
          <w:szCs w:val="24"/>
          <w:u w:val="single"/>
        </w:rPr>
        <w:t>mg/L，总磷最大浓度为</w:t>
      </w:r>
      <w:r>
        <w:rPr>
          <w:color w:val="000000"/>
          <w:kern w:val="0"/>
          <w:sz w:val="24"/>
          <w:szCs w:val="24"/>
          <w:u w:val="single"/>
          <w:lang w:bidi="ar"/>
        </w:rPr>
        <w:t>0.13070</w:t>
      </w:r>
      <w:r>
        <w:rPr>
          <w:sz w:val="24"/>
          <w:szCs w:val="24"/>
          <w:u w:val="single"/>
        </w:rPr>
        <w:t>mg/L；下游完全混合断面1280m处CODcr预测结果最大值为</w:t>
      </w:r>
      <w:r>
        <w:rPr>
          <w:color w:val="000000"/>
          <w:kern w:val="0"/>
          <w:sz w:val="24"/>
          <w:szCs w:val="24"/>
          <w:u w:val="single"/>
          <w:lang w:bidi="ar"/>
        </w:rPr>
        <w:t xml:space="preserve">13.83086 </w:t>
      </w:r>
      <w:r>
        <w:rPr>
          <w:sz w:val="24"/>
          <w:szCs w:val="24"/>
          <w:u w:val="single"/>
        </w:rPr>
        <w:t>mg/L，NH</w:t>
      </w:r>
      <w:r>
        <w:rPr>
          <w:sz w:val="24"/>
          <w:szCs w:val="24"/>
          <w:u w:val="single"/>
          <w:vertAlign w:val="subscript"/>
        </w:rPr>
        <w:t>3</w:t>
      </w:r>
      <w:r>
        <w:rPr>
          <w:sz w:val="24"/>
          <w:szCs w:val="24"/>
          <w:u w:val="single"/>
        </w:rPr>
        <w:t>-N预测结果最大值为</w:t>
      </w:r>
      <w:r>
        <w:rPr>
          <w:color w:val="000000"/>
          <w:kern w:val="0"/>
          <w:sz w:val="24"/>
          <w:szCs w:val="24"/>
          <w:u w:val="single"/>
          <w:lang w:bidi="ar"/>
        </w:rPr>
        <w:t>0.58917</w:t>
      </w:r>
      <w:r>
        <w:rPr>
          <w:sz w:val="24"/>
          <w:szCs w:val="24"/>
          <w:u w:val="single"/>
        </w:rPr>
        <w:t>mg/L，总磷预测结果为</w:t>
      </w:r>
      <w:r>
        <w:rPr>
          <w:color w:val="000000"/>
          <w:kern w:val="0"/>
          <w:sz w:val="24"/>
          <w:szCs w:val="24"/>
          <w:u w:val="single"/>
          <w:lang w:bidi="ar"/>
        </w:rPr>
        <w:t>0.12986</w:t>
      </w:r>
      <w:r>
        <w:rPr>
          <w:sz w:val="24"/>
          <w:szCs w:val="24"/>
          <w:u w:val="single"/>
        </w:rPr>
        <w:t>mg/L。远期鸟江镇污水处理工程尾水事故排放状态下，距离排污口下游10m处CODcr最大浓度为</w:t>
      </w:r>
      <w:r>
        <w:rPr>
          <w:color w:val="000000"/>
          <w:kern w:val="0"/>
          <w:sz w:val="24"/>
          <w:szCs w:val="24"/>
          <w:u w:val="single"/>
          <w:lang w:bidi="ar"/>
        </w:rPr>
        <w:t xml:space="preserve">14.12950 </w:t>
      </w:r>
      <w:r>
        <w:rPr>
          <w:sz w:val="24"/>
          <w:szCs w:val="24"/>
          <w:u w:val="single"/>
        </w:rPr>
        <w:t>mg/L，氨氮最大浓度为</w:t>
      </w:r>
      <w:r>
        <w:rPr>
          <w:color w:val="000000"/>
          <w:kern w:val="0"/>
          <w:sz w:val="24"/>
          <w:szCs w:val="24"/>
          <w:u w:val="single"/>
          <w:lang w:bidi="ar"/>
        </w:rPr>
        <w:t xml:space="preserve">0.60593 </w:t>
      </w:r>
      <w:r>
        <w:rPr>
          <w:sz w:val="24"/>
          <w:szCs w:val="24"/>
          <w:u w:val="single"/>
        </w:rPr>
        <w:t>mg/L，总磷最大浓度为</w:t>
      </w:r>
      <w:r>
        <w:rPr>
          <w:color w:val="000000"/>
          <w:kern w:val="0"/>
          <w:sz w:val="24"/>
          <w:szCs w:val="24"/>
          <w:u w:val="single"/>
          <w:lang w:bidi="ar"/>
        </w:rPr>
        <w:t xml:space="preserve">0.13141 </w:t>
      </w:r>
      <w:r>
        <w:rPr>
          <w:sz w:val="24"/>
          <w:szCs w:val="24"/>
          <w:u w:val="single"/>
        </w:rPr>
        <w:t>mg/L；下游完全混合断面1280m处CODcr预测结果最大值为</w:t>
      </w:r>
      <w:r>
        <w:rPr>
          <w:color w:val="000000"/>
          <w:kern w:val="0"/>
          <w:sz w:val="24"/>
          <w:szCs w:val="24"/>
          <w:u w:val="single"/>
          <w:lang w:bidi="ar"/>
        </w:rPr>
        <w:t xml:space="preserve">13.89543 </w:t>
      </w:r>
      <w:r>
        <w:rPr>
          <w:sz w:val="24"/>
          <w:szCs w:val="24"/>
          <w:u w:val="single"/>
        </w:rPr>
        <w:t>mg/L，NH</w:t>
      </w:r>
      <w:r>
        <w:rPr>
          <w:sz w:val="24"/>
          <w:szCs w:val="24"/>
          <w:u w:val="single"/>
          <w:vertAlign w:val="subscript"/>
        </w:rPr>
        <w:t>3</w:t>
      </w:r>
      <w:r>
        <w:rPr>
          <w:sz w:val="24"/>
          <w:szCs w:val="24"/>
          <w:u w:val="single"/>
        </w:rPr>
        <w:t>-N预测结果最大值为</w:t>
      </w:r>
      <w:r>
        <w:rPr>
          <w:color w:val="000000"/>
          <w:kern w:val="0"/>
          <w:sz w:val="24"/>
          <w:szCs w:val="24"/>
          <w:u w:val="single"/>
          <w:lang w:bidi="ar"/>
        </w:rPr>
        <w:t>0.59755</w:t>
      </w:r>
      <w:r>
        <w:rPr>
          <w:sz w:val="24"/>
          <w:szCs w:val="24"/>
          <w:u w:val="single"/>
        </w:rPr>
        <w:t>mg/L，总磷预测结果为</w:t>
      </w:r>
      <w:r>
        <w:rPr>
          <w:color w:val="000000"/>
          <w:kern w:val="0"/>
          <w:sz w:val="24"/>
          <w:szCs w:val="24"/>
          <w:u w:val="single"/>
          <w:lang w:bidi="ar"/>
        </w:rPr>
        <w:t>0.13056</w:t>
      </w:r>
      <w:r>
        <w:rPr>
          <w:sz w:val="24"/>
          <w:szCs w:val="24"/>
          <w:u w:val="single"/>
        </w:rPr>
        <w:t>mg/L。事故排放状态下各断面浓度有所提高，但未超出《地表水环境质量标准》（GB3838-2002）Ⅲ类标准（COD：20mg/L、氨氮：1.0mg/L、总磷0.2mg/L）要求。</w:t>
      </w:r>
    </w:p>
    <w:p>
      <w:pPr>
        <w:pStyle w:val="35"/>
      </w:pPr>
      <w:bookmarkStart w:id="79" w:name="_Toc5170"/>
      <w:r>
        <w:rPr>
          <w:rFonts w:hint="eastAsia"/>
        </w:rPr>
        <w:t>6</w:t>
      </w:r>
      <w:r>
        <w:t>.3</w:t>
      </w:r>
      <w:r>
        <w:rPr>
          <w:rFonts w:hint="eastAsia"/>
        </w:rPr>
        <w:t>对水生生态影响分析</w:t>
      </w:r>
      <w:bookmarkEnd w:id="79"/>
    </w:p>
    <w:p>
      <w:pPr>
        <w:pStyle w:val="30"/>
        <w:ind w:firstLine="480"/>
        <w:rPr>
          <w:u w:val="single"/>
        </w:rPr>
      </w:pPr>
      <w:r>
        <w:rPr>
          <w:rFonts w:hint="eastAsia"/>
          <w:u w:val="single"/>
        </w:rPr>
        <w:t>鸟江镇污水处理工程建设运行后，尾水处理达标后排入白河。项目建设改变了鸟江镇污水散乱排放的现象，使乡镇污水排放从无序变为有序，对改善水功能区的水质，实现水功能区的水质目标有利；经调查，论证范围内水域无珍稀水生生物和鱼类，本入河排污口处河段不属于水产种质资源保护区、鱼类“三场”及洄游通道，入河排污口位置不在自然保护区、风景名胜区及重要湿地等环境敏感区，因此本入河排污口不存在生态制约因素；乡镇污水处理厂正常情况下外排废水水质较简单，主要污染因子为COD、氨氮、总磷，总氮，不含第一类污染物。经降解稀释后可满足水质要求，不会对白河鱼类等水生生物产生较大影响。根据预测结果可知，正常排放情况下水质类别没有发生显著变化，影响范围非常有限，不会对下游生物群落结构和生物量产生明显影响；在非正常排放情况下，影响范围和程度相对正常排放有所增大，可能会引起浮游植物与浮游动物数量和组成的变化，因此需要建设单位加强风险管控，杜绝废水的事故排放。 白河水质能达到《地表水环境质量标准》（GB3838-2002）Ⅲ类标准，水质较好，乡镇污水处理工程排放的污染物非典型营养盐类污染物，入河排污口污染物不会对水体造成富营养化影响。综上，本排口设置对白河生态影响较小。</w:t>
      </w:r>
    </w:p>
    <w:p>
      <w:pPr>
        <w:pStyle w:val="35"/>
      </w:pPr>
      <w:bookmarkStart w:id="80" w:name="_Toc23597"/>
      <w:r>
        <w:rPr>
          <w:rFonts w:hint="eastAsia"/>
        </w:rPr>
        <w:t>6</w:t>
      </w:r>
      <w:r>
        <w:t>.4</w:t>
      </w:r>
      <w:r>
        <w:rPr>
          <w:rFonts w:hint="eastAsia"/>
        </w:rPr>
        <w:t>对地下水影响分析</w:t>
      </w:r>
      <w:bookmarkEnd w:id="80"/>
    </w:p>
    <w:p>
      <w:pPr>
        <w:pStyle w:val="30"/>
        <w:ind w:firstLine="480"/>
      </w:pPr>
      <w:r>
        <w:t>（1）地下水污染途径分析</w:t>
      </w:r>
    </w:p>
    <w:p>
      <w:pPr>
        <w:pStyle w:val="30"/>
        <w:ind w:firstLine="480"/>
      </w:pPr>
      <w:r>
        <w:rPr>
          <w:rFonts w:hint="eastAsia" w:ascii="宋体" w:hAnsi="宋体" w:cs="宋体"/>
        </w:rPr>
        <w:t>①</w:t>
      </w:r>
      <w:r>
        <w:t>正常状态。污水处理厂排水实行雨污分流，各构筑物采取良好的防腐防渗措施，污水处理厂厂区地表与地下的水力联系基本被切断，污染物不会渗入地下影响地下水质。</w:t>
      </w:r>
    </w:p>
    <w:p>
      <w:pPr>
        <w:pStyle w:val="30"/>
        <w:ind w:firstLine="480"/>
      </w:pPr>
      <w:r>
        <w:rPr>
          <w:rFonts w:hint="eastAsia" w:ascii="宋体" w:hAnsi="宋体" w:cs="宋体"/>
        </w:rPr>
        <w:t>②</w:t>
      </w:r>
      <w:r>
        <w:t>事故状态。造成事故排放风险的环节主要有以下几方面：</w:t>
      </w:r>
      <w:r>
        <w:rPr>
          <w:rFonts w:hint="eastAsia"/>
        </w:rPr>
        <w:t>进水水质异常、</w:t>
      </w:r>
      <w:r>
        <w:t>污水管网系统由于管网堵塞、破裂和接头破损，造成污水外溢；由于停电、设备损坏、污水处理设备运行不正常、停工检修等造成污水未经处理排放；活性污泥变质，发生污泥膨胀或污泥解体等异常情况，使处理效果降低；由于发生地震等自然灾害使污水管、污水处理构筑物损坏，造成污水外溢。</w:t>
      </w:r>
    </w:p>
    <w:p>
      <w:pPr>
        <w:pStyle w:val="30"/>
        <w:ind w:firstLine="480"/>
      </w:pPr>
      <w:r>
        <w:t>（2）</w:t>
      </w:r>
      <w:r>
        <w:rPr>
          <w:rFonts w:hint="eastAsia"/>
        </w:rPr>
        <w:t>地下水影响分析</w:t>
      </w:r>
    </w:p>
    <w:p>
      <w:pPr>
        <w:pStyle w:val="30"/>
        <w:ind w:firstLine="480"/>
      </w:pPr>
      <w:r>
        <w:rPr>
          <w:rFonts w:hint="eastAsia"/>
        </w:rPr>
        <w:t>鸟江镇污水处理工程为污水处理工程，处理后出水排入白河，排放过程中产生外漏下渗的可能性很小，即使有微量废水外漏下渗，在下渗过程中经过表层粘土、粉土的分解和吸收，大部分污染物会进一步去除，不会造成地下水污染，因此，正常工况下污水处理厂建设对地下水水质影响小。</w:t>
      </w:r>
    </w:p>
    <w:p>
      <w:pPr>
        <w:pStyle w:val="35"/>
      </w:pPr>
      <w:bookmarkStart w:id="81" w:name="_Toc21079"/>
      <w:r>
        <w:rPr>
          <w:rFonts w:hint="eastAsia"/>
        </w:rPr>
        <w:t>6</w:t>
      </w:r>
      <w:r>
        <w:t>.5</w:t>
      </w:r>
      <w:r>
        <w:rPr>
          <w:rFonts w:hint="eastAsia"/>
        </w:rPr>
        <w:t>对第三者影响分析</w:t>
      </w:r>
      <w:bookmarkEnd w:id="81"/>
    </w:p>
    <w:p>
      <w:pPr>
        <w:pStyle w:val="38"/>
        <w:rPr>
          <w:u w:val="single"/>
        </w:rPr>
      </w:pPr>
      <w:bookmarkStart w:id="82" w:name="_Toc10036"/>
      <w:r>
        <w:rPr>
          <w:rFonts w:hint="eastAsia"/>
          <w:u w:val="single"/>
        </w:rPr>
        <w:t>6</w:t>
      </w:r>
      <w:r>
        <w:rPr>
          <w:u w:val="single"/>
        </w:rPr>
        <w:t>.5.1</w:t>
      </w:r>
      <w:r>
        <w:rPr>
          <w:rFonts w:hint="eastAsia"/>
          <w:u w:val="single"/>
        </w:rPr>
        <w:t>对控制断面水质影响分析</w:t>
      </w:r>
      <w:bookmarkEnd w:id="82"/>
    </w:p>
    <w:p>
      <w:pPr>
        <w:pStyle w:val="30"/>
        <w:ind w:firstLine="480"/>
        <w:rPr>
          <w:u w:val="single"/>
        </w:rPr>
      </w:pPr>
      <w:r>
        <w:rPr>
          <w:rFonts w:hint="eastAsia"/>
          <w:u w:val="single"/>
        </w:rPr>
        <w:t>本入河排污口论证范围内不涉及常规水质监测断面。</w:t>
      </w:r>
    </w:p>
    <w:p>
      <w:pPr>
        <w:pStyle w:val="38"/>
        <w:rPr>
          <w:u w:val="single"/>
        </w:rPr>
      </w:pPr>
      <w:bookmarkStart w:id="83" w:name="_Toc23935"/>
      <w:r>
        <w:rPr>
          <w:rFonts w:hint="eastAsia"/>
          <w:u w:val="single"/>
        </w:rPr>
        <w:t>6</w:t>
      </w:r>
      <w:r>
        <w:rPr>
          <w:u w:val="single"/>
        </w:rPr>
        <w:t>.5.2</w:t>
      </w:r>
      <w:r>
        <w:rPr>
          <w:rFonts w:hint="eastAsia"/>
          <w:u w:val="single"/>
        </w:rPr>
        <w:t>对下游饮用水源保护区及取水单位的影响分析</w:t>
      </w:r>
      <w:bookmarkEnd w:id="83"/>
    </w:p>
    <w:p>
      <w:pPr>
        <w:pStyle w:val="30"/>
        <w:ind w:firstLine="480"/>
        <w:rPr>
          <w:u w:val="single"/>
        </w:rPr>
      </w:pPr>
      <w:r>
        <w:rPr>
          <w:rFonts w:hint="eastAsia"/>
          <w:u w:val="single"/>
        </w:rPr>
        <w:t>本入河排污口论证范围内不涉及饮用水水源保护区。</w:t>
      </w:r>
    </w:p>
    <w:p>
      <w:pPr>
        <w:pStyle w:val="38"/>
        <w:rPr>
          <w:u w:val="single"/>
        </w:rPr>
      </w:pPr>
      <w:bookmarkStart w:id="84" w:name="_Toc19239"/>
      <w:r>
        <w:rPr>
          <w:rFonts w:hint="eastAsia"/>
          <w:u w:val="single"/>
        </w:rPr>
        <w:t>6</w:t>
      </w:r>
      <w:r>
        <w:rPr>
          <w:u w:val="single"/>
        </w:rPr>
        <w:t>.5.3</w:t>
      </w:r>
      <w:r>
        <w:rPr>
          <w:rFonts w:hint="eastAsia"/>
          <w:u w:val="single"/>
        </w:rPr>
        <w:t>对河道行洪能力的影响分析</w:t>
      </w:r>
      <w:bookmarkEnd w:id="84"/>
    </w:p>
    <w:p>
      <w:pPr>
        <w:pStyle w:val="30"/>
        <w:ind w:firstLine="480"/>
        <w:rPr>
          <w:u w:val="single"/>
        </w:rPr>
      </w:pPr>
      <w:r>
        <w:rPr>
          <w:rFonts w:hint="eastAsia"/>
          <w:u w:val="single"/>
        </w:rPr>
        <w:t>鸟江镇污水处理工程</w:t>
      </w:r>
      <w:r>
        <w:rPr>
          <w:u w:val="single"/>
        </w:rPr>
        <w:t>出水排入</w:t>
      </w:r>
      <w:r>
        <w:rPr>
          <w:rFonts w:hint="eastAsia"/>
          <w:u w:val="single"/>
        </w:rPr>
        <w:t>白河</w:t>
      </w:r>
      <w:r>
        <w:rPr>
          <w:u w:val="single"/>
        </w:rPr>
        <w:t>，设计排入</w:t>
      </w:r>
      <w:r>
        <w:rPr>
          <w:rFonts w:hint="eastAsia"/>
          <w:u w:val="single"/>
        </w:rPr>
        <w:t>白河</w:t>
      </w:r>
      <w:r>
        <w:rPr>
          <w:u w:val="single"/>
        </w:rPr>
        <w:t>的污水量为</w:t>
      </w:r>
      <w:r>
        <w:rPr>
          <w:rFonts w:hint="eastAsia"/>
          <w:u w:val="single"/>
        </w:rPr>
        <w:t>近期200</w:t>
      </w:r>
      <w:r>
        <w:rPr>
          <w:u w:val="single"/>
        </w:rPr>
        <w:t>m</w:t>
      </w:r>
      <w:r>
        <w:rPr>
          <w:u w:val="single"/>
          <w:vertAlign w:val="superscript"/>
        </w:rPr>
        <w:t>3</w:t>
      </w:r>
      <w:r>
        <w:rPr>
          <w:u w:val="single"/>
        </w:rPr>
        <w:t>/d</w:t>
      </w:r>
      <w:r>
        <w:rPr>
          <w:rFonts w:hint="eastAsia"/>
          <w:u w:val="single"/>
        </w:rPr>
        <w:t>，远期400</w:t>
      </w:r>
      <w:r>
        <w:rPr>
          <w:u w:val="single"/>
        </w:rPr>
        <w:t>m</w:t>
      </w:r>
      <w:r>
        <w:rPr>
          <w:u w:val="single"/>
          <w:vertAlign w:val="superscript"/>
        </w:rPr>
        <w:t>3</w:t>
      </w:r>
      <w:r>
        <w:rPr>
          <w:u w:val="single"/>
        </w:rPr>
        <w:t>/d，即</w:t>
      </w:r>
      <w:r>
        <w:rPr>
          <w:rFonts w:hint="eastAsia"/>
          <w:u w:val="single"/>
        </w:rPr>
        <w:t>近期0.0025m</w:t>
      </w:r>
      <w:r>
        <w:rPr>
          <w:rFonts w:hint="eastAsia"/>
          <w:u w:val="single"/>
          <w:vertAlign w:val="superscript"/>
        </w:rPr>
        <w:t>3</w:t>
      </w:r>
      <w:r>
        <w:rPr>
          <w:rFonts w:hint="eastAsia"/>
          <w:u w:val="single"/>
        </w:rPr>
        <w:t>/s，远期</w:t>
      </w:r>
      <w:r>
        <w:rPr>
          <w:u w:val="single"/>
        </w:rPr>
        <w:t>0.0</w:t>
      </w:r>
      <w:r>
        <w:rPr>
          <w:rFonts w:hint="eastAsia"/>
          <w:u w:val="single"/>
        </w:rPr>
        <w:t>05m</w:t>
      </w:r>
      <w:r>
        <w:rPr>
          <w:rFonts w:hint="eastAsia"/>
          <w:u w:val="single"/>
          <w:vertAlign w:val="superscript"/>
        </w:rPr>
        <w:t>3</w:t>
      </w:r>
      <w:r>
        <w:rPr>
          <w:rFonts w:hint="eastAsia"/>
          <w:u w:val="single"/>
        </w:rPr>
        <w:t>/s。本项目占白河20年一遇的洪峰流量比例极小，因此鸟江镇污水处理工程</w:t>
      </w:r>
      <w:r>
        <w:rPr>
          <w:u w:val="single"/>
        </w:rPr>
        <w:t>出水排入</w:t>
      </w:r>
      <w:r>
        <w:rPr>
          <w:rFonts w:hint="eastAsia"/>
          <w:u w:val="single"/>
        </w:rPr>
        <w:t>白河河道内的水对白河的行洪能力影响较小。</w:t>
      </w:r>
    </w:p>
    <w:p>
      <w:pPr>
        <w:pStyle w:val="38"/>
        <w:rPr>
          <w:u w:val="single"/>
        </w:rPr>
      </w:pPr>
      <w:bookmarkStart w:id="85" w:name="_Toc771"/>
      <w:r>
        <w:rPr>
          <w:rFonts w:hint="eastAsia"/>
          <w:u w:val="single"/>
        </w:rPr>
        <w:t>6</w:t>
      </w:r>
      <w:r>
        <w:rPr>
          <w:u w:val="single"/>
        </w:rPr>
        <w:t>.5.4</w:t>
      </w:r>
      <w:r>
        <w:rPr>
          <w:rFonts w:hint="eastAsia"/>
          <w:u w:val="single"/>
        </w:rPr>
        <w:t>对周边农业用水的影响分析</w:t>
      </w:r>
      <w:bookmarkEnd w:id="85"/>
    </w:p>
    <w:p>
      <w:pPr>
        <w:pStyle w:val="30"/>
        <w:ind w:firstLine="480"/>
        <w:rPr>
          <w:u w:val="single"/>
        </w:rPr>
      </w:pPr>
      <w:r>
        <w:rPr>
          <w:rFonts w:hint="eastAsia"/>
          <w:u w:val="single"/>
        </w:rPr>
        <w:t>根据污水处理厂设计的出水水质，对照《农田灌溉水质标准》（GB20845-2005）与不同作物灌溉用水指标对比如下。</w:t>
      </w:r>
    </w:p>
    <w:p>
      <w:pPr>
        <w:pStyle w:val="41"/>
        <w:rPr>
          <w:szCs w:val="21"/>
          <w:u w:val="single"/>
        </w:rPr>
      </w:pPr>
      <w:r>
        <w:rPr>
          <w:rFonts w:hint="eastAsia"/>
          <w:u w:val="single"/>
        </w:rPr>
        <w:t>表</w:t>
      </w:r>
      <w:r>
        <w:rPr>
          <w:u w:val="single"/>
        </w:rPr>
        <w:t>6.5-1</w:t>
      </w:r>
      <w:r>
        <w:rPr>
          <w:rFonts w:hint="eastAsia"/>
          <w:u w:val="single"/>
        </w:rPr>
        <w:t xml:space="preserve"> 不同作物灌溉水质与污水处理厂设计的出水水质对比表 单位：mg/L</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9"/>
        <w:gridCol w:w="1386"/>
        <w:gridCol w:w="1256"/>
        <w:gridCol w:w="1516"/>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Merge w:val="restart"/>
            <w:vAlign w:val="center"/>
          </w:tcPr>
          <w:p>
            <w:pPr>
              <w:pStyle w:val="43"/>
            </w:pPr>
            <w:r>
              <w:rPr>
                <w:rFonts w:hint="eastAsia"/>
              </w:rPr>
              <w:t>污染物</w:t>
            </w:r>
          </w:p>
        </w:tc>
        <w:tc>
          <w:tcPr>
            <w:tcW w:w="4158" w:type="dxa"/>
            <w:gridSpan w:val="3"/>
            <w:vAlign w:val="center"/>
          </w:tcPr>
          <w:p>
            <w:pPr>
              <w:pStyle w:val="43"/>
            </w:pPr>
            <w:r>
              <w:rPr>
                <w:rFonts w:hint="eastAsia"/>
              </w:rPr>
              <w:t>作物种类</w:t>
            </w:r>
          </w:p>
        </w:tc>
        <w:tc>
          <w:tcPr>
            <w:tcW w:w="1965" w:type="dxa"/>
            <w:vMerge w:val="restart"/>
            <w:vAlign w:val="center"/>
          </w:tcPr>
          <w:p>
            <w:pPr>
              <w:pStyle w:val="43"/>
            </w:pPr>
            <w:r>
              <w:rPr>
                <w:rFonts w:hint="eastAsia"/>
              </w:rPr>
              <w:t>污水处理厂设计出水水质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Merge w:val="continue"/>
            <w:vAlign w:val="center"/>
          </w:tcPr>
          <w:p>
            <w:pPr>
              <w:pStyle w:val="43"/>
            </w:pPr>
          </w:p>
        </w:tc>
        <w:tc>
          <w:tcPr>
            <w:tcW w:w="1386" w:type="dxa"/>
            <w:vAlign w:val="center"/>
          </w:tcPr>
          <w:p>
            <w:pPr>
              <w:pStyle w:val="43"/>
            </w:pPr>
            <w:r>
              <w:rPr>
                <w:rFonts w:hint="eastAsia"/>
              </w:rPr>
              <w:t>水作</w:t>
            </w:r>
          </w:p>
        </w:tc>
        <w:tc>
          <w:tcPr>
            <w:tcW w:w="1256" w:type="dxa"/>
            <w:vAlign w:val="center"/>
          </w:tcPr>
          <w:p>
            <w:pPr>
              <w:pStyle w:val="43"/>
            </w:pPr>
            <w:r>
              <w:rPr>
                <w:rFonts w:hint="eastAsia"/>
              </w:rPr>
              <w:t>旱作</w:t>
            </w:r>
          </w:p>
        </w:tc>
        <w:tc>
          <w:tcPr>
            <w:tcW w:w="1516" w:type="dxa"/>
            <w:vAlign w:val="center"/>
          </w:tcPr>
          <w:p>
            <w:pPr>
              <w:pStyle w:val="43"/>
            </w:pPr>
            <w:r>
              <w:rPr>
                <w:rFonts w:hint="eastAsia"/>
              </w:rPr>
              <w:t>蔬菜</w:t>
            </w:r>
          </w:p>
        </w:tc>
        <w:tc>
          <w:tcPr>
            <w:tcW w:w="1965" w:type="dxa"/>
            <w:vMerge w:val="continue"/>
            <w:vAlign w:val="center"/>
          </w:tcPr>
          <w:p>
            <w:pPr>
              <w:pStyle w:val="4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pPr>
              <w:pStyle w:val="43"/>
            </w:pPr>
            <w:r>
              <w:rPr>
                <w:rFonts w:hint="eastAsia"/>
              </w:rPr>
              <w:t>五日生化需氧量</w:t>
            </w:r>
          </w:p>
        </w:tc>
        <w:tc>
          <w:tcPr>
            <w:tcW w:w="1386" w:type="dxa"/>
            <w:vAlign w:val="center"/>
          </w:tcPr>
          <w:p>
            <w:pPr>
              <w:pStyle w:val="43"/>
            </w:pPr>
            <w:r>
              <w:rPr>
                <w:rFonts w:hint="eastAsia"/>
              </w:rPr>
              <w:t>60</w:t>
            </w:r>
          </w:p>
        </w:tc>
        <w:tc>
          <w:tcPr>
            <w:tcW w:w="1256" w:type="dxa"/>
            <w:vAlign w:val="center"/>
          </w:tcPr>
          <w:p>
            <w:pPr>
              <w:pStyle w:val="43"/>
            </w:pPr>
            <w:r>
              <w:rPr>
                <w:rFonts w:hint="eastAsia"/>
              </w:rPr>
              <w:t>100</w:t>
            </w:r>
          </w:p>
        </w:tc>
        <w:tc>
          <w:tcPr>
            <w:tcW w:w="1516" w:type="dxa"/>
            <w:vAlign w:val="center"/>
          </w:tcPr>
          <w:p>
            <w:pPr>
              <w:pStyle w:val="43"/>
            </w:pPr>
            <w:r>
              <w:rPr>
                <w:rFonts w:hint="eastAsia"/>
              </w:rPr>
              <w:t>40</w:t>
            </w:r>
            <w:r>
              <w:rPr>
                <w:rFonts w:hint="eastAsia"/>
                <w:vertAlign w:val="superscript"/>
              </w:rPr>
              <w:t>a</w:t>
            </w:r>
            <w:r>
              <w:rPr>
                <w:rFonts w:hint="eastAsia"/>
              </w:rPr>
              <w:t>,15</w:t>
            </w:r>
            <w:r>
              <w:rPr>
                <w:rFonts w:hint="eastAsia"/>
                <w:vertAlign w:val="superscript"/>
              </w:rPr>
              <w:t>b</w:t>
            </w:r>
          </w:p>
        </w:tc>
        <w:tc>
          <w:tcPr>
            <w:tcW w:w="1965" w:type="dxa"/>
            <w:vAlign w:val="center"/>
          </w:tcPr>
          <w:p>
            <w:pPr>
              <w:pStyle w:val="43"/>
            </w:pP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pPr>
              <w:pStyle w:val="43"/>
            </w:pPr>
            <w:r>
              <w:rPr>
                <w:rFonts w:hint="eastAsia"/>
              </w:rPr>
              <w:t>化学需氧量</w:t>
            </w:r>
          </w:p>
        </w:tc>
        <w:tc>
          <w:tcPr>
            <w:tcW w:w="1386" w:type="dxa"/>
            <w:vAlign w:val="center"/>
          </w:tcPr>
          <w:p>
            <w:pPr>
              <w:pStyle w:val="43"/>
            </w:pPr>
            <w:r>
              <w:rPr>
                <w:rFonts w:hint="eastAsia"/>
              </w:rPr>
              <w:t>150</w:t>
            </w:r>
          </w:p>
        </w:tc>
        <w:tc>
          <w:tcPr>
            <w:tcW w:w="1256" w:type="dxa"/>
            <w:vAlign w:val="center"/>
          </w:tcPr>
          <w:p>
            <w:pPr>
              <w:pStyle w:val="43"/>
            </w:pPr>
            <w:r>
              <w:rPr>
                <w:rFonts w:hint="eastAsia"/>
              </w:rPr>
              <w:t>200</w:t>
            </w:r>
          </w:p>
        </w:tc>
        <w:tc>
          <w:tcPr>
            <w:tcW w:w="1516" w:type="dxa"/>
            <w:vAlign w:val="center"/>
          </w:tcPr>
          <w:p>
            <w:pPr>
              <w:pStyle w:val="43"/>
            </w:pPr>
            <w:r>
              <w:rPr>
                <w:rFonts w:hint="eastAsia"/>
              </w:rPr>
              <w:t>100</w:t>
            </w:r>
            <w:r>
              <w:rPr>
                <w:rFonts w:hint="eastAsia"/>
                <w:vertAlign w:val="superscript"/>
              </w:rPr>
              <w:t>a</w:t>
            </w:r>
            <w:r>
              <w:rPr>
                <w:rFonts w:hint="eastAsia"/>
              </w:rPr>
              <w:t>,60</w:t>
            </w:r>
            <w:r>
              <w:rPr>
                <w:rFonts w:hint="eastAsia"/>
                <w:vertAlign w:val="superscript"/>
              </w:rPr>
              <w:t>b</w:t>
            </w:r>
          </w:p>
        </w:tc>
        <w:tc>
          <w:tcPr>
            <w:tcW w:w="1965" w:type="dxa"/>
            <w:vAlign w:val="center"/>
          </w:tcPr>
          <w:p>
            <w:pPr>
              <w:pStyle w:val="43"/>
            </w:pPr>
            <w:r>
              <w:rPr>
                <w:rFonts w:hint="eastAsi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99" w:type="dxa"/>
            <w:vAlign w:val="center"/>
          </w:tcPr>
          <w:p>
            <w:pPr>
              <w:pStyle w:val="43"/>
            </w:pPr>
            <w:r>
              <w:rPr>
                <w:rFonts w:hint="eastAsia"/>
              </w:rPr>
              <w:t>悬浮物</w:t>
            </w:r>
          </w:p>
        </w:tc>
        <w:tc>
          <w:tcPr>
            <w:tcW w:w="1386" w:type="dxa"/>
            <w:vAlign w:val="center"/>
          </w:tcPr>
          <w:p>
            <w:pPr>
              <w:pStyle w:val="43"/>
            </w:pPr>
            <w:r>
              <w:rPr>
                <w:rFonts w:hint="eastAsia"/>
              </w:rPr>
              <w:t>80</w:t>
            </w:r>
          </w:p>
        </w:tc>
        <w:tc>
          <w:tcPr>
            <w:tcW w:w="1256" w:type="dxa"/>
            <w:vAlign w:val="center"/>
          </w:tcPr>
          <w:p>
            <w:pPr>
              <w:pStyle w:val="43"/>
            </w:pPr>
            <w:r>
              <w:rPr>
                <w:rFonts w:hint="eastAsia"/>
              </w:rPr>
              <w:t>100</w:t>
            </w:r>
          </w:p>
        </w:tc>
        <w:tc>
          <w:tcPr>
            <w:tcW w:w="1516" w:type="dxa"/>
            <w:vAlign w:val="center"/>
          </w:tcPr>
          <w:p>
            <w:pPr>
              <w:pStyle w:val="43"/>
            </w:pPr>
            <w:r>
              <w:rPr>
                <w:rFonts w:hint="eastAsia"/>
              </w:rPr>
              <w:t>60</w:t>
            </w:r>
            <w:r>
              <w:rPr>
                <w:rFonts w:hint="eastAsia"/>
                <w:vertAlign w:val="superscript"/>
              </w:rPr>
              <w:t>a</w:t>
            </w:r>
            <w:r>
              <w:rPr>
                <w:rFonts w:hint="eastAsia"/>
              </w:rPr>
              <w:t>,15</w:t>
            </w:r>
            <w:r>
              <w:rPr>
                <w:rFonts w:hint="eastAsia"/>
                <w:vertAlign w:val="superscript"/>
              </w:rPr>
              <w:t>b</w:t>
            </w:r>
          </w:p>
        </w:tc>
        <w:tc>
          <w:tcPr>
            <w:tcW w:w="1965" w:type="dxa"/>
            <w:vAlign w:val="center"/>
          </w:tcPr>
          <w:p>
            <w:pPr>
              <w:pStyle w:val="43"/>
            </w:pP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vAlign w:val="center"/>
          </w:tcPr>
          <w:p>
            <w:pPr>
              <w:pStyle w:val="43"/>
              <w:rPr>
                <w:kern w:val="0"/>
              </w:rPr>
            </w:pPr>
            <w:r>
              <w:rPr>
                <w:rFonts w:hint="eastAsia"/>
                <w:kern w:val="0"/>
              </w:rPr>
              <w:t>a 加工、烹调及去皮蔬菜；</w:t>
            </w:r>
            <w:r>
              <w:rPr>
                <w:rFonts w:hint="eastAsia"/>
              </w:rPr>
              <w:t>b 生食类果蔬、瓜类和草本水果。</w:t>
            </w:r>
          </w:p>
        </w:tc>
      </w:tr>
    </w:tbl>
    <w:p>
      <w:pPr>
        <w:pStyle w:val="30"/>
        <w:ind w:firstLine="480"/>
      </w:pPr>
      <w:r>
        <w:rPr>
          <w:rFonts w:hint="eastAsia"/>
          <w:u w:val="single"/>
        </w:rPr>
        <w:t>根据分析，鸟江镇污水处理工程尾水正常排放的水质能够满足《农田灌溉水质标准》（GB5084-2005）标准，不会对周边农业用水产生不利影响。</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86" w:name="_Toc423"/>
      <w:r>
        <w:rPr>
          <w:rFonts w:hint="eastAsia"/>
        </w:rPr>
        <w:t>7水环境保护措施</w:t>
      </w:r>
      <w:bookmarkEnd w:id="86"/>
    </w:p>
    <w:p>
      <w:pPr>
        <w:pStyle w:val="35"/>
      </w:pPr>
      <w:bookmarkStart w:id="87" w:name="_Toc22786"/>
      <w:r>
        <w:rPr>
          <w:rFonts w:hint="eastAsia"/>
        </w:rPr>
        <w:t>7</w:t>
      </w:r>
      <w:r>
        <w:t>.1</w:t>
      </w:r>
      <w:r>
        <w:rPr>
          <w:rFonts w:hint="eastAsia"/>
        </w:rPr>
        <w:t>水生态保护措施</w:t>
      </w:r>
      <w:bookmarkEnd w:id="87"/>
    </w:p>
    <w:p>
      <w:pPr>
        <w:pStyle w:val="38"/>
      </w:pPr>
      <w:bookmarkStart w:id="88" w:name="_Toc18256"/>
      <w:r>
        <w:rPr>
          <w:rFonts w:hint="eastAsia"/>
        </w:rPr>
        <w:t>7</w:t>
      </w:r>
      <w:r>
        <w:t>.1.1</w:t>
      </w:r>
      <w:r>
        <w:rPr>
          <w:rFonts w:hint="eastAsia"/>
        </w:rPr>
        <w:t>水污染防治措施</w:t>
      </w:r>
      <w:bookmarkEnd w:id="88"/>
    </w:p>
    <w:p>
      <w:pPr>
        <w:pStyle w:val="30"/>
        <w:ind w:firstLine="480"/>
      </w:pPr>
      <w:r>
        <w:t>为了保证污水得到有效处理，实现污水达标排放，避免工程运行期间出现污水非正常排放，或将非正常排放损失降至最低，提出以下水污染防治措施：</w:t>
      </w:r>
    </w:p>
    <w:p>
      <w:pPr>
        <w:pStyle w:val="30"/>
        <w:ind w:firstLine="480"/>
      </w:pPr>
      <w:r>
        <w:rPr>
          <w:rFonts w:hint="eastAsia"/>
        </w:rPr>
        <w:t>①</w:t>
      </w:r>
      <w:r>
        <w:t>加强对各类机械设备定期检查、维护和管理，同时配备必要的备用设备， 当设备出现运转故障时及时更换，以减少事故的隐患。</w:t>
      </w:r>
    </w:p>
    <w:p>
      <w:pPr>
        <w:pStyle w:val="30"/>
        <w:ind w:firstLine="480"/>
      </w:pPr>
      <w:r>
        <w:rPr>
          <w:rFonts w:hint="eastAsia"/>
        </w:rPr>
        <w:t>②</w:t>
      </w:r>
      <w:r>
        <w:t>污水处理厂及泵站要采用双回路供电，防止因停电造成的运转事故。</w:t>
      </w:r>
    </w:p>
    <w:p>
      <w:pPr>
        <w:pStyle w:val="30"/>
        <w:ind w:firstLine="480"/>
      </w:pPr>
      <w:r>
        <w:rPr>
          <w:rFonts w:hint="eastAsia"/>
        </w:rPr>
        <w:t>③</w:t>
      </w:r>
      <w:r>
        <w:t>对污水处理设施的运转情况要及时监测，确保处理装置正常高效运转，对进水和出水水质要定期监测，根据不同的水质水量及时调整处理单元的运转参数，以保证最佳的处理效率。</w:t>
      </w:r>
    </w:p>
    <w:p>
      <w:pPr>
        <w:pStyle w:val="30"/>
        <w:ind w:firstLine="480"/>
      </w:pPr>
      <w:r>
        <w:rPr>
          <w:rFonts w:hint="eastAsia"/>
        </w:rPr>
        <w:t>④</w:t>
      </w:r>
      <w:r>
        <w:t>污水处理厂区应设立标准排放井并安装在线监测系统，以时刻监控和预防事故性排放发生，并方便环保管理部门的监督管理。</w:t>
      </w:r>
    </w:p>
    <w:p>
      <w:pPr>
        <w:pStyle w:val="30"/>
        <w:ind w:firstLine="480"/>
      </w:pPr>
      <w:r>
        <w:rPr>
          <w:rFonts w:hint="eastAsia"/>
        </w:rPr>
        <w:t>⑤</w:t>
      </w:r>
      <w:r>
        <w:t>污水处理厂扩大调节池容积，防止非正常情况下污水的外排，建立污水处理厂与工业集中区排污企业非正常排放联动机制，应将事故废水排入各企业自建事故池中，避免污水处理厂废水超标排放。</w:t>
      </w:r>
    </w:p>
    <w:p>
      <w:pPr>
        <w:pStyle w:val="38"/>
      </w:pPr>
      <w:bookmarkStart w:id="89" w:name="_Toc5306"/>
      <w:r>
        <w:rPr>
          <w:rFonts w:hint="eastAsia"/>
        </w:rPr>
        <w:t>7</w:t>
      </w:r>
      <w:r>
        <w:t>.1.2</w:t>
      </w:r>
      <w:r>
        <w:rPr>
          <w:rFonts w:hint="eastAsia"/>
        </w:rPr>
        <w:t>水质监测</w:t>
      </w:r>
      <w:bookmarkEnd w:id="89"/>
    </w:p>
    <w:p>
      <w:pPr>
        <w:pStyle w:val="30"/>
        <w:ind w:firstLine="480"/>
      </w:pPr>
      <w:r>
        <w:t>（1）加强水功能区监督管理</w:t>
      </w:r>
    </w:p>
    <w:p>
      <w:pPr>
        <w:pStyle w:val="30"/>
        <w:ind w:firstLine="480"/>
      </w:pPr>
      <w:r>
        <w:t>加强水功能区水质监测工作，及时了解水功能区内的水环境状况，依照相关</w:t>
      </w:r>
      <w:r>
        <w:rPr>
          <w:spacing w:val="-5"/>
        </w:rPr>
        <w:t>法律由地方水行政主管部门或者流域机构管理部门加强监督管理，确保达到水功</w:t>
      </w:r>
      <w:r>
        <w:t>能区管理目标</w:t>
      </w:r>
      <w:r>
        <w:rPr>
          <w:rFonts w:hint="eastAsia"/>
        </w:rPr>
        <w:t>。</w:t>
      </w:r>
    </w:p>
    <w:p>
      <w:pPr>
        <w:pStyle w:val="30"/>
        <w:ind w:firstLine="480"/>
      </w:pPr>
      <w:r>
        <w:t>（2）建立水环境监测与报告制度</w:t>
      </w:r>
    </w:p>
    <w:p>
      <w:pPr>
        <w:pStyle w:val="30"/>
        <w:ind w:firstLine="480"/>
      </w:pPr>
      <w:r>
        <w:t>本项目在设计、施工、运行中，应根据国家的环境保护政策，将水环境的监测作为重要内容。为保护水资源，一是要在工程建设中，把环境保护的硬件设施建设好；二是加强水资源保护的宣传，加强水法规定的宣传，提高企业全员水资源保护的意识，保证工程建成后，环境保护工作能按设计方案运行</w:t>
      </w:r>
      <w:r>
        <w:rPr>
          <w:rFonts w:hint="eastAsia"/>
        </w:rPr>
        <w:t>。</w:t>
      </w:r>
    </w:p>
    <w:p>
      <w:pPr>
        <w:pStyle w:val="30"/>
        <w:ind w:firstLine="480"/>
      </w:pPr>
      <w:r>
        <w:t>工程建成投产后，应加强进水口、排水口水质与水量的监测，实时监控进水、排水水量及水质，并按水法的要求定期向水行政主管部门报告</w:t>
      </w:r>
      <w:r>
        <w:rPr>
          <w:rFonts w:hint="eastAsia"/>
        </w:rPr>
        <w:t>出水水质</w:t>
      </w:r>
      <w:r>
        <w:t>、水量及水污染物排放状况。具体包括以下两方面：</w:t>
      </w:r>
    </w:p>
    <w:p>
      <w:pPr>
        <w:pStyle w:val="30"/>
        <w:ind w:firstLine="480"/>
      </w:pPr>
      <w:r>
        <w:t>1）建立环境监测制度</w:t>
      </w:r>
    </w:p>
    <w:p>
      <w:pPr>
        <w:pStyle w:val="30"/>
        <w:ind w:firstLine="480"/>
      </w:pPr>
      <w:r>
        <w:t>污水处理厂应设置化验室，并配备齐全的化验设备，建立环境监测制度，对各处理设施的进水、出水流量及污染物浓度、污泥浓度等进行监测，确保污水处理效果及达标排放。</w:t>
      </w:r>
    </w:p>
    <w:p>
      <w:pPr>
        <w:pStyle w:val="30"/>
        <w:ind w:firstLine="480"/>
      </w:pPr>
      <w:r>
        <w:rPr>
          <w:rFonts w:eastAsia="Times New Roman"/>
        </w:rPr>
        <w:t>2</w:t>
      </w:r>
      <w:r>
        <w:t>）水环境监测计划</w:t>
      </w:r>
    </w:p>
    <w:p>
      <w:pPr>
        <w:pStyle w:val="30"/>
        <w:ind w:firstLine="480"/>
      </w:pPr>
      <w:r>
        <w:t>为了有效地控制废污水排放，需按月进行定期常规监测统计，不仅要对总排污口的污染物</w:t>
      </w:r>
      <w:r>
        <w:rPr>
          <w:rFonts w:hint="eastAsia"/>
        </w:rPr>
        <w:t>（</w:t>
      </w:r>
      <w:r>
        <w:t>如</w:t>
      </w:r>
      <w:r>
        <w:rPr>
          <w:rFonts w:eastAsia="Times New Roman"/>
        </w:rPr>
        <w:t>pH</w:t>
      </w:r>
      <w:r>
        <w:t>、</w:t>
      </w:r>
      <w:r>
        <w:rPr>
          <w:rFonts w:eastAsia="Times New Roman"/>
        </w:rPr>
        <w:t>COD</w:t>
      </w:r>
      <w:r>
        <w:t>、</w:t>
      </w:r>
      <w:r>
        <w:rPr>
          <w:rFonts w:eastAsia="Times New Roman"/>
        </w:rPr>
        <w:t>BOD</w:t>
      </w:r>
      <w:r>
        <w:rPr>
          <w:rFonts w:eastAsia="Times New Roman"/>
          <w:vertAlign w:val="subscript"/>
        </w:rPr>
        <w:t>5</w:t>
      </w:r>
      <w:r>
        <w:t>、</w:t>
      </w:r>
      <w:r>
        <w:rPr>
          <w:rFonts w:eastAsia="Times New Roman"/>
        </w:rPr>
        <w:t>SS</w:t>
      </w:r>
      <w:r>
        <w:rPr>
          <w:rFonts w:hint="eastAsia"/>
        </w:rPr>
        <w:t>）</w:t>
      </w:r>
      <w:r>
        <w:t>浓度和流量进行监测，而且进水口废污水的流量和浓度也要进行监测，各监测项目的监测方法、手段、频次等均按国家有关规定进行。</w:t>
      </w:r>
    </w:p>
    <w:p>
      <w:pPr>
        <w:pStyle w:val="30"/>
        <w:ind w:firstLine="480"/>
      </w:pPr>
      <w:r>
        <w:t>为了便于项目建成后采集水样，在项目设计时预设采样口，采样口设置要有利于废水的流量测量，采样时记录生产运行的工况。</w:t>
      </w:r>
    </w:p>
    <w:p>
      <w:pPr>
        <w:pStyle w:val="35"/>
      </w:pPr>
      <w:bookmarkStart w:id="90" w:name="_Toc17198"/>
      <w:r>
        <w:rPr>
          <w:rFonts w:hint="eastAsia"/>
        </w:rPr>
        <w:t>7</w:t>
      </w:r>
      <w:r>
        <w:t>.2</w:t>
      </w:r>
      <w:r>
        <w:rPr>
          <w:rFonts w:hint="eastAsia"/>
        </w:rPr>
        <w:t>事故排污时应急措施</w:t>
      </w:r>
      <w:bookmarkEnd w:id="90"/>
    </w:p>
    <w:p>
      <w:pPr>
        <w:pStyle w:val="38"/>
      </w:pPr>
      <w:bookmarkStart w:id="91" w:name="_Toc5289"/>
      <w:r>
        <w:rPr>
          <w:rFonts w:hint="eastAsia"/>
        </w:rPr>
        <w:t>7</w:t>
      </w:r>
      <w:r>
        <w:t>.2.1</w:t>
      </w:r>
      <w:r>
        <w:rPr>
          <w:rFonts w:hint="eastAsia"/>
        </w:rPr>
        <w:t>事故预防措施</w:t>
      </w:r>
      <w:bookmarkEnd w:id="91"/>
    </w:p>
    <w:p>
      <w:pPr>
        <w:pStyle w:val="30"/>
        <w:ind w:firstLine="480"/>
      </w:pPr>
      <w:r>
        <w:rPr>
          <w:rFonts w:hint="eastAsia"/>
        </w:rPr>
        <w:t>本工程建成运行期间废水事故性排放的原因主要有以下：</w:t>
      </w:r>
    </w:p>
    <w:p>
      <w:pPr>
        <w:pStyle w:val="30"/>
        <w:ind w:firstLine="480"/>
      </w:pPr>
      <w:r>
        <w:rPr>
          <w:rFonts w:hint="eastAsia"/>
        </w:rPr>
        <w:t>（1）接管污水超出标准，导致活性污泥中毒后短期内无法恢复处理功能；</w:t>
      </w:r>
    </w:p>
    <w:p>
      <w:pPr>
        <w:pStyle w:val="30"/>
        <w:ind w:firstLine="480"/>
      </w:pPr>
      <w:r>
        <w:rPr>
          <w:rFonts w:hint="eastAsia"/>
        </w:rPr>
        <w:t>（2）停电事故和机械故障造成废污水无法正常处理；</w:t>
      </w:r>
    </w:p>
    <w:p>
      <w:pPr>
        <w:pStyle w:val="30"/>
        <w:ind w:firstLine="480"/>
      </w:pPr>
      <w:r>
        <w:rPr>
          <w:rFonts w:hint="eastAsia"/>
        </w:rPr>
        <w:t>（3）出于节省处理成本的违法直排；</w:t>
      </w:r>
    </w:p>
    <w:p>
      <w:pPr>
        <w:pStyle w:val="30"/>
        <w:ind w:firstLine="480"/>
      </w:pPr>
      <w:r>
        <w:rPr>
          <w:rFonts w:hint="eastAsia"/>
        </w:rPr>
        <w:t>（4）其他人为破坏造成的废污水泄漏事故；</w:t>
      </w:r>
    </w:p>
    <w:p>
      <w:pPr>
        <w:pStyle w:val="30"/>
        <w:ind w:firstLine="480"/>
      </w:pPr>
      <w:r>
        <w:rPr>
          <w:rFonts w:hint="eastAsia"/>
        </w:rPr>
        <w:t>（5）自然灾害原因；</w:t>
      </w:r>
    </w:p>
    <w:p>
      <w:pPr>
        <w:pStyle w:val="30"/>
        <w:ind w:firstLine="480"/>
      </w:pPr>
      <w:r>
        <w:rPr>
          <w:rFonts w:hint="eastAsia"/>
        </w:rPr>
        <w:t>（6）污水直接排放的影响，如出现这种风险，将在入河排污口下游产生一段污染带，对入河排污口下游水质产生较大影响。</w:t>
      </w:r>
    </w:p>
    <w:p>
      <w:pPr>
        <w:pStyle w:val="30"/>
        <w:ind w:firstLine="0" w:firstLineChars="0"/>
        <w:rPr>
          <w:b/>
          <w:bCs/>
          <w:u w:val="single"/>
        </w:rPr>
      </w:pPr>
      <w:bookmarkStart w:id="92" w:name="_Toc15413"/>
      <w:r>
        <w:rPr>
          <w:b/>
          <w:bCs/>
          <w:u w:val="single"/>
        </w:rPr>
        <w:t>7.2.1.1污水收集区域事故预防措施</w:t>
      </w:r>
      <w:bookmarkEnd w:id="92"/>
    </w:p>
    <w:p>
      <w:pPr>
        <w:pStyle w:val="30"/>
        <w:ind w:firstLine="480"/>
        <w:rPr>
          <w:u w:val="single"/>
        </w:rPr>
      </w:pPr>
      <w:r>
        <w:rPr>
          <w:u w:val="single"/>
        </w:rPr>
        <w:t>（1）在污水干管和支管设计中，要选择适当的最小设计流速和充满度，同时严禁固体废物排入管网，避免管道发生堵塞、破裂；</w:t>
      </w:r>
    </w:p>
    <w:p>
      <w:pPr>
        <w:pStyle w:val="30"/>
        <w:ind w:firstLine="480"/>
        <w:rPr>
          <w:u w:val="single"/>
        </w:rPr>
      </w:pPr>
      <w:r>
        <w:rPr>
          <w:u w:val="single"/>
        </w:rPr>
        <w:t>（2）污水收集管网</w:t>
      </w:r>
      <w:r>
        <w:rPr>
          <w:rFonts w:hint="eastAsia"/>
          <w:u w:val="single"/>
        </w:rPr>
        <w:t>必须</w:t>
      </w:r>
      <w:r>
        <w:rPr>
          <w:u w:val="single"/>
        </w:rPr>
        <w:t>采用符合国家标准和相关规定的合格材质，避免传输污水途中发生渗漏和外流，造成地下水及土壤的二次污染；</w:t>
      </w:r>
    </w:p>
    <w:p>
      <w:pPr>
        <w:pStyle w:val="30"/>
        <w:ind w:firstLine="480"/>
        <w:rPr>
          <w:u w:val="single"/>
        </w:rPr>
      </w:pPr>
      <w:r>
        <w:rPr>
          <w:u w:val="single"/>
        </w:rPr>
        <w:t>（3）未来计划接入污水处理厂进行处理的废水，应一同进行接入管网设计，且接入管网的的污染物排放浓度应不超出污水处理厂进水水质的设计标准；</w:t>
      </w:r>
    </w:p>
    <w:p>
      <w:pPr>
        <w:pStyle w:val="30"/>
        <w:ind w:firstLine="480"/>
        <w:rPr>
          <w:u w:val="single"/>
        </w:rPr>
      </w:pPr>
      <w:r>
        <w:rPr>
          <w:u w:val="single"/>
        </w:rPr>
        <w:t>（4）建立污水管网事故隐患排查和排水安全保障制度</w:t>
      </w:r>
      <w:r>
        <w:rPr>
          <w:rFonts w:hint="eastAsia"/>
          <w:u w:val="single"/>
        </w:rPr>
        <w:t>。</w:t>
      </w:r>
    </w:p>
    <w:p>
      <w:pPr>
        <w:pStyle w:val="30"/>
        <w:ind w:firstLine="0" w:firstLineChars="0"/>
        <w:rPr>
          <w:b/>
          <w:bCs/>
          <w:u w:val="single"/>
        </w:rPr>
      </w:pPr>
      <w:bookmarkStart w:id="93" w:name="_Toc19121"/>
      <w:r>
        <w:rPr>
          <w:b/>
          <w:bCs/>
          <w:u w:val="single"/>
        </w:rPr>
        <w:t>7.2.1.2</w:t>
      </w:r>
      <w:r>
        <w:rPr>
          <w:rFonts w:hint="eastAsia"/>
          <w:b/>
          <w:bCs/>
          <w:u w:val="single"/>
        </w:rPr>
        <w:t>污水处理厂设备运行事故预防措施</w:t>
      </w:r>
      <w:bookmarkEnd w:id="93"/>
    </w:p>
    <w:p>
      <w:pPr>
        <w:pStyle w:val="30"/>
        <w:ind w:firstLine="480"/>
        <w:rPr>
          <w:u w:val="single"/>
        </w:rPr>
      </w:pPr>
      <w:r>
        <w:rPr>
          <w:u w:val="single"/>
        </w:rPr>
        <w:t>（1）在设备选型时，应采用性能可靠的优质产品；</w:t>
      </w:r>
    </w:p>
    <w:p>
      <w:pPr>
        <w:pStyle w:val="30"/>
        <w:ind w:firstLine="480"/>
        <w:rPr>
          <w:u w:val="single"/>
        </w:rPr>
      </w:pPr>
      <w:r>
        <w:rPr>
          <w:u w:val="single"/>
        </w:rPr>
        <w:t>（2）对易发生故障的器械部件、水泵等，在设计中应考虑备用替换品；</w:t>
      </w:r>
    </w:p>
    <w:p>
      <w:pPr>
        <w:pStyle w:val="30"/>
        <w:ind w:firstLine="480"/>
        <w:rPr>
          <w:u w:val="single"/>
        </w:rPr>
      </w:pPr>
      <w:r>
        <w:rPr>
          <w:u w:val="single"/>
        </w:rPr>
        <w:t>（3）对于大型机械的易损坏零件，应有足够的备用件和替换件；</w:t>
      </w:r>
    </w:p>
    <w:p>
      <w:pPr>
        <w:pStyle w:val="30"/>
        <w:ind w:firstLine="480"/>
        <w:rPr>
          <w:u w:val="single"/>
        </w:rPr>
      </w:pPr>
      <w:r>
        <w:rPr>
          <w:u w:val="single"/>
        </w:rPr>
        <w:t>（4）加强污水处理厂内各种设备的维护、保养，确保各设备运行工况保持良好的运行状态，降低设备故障造成的风险影响；</w:t>
      </w:r>
    </w:p>
    <w:p>
      <w:pPr>
        <w:pStyle w:val="30"/>
        <w:ind w:firstLine="480"/>
        <w:rPr>
          <w:u w:val="single"/>
        </w:rPr>
      </w:pPr>
      <w:r>
        <w:rPr>
          <w:u w:val="single"/>
        </w:rPr>
        <w:t>（5）污水处理系统人为事故预防措施。加强工作人员职业操守、岗位技术、安全生产等培训，实行严格的管理制度和安全考核制度。</w:t>
      </w:r>
    </w:p>
    <w:p>
      <w:pPr>
        <w:pStyle w:val="30"/>
        <w:ind w:firstLine="480"/>
        <w:rPr>
          <w:u w:val="single"/>
        </w:rPr>
      </w:pPr>
      <w:r>
        <w:rPr>
          <w:u w:val="single"/>
        </w:rPr>
        <w:t>（6）建设完整的在线水质监测系统，对本工程运行状况、进水出水水质进行监测</w:t>
      </w:r>
      <w:r>
        <w:rPr>
          <w:rFonts w:hint="eastAsia"/>
          <w:u w:val="single"/>
        </w:rPr>
        <w:t>。</w:t>
      </w:r>
    </w:p>
    <w:p>
      <w:pPr>
        <w:pStyle w:val="30"/>
        <w:ind w:firstLine="480"/>
        <w:rPr>
          <w:u w:val="single"/>
        </w:rPr>
      </w:pPr>
      <w:r>
        <w:rPr>
          <w:rFonts w:hint="eastAsia"/>
          <w:u w:val="single"/>
        </w:rPr>
        <w:t>（7）</w:t>
      </w:r>
      <w:r>
        <w:rPr>
          <w:szCs w:val="24"/>
          <w:u w:val="single"/>
        </w:rPr>
        <w:t>加强环境应急物资配备要求</w:t>
      </w:r>
      <w:r>
        <w:rPr>
          <w:rFonts w:hint="eastAsia"/>
          <w:szCs w:val="24"/>
          <w:u w:val="single"/>
        </w:rPr>
        <w:t>。</w:t>
      </w:r>
    </w:p>
    <w:p>
      <w:pPr>
        <w:pStyle w:val="38"/>
      </w:pPr>
      <w:bookmarkStart w:id="94" w:name="_Toc26341"/>
      <w:r>
        <w:rPr>
          <w:rFonts w:hint="eastAsia"/>
        </w:rPr>
        <w:t>7</w:t>
      </w:r>
      <w:r>
        <w:t>.2.2</w:t>
      </w:r>
      <w:r>
        <w:rPr>
          <w:rFonts w:hint="eastAsia"/>
        </w:rPr>
        <w:t>事故应急预案</w:t>
      </w:r>
      <w:bookmarkEnd w:id="94"/>
    </w:p>
    <w:p>
      <w:pPr>
        <w:pStyle w:val="30"/>
        <w:ind w:firstLine="480"/>
      </w:pPr>
      <w:r>
        <w:t>当污水处理厂事故不可避免的发生时，应立即启动制定的事故应急处置预案。为了积极应对可能发生的事故排污，建设单位应成立应急救援领导小组，制定《</w:t>
      </w:r>
      <w:r>
        <w:rPr>
          <w:rFonts w:hint="eastAsia"/>
        </w:rPr>
        <w:t>鸟江镇污水处理工程</w:t>
      </w:r>
      <w:r>
        <w:t>突发环境事件应急预案》，组建应急救援专业队伍，并组织训练和演练；检查、监督做好污水处理厂事故的预防措施和应急救援的各项准备工作、发布和接触应急救援指令。组织、指挥救援队伍，实施救援行动；向生态环境局、水利局和事故现场周边单位通报事故情况，必要时向有关单位发出救援指令；组织事故调查，对应急救援工作进行总结。具体内容如下。</w:t>
      </w:r>
    </w:p>
    <w:p>
      <w:pPr>
        <w:pStyle w:val="30"/>
        <w:ind w:firstLine="0" w:firstLineChars="0"/>
        <w:rPr>
          <w:b/>
          <w:bCs/>
        </w:rPr>
      </w:pPr>
      <w:bookmarkStart w:id="95" w:name="_Toc4935"/>
      <w:r>
        <w:rPr>
          <w:rFonts w:hint="eastAsia"/>
          <w:b/>
          <w:bCs/>
        </w:rPr>
        <w:t>7.2.2.1成立应急救援领导小组</w:t>
      </w:r>
      <w:bookmarkEnd w:id="95"/>
    </w:p>
    <w:p>
      <w:pPr>
        <w:pStyle w:val="30"/>
        <w:ind w:firstLine="480"/>
      </w:pPr>
      <w:r>
        <w:t>组建应急救援专业队伍，并组织训练和演练；检查、督促做好</w:t>
      </w:r>
      <w:r>
        <w:rPr>
          <w:rFonts w:hint="eastAsia"/>
        </w:rPr>
        <w:t>污水处理厂</w:t>
      </w:r>
      <w:r>
        <w:t>事故的预防措施和应急救援的各项准备工作；发布和解除应急救援指令；组织、指挥救援队伍，实施救援行动；向生态环境局、水利局和事故现场周边单位通报事故情况，必要时向有关单位发出救援指令；组织事故调查，对应急救援工作进行总结。应急救援领导小组内部做好人员分工。</w:t>
      </w:r>
    </w:p>
    <w:p>
      <w:pPr>
        <w:pStyle w:val="30"/>
        <w:ind w:firstLine="0" w:firstLineChars="0"/>
        <w:rPr>
          <w:b/>
          <w:bCs/>
        </w:rPr>
      </w:pPr>
      <w:bookmarkStart w:id="96" w:name="_Toc19908"/>
      <w:r>
        <w:rPr>
          <w:rFonts w:hint="eastAsia"/>
          <w:b/>
          <w:bCs/>
        </w:rPr>
        <w:t>7.2.2.2事故工程措施</w:t>
      </w:r>
      <w:bookmarkEnd w:id="96"/>
    </w:p>
    <w:p>
      <w:pPr>
        <w:pStyle w:val="30"/>
        <w:ind w:firstLine="480"/>
      </w:pPr>
      <w:bookmarkStart w:id="97" w:name="_Toc1270"/>
      <w:r>
        <w:t>1、进水水质超标现场处置措施</w:t>
      </w:r>
      <w:bookmarkEnd w:id="97"/>
    </w:p>
    <w:p>
      <w:pPr>
        <w:pStyle w:val="30"/>
        <w:ind w:firstLine="480"/>
      </w:pPr>
      <w:r>
        <w:rPr>
          <w:rFonts w:hint="eastAsia" w:ascii="宋体" w:hAnsi="宋体" w:cs="宋体"/>
        </w:rPr>
        <w:t>①</w:t>
      </w:r>
      <w:r>
        <w:t>突发或短时间进水超标</w:t>
      </w:r>
    </w:p>
    <w:p>
      <w:pPr>
        <w:pStyle w:val="30"/>
        <w:ind w:firstLine="480"/>
      </w:pPr>
      <w:r>
        <w:t>当突发或短时间进水水质超标时，应减少进水量，调整污水处理工艺，充分发挥</w:t>
      </w:r>
      <w:r>
        <w:rPr>
          <w:rFonts w:hint="eastAsia"/>
        </w:rPr>
        <w:t>污水处理厂</w:t>
      </w:r>
      <w:r>
        <w:t>所具有的能力，挖掘设施、工艺、设备的潜力，调整</w:t>
      </w:r>
      <w:r>
        <w:rPr>
          <w:rFonts w:hint="eastAsia"/>
        </w:rPr>
        <w:t>污水处理</w:t>
      </w:r>
      <w:r>
        <w:t>系统运行工况，延长设备的运行时间，必要时投运备用设备，采取一切措施，尽可能在不增加设施和设备的情况下消除由于进水水质超标而引起的对出水水质下降构成的威胁，满足污水排放标准要求。</w:t>
      </w:r>
    </w:p>
    <w:p>
      <w:pPr>
        <w:pStyle w:val="30"/>
        <w:ind w:firstLine="480"/>
      </w:pPr>
      <w:r>
        <w:t>配合环保监察部门，查找超标污水源，加大监管执行力度，从源头截流进入</w:t>
      </w:r>
      <w:r>
        <w:rPr>
          <w:rFonts w:hint="eastAsia"/>
        </w:rPr>
        <w:t>污水处理厂</w:t>
      </w:r>
      <w:r>
        <w:t>的超标污水。</w:t>
      </w:r>
    </w:p>
    <w:p>
      <w:pPr>
        <w:pStyle w:val="30"/>
        <w:ind w:firstLine="480"/>
      </w:pPr>
      <w:r>
        <w:rPr>
          <w:rFonts w:hint="eastAsia" w:ascii="宋体" w:hAnsi="宋体" w:cs="宋体"/>
        </w:rPr>
        <w:t>②</w:t>
      </w:r>
      <w:r>
        <w:t>非突发或非短时间进水超标</w:t>
      </w:r>
    </w:p>
    <w:p>
      <w:pPr>
        <w:pStyle w:val="30"/>
        <w:ind w:firstLine="480"/>
      </w:pPr>
      <w:r>
        <w:t>若</w:t>
      </w:r>
      <w:r>
        <w:rPr>
          <w:rFonts w:hint="eastAsia"/>
        </w:rPr>
        <w:t>污水处理厂</w:t>
      </w:r>
      <w:r>
        <w:t>进水水质持续超标，且</w:t>
      </w:r>
      <w:r>
        <w:rPr>
          <w:rFonts w:hint="eastAsia"/>
        </w:rPr>
        <w:t>污水处理厂</w:t>
      </w:r>
      <w:r>
        <w:t>的处理能力已经得到充分发挥，并采取了一切可能采取的措施，若</w:t>
      </w:r>
      <w:r>
        <w:rPr>
          <w:rFonts w:hint="eastAsia"/>
        </w:rPr>
        <w:t>污水处理厂</w:t>
      </w:r>
      <w:r>
        <w:t>所具备的条件仍不能满足由于进水水质超标而导致出水超标时，书面形式报给相关部门，并协助彻查进水水质超标的原因，拿出解决方案，确保进水能满足合同约定，以免损坏厂区内设备和生化系统，从而影响厂区的正常运营。</w:t>
      </w:r>
    </w:p>
    <w:p>
      <w:pPr>
        <w:pStyle w:val="30"/>
        <w:ind w:firstLine="480"/>
      </w:pPr>
      <w:bookmarkStart w:id="98" w:name="_Toc11228"/>
      <w:r>
        <w:t>2、停电设备故障等事故的现场处置</w:t>
      </w:r>
      <w:bookmarkEnd w:id="98"/>
    </w:p>
    <w:p>
      <w:pPr>
        <w:pStyle w:val="30"/>
        <w:ind w:firstLine="480"/>
      </w:pPr>
      <w:r>
        <w:t>污水处理厂供电系统设计双电源供电，当主线路停电时可开启自备发电机组，若两路电源均无法供电，采取以下处置措施：</w:t>
      </w:r>
    </w:p>
    <w:p>
      <w:pPr>
        <w:pStyle w:val="30"/>
        <w:ind w:firstLine="480"/>
      </w:pPr>
      <w:r>
        <w:t>（1）长时间停电将对生物菌种带来不良影响，可能引起微生物死亡、活性污泥量减少、污泥活性降低；为应对此种情况，来电后加大生化池的曝气量以保持活性污泥的活性，保证来电以后尽快的恢复运行。</w:t>
      </w:r>
    </w:p>
    <w:p>
      <w:pPr>
        <w:pStyle w:val="30"/>
        <w:ind w:firstLine="480"/>
      </w:pPr>
      <w:r>
        <w:t>（2）突然停电将使全厂有用电设备全部断电而很多设备开关仍然处于开启状态，一旦突然来电将可能引起设备损毁事故，为预防</w:t>
      </w:r>
      <w:r>
        <w:rPr>
          <w:rFonts w:hint="eastAsia"/>
        </w:rPr>
        <w:t>此类情况</w:t>
      </w:r>
      <w:r>
        <w:t>的发生，在停电后</w:t>
      </w:r>
      <w:r>
        <w:rPr>
          <w:rFonts w:hint="eastAsia"/>
        </w:rPr>
        <w:t>污水处理厂</w:t>
      </w:r>
      <w:r>
        <w:t>将及时对配电间进行倒闸，并及时将全</w:t>
      </w:r>
      <w:r>
        <w:rPr>
          <w:rFonts w:hint="eastAsia"/>
        </w:rPr>
        <w:t>厂</w:t>
      </w:r>
      <w:r>
        <w:t>所有设备开关打入停止状态，预防事故发生。</w:t>
      </w:r>
    </w:p>
    <w:p>
      <w:pPr>
        <w:pStyle w:val="30"/>
        <w:ind w:firstLine="480"/>
      </w:pPr>
      <w:r>
        <w:t>（3）停电，立即向突发环境事件应急机构、生态环境部门等部门汇报，并和供电公司及时联系送电情况。</w:t>
      </w:r>
    </w:p>
    <w:p>
      <w:pPr>
        <w:pStyle w:val="30"/>
        <w:ind w:firstLine="480"/>
      </w:pPr>
      <w:r>
        <w:t>（4）当发生大面积停电时，全厂的用电设备均无法正常工作，此时厂长应及时通知岗位运行人员对厂内的所有蓄水池进行人工观测水位，确保水池的容水能力；如有必要，应通知上游泵站停止进水；如仍不能解决问题应租借相应功率的发电机供电确保运行。</w:t>
      </w:r>
    </w:p>
    <w:p>
      <w:pPr>
        <w:pStyle w:val="30"/>
        <w:ind w:firstLine="480"/>
      </w:pPr>
      <w:r>
        <w:t>（5）来电后，按操作规程即刻开启设备，恢复运行。应保持停电信息与各污水泵站进行沟通，停电前，开启排水设备将管道内污水降至最低水平，以充分利用管网容积储水，送电后，立即开启水泵，通知泵站进水，恢复</w:t>
      </w:r>
      <w:r>
        <w:rPr>
          <w:rFonts w:hint="eastAsia"/>
        </w:rPr>
        <w:t>运营</w:t>
      </w:r>
      <w:r>
        <w:t>，同时，根据停电时间的长短及</w:t>
      </w:r>
      <w:r>
        <w:rPr>
          <w:rFonts w:hint="eastAsia"/>
        </w:rPr>
        <w:t>污水处理厂</w:t>
      </w:r>
      <w:r>
        <w:t>管网情况确定能够容纳停电期间入厂的污水，如不能，及时通知当地生态环境部门，提高上游排水企业的排污标准，实现达标排放。</w:t>
      </w:r>
    </w:p>
    <w:p>
      <w:pPr>
        <w:pStyle w:val="30"/>
        <w:ind w:firstLine="0" w:firstLineChars="0"/>
        <w:rPr>
          <w:b/>
          <w:bCs/>
        </w:rPr>
      </w:pPr>
      <w:bookmarkStart w:id="99" w:name="_Toc22411"/>
      <w:bookmarkStart w:id="100" w:name="_Toc25977"/>
      <w:r>
        <w:rPr>
          <w:rFonts w:hint="eastAsia"/>
          <w:b/>
          <w:bCs/>
        </w:rPr>
        <w:t>7.2.2.3风险事故防范对策及措施</w:t>
      </w:r>
      <w:bookmarkEnd w:id="99"/>
      <w:bookmarkEnd w:id="100"/>
    </w:p>
    <w:p>
      <w:pPr>
        <w:pStyle w:val="30"/>
        <w:ind w:firstLine="480"/>
        <w:rPr>
          <w:color w:val="000000"/>
        </w:rPr>
      </w:pPr>
      <w:r>
        <w:rPr>
          <w:color w:val="000000"/>
        </w:rPr>
        <w:t>（</w:t>
      </w:r>
      <w:r>
        <w:rPr>
          <w:rFonts w:hint="eastAsia"/>
          <w:color w:val="000000"/>
        </w:rPr>
        <w:t>1</w:t>
      </w:r>
      <w:r>
        <w:rPr>
          <w:color w:val="000000"/>
        </w:rPr>
        <w:t>）非正常污水排放的防护</w:t>
      </w:r>
    </w:p>
    <w:p>
      <w:pPr>
        <w:pStyle w:val="30"/>
        <w:ind w:firstLine="480"/>
      </w:pPr>
      <w:r>
        <w:t>项目建成后一旦发生事故，所收集的污水将不能达标排放，超标污水进入</w:t>
      </w:r>
      <w:r>
        <w:rPr>
          <w:rFonts w:hint="eastAsia"/>
        </w:rPr>
        <w:t>白河</w:t>
      </w:r>
      <w:r>
        <w:t>势必造成河流污染，带来不利影响。针对这种情况提出了事故应急措施。</w:t>
      </w:r>
    </w:p>
    <w:p>
      <w:pPr>
        <w:pStyle w:val="30"/>
        <w:ind w:firstLine="480"/>
      </w:pPr>
      <w:r>
        <w:t>项目采用双路电源，设有一路备用电源，减少停电几率，并提高设备的备用率，以确保污水处理厂的正常运行。主要措施如下：</w:t>
      </w:r>
    </w:p>
    <w:p>
      <w:pPr>
        <w:pStyle w:val="30"/>
        <w:ind w:firstLine="480"/>
        <w:rPr>
          <w:u w:val="single"/>
        </w:rPr>
      </w:pPr>
      <w:r>
        <w:rPr>
          <w:u w:val="single"/>
        </w:rPr>
        <w:t>加强电站管理，保证供电设施及线路正常运行；加强输水管线的巡查，及时发现问题及时解决；建立污水处理厂运行管理和操作责任制度；搞好员工培训，建立技术考核档案，不合格者不得上岗；加强设备、设施的维护与管理，关键设备应有备机，保证电源双回路供电。</w:t>
      </w:r>
    </w:p>
    <w:p>
      <w:pPr>
        <w:pStyle w:val="30"/>
        <w:ind w:firstLine="480"/>
      </w:pPr>
      <w:r>
        <w:t>一旦发生事故，立即采取以下措施：</w:t>
      </w:r>
    </w:p>
    <w:p>
      <w:pPr>
        <w:pStyle w:val="30"/>
        <w:ind w:firstLine="480"/>
      </w:pPr>
      <w:r>
        <w:rPr>
          <w:rFonts w:hint="eastAsia" w:ascii="宋体" w:hAnsi="宋体" w:cs="宋体"/>
        </w:rPr>
        <w:t>①</w:t>
      </w:r>
      <w:r>
        <w:t>保证格栅和沉砂池正常运行，使进水中的SS和COD</w:t>
      </w:r>
      <w:r>
        <w:rPr>
          <w:rFonts w:hint="eastAsia"/>
        </w:rPr>
        <w:t>c</w:t>
      </w:r>
      <w:r>
        <w:t>r得到一定的削减；</w:t>
      </w:r>
    </w:p>
    <w:p>
      <w:pPr>
        <w:pStyle w:val="30"/>
        <w:ind w:firstLine="480"/>
      </w:pPr>
      <w:r>
        <w:rPr>
          <w:rFonts w:hint="eastAsia" w:ascii="宋体" w:hAnsi="宋体" w:cs="宋体"/>
        </w:rPr>
        <w:t>②</w:t>
      </w:r>
      <w:r>
        <w:t>从汇水系统查找原因，有关企事业单位采取应急措施，控制对微生物有毒害物质的排放量；</w:t>
      </w:r>
    </w:p>
    <w:p>
      <w:pPr>
        <w:pStyle w:val="30"/>
        <w:ind w:firstLine="480"/>
      </w:pPr>
      <w:r>
        <w:rPr>
          <w:rFonts w:hint="eastAsia" w:ascii="宋体" w:hAnsi="宋体" w:cs="宋体"/>
        </w:rPr>
        <w:t>③</w:t>
      </w:r>
      <w:r>
        <w:t>如一旦出现不可抗拒的外部原因，如双回路停电，突发性自然灾害等情况将导致污水未处理外排时，要求接管工厂部分或全部停止向管道排污，以确保水体功能安全；</w:t>
      </w:r>
    </w:p>
    <w:p>
      <w:pPr>
        <w:pStyle w:val="30"/>
        <w:ind w:firstLine="480"/>
      </w:pPr>
      <w:r>
        <w:rPr>
          <w:rFonts w:hint="eastAsia" w:ascii="宋体" w:hAnsi="宋体" w:cs="宋体"/>
        </w:rPr>
        <w:t>④</w:t>
      </w:r>
      <w:r>
        <w:t>在事故发生及处理期间，应在排放口附近水域悬挂标志示警，提醒各有关方面采取防范措施。</w:t>
      </w:r>
    </w:p>
    <w:p>
      <w:pPr>
        <w:pStyle w:val="30"/>
        <w:ind w:firstLine="480"/>
        <w:rPr>
          <w:color w:val="000000"/>
        </w:rPr>
      </w:pPr>
      <w:r>
        <w:rPr>
          <w:color w:val="000000"/>
        </w:rPr>
        <w:t>（</w:t>
      </w:r>
      <w:r>
        <w:rPr>
          <w:rFonts w:hint="eastAsia"/>
          <w:color w:val="000000"/>
        </w:rPr>
        <w:t>2</w:t>
      </w:r>
      <w:r>
        <w:rPr>
          <w:color w:val="000000"/>
        </w:rPr>
        <w:t>）暴雨对污水处理厂影响的预防措施</w:t>
      </w:r>
    </w:p>
    <w:p>
      <w:pPr>
        <w:pStyle w:val="30"/>
        <w:ind w:firstLine="480"/>
      </w:pPr>
      <w:r>
        <w:t>设计中要充分考虑到暴雨的影响，按国家有关规定，考虑设计年和校核年暴雨的影响。</w:t>
      </w:r>
    </w:p>
    <w:p>
      <w:pPr>
        <w:pStyle w:val="30"/>
        <w:ind w:firstLine="480"/>
      </w:pPr>
      <w:r>
        <w:t>（</w:t>
      </w:r>
      <w:r>
        <w:rPr>
          <w:rFonts w:hint="eastAsia"/>
        </w:rPr>
        <w:t>3</w:t>
      </w:r>
      <w:r>
        <w:t>）输水管道渗漏预防措施</w:t>
      </w:r>
    </w:p>
    <w:p>
      <w:pPr>
        <w:pStyle w:val="30"/>
        <w:ind w:firstLine="480"/>
      </w:pPr>
      <w:r>
        <w:t>施工过程中确定工程质量，做好污水输送管道的防渗措施。运行期定期检查，一旦发现管道渗漏及时修复。</w:t>
      </w:r>
    </w:p>
    <w:p>
      <w:pPr>
        <w:pStyle w:val="30"/>
        <w:ind w:firstLine="480"/>
      </w:pPr>
      <w:r>
        <w:rPr>
          <w:rFonts w:hint="eastAsia"/>
        </w:rPr>
        <w:t>（4）</w:t>
      </w:r>
      <w:r>
        <w:t>地下水应急处置和应急预案</w:t>
      </w:r>
    </w:p>
    <w:p>
      <w:pPr>
        <w:pStyle w:val="30"/>
        <w:ind w:firstLine="480"/>
      </w:pPr>
      <w:r>
        <w:t>在制定全厂安全管理体制的基础上，制订专门的地下水污染事故的应急措施，并应与其它应急预案相协调。</w:t>
      </w:r>
    </w:p>
    <w:p>
      <w:pPr>
        <w:pStyle w:val="30"/>
        <w:ind w:firstLine="480"/>
      </w:pPr>
      <w:r>
        <w:t>一旦发现地下水发生异常情况，必须按照应急预案马上采取紧急措施：</w:t>
      </w:r>
    </w:p>
    <w:p>
      <w:pPr>
        <w:pStyle w:val="30"/>
        <w:ind w:firstLine="480"/>
      </w:pPr>
      <w:r>
        <w:t>1）当确定发生地下水异常情况时，按照</w:t>
      </w:r>
      <w:r>
        <w:rPr>
          <w:rFonts w:hint="eastAsia"/>
        </w:rPr>
        <w:t>制定</w:t>
      </w:r>
      <w:r>
        <w:t>的地下水应急预案，在第一时间内尽快上报主管领导，通知当地</w:t>
      </w:r>
      <w:r>
        <w:rPr>
          <w:rFonts w:hint="eastAsia"/>
        </w:rPr>
        <w:t>生态环境</w:t>
      </w:r>
      <w:r>
        <w:t>局、附近居民等地下水用户，密切关注地下水水质变化情况。</w:t>
      </w:r>
    </w:p>
    <w:p>
      <w:pPr>
        <w:pStyle w:val="30"/>
        <w:ind w:firstLine="480"/>
      </w:pPr>
      <w:r>
        <w:t>2）组织专业队伍对事故现场进行调查、监测，查找环境事故发生地点、分析事故原因，尽量将紧急事件局部化，如可能应予以消除，采取包括切断生产装置或设施等措施，防止事故的扩散、蔓延及连锁反应，尽量缩小地下水污染事故的影响。</w:t>
      </w:r>
    </w:p>
    <w:p>
      <w:pPr>
        <w:pStyle w:val="30"/>
        <w:ind w:firstLine="480"/>
      </w:pPr>
      <w:r>
        <w:t>3）当通过监测发现对周围地下水造成污染时，根据观测井的反馈信息，控制污染区地下水流场，防止污染物扩散。</w:t>
      </w:r>
    </w:p>
    <w:p>
      <w:pPr>
        <w:pStyle w:val="30"/>
        <w:ind w:firstLine="480"/>
      </w:pPr>
      <w:r>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pPr>
        <w:pStyle w:val="30"/>
        <w:ind w:firstLine="480"/>
      </w:pPr>
      <w:r>
        <w:t>当发现地下水受到范围污染时，首先确定污染的大致范围。根据污染的范围，在污染区的下游位置布置应急排水井</w:t>
      </w:r>
      <w:r>
        <w:rPr>
          <w:rFonts w:hint="eastAsia"/>
        </w:rPr>
        <w:t>，</w:t>
      </w:r>
      <w:r>
        <w:t>抽</w:t>
      </w:r>
      <w:r>
        <w:rPr>
          <w:rFonts w:hint="eastAsia"/>
        </w:rPr>
        <w:t>入</w:t>
      </w:r>
      <w:r>
        <w:t>污水送污水处理厂集中处理。</w:t>
      </w:r>
    </w:p>
    <w:p>
      <w:pPr>
        <w:pStyle w:val="30"/>
        <w:ind w:firstLine="480"/>
      </w:pPr>
      <w:r>
        <w:t>4）对事故后果进行评估，并制定防止类似事件发生的措施。</w:t>
      </w:r>
    </w:p>
    <w:p>
      <w:pPr>
        <w:pStyle w:val="30"/>
        <w:ind w:firstLine="480"/>
      </w:pPr>
      <w:r>
        <w:t>5）如果自身力量无法应对污染事故，应立即请求社会应急力量协助处理。</w:t>
      </w:r>
    </w:p>
    <w:p>
      <w:pPr>
        <w:pStyle w:val="30"/>
        <w:ind w:firstLine="480"/>
      </w:pPr>
      <w:r>
        <w:t>综上所述，污水处理工程存在一定的环境风险，包括对附近水域的污染影响，在设计中应</w:t>
      </w:r>
      <w:r>
        <w:rPr>
          <w:rFonts w:hint="eastAsia"/>
        </w:rPr>
        <w:t>充分考虑</w:t>
      </w:r>
      <w:r>
        <w:t>可能的风险事故并采取必要的措施，在日常工作中加强管理，预防和及时处理风险事故，减少可能的环境影响及经济损失</w:t>
      </w:r>
      <w:r>
        <w:rPr>
          <w:rFonts w:hint="eastAsia"/>
        </w:rPr>
        <w:t>。</w:t>
      </w:r>
    </w:p>
    <w:p>
      <w:pPr>
        <w:pStyle w:val="30"/>
        <w:ind w:firstLine="480"/>
      </w:pP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101" w:name="_Toc17555"/>
      <w:r>
        <w:rPr>
          <w:rFonts w:hint="eastAsia"/>
        </w:rPr>
        <w:t>8入河排污口设置合理性分析</w:t>
      </w:r>
      <w:bookmarkEnd w:id="101"/>
    </w:p>
    <w:p>
      <w:pPr>
        <w:pStyle w:val="35"/>
        <w:rPr>
          <w:u w:val="single"/>
        </w:rPr>
      </w:pPr>
      <w:bookmarkStart w:id="102" w:name="_Toc29972"/>
      <w:r>
        <w:rPr>
          <w:rFonts w:hint="eastAsia"/>
          <w:u w:val="single"/>
        </w:rPr>
        <w:t>8</w:t>
      </w:r>
      <w:r>
        <w:rPr>
          <w:u w:val="single"/>
        </w:rPr>
        <w:t>.1</w:t>
      </w:r>
      <w:r>
        <w:rPr>
          <w:rFonts w:hint="eastAsia"/>
          <w:u w:val="single"/>
        </w:rPr>
        <w:t>产业政策、水域管理、第三者权益相符性分析</w:t>
      </w:r>
      <w:bookmarkEnd w:id="102"/>
    </w:p>
    <w:p>
      <w:pPr>
        <w:pStyle w:val="38"/>
        <w:rPr>
          <w:u w:val="single"/>
        </w:rPr>
      </w:pPr>
      <w:bookmarkStart w:id="103" w:name="_Toc29412"/>
      <w:r>
        <w:rPr>
          <w:rFonts w:hint="eastAsia"/>
          <w:u w:val="single"/>
        </w:rPr>
        <w:t>8</w:t>
      </w:r>
      <w:r>
        <w:rPr>
          <w:u w:val="single"/>
        </w:rPr>
        <w:t>.1.1</w:t>
      </w:r>
      <w:r>
        <w:rPr>
          <w:rFonts w:hint="eastAsia"/>
          <w:u w:val="single"/>
        </w:rPr>
        <w:t>产业政策符合性分析</w:t>
      </w:r>
      <w:bookmarkEnd w:id="103"/>
    </w:p>
    <w:p>
      <w:pPr>
        <w:pStyle w:val="30"/>
        <w:ind w:firstLine="480"/>
        <w:rPr>
          <w:u w:val="single"/>
        </w:rPr>
      </w:pPr>
      <w:r>
        <w:rPr>
          <w:szCs w:val="24"/>
          <w:u w:val="single"/>
        </w:rPr>
        <w:t>根据国家计委、经贸委2000年第7号令《当前国家重点鼓励发展的产业、产品和技术目录（2000年修订）》，本项目属于城市基础设施及房地产“城镇水资源、自来水、排水及污水处理工程”条目，符合国家产业政策。</w:t>
      </w:r>
    </w:p>
    <w:p>
      <w:pPr>
        <w:pStyle w:val="38"/>
        <w:rPr>
          <w:u w:val="single"/>
        </w:rPr>
      </w:pPr>
      <w:bookmarkStart w:id="104" w:name="_Toc18350"/>
      <w:r>
        <w:rPr>
          <w:rFonts w:hint="eastAsia"/>
          <w:u w:val="single"/>
        </w:rPr>
        <w:t>8</w:t>
      </w:r>
      <w:r>
        <w:rPr>
          <w:u w:val="single"/>
        </w:rPr>
        <w:t>.1.2</w:t>
      </w:r>
      <w:r>
        <w:rPr>
          <w:rFonts w:hint="eastAsia"/>
          <w:u w:val="single"/>
        </w:rPr>
        <w:t>与水域管理相符性分析</w:t>
      </w:r>
      <w:bookmarkEnd w:id="104"/>
    </w:p>
    <w:p>
      <w:pPr>
        <w:pStyle w:val="30"/>
        <w:ind w:firstLine="480"/>
        <w:rPr>
          <w:u w:val="single"/>
        </w:rPr>
      </w:pPr>
      <w:r>
        <w:rPr>
          <w:szCs w:val="24"/>
          <w:u w:val="single"/>
        </w:rPr>
        <w:t>本次拟建排污口所在的</w:t>
      </w:r>
      <w:r>
        <w:rPr>
          <w:rFonts w:hint="eastAsia"/>
          <w:u w:val="single"/>
        </w:rPr>
        <w:t>白河</w:t>
      </w:r>
      <w:r>
        <w:rPr>
          <w:rFonts w:hint="eastAsia"/>
          <w:szCs w:val="24"/>
          <w:u w:val="single"/>
        </w:rPr>
        <w:t>河段为开发利用区的渔业用水区</w:t>
      </w:r>
      <w:r>
        <w:rPr>
          <w:szCs w:val="24"/>
          <w:u w:val="single"/>
        </w:rPr>
        <w:t>，执行《地表水环境质量标准》（GB3838-2002）</w:t>
      </w:r>
      <w:r>
        <w:rPr>
          <w:rFonts w:hint="eastAsia" w:ascii="宋体" w:hAnsi="宋体" w:cs="宋体"/>
          <w:szCs w:val="24"/>
          <w:u w:val="single"/>
        </w:rPr>
        <w:t>Ⅲ类</w:t>
      </w:r>
      <w:r>
        <w:rPr>
          <w:szCs w:val="24"/>
          <w:u w:val="single"/>
        </w:rPr>
        <w:t>水质目标。正常排放下，CODcr、NH</w:t>
      </w:r>
      <w:r>
        <w:rPr>
          <w:szCs w:val="24"/>
          <w:u w:val="single"/>
          <w:vertAlign w:val="subscript"/>
        </w:rPr>
        <w:t>3</w:t>
      </w:r>
      <w:r>
        <w:rPr>
          <w:szCs w:val="24"/>
          <w:u w:val="single"/>
        </w:rPr>
        <w:t>-N</w:t>
      </w:r>
      <w:r>
        <w:rPr>
          <w:rFonts w:hint="eastAsia"/>
          <w:szCs w:val="24"/>
          <w:u w:val="single"/>
        </w:rPr>
        <w:t>、总磷</w:t>
      </w:r>
      <w:r>
        <w:rPr>
          <w:szCs w:val="24"/>
          <w:u w:val="single"/>
        </w:rPr>
        <w:t>预测结果满足《地表水环境质量标准》（GB3838-2002）</w:t>
      </w:r>
      <w:r>
        <w:rPr>
          <w:rFonts w:hint="eastAsia"/>
          <w:szCs w:val="24"/>
          <w:u w:val="single"/>
        </w:rPr>
        <w:t>Ⅲ类</w:t>
      </w:r>
      <w:r>
        <w:rPr>
          <w:szCs w:val="24"/>
          <w:u w:val="single"/>
        </w:rPr>
        <w:t>标准限值。排污口的设置不改变排污口所处水功能区及下游水功能的使用功能，也不影响相邻水功能区的使用</w:t>
      </w:r>
      <w:r>
        <w:rPr>
          <w:rFonts w:hint="eastAsia"/>
          <w:szCs w:val="24"/>
          <w:u w:val="single"/>
        </w:rPr>
        <w:t>。</w:t>
      </w:r>
    </w:p>
    <w:p>
      <w:pPr>
        <w:pStyle w:val="38"/>
        <w:rPr>
          <w:u w:val="single"/>
        </w:rPr>
      </w:pPr>
      <w:bookmarkStart w:id="105" w:name="_Toc10764"/>
      <w:r>
        <w:rPr>
          <w:rFonts w:hint="eastAsia"/>
          <w:u w:val="single"/>
        </w:rPr>
        <w:t>8</w:t>
      </w:r>
      <w:r>
        <w:rPr>
          <w:u w:val="single"/>
        </w:rPr>
        <w:t>.1.3</w:t>
      </w:r>
      <w:r>
        <w:rPr>
          <w:rFonts w:hint="eastAsia"/>
          <w:u w:val="single"/>
        </w:rPr>
        <w:t>第三者权益的相符性分析</w:t>
      </w:r>
      <w:bookmarkEnd w:id="105"/>
    </w:p>
    <w:p>
      <w:pPr>
        <w:pStyle w:val="30"/>
        <w:ind w:firstLine="480"/>
        <w:rPr>
          <w:u w:val="single"/>
        </w:rPr>
      </w:pPr>
      <w:r>
        <w:rPr>
          <w:rFonts w:hint="eastAsia"/>
          <w:szCs w:val="24"/>
          <w:u w:val="single"/>
        </w:rPr>
        <w:t>本项目下游论证范围内不涉及</w:t>
      </w:r>
      <w:r>
        <w:rPr>
          <w:rFonts w:hint="eastAsia"/>
          <w:u w:val="single"/>
        </w:rPr>
        <w:t>常规水质监测断面和饮用水水源保护区；</w:t>
      </w:r>
      <w:r>
        <w:rPr>
          <w:u w:val="single"/>
        </w:rPr>
        <w:t>本入河排污口</w:t>
      </w:r>
      <w:r>
        <w:rPr>
          <w:rFonts w:hint="eastAsia"/>
          <w:u w:val="single"/>
        </w:rPr>
        <w:t>经灌溉渠排入白河右岸</w:t>
      </w:r>
      <w:r>
        <w:rPr>
          <w:u w:val="single"/>
        </w:rPr>
        <w:t>，</w:t>
      </w:r>
      <w:r>
        <w:rPr>
          <w:rFonts w:hint="eastAsia"/>
          <w:u w:val="single"/>
        </w:rPr>
        <w:t>外排废水量很小，对白河水量冲击很小，</w:t>
      </w:r>
      <w:r>
        <w:rPr>
          <w:u w:val="single"/>
        </w:rPr>
        <w:t>不会对</w:t>
      </w:r>
      <w:r>
        <w:rPr>
          <w:rFonts w:hint="eastAsia"/>
          <w:u w:val="single"/>
        </w:rPr>
        <w:t>白河</w:t>
      </w:r>
      <w:r>
        <w:rPr>
          <w:u w:val="single"/>
        </w:rPr>
        <w:t>行洪及防洪产生影响，符合防洪要求。</w:t>
      </w:r>
      <w:r>
        <w:rPr>
          <w:rFonts w:hint="eastAsia"/>
          <w:u w:val="single"/>
        </w:rPr>
        <w:t>鸟江镇污水处理工程尾水正常排放的水质能够满足《农田灌溉水质标准》（GB5084-2005）标准，不会对周边农业用水产生不利影响。</w:t>
      </w:r>
    </w:p>
    <w:p>
      <w:pPr>
        <w:pStyle w:val="30"/>
        <w:ind w:firstLine="480"/>
        <w:rPr>
          <w:u w:val="single"/>
        </w:rPr>
      </w:pPr>
      <w:r>
        <w:rPr>
          <w:rFonts w:hint="eastAsia"/>
          <w:u w:val="single"/>
        </w:rPr>
        <w:t>综上所述，</w:t>
      </w:r>
      <w:r>
        <w:rPr>
          <w:rFonts w:hint="eastAsia"/>
          <w:szCs w:val="24"/>
          <w:u w:val="single"/>
        </w:rPr>
        <w:t>本入河排污口的设置对下游第三者权益的影响较小。</w:t>
      </w:r>
    </w:p>
    <w:p>
      <w:pPr>
        <w:pStyle w:val="35"/>
        <w:rPr>
          <w:u w:val="single"/>
        </w:rPr>
      </w:pPr>
      <w:bookmarkStart w:id="106" w:name="_Toc15982"/>
      <w:r>
        <w:rPr>
          <w:rFonts w:hint="eastAsia"/>
          <w:u w:val="single"/>
        </w:rPr>
        <w:t>8</w:t>
      </w:r>
      <w:r>
        <w:rPr>
          <w:u w:val="single"/>
        </w:rPr>
        <w:t>.2</w:t>
      </w:r>
      <w:r>
        <w:rPr>
          <w:rFonts w:hint="eastAsia"/>
          <w:u w:val="single"/>
        </w:rPr>
        <w:t>入河排污口河段河床稳定性和防洪影响</w:t>
      </w:r>
      <w:bookmarkEnd w:id="106"/>
    </w:p>
    <w:p>
      <w:pPr>
        <w:pStyle w:val="30"/>
        <w:ind w:firstLine="480"/>
        <w:rPr>
          <w:u w:val="single"/>
        </w:rPr>
      </w:pPr>
      <w:r>
        <w:rPr>
          <w:rFonts w:hint="eastAsia" w:hAnsi="宋体"/>
          <w:szCs w:val="24"/>
        </w:rPr>
        <w:t>入河排污口设置位置位于东侧沟渠右岸，地理坐标为</w:t>
      </w:r>
      <w:r>
        <w:rPr>
          <w:rFonts w:hint="eastAsia"/>
          <w:szCs w:val="24"/>
        </w:rPr>
        <w:t>E</w:t>
      </w:r>
      <w:r>
        <w:rPr>
          <w:szCs w:val="36"/>
        </w:rPr>
        <w:t>112°12′5.1″,</w:t>
      </w:r>
      <w:r>
        <w:rPr>
          <w:rFonts w:hint="eastAsia"/>
          <w:szCs w:val="36"/>
        </w:rPr>
        <w:t>N</w:t>
      </w:r>
      <w:r>
        <w:rPr>
          <w:szCs w:val="36"/>
        </w:rPr>
        <w:t>26°36′55.77″</w:t>
      </w:r>
      <w:r>
        <w:rPr>
          <w:szCs w:val="24"/>
        </w:rPr>
        <w:t>。</w:t>
      </w:r>
    </w:p>
    <w:p>
      <w:pPr>
        <w:pStyle w:val="30"/>
        <w:ind w:firstLine="480"/>
        <w:rPr>
          <w:u w:val="single"/>
        </w:rPr>
      </w:pPr>
      <w:r>
        <w:rPr>
          <w:u w:val="single"/>
        </w:rPr>
        <w:t>本入河排污口</w:t>
      </w:r>
      <w:r>
        <w:rPr>
          <w:rFonts w:hint="eastAsia"/>
          <w:u w:val="single"/>
        </w:rPr>
        <w:t>经灌溉渠排入白河右岸</w:t>
      </w:r>
      <w:r>
        <w:rPr>
          <w:u w:val="single"/>
        </w:rPr>
        <w:t>，排污口所在河段两岸稳定，河道通畅，</w:t>
      </w:r>
      <w:r>
        <w:rPr>
          <w:rFonts w:hint="eastAsia"/>
          <w:u w:val="single"/>
        </w:rPr>
        <w:t>本入河排污口规划流</w:t>
      </w:r>
      <w:r>
        <w:rPr>
          <w:u w:val="single"/>
        </w:rPr>
        <w:t>量为</w:t>
      </w:r>
      <w:r>
        <w:rPr>
          <w:rFonts w:hint="eastAsia"/>
          <w:u w:val="single"/>
        </w:rPr>
        <w:t>近期0.0025</w:t>
      </w:r>
      <w:r>
        <w:rPr>
          <w:u w:val="single"/>
        </w:rPr>
        <w:t>m</w:t>
      </w:r>
      <w:r>
        <w:rPr>
          <w:u w:val="single"/>
          <w:vertAlign w:val="superscript"/>
        </w:rPr>
        <w:t>3</w:t>
      </w:r>
      <w:r>
        <w:rPr>
          <w:u w:val="single"/>
        </w:rPr>
        <w:t>/s</w:t>
      </w:r>
      <w:r>
        <w:rPr>
          <w:rFonts w:hint="eastAsia"/>
          <w:u w:val="single"/>
        </w:rPr>
        <w:t>，远期0.005</w:t>
      </w:r>
      <w:r>
        <w:rPr>
          <w:u w:val="single"/>
        </w:rPr>
        <w:t>m</w:t>
      </w:r>
      <w:r>
        <w:rPr>
          <w:u w:val="single"/>
          <w:vertAlign w:val="superscript"/>
        </w:rPr>
        <w:t>3</w:t>
      </w:r>
      <w:r>
        <w:rPr>
          <w:u w:val="single"/>
        </w:rPr>
        <w:t>/s，不会对河床产生冲刷和淤积影响</w:t>
      </w:r>
      <w:r>
        <w:rPr>
          <w:rFonts w:hint="eastAsia"/>
          <w:u w:val="single"/>
        </w:rPr>
        <w:t>，</w:t>
      </w:r>
      <w:r>
        <w:rPr>
          <w:u w:val="single"/>
        </w:rPr>
        <w:t>基本不会对河流行洪及防洪产生影响，符合防洪要求。</w:t>
      </w:r>
    </w:p>
    <w:p>
      <w:pPr>
        <w:pStyle w:val="35"/>
        <w:rPr>
          <w:u w:val="single"/>
        </w:rPr>
      </w:pPr>
      <w:bookmarkStart w:id="107" w:name="_Toc30146"/>
      <w:r>
        <w:rPr>
          <w:rFonts w:hint="eastAsia"/>
          <w:u w:val="single"/>
        </w:rPr>
        <w:t>8</w:t>
      </w:r>
      <w:r>
        <w:rPr>
          <w:u w:val="single"/>
        </w:rPr>
        <w:t>.3</w:t>
      </w:r>
      <w:r>
        <w:rPr>
          <w:rFonts w:hint="eastAsia"/>
          <w:u w:val="single"/>
        </w:rPr>
        <w:t>入河排污口设置合理性分析</w:t>
      </w:r>
      <w:bookmarkEnd w:id="107"/>
    </w:p>
    <w:p>
      <w:pPr>
        <w:pStyle w:val="30"/>
        <w:ind w:firstLine="480"/>
        <w:rPr>
          <w:u w:val="single"/>
        </w:rPr>
      </w:pPr>
      <w:r>
        <w:rPr>
          <w:rFonts w:hint="eastAsia"/>
          <w:u w:val="single"/>
        </w:rPr>
        <w:t>城镇污水处理厂本身就是治理水污染的环境治理工程，是城镇的基础设施建设，符合国家的产业政策。鸟江镇污水处理工程的建设可有效的减轻对白河的污染，从而改善区域的水环境；</w:t>
      </w:r>
      <w:r>
        <w:rPr>
          <w:u w:val="single"/>
        </w:rPr>
        <w:t>本入河排污口位置、排放浓度和总量符合《水污染防治行动计划》、《入河排污口监督管理办法》、《地表水环境质量标准》（GB3838-2002）的要求，</w:t>
      </w:r>
      <w:r>
        <w:rPr>
          <w:rFonts w:hint="eastAsia"/>
          <w:u w:val="single"/>
        </w:rPr>
        <w:t>正常情况下本入河排污口不会对水功能区（水域）水质造成影响，对第三者影响较小。因此，鸟江镇污水处理工程混合入河排污口设置可行，入河排污口设置方案合理。</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108" w:name="_Toc15756"/>
      <w:r>
        <w:rPr>
          <w:rFonts w:hint="eastAsia"/>
        </w:rPr>
        <w:t>9论证结论与建议</w:t>
      </w:r>
      <w:bookmarkEnd w:id="108"/>
    </w:p>
    <w:p>
      <w:pPr>
        <w:pStyle w:val="35"/>
      </w:pPr>
      <w:bookmarkStart w:id="109" w:name="_Toc31567"/>
      <w:r>
        <w:rPr>
          <w:rFonts w:hint="eastAsia"/>
        </w:rPr>
        <w:t>9</w:t>
      </w:r>
      <w:r>
        <w:t>.1</w:t>
      </w:r>
      <w:r>
        <w:rPr>
          <w:rFonts w:hint="eastAsia"/>
        </w:rPr>
        <w:t>论证结论</w:t>
      </w:r>
      <w:bookmarkEnd w:id="109"/>
    </w:p>
    <w:p>
      <w:pPr>
        <w:pStyle w:val="38"/>
      </w:pPr>
      <w:bookmarkStart w:id="110" w:name="_Toc10066"/>
      <w:r>
        <w:rPr>
          <w:rFonts w:hint="eastAsia"/>
        </w:rPr>
        <w:t>9</w:t>
      </w:r>
      <w:r>
        <w:t>.1.1</w:t>
      </w:r>
      <w:r>
        <w:rPr>
          <w:rFonts w:hint="eastAsia"/>
        </w:rPr>
        <w:t>入河排污口基本情况</w:t>
      </w:r>
      <w:bookmarkEnd w:id="110"/>
    </w:p>
    <w:p>
      <w:pPr>
        <w:pStyle w:val="30"/>
        <w:ind w:firstLine="480"/>
      </w:pPr>
      <w:r>
        <w:rPr>
          <w:rFonts w:hint="eastAsia"/>
        </w:rPr>
        <w:t>项目名称：鸟江镇污水处理工程</w:t>
      </w:r>
    </w:p>
    <w:p>
      <w:pPr>
        <w:pStyle w:val="30"/>
        <w:ind w:firstLine="480"/>
        <w:rPr>
          <w:szCs w:val="24"/>
        </w:rPr>
      </w:pPr>
      <w:r>
        <w:rPr>
          <w:rFonts w:hAnsi="宋体"/>
          <w:szCs w:val="24"/>
        </w:rPr>
        <w:t>建设性质：新建；</w:t>
      </w:r>
    </w:p>
    <w:p>
      <w:pPr>
        <w:pStyle w:val="30"/>
        <w:ind w:firstLine="480"/>
        <w:rPr>
          <w:szCs w:val="24"/>
        </w:rPr>
      </w:pPr>
      <w:r>
        <w:rPr>
          <w:rFonts w:hAnsi="宋体"/>
          <w:szCs w:val="24"/>
        </w:rPr>
        <w:t>建设单位：</w:t>
      </w:r>
      <w:r>
        <w:rPr>
          <w:rFonts w:hint="eastAsia"/>
        </w:rPr>
        <w:t>祁东县住房和城乡建设局</w:t>
      </w:r>
      <w:r>
        <w:rPr>
          <w:rFonts w:hAnsi="宋体"/>
          <w:szCs w:val="24"/>
        </w:rPr>
        <w:t>；</w:t>
      </w:r>
    </w:p>
    <w:p>
      <w:pPr>
        <w:pStyle w:val="30"/>
        <w:ind w:firstLine="480"/>
        <w:rPr>
          <w:rFonts w:hAnsi="宋体"/>
          <w:szCs w:val="24"/>
        </w:rPr>
      </w:pPr>
      <w:r>
        <w:rPr>
          <w:rFonts w:hAnsi="宋体"/>
        </w:rPr>
        <w:t>建设地点：</w:t>
      </w:r>
      <w:r>
        <w:rPr>
          <w:rFonts w:hint="eastAsia"/>
        </w:rPr>
        <w:t>鸟江镇（地理位置详见附图1）</w:t>
      </w:r>
      <w:r>
        <w:rPr>
          <w:rFonts w:hAnsi="宋体"/>
          <w:szCs w:val="24"/>
        </w:rPr>
        <w:t>；</w:t>
      </w:r>
    </w:p>
    <w:p>
      <w:pPr>
        <w:pStyle w:val="30"/>
        <w:ind w:firstLine="480"/>
        <w:rPr>
          <w:rFonts w:hAnsi="宋体"/>
          <w:szCs w:val="24"/>
        </w:rPr>
      </w:pPr>
      <w:r>
        <w:rPr>
          <w:rFonts w:hAnsi="宋体"/>
          <w:szCs w:val="24"/>
        </w:rPr>
        <w:t>建设内容：建设</w:t>
      </w:r>
      <w:r>
        <w:rPr>
          <w:rFonts w:hint="eastAsia" w:hAnsi="宋体"/>
          <w:szCs w:val="24"/>
        </w:rPr>
        <w:t>鸟江镇污水处理站</w:t>
      </w:r>
      <w:r>
        <w:rPr>
          <w:rFonts w:hAnsi="宋体"/>
          <w:szCs w:val="24"/>
        </w:rPr>
        <w:t>主体工程及污水收集</w:t>
      </w:r>
      <w:r>
        <w:rPr>
          <w:rFonts w:hint="eastAsia" w:hAnsi="宋体"/>
          <w:szCs w:val="24"/>
        </w:rPr>
        <w:t>专管</w:t>
      </w:r>
      <w:r>
        <w:rPr>
          <w:rFonts w:hAnsi="宋体"/>
          <w:szCs w:val="24"/>
        </w:rPr>
        <w:t>工程</w:t>
      </w:r>
      <w:r>
        <w:rPr>
          <w:rFonts w:hint="eastAsia" w:hAnsi="宋体"/>
          <w:szCs w:val="24"/>
        </w:rPr>
        <w:t>；</w:t>
      </w:r>
    </w:p>
    <w:p>
      <w:pPr>
        <w:pStyle w:val="30"/>
        <w:ind w:firstLine="480"/>
        <w:rPr>
          <w:rFonts w:hAnsi="宋体"/>
          <w:szCs w:val="24"/>
        </w:rPr>
      </w:pPr>
      <w:r>
        <w:rPr>
          <w:rFonts w:hAnsi="宋体"/>
          <w:szCs w:val="24"/>
        </w:rPr>
        <w:t>建设规模：项目</w:t>
      </w:r>
      <w:r>
        <w:rPr>
          <w:rFonts w:hint="eastAsia" w:hAnsi="宋体" w:cs="Calibri"/>
          <w:szCs w:val="24"/>
        </w:rPr>
        <w:t>占</w:t>
      </w:r>
      <w:r>
        <w:rPr>
          <w:rFonts w:hAnsi="宋体"/>
          <w:szCs w:val="24"/>
        </w:rPr>
        <w:t>地面积</w:t>
      </w:r>
      <w:r>
        <w:rPr>
          <w:rFonts w:hint="eastAsia" w:cs="Calibri"/>
          <w:szCs w:val="24"/>
        </w:rPr>
        <w:t>965.45</w:t>
      </w:r>
      <w:r>
        <w:rPr>
          <w:szCs w:val="24"/>
        </w:rPr>
        <w:t>m</w:t>
      </w:r>
      <w:r>
        <w:rPr>
          <w:szCs w:val="24"/>
          <w:vertAlign w:val="superscript"/>
        </w:rPr>
        <w:t>2</w:t>
      </w:r>
      <w:r>
        <w:rPr>
          <w:rFonts w:hAnsi="宋体"/>
          <w:szCs w:val="24"/>
        </w:rPr>
        <w:t>，</w:t>
      </w:r>
      <w:r>
        <w:rPr>
          <w:rFonts w:hint="eastAsia" w:hAnsi="宋体" w:cs="Calibri"/>
          <w:szCs w:val="24"/>
        </w:rPr>
        <w:t>污水处理</w:t>
      </w:r>
      <w:r>
        <w:rPr>
          <w:rFonts w:hAnsi="宋体"/>
          <w:szCs w:val="24"/>
        </w:rPr>
        <w:t>规模为</w:t>
      </w:r>
      <w:r>
        <w:rPr>
          <w:rFonts w:hint="eastAsia" w:hAnsi="宋体"/>
          <w:szCs w:val="24"/>
        </w:rPr>
        <w:t>近期200</w:t>
      </w:r>
      <w:r>
        <w:rPr>
          <w:szCs w:val="24"/>
        </w:rPr>
        <w:t>m</w:t>
      </w:r>
      <w:r>
        <w:rPr>
          <w:szCs w:val="24"/>
          <w:vertAlign w:val="superscript"/>
        </w:rPr>
        <w:t>3</w:t>
      </w:r>
      <w:r>
        <w:rPr>
          <w:szCs w:val="24"/>
        </w:rPr>
        <w:t>/d</w:t>
      </w:r>
      <w:r>
        <w:rPr>
          <w:rFonts w:hint="eastAsia"/>
          <w:szCs w:val="24"/>
        </w:rPr>
        <w:t>，远期4</w:t>
      </w:r>
      <w:r>
        <w:rPr>
          <w:rFonts w:hint="eastAsia" w:cs="Calibri"/>
          <w:szCs w:val="24"/>
        </w:rPr>
        <w:t>00</w:t>
      </w:r>
      <w:r>
        <w:rPr>
          <w:szCs w:val="24"/>
        </w:rPr>
        <w:t>m</w:t>
      </w:r>
      <w:r>
        <w:rPr>
          <w:szCs w:val="24"/>
          <w:vertAlign w:val="superscript"/>
        </w:rPr>
        <w:t>3</w:t>
      </w:r>
      <w:r>
        <w:rPr>
          <w:szCs w:val="24"/>
        </w:rPr>
        <w:t>/d</w:t>
      </w:r>
      <w:r>
        <w:rPr>
          <w:rFonts w:hint="eastAsia" w:hAnsi="宋体" w:cs="Calibri"/>
          <w:szCs w:val="24"/>
        </w:rPr>
        <w:t>；配套修建管网1880</w:t>
      </w:r>
      <w:r>
        <w:rPr>
          <w:rFonts w:hint="eastAsia"/>
          <w:kern w:val="0"/>
          <w:szCs w:val="24"/>
        </w:rPr>
        <w:t>m</w:t>
      </w:r>
      <w:r>
        <w:rPr>
          <w:rFonts w:hint="eastAsia" w:hAnsi="宋体" w:cs="Calibri"/>
          <w:szCs w:val="24"/>
        </w:rPr>
        <w:t>；</w:t>
      </w:r>
    </w:p>
    <w:p>
      <w:pPr>
        <w:pStyle w:val="30"/>
        <w:ind w:firstLine="480"/>
        <w:rPr>
          <w:rFonts w:hAnsi="宋体"/>
          <w:szCs w:val="24"/>
        </w:rPr>
      </w:pPr>
      <w:r>
        <w:rPr>
          <w:rFonts w:hint="eastAsia" w:hAnsi="宋体"/>
          <w:szCs w:val="24"/>
        </w:rPr>
        <w:t>纳污范围：鸟江镇镇区，服务面积0.4km</w:t>
      </w:r>
      <w:r>
        <w:rPr>
          <w:rFonts w:hint="eastAsia" w:hAnsi="宋体"/>
          <w:szCs w:val="24"/>
          <w:vertAlign w:val="superscript"/>
        </w:rPr>
        <w:t>2</w:t>
      </w:r>
      <w:r>
        <w:rPr>
          <w:rFonts w:hint="eastAsia" w:hAnsi="宋体"/>
          <w:szCs w:val="24"/>
        </w:rPr>
        <w:t>；</w:t>
      </w:r>
    </w:p>
    <w:p>
      <w:pPr>
        <w:pStyle w:val="30"/>
        <w:ind w:firstLine="480"/>
        <w:rPr>
          <w:rFonts w:hAnsi="宋体"/>
          <w:szCs w:val="24"/>
        </w:rPr>
      </w:pPr>
      <w:r>
        <w:rPr>
          <w:rFonts w:hAnsi="宋体"/>
          <w:szCs w:val="24"/>
        </w:rPr>
        <w:t>项目投资：</w:t>
      </w:r>
      <w:r>
        <w:rPr>
          <w:rFonts w:hint="eastAsia"/>
        </w:rPr>
        <w:t>鸟江镇污水处理工程</w:t>
      </w:r>
      <w:r>
        <w:rPr>
          <w:rFonts w:hint="eastAsia" w:hAnsi="宋体"/>
          <w:szCs w:val="24"/>
        </w:rPr>
        <w:t>投资1095万元；</w:t>
      </w:r>
    </w:p>
    <w:p>
      <w:pPr>
        <w:pStyle w:val="30"/>
        <w:ind w:firstLine="480"/>
        <w:rPr>
          <w:rFonts w:hAnsi="宋体"/>
          <w:szCs w:val="24"/>
        </w:rPr>
      </w:pPr>
      <w:r>
        <w:rPr>
          <w:rFonts w:hint="eastAsia" w:hAnsi="宋体"/>
          <w:szCs w:val="24"/>
        </w:rPr>
        <w:t>建设进度：</w:t>
      </w:r>
      <w:r>
        <w:rPr>
          <w:rFonts w:hint="eastAsia"/>
        </w:rPr>
        <w:t>鸟江镇污水处理工程</w:t>
      </w:r>
      <w:r>
        <w:rPr>
          <w:rFonts w:hint="eastAsia" w:hAnsi="宋体"/>
          <w:szCs w:val="24"/>
        </w:rPr>
        <w:t>于2</w:t>
      </w:r>
      <w:r>
        <w:rPr>
          <w:rFonts w:hAnsi="宋体"/>
          <w:szCs w:val="24"/>
        </w:rPr>
        <w:t>023</w:t>
      </w:r>
      <w:r>
        <w:rPr>
          <w:rFonts w:hint="eastAsia" w:hAnsi="宋体"/>
          <w:szCs w:val="24"/>
        </w:rPr>
        <w:t>年6月开工，目前已完成场地平整、池体开挖及部分设备安装，目前仍在建设中，尚未竣工运营，预计2</w:t>
      </w:r>
      <w:r>
        <w:rPr>
          <w:rFonts w:hAnsi="宋体"/>
          <w:szCs w:val="24"/>
        </w:rPr>
        <w:t>024</w:t>
      </w:r>
      <w:r>
        <w:rPr>
          <w:rFonts w:hint="eastAsia" w:hAnsi="宋体"/>
          <w:szCs w:val="24"/>
        </w:rPr>
        <w:t>年6月竣工并投入运营。</w:t>
      </w:r>
    </w:p>
    <w:p>
      <w:pPr>
        <w:pStyle w:val="30"/>
        <w:ind w:firstLine="480"/>
        <w:rPr>
          <w:rFonts w:hAnsi="宋体"/>
          <w:szCs w:val="24"/>
        </w:rPr>
      </w:pPr>
      <w:r>
        <w:rPr>
          <w:rFonts w:hint="eastAsia" w:hAnsi="宋体"/>
          <w:szCs w:val="24"/>
        </w:rPr>
        <w:t>污水排放路径：项目污水处理达标后通过管道于</w:t>
      </w:r>
      <w:r>
        <w:rPr>
          <w:rFonts w:hint="eastAsia"/>
          <w:szCs w:val="21"/>
        </w:rPr>
        <w:t>鸟江镇大池村连接线汇合，</w:t>
      </w:r>
      <w:r>
        <w:rPr>
          <w:rFonts w:hint="eastAsia" w:hAnsi="宋体"/>
          <w:szCs w:val="24"/>
        </w:rPr>
        <w:t>排入镇区东南侧灌溉渠，之后经2945m灌溉渠排入东侧白河。</w:t>
      </w:r>
    </w:p>
    <w:p>
      <w:pPr>
        <w:pStyle w:val="30"/>
        <w:ind w:firstLine="480"/>
        <w:rPr>
          <w:rFonts w:hAnsi="宋体"/>
          <w:szCs w:val="24"/>
        </w:rPr>
      </w:pPr>
      <w:r>
        <w:rPr>
          <w:rFonts w:hint="eastAsia" w:hAnsi="宋体"/>
          <w:szCs w:val="24"/>
        </w:rPr>
        <w:t>受纳地表水体：白河（又名归阳河），属于湘江一级支流。白河水功能主要为渔业用水，本次论证范围河段无生活用水及工业用水取水口，不涉及饮用水水源保护区。</w:t>
      </w:r>
    </w:p>
    <w:p>
      <w:pPr>
        <w:pStyle w:val="30"/>
        <w:ind w:firstLine="480"/>
      </w:pPr>
      <w:r>
        <w:rPr>
          <w:rFonts w:hint="eastAsia" w:hAnsi="宋体"/>
          <w:szCs w:val="24"/>
        </w:rPr>
        <w:t>入河排污口设置位置：入河排污口设置位置位于东侧沟渠右岸，地理坐标为</w:t>
      </w:r>
      <w:r>
        <w:rPr>
          <w:rFonts w:hint="eastAsia"/>
          <w:szCs w:val="24"/>
        </w:rPr>
        <w:t>E</w:t>
      </w:r>
      <w:r>
        <w:rPr>
          <w:szCs w:val="36"/>
        </w:rPr>
        <w:t>112°12′5.1″,</w:t>
      </w:r>
      <w:r>
        <w:rPr>
          <w:rFonts w:hint="eastAsia"/>
          <w:szCs w:val="36"/>
        </w:rPr>
        <w:t>N</w:t>
      </w:r>
      <w:r>
        <w:rPr>
          <w:szCs w:val="36"/>
        </w:rPr>
        <w:t>26°36′55.77″</w:t>
      </w:r>
      <w:r>
        <w:rPr>
          <w:szCs w:val="24"/>
        </w:rPr>
        <w:t>。</w:t>
      </w:r>
    </w:p>
    <w:p>
      <w:pPr>
        <w:pStyle w:val="38"/>
      </w:pPr>
      <w:bookmarkStart w:id="111" w:name="_Toc17751"/>
      <w:r>
        <w:rPr>
          <w:rFonts w:hint="eastAsia"/>
        </w:rPr>
        <w:t>9</w:t>
      </w:r>
      <w:r>
        <w:t>.1.2</w:t>
      </w:r>
      <w:r>
        <w:rPr>
          <w:rFonts w:hint="eastAsia"/>
        </w:rPr>
        <w:t>对水功能区水质影响分析</w:t>
      </w:r>
      <w:bookmarkEnd w:id="111"/>
    </w:p>
    <w:p>
      <w:pPr>
        <w:pStyle w:val="30"/>
        <w:ind w:firstLine="480"/>
      </w:pPr>
      <w:r>
        <w:t>本入河排污口</w:t>
      </w:r>
      <w:r>
        <w:rPr>
          <w:rFonts w:hint="eastAsia"/>
        </w:rPr>
        <w:t>位于祁东县鸟江镇白河右岸</w:t>
      </w:r>
      <w:r>
        <w:t>，水质目标为</w:t>
      </w:r>
      <w:r>
        <w:rPr>
          <w:rFonts w:hint="eastAsia"/>
        </w:rPr>
        <w:t>Ⅲ类</w:t>
      </w:r>
      <w:r>
        <w:t>。正常排放下，</w:t>
      </w:r>
      <w:r>
        <w:rPr>
          <w:rFonts w:hint="eastAsia"/>
        </w:rPr>
        <w:t>论证范围内</w:t>
      </w:r>
      <w:r>
        <w:t>CODcr、NH</w:t>
      </w:r>
      <w:r>
        <w:rPr>
          <w:vertAlign w:val="subscript"/>
        </w:rPr>
        <w:t>3</w:t>
      </w:r>
      <w:r>
        <w:t>-N</w:t>
      </w:r>
      <w:r>
        <w:rPr>
          <w:rFonts w:hint="eastAsia"/>
        </w:rPr>
        <w:t>、总磷</w:t>
      </w:r>
      <w:r>
        <w:t>预测结果满足《地表水环境质量标准》（GB3838-2002）</w:t>
      </w:r>
      <w:r>
        <w:rPr>
          <w:rFonts w:hint="eastAsia"/>
        </w:rPr>
        <w:t>Ⅲ类</w:t>
      </w:r>
      <w:r>
        <w:t>标准限值</w:t>
      </w:r>
      <w:r>
        <w:rPr>
          <w:rFonts w:hint="eastAsia"/>
        </w:rPr>
        <w:t>。</w:t>
      </w:r>
      <w:r>
        <w:t>排污口的设置不改变排污口所处水功能区及下游水功能的使用功能，也不影响相邻水功能区的使用</w:t>
      </w:r>
      <w:r>
        <w:rPr>
          <w:rFonts w:hint="eastAsia"/>
        </w:rPr>
        <w:t>。</w:t>
      </w:r>
    </w:p>
    <w:p>
      <w:pPr>
        <w:pStyle w:val="38"/>
      </w:pPr>
      <w:bookmarkStart w:id="112" w:name="_Toc20306"/>
      <w:r>
        <w:rPr>
          <w:rFonts w:hint="eastAsia"/>
        </w:rPr>
        <w:t>9</w:t>
      </w:r>
      <w:r>
        <w:t>.1.3</w:t>
      </w:r>
      <w:r>
        <w:rPr>
          <w:rFonts w:hint="eastAsia"/>
        </w:rPr>
        <w:t>对水生态影响分析</w:t>
      </w:r>
      <w:bookmarkEnd w:id="112"/>
    </w:p>
    <w:p>
      <w:pPr>
        <w:pStyle w:val="30"/>
        <w:ind w:firstLine="480"/>
      </w:pPr>
      <w:r>
        <w:rPr>
          <w:rFonts w:hint="eastAsia"/>
        </w:rPr>
        <w:t>鸟江镇污水处理工程建设运行后，尾水处理达标后排入白河。本入河排污口处河段不属于水产种质资源保护区、鱼类“三场”及洄游通道，入河排污口位置不在自然保护区、风景名胜区及重要湿地等环境敏感区，因此本入河排污口不存在生态制约因素。综上，本排口设置对白河生态影响较小。</w:t>
      </w:r>
    </w:p>
    <w:p>
      <w:pPr>
        <w:pStyle w:val="38"/>
      </w:pPr>
      <w:bookmarkStart w:id="113" w:name="_Toc26292"/>
      <w:r>
        <w:rPr>
          <w:rFonts w:hint="eastAsia"/>
        </w:rPr>
        <w:t>9</w:t>
      </w:r>
      <w:r>
        <w:t>.1.4</w:t>
      </w:r>
      <w:r>
        <w:rPr>
          <w:rFonts w:hint="eastAsia"/>
        </w:rPr>
        <w:t>对地下水影响分析</w:t>
      </w:r>
      <w:bookmarkEnd w:id="113"/>
    </w:p>
    <w:p>
      <w:pPr>
        <w:pStyle w:val="30"/>
        <w:ind w:firstLine="480"/>
      </w:pPr>
      <w:r>
        <w:rPr>
          <w:rFonts w:hint="eastAsia"/>
        </w:rPr>
        <w:t>鸟江镇污水处理工程为污水处理工程，处理后出水排入白河，排放过程中产生外漏下渗的可能性很小，即使有微量废水外漏下渗，在下渗过程中经过表层粘土、粉土的分解和吸收，大部分污染物会进一步去除，不会造成地下水污染。且污水处理厂建设后，居民生活污水可集中收集处理，减少生活污水直排周边地表水体的量，间接的改善了周边的地下水环境，因此，正常工况下污水处理厂建设对地下水水质影响小。</w:t>
      </w:r>
    </w:p>
    <w:p>
      <w:pPr>
        <w:pStyle w:val="38"/>
      </w:pPr>
      <w:bookmarkStart w:id="114" w:name="_Toc7236"/>
      <w:r>
        <w:rPr>
          <w:rFonts w:hint="eastAsia"/>
        </w:rPr>
        <w:t>9</w:t>
      </w:r>
      <w:r>
        <w:t>.1.5</w:t>
      </w:r>
      <w:r>
        <w:rPr>
          <w:rFonts w:hint="eastAsia"/>
        </w:rPr>
        <w:t>对第三者影响分析</w:t>
      </w:r>
      <w:bookmarkEnd w:id="114"/>
    </w:p>
    <w:p>
      <w:pPr>
        <w:pStyle w:val="30"/>
        <w:ind w:firstLine="480"/>
      </w:pPr>
      <w:r>
        <w:rPr>
          <w:rFonts w:hint="eastAsia"/>
          <w:szCs w:val="24"/>
        </w:rPr>
        <w:t>本项目下游论证范围内不涉及</w:t>
      </w:r>
      <w:r>
        <w:rPr>
          <w:rFonts w:hint="eastAsia"/>
        </w:rPr>
        <w:t>常规水质监测断面和饮用水水源保护区；</w:t>
      </w:r>
      <w:r>
        <w:t>本</w:t>
      </w:r>
      <w:r>
        <w:rPr>
          <w:rFonts w:hint="eastAsia"/>
        </w:rPr>
        <w:t>入河排污口经灌溉渠排入白河右岸，灌溉渠主要功能为农业灌溉用水，不具备防洪泄洪能力，且本项目外排废水量很小，对白河水量冲击很小，</w:t>
      </w:r>
      <w:r>
        <w:t>基本不会对河流行洪及防洪产生影响，符合防洪要求。</w:t>
      </w:r>
      <w:r>
        <w:rPr>
          <w:rFonts w:hint="eastAsia"/>
        </w:rPr>
        <w:t>鸟江镇污水处理工程尾水正常排放的水质能够满足《农田灌溉水质标准》（GB5084-2005）限值，不会对周边农业用水产生不利影响。</w:t>
      </w:r>
    </w:p>
    <w:p>
      <w:pPr>
        <w:pStyle w:val="30"/>
        <w:ind w:firstLine="480"/>
      </w:pPr>
      <w:r>
        <w:rPr>
          <w:rFonts w:hint="eastAsia"/>
        </w:rPr>
        <w:t>综上所述，</w:t>
      </w:r>
      <w:r>
        <w:rPr>
          <w:rFonts w:hint="eastAsia"/>
          <w:szCs w:val="24"/>
        </w:rPr>
        <w:t>本入河排污口的设置对下游第三者权益的影响较小。</w:t>
      </w:r>
    </w:p>
    <w:p>
      <w:pPr>
        <w:pStyle w:val="38"/>
      </w:pPr>
      <w:bookmarkStart w:id="115" w:name="_Toc30048"/>
      <w:r>
        <w:rPr>
          <w:rFonts w:hint="eastAsia"/>
        </w:rPr>
        <w:t>9</w:t>
      </w:r>
      <w:r>
        <w:t>.1.6</w:t>
      </w:r>
      <w:r>
        <w:rPr>
          <w:rFonts w:hint="eastAsia"/>
        </w:rPr>
        <w:t>相关政策符合性分析</w:t>
      </w:r>
      <w:bookmarkEnd w:id="115"/>
    </w:p>
    <w:p>
      <w:pPr>
        <w:pStyle w:val="30"/>
        <w:ind w:firstLine="480"/>
      </w:pPr>
      <w:r>
        <w:rPr>
          <w:rFonts w:hint="eastAsia"/>
        </w:rPr>
        <w:t>本入河排污口位于祁东县鸟江镇白河右岸，白河水功能区划为渔业用水</w:t>
      </w:r>
      <w:r>
        <w:t>，</w:t>
      </w:r>
      <w:r>
        <w:rPr>
          <w:kern w:val="0"/>
        </w:rPr>
        <w:t>执行《地表水环境质量标准》（GB3838-2002）</w:t>
      </w:r>
      <w:r>
        <w:rPr>
          <w:rFonts w:hint="eastAsia" w:ascii="宋体" w:hAnsi="宋体" w:cs="宋体"/>
        </w:rPr>
        <w:t>Ⅲ类</w:t>
      </w:r>
      <w:r>
        <w:rPr>
          <w:kern w:val="0"/>
        </w:rPr>
        <w:t>水质目标</w:t>
      </w:r>
      <w:r>
        <w:rPr>
          <w:rFonts w:hint="eastAsia"/>
        </w:rPr>
        <w:t>，不属于水产种质资源保护区、鱼类“三场”及洄游通道，入河排污口位置不在自然保护区、风景名胜区及重要湿地等环境敏感区，因此本入河排污口不存在生态制约因素。与</w:t>
      </w:r>
      <w:r>
        <w:t>《水污染防治行动计划》</w:t>
      </w:r>
      <w:r>
        <w:rPr>
          <w:rFonts w:hint="eastAsia"/>
        </w:rPr>
        <w:t>、</w:t>
      </w:r>
      <w:r>
        <w:t>《入河排污口监督管理办法》（水利部令第47号）</w:t>
      </w:r>
      <w:r>
        <w:rPr>
          <w:rFonts w:hint="eastAsia"/>
        </w:rPr>
        <w:t>及</w:t>
      </w:r>
      <w:r>
        <w:t>《湖南省入河排污口监督管理办法》（湘政办发〔2018〕44号）</w:t>
      </w:r>
      <w:r>
        <w:rPr>
          <w:rFonts w:hint="eastAsia"/>
        </w:rPr>
        <w:t>等相关政策相符。</w:t>
      </w:r>
    </w:p>
    <w:p>
      <w:pPr>
        <w:pStyle w:val="38"/>
      </w:pPr>
      <w:bookmarkStart w:id="116" w:name="_Toc30165"/>
      <w:r>
        <w:rPr>
          <w:rFonts w:hint="eastAsia"/>
        </w:rPr>
        <w:t>9</w:t>
      </w:r>
      <w:r>
        <w:t>.1.7</w:t>
      </w:r>
      <w:r>
        <w:rPr>
          <w:rFonts w:hint="eastAsia"/>
        </w:rPr>
        <w:t>入河排污口设置最终结论</w:t>
      </w:r>
      <w:bookmarkEnd w:id="116"/>
    </w:p>
    <w:p>
      <w:pPr>
        <w:pStyle w:val="30"/>
        <w:ind w:firstLine="480"/>
      </w:pPr>
      <w:r>
        <w:t>综上所述，通过对排污口设置论证分析，本次污水处理厂建设将显著地削减收水范围内生活污水中污染物排放量，对于减轻水环境污染、改善水域环境质量、进而实现流域治理、保护区域内的生态环境、实现水功能区水质目标具有重要的意义。设置</w:t>
      </w:r>
      <w:r>
        <w:rPr>
          <w:rFonts w:hint="eastAsia"/>
        </w:rPr>
        <w:t>鸟江镇污水处理工程</w:t>
      </w:r>
      <w:r>
        <w:t>入河排污口不存在受纳水域环境容量不足的制约；项目排污对生态环境影响较小；对下游取水口、农业用水户等第三者权益影响较小；项目排污对所在区域地下水影响较小。因此，污水处理厂不存在《入河排污口监督管理办法》中不允许设置排污口的七种情况，入河排污口设置是可行的。</w:t>
      </w:r>
    </w:p>
    <w:p>
      <w:pPr>
        <w:pStyle w:val="35"/>
      </w:pPr>
      <w:bookmarkStart w:id="117" w:name="_Toc9606"/>
      <w:r>
        <w:rPr>
          <w:rFonts w:hint="eastAsia"/>
        </w:rPr>
        <w:t>9</w:t>
      </w:r>
      <w:r>
        <w:t>.2</w:t>
      </w:r>
      <w:r>
        <w:rPr>
          <w:rFonts w:hint="eastAsia"/>
        </w:rPr>
        <w:t>建议</w:t>
      </w:r>
      <w:bookmarkEnd w:id="117"/>
    </w:p>
    <w:p>
      <w:pPr>
        <w:pStyle w:val="30"/>
        <w:ind w:firstLine="480"/>
      </w:pPr>
      <w:r>
        <w:t>（1）严格遵守法律法规和规章规程</w:t>
      </w:r>
    </w:p>
    <w:p>
      <w:pPr>
        <w:pStyle w:val="30"/>
        <w:ind w:firstLine="480"/>
      </w:pPr>
      <w:r>
        <w:t>建设单位和从业人员必须严格遵守国家有关法律、法规和规章，严格执行行业的强制性标准、各类技术规范及规程的要求，认真贯彻地方政府及管理部门的有关规章制度。</w:t>
      </w:r>
    </w:p>
    <w:p>
      <w:pPr>
        <w:pStyle w:val="30"/>
        <w:ind w:firstLine="480"/>
      </w:pPr>
      <w:r>
        <w:t>（2）加强对建设项目排放的污水进行长期监测，动态掌握排放污水水质，以便针对污水中的其他污染物及时采取处理措施。</w:t>
      </w:r>
    </w:p>
    <w:p>
      <w:pPr>
        <w:pStyle w:val="30"/>
        <w:ind w:firstLine="480"/>
      </w:pPr>
      <w:r>
        <w:t>（3）按照相关规范安装完成入河排污口标示牌并对排污口采取保护措施。排污单位应当在入河排污口处设立明显的标牌，标牌上应注明该入河排污口名称、编号、位置坐标以及排入水功能区、水质保护目标，排污口设置单位、监督单位名称及监督电话等，标牌的设置要符合《</w:t>
      </w:r>
      <w:r>
        <w:rPr>
          <w:rFonts w:hint="eastAsia"/>
        </w:rPr>
        <w:t>入河排污口管理技术导则</w:t>
      </w:r>
      <w:r>
        <w:t>》（</w:t>
      </w:r>
      <w:r>
        <w:rPr>
          <w:rFonts w:hint="eastAsia"/>
        </w:rPr>
        <w:t>SL532-2011</w:t>
      </w:r>
      <w:r>
        <w:t>）的有关要求。入河排污口设置安装在线计量和监控设施，确保入河排污“看得见、可测量、有监控”，定期对排污口巡检。</w:t>
      </w:r>
    </w:p>
    <w:p>
      <w:pPr>
        <w:pStyle w:val="30"/>
        <w:ind w:firstLine="480"/>
      </w:pPr>
      <w:r>
        <w:t>（4）制定详细的污水处理厂事故应急预案，加强地下水保护措施。</w:t>
      </w:r>
    </w:p>
    <w:p>
      <w:pPr>
        <w:pStyle w:val="30"/>
        <w:ind w:firstLine="480"/>
      </w:pPr>
      <w:r>
        <w:t>（5）如果入河排污口的排污量或排放污染物发生改变，应及时论证并报批。</w:t>
      </w:r>
    </w:p>
    <w:p>
      <w:pPr>
        <w:pStyle w:val="30"/>
        <w:ind w:firstLine="480"/>
      </w:pPr>
      <w:r>
        <w:rPr>
          <w:rFonts w:hint="eastAsia"/>
        </w:rPr>
        <w:t>（6）入河排污口标识牌应设置在入河口位置，不能设置在污水处理厂内，标识牌中的地理位置及经纬度坐标应与实际位置相符合。</w:t>
      </w:r>
    </w:p>
    <w:p>
      <w:pPr>
        <w:pStyle w:val="30"/>
        <w:ind w:firstLine="480"/>
        <w:sectPr>
          <w:pgSz w:w="11906" w:h="16838"/>
          <w:pgMar w:top="1440" w:right="1800" w:bottom="1440" w:left="1800" w:header="851" w:footer="992" w:gutter="0"/>
          <w:cols w:space="425" w:num="1"/>
          <w:docGrid w:type="lines" w:linePitch="312" w:charSpace="0"/>
        </w:sectPr>
      </w:pPr>
    </w:p>
    <w:p>
      <w:pPr>
        <w:pStyle w:val="32"/>
      </w:pPr>
      <w:bookmarkStart w:id="118" w:name="_Toc17905"/>
      <w:r>
        <w:rPr>
          <w:rFonts w:hint="eastAsia"/>
        </w:rPr>
        <w:t>附件</w:t>
      </w:r>
      <w:bookmarkEnd w:id="118"/>
    </w:p>
    <w:p>
      <w:pPr>
        <w:pStyle w:val="35"/>
      </w:pPr>
      <w:bookmarkStart w:id="119" w:name="_Toc20010"/>
      <w:r>
        <w:rPr>
          <w:rFonts w:hint="eastAsia"/>
        </w:rPr>
        <w:t>附件1：项目立项批复</w:t>
      </w:r>
      <w:bookmarkEnd w:id="119"/>
    </w:p>
    <w:p>
      <w:pPr>
        <w:pStyle w:val="43"/>
      </w:pPr>
      <w:r>
        <w:drawing>
          <wp:inline distT="0" distB="0" distL="0" distR="0">
            <wp:extent cx="5274310" cy="7524115"/>
            <wp:effectExtent l="0" t="0" r="2540" b="635"/>
            <wp:docPr id="1147882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82202" name="图片 1"/>
                    <pic:cNvPicPr>
                      <a:picLocks noChangeAspect="1"/>
                    </pic:cNvPicPr>
                  </pic:nvPicPr>
                  <pic:blipFill>
                    <a:blip r:embed="rId21"/>
                    <a:stretch>
                      <a:fillRect/>
                    </a:stretch>
                  </pic:blipFill>
                  <pic:spPr>
                    <a:xfrm>
                      <a:off x="0" y="0"/>
                      <a:ext cx="5274310" cy="7524115"/>
                    </a:xfrm>
                    <a:prstGeom prst="rect">
                      <a:avLst/>
                    </a:prstGeom>
                  </pic:spPr>
                </pic:pic>
              </a:graphicData>
            </a:graphic>
          </wp:inline>
        </w:drawing>
      </w:r>
      <w:r>
        <w:drawing>
          <wp:inline distT="0" distB="0" distL="0" distR="0">
            <wp:extent cx="5274310" cy="7524115"/>
            <wp:effectExtent l="0" t="0" r="2540" b="635"/>
            <wp:docPr id="125127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7736" name="图片 1"/>
                    <pic:cNvPicPr>
                      <a:picLocks noChangeAspect="1"/>
                    </pic:cNvPicPr>
                  </pic:nvPicPr>
                  <pic:blipFill>
                    <a:blip r:embed="rId22"/>
                    <a:stretch>
                      <a:fillRect/>
                    </a:stretch>
                  </pic:blipFill>
                  <pic:spPr>
                    <a:xfrm>
                      <a:off x="0" y="0"/>
                      <a:ext cx="5274310" cy="7524115"/>
                    </a:xfrm>
                    <a:prstGeom prst="rect">
                      <a:avLst/>
                    </a:prstGeom>
                  </pic:spPr>
                </pic:pic>
              </a:graphicData>
            </a:graphic>
          </wp:inline>
        </w:drawing>
      </w:r>
      <w:r>
        <w:drawing>
          <wp:inline distT="0" distB="0" distL="0" distR="0">
            <wp:extent cx="5274310" cy="7524115"/>
            <wp:effectExtent l="0" t="0" r="2540" b="635"/>
            <wp:docPr id="1799753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53675" name="图片 1"/>
                    <pic:cNvPicPr>
                      <a:picLocks noChangeAspect="1"/>
                    </pic:cNvPicPr>
                  </pic:nvPicPr>
                  <pic:blipFill>
                    <a:blip r:embed="rId23"/>
                    <a:stretch>
                      <a:fillRect/>
                    </a:stretch>
                  </pic:blipFill>
                  <pic:spPr>
                    <a:xfrm>
                      <a:off x="0" y="0"/>
                      <a:ext cx="5274310" cy="7524115"/>
                    </a:xfrm>
                    <a:prstGeom prst="rect">
                      <a:avLst/>
                    </a:prstGeom>
                  </pic:spPr>
                </pic:pic>
              </a:graphicData>
            </a:graphic>
          </wp:inline>
        </w:drawing>
      </w:r>
    </w:p>
    <w:p>
      <w:pPr>
        <w:pStyle w:val="43"/>
        <w:sectPr>
          <w:pgSz w:w="11906" w:h="16838"/>
          <w:pgMar w:top="1440" w:right="1800" w:bottom="1440" w:left="1800" w:header="851" w:footer="992" w:gutter="0"/>
          <w:cols w:space="425" w:num="1"/>
          <w:docGrid w:type="lines" w:linePitch="312" w:charSpace="0"/>
        </w:sectPr>
      </w:pPr>
    </w:p>
    <w:p>
      <w:pPr>
        <w:pStyle w:val="35"/>
      </w:pPr>
      <w:bookmarkStart w:id="120" w:name="_Toc20807"/>
      <w:r>
        <w:rPr>
          <w:rFonts w:hint="eastAsia"/>
        </w:rPr>
        <w:t>附件2：项目环评批复</w:t>
      </w:r>
      <w:bookmarkEnd w:id="120"/>
    </w:p>
    <w:p>
      <w:pPr>
        <w:pStyle w:val="43"/>
        <w:sectPr>
          <w:pgSz w:w="11906" w:h="16838"/>
          <w:pgMar w:top="1440" w:right="1800" w:bottom="1440" w:left="1800" w:header="851" w:footer="992" w:gutter="0"/>
          <w:cols w:space="425" w:num="1"/>
          <w:docGrid w:type="lines" w:linePitch="312" w:charSpace="0"/>
        </w:sectPr>
      </w:pPr>
      <w:r>
        <w:drawing>
          <wp:inline distT="0" distB="0" distL="0" distR="0">
            <wp:extent cx="5274310" cy="7032625"/>
            <wp:effectExtent l="0" t="0" r="2540" b="0"/>
            <wp:docPr id="206519597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95972" name="图片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t xml:space="preserve"> </w:t>
      </w:r>
      <w:r>
        <w:drawing>
          <wp:inline distT="0" distB="0" distL="0" distR="0">
            <wp:extent cx="5274310" cy="7032625"/>
            <wp:effectExtent l="0" t="0" r="2540" b="0"/>
            <wp:docPr id="5756539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53962" name="图片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t xml:space="preserve"> </w:t>
      </w:r>
      <w:r>
        <w:drawing>
          <wp:inline distT="0" distB="0" distL="0" distR="0">
            <wp:extent cx="5274310" cy="7032625"/>
            <wp:effectExtent l="0" t="0" r="2540" b="0"/>
            <wp:docPr id="15647296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29697" name="图片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rPr>
          <w14:ligatures w14:val="standardContextual"/>
        </w:rPr>
        <w:t xml:space="preserve"> </w:t>
      </w:r>
      <w:r>
        <w:rPr>
          <w14:ligatures w14:val="standardContextual"/>
        </w:rPr>
        <w:drawing>
          <wp:inline distT="0" distB="0" distL="0" distR="0">
            <wp:extent cx="5274310" cy="7354570"/>
            <wp:effectExtent l="0" t="0" r="2540" b="0"/>
            <wp:docPr id="1293599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9639" name="图片 1"/>
                    <pic:cNvPicPr>
                      <a:picLocks noChangeAspect="1"/>
                    </pic:cNvPicPr>
                  </pic:nvPicPr>
                  <pic:blipFill>
                    <a:blip r:embed="rId27"/>
                    <a:stretch>
                      <a:fillRect/>
                    </a:stretch>
                  </pic:blipFill>
                  <pic:spPr>
                    <a:xfrm>
                      <a:off x="0" y="0"/>
                      <a:ext cx="5274310" cy="7354570"/>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354570"/>
            <wp:effectExtent l="0" t="0" r="2540" b="0"/>
            <wp:docPr id="1999565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65104" name="图片 1"/>
                    <pic:cNvPicPr>
                      <a:picLocks noChangeAspect="1"/>
                    </pic:cNvPicPr>
                  </pic:nvPicPr>
                  <pic:blipFill>
                    <a:blip r:embed="rId28"/>
                    <a:stretch>
                      <a:fillRect/>
                    </a:stretch>
                  </pic:blipFill>
                  <pic:spPr>
                    <a:xfrm>
                      <a:off x="0" y="0"/>
                      <a:ext cx="5274310" cy="7354570"/>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354570"/>
            <wp:effectExtent l="0" t="0" r="2540" b="0"/>
            <wp:docPr id="1782009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09132" name="图片 1"/>
                    <pic:cNvPicPr>
                      <a:picLocks noChangeAspect="1"/>
                    </pic:cNvPicPr>
                  </pic:nvPicPr>
                  <pic:blipFill>
                    <a:blip r:embed="rId29"/>
                    <a:stretch>
                      <a:fillRect/>
                    </a:stretch>
                  </pic:blipFill>
                  <pic:spPr>
                    <a:xfrm>
                      <a:off x="0" y="0"/>
                      <a:ext cx="5274310" cy="7354570"/>
                    </a:xfrm>
                    <a:prstGeom prst="rect">
                      <a:avLst/>
                    </a:prstGeom>
                  </pic:spPr>
                </pic:pic>
              </a:graphicData>
            </a:graphic>
          </wp:inline>
        </w:drawing>
      </w:r>
    </w:p>
    <w:p>
      <w:pPr>
        <w:pStyle w:val="35"/>
      </w:pPr>
      <w:bookmarkStart w:id="121" w:name="_Toc11274"/>
      <w:r>
        <w:rPr>
          <w:rFonts w:hint="eastAsia"/>
        </w:rPr>
        <w:t>附件3：检测报告</w:t>
      </w:r>
      <w:bookmarkEnd w:id="121"/>
    </w:p>
    <w:p>
      <w:pPr>
        <w:pStyle w:val="43"/>
      </w:pPr>
      <w:r>
        <w:drawing>
          <wp:inline distT="0" distB="0" distL="114300" distR="114300">
            <wp:extent cx="5269865" cy="7475855"/>
            <wp:effectExtent l="0" t="0" r="6985" b="1079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0"/>
                    <a:stretch>
                      <a:fillRect/>
                    </a:stretch>
                  </pic:blipFill>
                  <pic:spPr>
                    <a:xfrm>
                      <a:off x="0" y="0"/>
                      <a:ext cx="5269865" cy="7475855"/>
                    </a:xfrm>
                    <a:prstGeom prst="rect">
                      <a:avLst/>
                    </a:prstGeom>
                    <a:noFill/>
                    <a:ln>
                      <a:noFill/>
                    </a:ln>
                  </pic:spPr>
                </pic:pic>
              </a:graphicData>
            </a:graphic>
          </wp:inline>
        </w:drawing>
      </w:r>
    </w:p>
    <w:p>
      <w:pPr>
        <w:pStyle w:val="43"/>
      </w:pPr>
    </w:p>
    <w:p>
      <w:pPr>
        <w:pStyle w:val="43"/>
      </w:pPr>
      <w:r>
        <w:drawing>
          <wp:inline distT="0" distB="0" distL="114300" distR="114300">
            <wp:extent cx="5273675" cy="7477760"/>
            <wp:effectExtent l="0" t="0" r="3175" b="889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31"/>
                    <a:stretch>
                      <a:fillRect/>
                    </a:stretch>
                  </pic:blipFill>
                  <pic:spPr>
                    <a:xfrm>
                      <a:off x="0" y="0"/>
                      <a:ext cx="5273675" cy="7477760"/>
                    </a:xfrm>
                    <a:prstGeom prst="rect">
                      <a:avLst/>
                    </a:prstGeom>
                    <a:noFill/>
                    <a:ln>
                      <a:noFill/>
                    </a:ln>
                  </pic:spPr>
                </pic:pic>
              </a:graphicData>
            </a:graphic>
          </wp:inline>
        </w:drawing>
      </w:r>
    </w:p>
    <w:p>
      <w:pPr>
        <w:pStyle w:val="43"/>
      </w:pPr>
      <w:r>
        <w:drawing>
          <wp:inline distT="0" distB="0" distL="114300" distR="114300">
            <wp:extent cx="5271770" cy="7454900"/>
            <wp:effectExtent l="0" t="0" r="5080" b="1270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32"/>
                    <a:stretch>
                      <a:fillRect/>
                    </a:stretch>
                  </pic:blipFill>
                  <pic:spPr>
                    <a:xfrm>
                      <a:off x="0" y="0"/>
                      <a:ext cx="5271770" cy="7454900"/>
                    </a:xfrm>
                    <a:prstGeom prst="rect">
                      <a:avLst/>
                    </a:prstGeom>
                    <a:noFill/>
                    <a:ln>
                      <a:noFill/>
                    </a:ln>
                  </pic:spPr>
                </pic:pic>
              </a:graphicData>
            </a:graphic>
          </wp:inline>
        </w:drawing>
      </w:r>
    </w:p>
    <w:p>
      <w:pPr>
        <w:pStyle w:val="43"/>
      </w:pPr>
      <w:r>
        <w:drawing>
          <wp:inline distT="0" distB="0" distL="114300" distR="114300">
            <wp:extent cx="5271770" cy="7446010"/>
            <wp:effectExtent l="0" t="0" r="5080" b="254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33"/>
                    <a:stretch>
                      <a:fillRect/>
                    </a:stretch>
                  </pic:blipFill>
                  <pic:spPr>
                    <a:xfrm>
                      <a:off x="0" y="0"/>
                      <a:ext cx="5271770" cy="7446010"/>
                    </a:xfrm>
                    <a:prstGeom prst="rect">
                      <a:avLst/>
                    </a:prstGeom>
                    <a:noFill/>
                    <a:ln>
                      <a:noFill/>
                    </a:ln>
                  </pic:spPr>
                </pic:pic>
              </a:graphicData>
            </a:graphic>
          </wp:inline>
        </w:drawing>
      </w:r>
      <w:r>
        <w:drawing>
          <wp:inline distT="0" distB="0" distL="114300" distR="114300">
            <wp:extent cx="5270500" cy="7433310"/>
            <wp:effectExtent l="0" t="0" r="6350" b="1524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34"/>
                    <a:stretch>
                      <a:fillRect/>
                    </a:stretch>
                  </pic:blipFill>
                  <pic:spPr>
                    <a:xfrm>
                      <a:off x="0" y="0"/>
                      <a:ext cx="5270500" cy="7433310"/>
                    </a:xfrm>
                    <a:prstGeom prst="rect">
                      <a:avLst/>
                    </a:prstGeom>
                    <a:noFill/>
                    <a:ln>
                      <a:noFill/>
                    </a:ln>
                  </pic:spPr>
                </pic:pic>
              </a:graphicData>
            </a:graphic>
          </wp:inline>
        </w:drawing>
      </w:r>
    </w:p>
    <w:p>
      <w:pPr>
        <w:pStyle w:val="43"/>
      </w:pPr>
    </w:p>
    <w:p>
      <w:pPr>
        <w:pStyle w:val="43"/>
      </w:pPr>
      <w:r>
        <w:drawing>
          <wp:inline distT="0" distB="0" distL="114300" distR="114300">
            <wp:extent cx="5271770" cy="7454900"/>
            <wp:effectExtent l="0" t="0" r="5080" b="1270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35"/>
                    <a:stretch>
                      <a:fillRect/>
                    </a:stretch>
                  </pic:blipFill>
                  <pic:spPr>
                    <a:xfrm>
                      <a:off x="0" y="0"/>
                      <a:ext cx="5271770" cy="7454900"/>
                    </a:xfrm>
                    <a:prstGeom prst="rect">
                      <a:avLst/>
                    </a:prstGeom>
                    <a:noFill/>
                    <a:ln>
                      <a:noFill/>
                    </a:ln>
                  </pic:spPr>
                </pic:pic>
              </a:graphicData>
            </a:graphic>
          </wp:inline>
        </w:drawing>
      </w:r>
    </w:p>
    <w:p>
      <w:pPr>
        <w:pStyle w:val="43"/>
      </w:pPr>
      <w:r>
        <w:drawing>
          <wp:inline distT="0" distB="0" distL="114300" distR="114300">
            <wp:extent cx="5273675" cy="7434580"/>
            <wp:effectExtent l="0" t="0" r="3175" b="1397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36"/>
                    <a:stretch>
                      <a:fillRect/>
                    </a:stretch>
                  </pic:blipFill>
                  <pic:spPr>
                    <a:xfrm>
                      <a:off x="0" y="0"/>
                      <a:ext cx="5273675" cy="7434580"/>
                    </a:xfrm>
                    <a:prstGeom prst="rect">
                      <a:avLst/>
                    </a:prstGeom>
                    <a:noFill/>
                    <a:ln>
                      <a:noFill/>
                    </a:ln>
                  </pic:spPr>
                </pic:pic>
              </a:graphicData>
            </a:graphic>
          </wp:inline>
        </w:drawing>
      </w:r>
    </w:p>
    <w:p>
      <w:pPr>
        <w:pStyle w:val="43"/>
      </w:pPr>
      <w:r>
        <w:drawing>
          <wp:inline distT="0" distB="0" distL="114300" distR="114300">
            <wp:extent cx="5272405" cy="7457440"/>
            <wp:effectExtent l="0" t="0" r="4445" b="1016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37"/>
                    <a:stretch>
                      <a:fillRect/>
                    </a:stretch>
                  </pic:blipFill>
                  <pic:spPr>
                    <a:xfrm>
                      <a:off x="0" y="0"/>
                      <a:ext cx="5272405" cy="7457440"/>
                    </a:xfrm>
                    <a:prstGeom prst="rect">
                      <a:avLst/>
                    </a:prstGeom>
                    <a:noFill/>
                    <a:ln>
                      <a:noFill/>
                    </a:ln>
                  </pic:spPr>
                </pic:pic>
              </a:graphicData>
            </a:graphic>
          </wp:inline>
        </w:drawing>
      </w:r>
    </w:p>
    <w:p>
      <w:pPr>
        <w:pStyle w:val="43"/>
        <w:sectPr>
          <w:pgSz w:w="11906" w:h="16838"/>
          <w:pgMar w:top="1440" w:right="1800" w:bottom="1440" w:left="1800" w:header="851" w:footer="992" w:gutter="0"/>
          <w:cols w:space="425" w:num="1"/>
          <w:docGrid w:type="lines" w:linePitch="312" w:charSpace="0"/>
        </w:sectPr>
      </w:pPr>
      <w:r>
        <w:drawing>
          <wp:inline distT="0" distB="0" distL="114300" distR="114300">
            <wp:extent cx="5272405" cy="7475855"/>
            <wp:effectExtent l="0" t="0" r="4445" b="1079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8"/>
                    <a:stretch>
                      <a:fillRect/>
                    </a:stretch>
                  </pic:blipFill>
                  <pic:spPr>
                    <a:xfrm>
                      <a:off x="0" y="0"/>
                      <a:ext cx="5272405" cy="7475855"/>
                    </a:xfrm>
                    <a:prstGeom prst="rect">
                      <a:avLst/>
                    </a:prstGeom>
                    <a:noFill/>
                    <a:ln>
                      <a:noFill/>
                    </a:ln>
                  </pic:spPr>
                </pic:pic>
              </a:graphicData>
            </a:graphic>
          </wp:inline>
        </w:drawing>
      </w:r>
    </w:p>
    <w:p>
      <w:pPr>
        <w:pStyle w:val="32"/>
      </w:pPr>
      <w:bookmarkStart w:id="122" w:name="_Toc2336"/>
      <w:r>
        <w:rPr>
          <w:rFonts w:hint="eastAsia"/>
        </w:rPr>
        <w:t>附图</w:t>
      </w:r>
      <w:bookmarkEnd w:id="122"/>
    </w:p>
    <w:p>
      <w:pPr>
        <w:pStyle w:val="35"/>
      </w:pPr>
      <w:bookmarkStart w:id="123" w:name="_Toc7343"/>
      <w:r>
        <w:rPr>
          <w:rFonts w:hint="eastAsia"/>
        </w:rPr>
        <w:t>附图1：地理位置图</w:t>
      </w:r>
      <w:bookmarkEnd w:id="123"/>
    </w:p>
    <w:p>
      <w:pPr>
        <w:pStyle w:val="43"/>
        <w:sectPr>
          <w:pgSz w:w="16838" w:h="11906" w:orient="landscape"/>
          <w:pgMar w:top="1800" w:right="1440" w:bottom="1800" w:left="1440" w:header="851" w:footer="992" w:gutter="0"/>
          <w:cols w:space="425" w:num="1"/>
          <w:docGrid w:type="lines" w:linePitch="312" w:charSpace="0"/>
        </w:sectPr>
      </w:pPr>
      <w:r>
        <mc:AlternateContent>
          <mc:Choice Requires="wps">
            <w:drawing>
              <wp:anchor distT="0" distB="0" distL="114300" distR="114300" simplePos="0" relativeHeight="251665408" behindDoc="0" locked="0" layoutInCell="1" allowOverlap="1">
                <wp:simplePos x="0" y="0"/>
                <wp:positionH relativeFrom="column">
                  <wp:posOffset>4165600</wp:posOffset>
                </wp:positionH>
                <wp:positionV relativeFrom="paragraph">
                  <wp:posOffset>2409825</wp:posOffset>
                </wp:positionV>
                <wp:extent cx="1294765" cy="255905"/>
                <wp:effectExtent l="0" t="0" r="572135" b="639445"/>
                <wp:wrapNone/>
                <wp:docPr id="519053983" name="对话气泡: 矩形 29"/>
                <wp:cNvGraphicFramePr/>
                <a:graphic xmlns:a="http://schemas.openxmlformats.org/drawingml/2006/main">
                  <a:graphicData uri="http://schemas.microsoft.com/office/word/2010/wordprocessingShape">
                    <wps:wsp>
                      <wps:cNvSpPr/>
                      <wps:spPr>
                        <a:xfrm>
                          <a:off x="0" y="0"/>
                          <a:ext cx="1294765" cy="255905"/>
                        </a:xfrm>
                        <a:prstGeom prst="wedgeRectCallout">
                          <a:avLst>
                            <a:gd name="adj1" fmla="val 88774"/>
                            <a:gd name="adj2" fmla="val 285468"/>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9" o:spid="_x0000_s1026" o:spt="61" type="#_x0000_t61" style="position:absolute;left:0pt;margin-left:328pt;margin-top:189.75pt;height:20.15pt;width:101.95pt;z-index:251665408;v-text-anchor:middle;mso-width-relative:page;mso-height-relative:page;" fillcolor="#FFFFFF [3201]" filled="t" stroked="t" coordsize="21600,21600" o:gfxdata="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CWXQ+vYAAAACwEAAA8AAAAA&#10;AAAAAQAgAAAAIgAAAGRycy9kb3ducmV2LnhtbFBLAQIUABQAAAAIAIdO4kAehok3vwIAAHQFAAAO&#10;AAAAAAAAAAEAIAAAACcBAABkcnMvZTJvRG9jLnhtbFBLBQYAAAAABgAGAFkBAABYBgAAAAA=&#10;" adj="29975,72461">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5966460</wp:posOffset>
                </wp:positionH>
                <wp:positionV relativeFrom="paragraph">
                  <wp:posOffset>3223895</wp:posOffset>
                </wp:positionV>
                <wp:extent cx="153670" cy="153670"/>
                <wp:effectExtent l="19050" t="38100" r="37465" b="37465"/>
                <wp:wrapNone/>
                <wp:docPr id="1050825210" name="星形: 五角 28"/>
                <wp:cNvGraphicFramePr/>
                <a:graphic xmlns:a="http://schemas.openxmlformats.org/drawingml/2006/main">
                  <a:graphicData uri="http://schemas.microsoft.com/office/word/2010/wordprocessingShape">
                    <wps:wsp>
                      <wps:cNvSpPr/>
                      <wps:spPr>
                        <a:xfrm>
                          <a:off x="0" y="0"/>
                          <a:ext cx="153619" cy="153619"/>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28" o:spid="_x0000_s1026" style="position:absolute;left:0pt;margin-left:469.8pt;margin-top:253.85pt;height:12.1pt;width:12.1pt;z-index:251664384;v-text-anchor:middle;mso-width-relative:page;mso-height-relative:page;" fillcolor="#FF0000" filled="t" stroked="t" coordsize="153619,153619" o:gfxdata="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p19vjaAAAACwEAAA8AAAAAAAAAAQAg&#10;AAAAIgAAAGRycy9kb3ducmV2LnhtbFBLAQIUABQAAAAIAIdO4kA+j1WZfgIAAAYFAAAOAAAAAAAA&#10;AAEAIAAAACkBAABkcnMvZTJvRG9jLnhtbFBLBQYAAAAABgAGAFkBAAAZBgAAAAA=&#10;" path="m0,58677l58677,58677,76809,0,94941,58677,153618,58677,106147,94941,124280,153618,76809,117353,29338,153618,47471,94941xe">
                <v:path o:connectlocs="76809,0;0,58677;29338,153618;124280,153618;153618,58677" o:connectangles="247,164,82,82,0"/>
                <v:fill on="t" focussize="0,0"/>
                <v:stroke weight="1pt" color="#FF0000 [3204]" miterlimit="8" joinstyle="miter"/>
                <v:imagedata o:title=""/>
                <o:lock v:ext="edit" aspectratio="f"/>
              </v:shape>
            </w:pict>
          </mc:Fallback>
        </mc:AlternateContent>
      </w:r>
      <w:r>
        <w:drawing>
          <wp:anchor distT="0" distB="0" distL="114300" distR="114300" simplePos="0" relativeHeight="251674624" behindDoc="0" locked="0" layoutInCell="1" allowOverlap="1">
            <wp:simplePos x="0" y="0"/>
            <wp:positionH relativeFrom="column">
              <wp:posOffset>6780530</wp:posOffset>
            </wp:positionH>
            <wp:positionV relativeFrom="paragraph">
              <wp:posOffset>88900</wp:posOffset>
            </wp:positionV>
            <wp:extent cx="676910" cy="709295"/>
            <wp:effectExtent l="0" t="0" r="8890" b="0"/>
            <wp:wrapNone/>
            <wp:docPr id="426343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43398" name="图片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drawing>
          <wp:inline distT="0" distB="0" distL="0" distR="0">
            <wp:extent cx="6283325" cy="4556125"/>
            <wp:effectExtent l="0" t="0" r="3175" b="0"/>
            <wp:docPr id="9127007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00788" name="图片 27"/>
                    <pic:cNvPicPr>
                      <a:picLocks noChangeAspect="1" noChangeArrowheads="1"/>
                    </pic:cNvPicPr>
                  </pic:nvPicPr>
                  <pic:blipFill>
                    <a:blip r:embed="rId40" cstate="print">
                      <a:extLst>
                        <a:ext uri="{28A0092B-C50C-407E-A947-70E740481C1C}">
                          <a14:useLocalDpi xmlns:a14="http://schemas.microsoft.com/office/drawing/2010/main" val="0"/>
                        </a:ext>
                      </a:extLst>
                    </a:blip>
                    <a:srcRect l="5181" t="3883" r="5162" b="3880"/>
                    <a:stretch>
                      <a:fillRect/>
                    </a:stretch>
                  </pic:blipFill>
                  <pic:spPr>
                    <a:xfrm>
                      <a:off x="0" y="0"/>
                      <a:ext cx="6296356" cy="4565352"/>
                    </a:xfrm>
                    <a:prstGeom prst="rect">
                      <a:avLst/>
                    </a:prstGeom>
                    <a:noFill/>
                    <a:ln>
                      <a:noFill/>
                    </a:ln>
                  </pic:spPr>
                </pic:pic>
              </a:graphicData>
            </a:graphic>
          </wp:inline>
        </w:drawing>
      </w:r>
      <w:r>
        <mc:AlternateContent>
          <mc:Choice Requires="wps">
            <w:drawing>
              <wp:anchor distT="0" distB="0" distL="114300" distR="114300" simplePos="0" relativeHeight="251667456" behindDoc="0" locked="0" layoutInCell="1" allowOverlap="1">
                <wp:simplePos x="0" y="0"/>
                <wp:positionH relativeFrom="column">
                  <wp:posOffset>2749550</wp:posOffset>
                </wp:positionH>
                <wp:positionV relativeFrom="paragraph">
                  <wp:posOffset>1637665</wp:posOffset>
                </wp:positionV>
                <wp:extent cx="1097280" cy="299720"/>
                <wp:effectExtent l="0" t="0" r="617220" b="271780"/>
                <wp:wrapNone/>
                <wp:docPr id="527356665" name="对话气泡: 矩形 31"/>
                <wp:cNvGraphicFramePr/>
                <a:graphic xmlns:a="http://schemas.openxmlformats.org/drawingml/2006/main">
                  <a:graphicData uri="http://schemas.microsoft.com/office/word/2010/wordprocessingShape">
                    <wps:wsp>
                      <wps:cNvSpPr/>
                      <wps:spPr>
                        <a:xfrm>
                          <a:off x="0" y="0"/>
                          <a:ext cx="1097280" cy="299720"/>
                        </a:xfrm>
                        <a:prstGeom prst="wedgeRectCallout">
                          <a:avLst>
                            <a:gd name="adj1" fmla="val 97167"/>
                            <a:gd name="adj2" fmla="val 123517"/>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1" o:spid="_x0000_s1026" o:spt="61" type="#_x0000_t61" style="position:absolute;left:0pt;margin-left:216.5pt;margin-top:128.95pt;height:23.6pt;width:86.4pt;z-index:251667456;v-text-anchor:middle;mso-width-relative:page;mso-height-relative:page;" fillcolor="#FFFFFF [3201]" filled="t" stroked="t" coordsize="21600,21600" o:gfxdata="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cdFcG2gAAAAsBAAAPAAAA&#10;AAAAAAEAIAAAACIAAABkcnMvZG93bnJldi54bWxQSwECFAAUAAAACACHTuJA688INL4CAAB0BQAA&#10;DgAAAAAAAAABACAAAAApAQAAZHJzL2Uyb0RvYy54bWxQSwUGAAAAAAYABgBZAQAAWQYAAAAA&#10;" adj="31788,37480">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4371975</wp:posOffset>
                </wp:positionH>
                <wp:positionV relativeFrom="paragraph">
                  <wp:posOffset>2121535</wp:posOffset>
                </wp:positionV>
                <wp:extent cx="197485" cy="197485"/>
                <wp:effectExtent l="19050" t="38100" r="31115" b="31115"/>
                <wp:wrapNone/>
                <wp:docPr id="505619996" name="星形: 五角 30"/>
                <wp:cNvGraphicFramePr/>
                <a:graphic xmlns:a="http://schemas.openxmlformats.org/drawingml/2006/main">
                  <a:graphicData uri="http://schemas.microsoft.com/office/word/2010/wordprocessingShape">
                    <wps:wsp>
                      <wps:cNvSpPr/>
                      <wps:spPr>
                        <a:xfrm>
                          <a:off x="0" y="0"/>
                          <a:ext cx="197510" cy="19751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30" o:spid="_x0000_s1026" style="position:absolute;left:0pt;margin-left:344.25pt;margin-top:167.05pt;height:15.55pt;width:15.55pt;z-index:251666432;v-text-anchor:middle;mso-width-relative:page;mso-height-relative:page;" fillcolor="#FF0000" filled="t" stroked="t" coordsize="197510,197510" o:gfxdata="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RotxF2AAAAAsBAAAPAAAAAAAAAAEAIAAA&#10;ACIAAABkcnMvZG93bnJldi54bWxQSwECFAAUAAAACACHTuJAFrnPGX4CAAAFBQAADgAAAAAAAAAB&#10;ACAAAAAnAQAAZHJzL2Uyb0RvYy54bWxQSwUGAAAAAAYABgBZAQAAFwYAAAAA&#10;" path="m0,75441l75442,75442,98755,0,122067,75442,197509,75441,136475,122067,159788,197509,98755,150883,37721,197509,61034,122067xe">
                <v:path o:connectlocs="98755,0;0,75441;37721,197509;159788,197509;197509,75441" o:connectangles="247,164,82,82,0"/>
                <v:fill on="t" focussize="0,0"/>
                <v:stroke weight="1pt" color="#FF0000 [3204]" miterlimit="8" joinstyle="miter"/>
                <v:imagedata o:title=""/>
                <o:lock v:ext="edit" aspectratio="f"/>
              </v:shape>
            </w:pict>
          </mc:Fallback>
        </mc:AlternateContent>
      </w:r>
      <w:r>
        <w:drawing>
          <wp:anchor distT="0" distB="0" distL="114300" distR="114300" simplePos="0" relativeHeight="251669504" behindDoc="0" locked="0" layoutInCell="1" allowOverlap="1">
            <wp:simplePos x="0" y="0"/>
            <wp:positionH relativeFrom="column">
              <wp:posOffset>8156575</wp:posOffset>
            </wp:positionH>
            <wp:positionV relativeFrom="paragraph">
              <wp:posOffset>5000625</wp:posOffset>
            </wp:positionV>
            <wp:extent cx="666750" cy="231775"/>
            <wp:effectExtent l="0" t="0" r="0" b="15875"/>
            <wp:wrapNone/>
            <wp:docPr id="1827045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45991" name="图片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666750" cy="231775"/>
                    </a:xfrm>
                    <a:prstGeom prst="rect">
                      <a:avLst/>
                    </a:prstGeom>
                  </pic:spPr>
                </pic:pic>
              </a:graphicData>
            </a:graphic>
          </wp:anchor>
        </w:drawing>
      </w:r>
      <w:r>
        <w:drawing>
          <wp:inline distT="0" distB="0" distL="114300" distR="114300">
            <wp:extent cx="8852535" cy="5175885"/>
            <wp:effectExtent l="9525" t="9525" r="15240" b="1524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42"/>
                    <a:stretch>
                      <a:fillRect/>
                    </a:stretch>
                  </pic:blipFill>
                  <pic:spPr>
                    <a:xfrm>
                      <a:off x="0" y="0"/>
                      <a:ext cx="8852535" cy="5175885"/>
                    </a:xfrm>
                    <a:prstGeom prst="rect">
                      <a:avLst/>
                    </a:prstGeom>
                    <a:noFill/>
                    <a:ln>
                      <a:solidFill>
                        <a:schemeClr val="tx1"/>
                      </a:solidFill>
                    </a:ln>
                  </pic:spPr>
                </pic:pic>
              </a:graphicData>
            </a:graphic>
          </wp:inline>
        </w:drawing>
      </w:r>
      <w:r>
        <w:drawing>
          <wp:anchor distT="0" distB="0" distL="114300" distR="114300" simplePos="0" relativeHeight="251668480" behindDoc="0" locked="0" layoutInCell="1" allowOverlap="1">
            <wp:simplePos x="0" y="0"/>
            <wp:positionH relativeFrom="column">
              <wp:posOffset>8141335</wp:posOffset>
            </wp:positionH>
            <wp:positionV relativeFrom="paragraph">
              <wp:posOffset>48895</wp:posOffset>
            </wp:positionV>
            <wp:extent cx="676910" cy="709295"/>
            <wp:effectExtent l="0" t="0" r="8890" b="0"/>
            <wp:wrapNone/>
            <wp:docPr id="279823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23786" name="图片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p>
    <w:p>
      <w:pPr>
        <w:pStyle w:val="35"/>
      </w:pPr>
      <w:bookmarkStart w:id="124" w:name="_Toc18624"/>
      <w:r>
        <w:rPr>
          <w:rFonts w:hint="eastAsia"/>
        </w:rPr>
        <w:t>附图2：总平面布置图</w:t>
      </w:r>
      <w:bookmarkEnd w:id="124"/>
    </w:p>
    <w:p>
      <w:pPr>
        <w:pStyle w:val="43"/>
      </w:pPr>
      <w:r>
        <w:drawing>
          <wp:inline distT="0" distB="0" distL="114300" distR="114300">
            <wp:extent cx="3978275" cy="5039995"/>
            <wp:effectExtent l="0" t="0" r="3175" b="825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43"/>
                    <a:stretch>
                      <a:fillRect/>
                    </a:stretch>
                  </pic:blipFill>
                  <pic:spPr>
                    <a:xfrm>
                      <a:off x="0" y="0"/>
                      <a:ext cx="3978275" cy="5039995"/>
                    </a:xfrm>
                    <a:prstGeom prst="rect">
                      <a:avLst/>
                    </a:prstGeom>
                    <a:noFill/>
                    <a:ln>
                      <a:noFill/>
                    </a:ln>
                  </pic:spPr>
                </pic:pic>
              </a:graphicData>
            </a:graphic>
          </wp:inline>
        </w:drawing>
      </w:r>
    </w:p>
    <w:p>
      <w:pPr>
        <w:pStyle w:val="35"/>
        <w:sectPr>
          <w:pgSz w:w="16838" w:h="11906" w:orient="landscape"/>
          <w:pgMar w:top="1440" w:right="1080" w:bottom="1440" w:left="1080" w:header="851" w:footer="680" w:gutter="0"/>
          <w:cols w:space="425" w:num="1"/>
          <w:docGrid w:type="lines" w:linePitch="312" w:charSpace="0"/>
        </w:sectPr>
      </w:pPr>
    </w:p>
    <w:p>
      <w:pPr>
        <w:pStyle w:val="35"/>
      </w:pPr>
      <w:bookmarkStart w:id="125" w:name="_Toc6845"/>
      <w:r>
        <w:rPr>
          <w:rFonts w:hint="eastAsia"/>
        </w:rPr>
        <w:t>附图3：污水处理工程污水收集专管布置图</w:t>
      </w:r>
      <w:bookmarkEnd w:id="125"/>
    </w:p>
    <w:p>
      <w:pPr>
        <w:pStyle w:val="20"/>
        <w:widowControl/>
        <w:sectPr>
          <w:pgSz w:w="11906" w:h="16838"/>
          <w:pgMar w:top="1083" w:right="1440" w:bottom="1083" w:left="1440" w:header="851" w:footer="680" w:gutter="0"/>
          <w:cols w:space="0" w:num="1"/>
          <w:docGrid w:type="lines" w:linePitch="312" w:charSpace="0"/>
        </w:sectPr>
      </w:pPr>
      <w:r>
        <w:drawing>
          <wp:inline distT="0" distB="0" distL="114300" distR="114300">
            <wp:extent cx="5734685" cy="7919720"/>
            <wp:effectExtent l="0" t="0" r="18415" b="5080"/>
            <wp:docPr id="2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56"/>
                    <pic:cNvPicPr>
                      <a:picLocks noChangeAspect="1"/>
                    </pic:cNvPicPr>
                  </pic:nvPicPr>
                  <pic:blipFill>
                    <a:blip r:embed="rId44"/>
                    <a:stretch>
                      <a:fillRect/>
                    </a:stretch>
                  </pic:blipFill>
                  <pic:spPr>
                    <a:xfrm>
                      <a:off x="0" y="0"/>
                      <a:ext cx="5734685" cy="7919720"/>
                    </a:xfrm>
                    <a:prstGeom prst="rect">
                      <a:avLst/>
                    </a:prstGeom>
                    <a:noFill/>
                    <a:ln w="9525">
                      <a:noFill/>
                    </a:ln>
                  </pic:spPr>
                </pic:pic>
              </a:graphicData>
            </a:graphic>
          </wp:inline>
        </w:drawing>
      </w:r>
    </w:p>
    <w:p>
      <w:pPr>
        <w:pStyle w:val="35"/>
      </w:pPr>
      <w:bookmarkStart w:id="126" w:name="_Toc17125"/>
      <w:r>
        <w:rPr>
          <w:rFonts w:hint="eastAsia"/>
        </w:rPr>
        <w:t>附图4：污水处理工程污水分区图</w:t>
      </w:r>
      <w:bookmarkEnd w:id="126"/>
    </w:p>
    <w:p>
      <w:pPr>
        <w:pStyle w:val="20"/>
        <w:widowControl/>
        <w:jc w:val="center"/>
      </w:pPr>
      <w:r>
        <w:drawing>
          <wp:inline distT="0" distB="0" distL="114300" distR="114300">
            <wp:extent cx="7131685" cy="5039995"/>
            <wp:effectExtent l="0" t="0" r="12065" b="8255"/>
            <wp:docPr id="24"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descr="IMG_256"/>
                    <pic:cNvPicPr>
                      <a:picLocks noChangeAspect="1"/>
                    </pic:cNvPicPr>
                  </pic:nvPicPr>
                  <pic:blipFill>
                    <a:blip r:embed="rId45"/>
                    <a:stretch>
                      <a:fillRect/>
                    </a:stretch>
                  </pic:blipFill>
                  <pic:spPr>
                    <a:xfrm>
                      <a:off x="0" y="0"/>
                      <a:ext cx="7131685" cy="5039995"/>
                    </a:xfrm>
                    <a:prstGeom prst="rect">
                      <a:avLst/>
                    </a:prstGeom>
                    <a:noFill/>
                    <a:ln w="9525">
                      <a:noFill/>
                    </a:ln>
                  </pic:spPr>
                </pic:pic>
              </a:graphicData>
            </a:graphic>
          </wp:inline>
        </w:drawing>
      </w:r>
    </w:p>
    <w:p>
      <w:pPr>
        <w:pStyle w:val="43"/>
        <w:sectPr>
          <w:pgSz w:w="16838" w:h="11906" w:orient="landscape"/>
          <w:pgMar w:top="1440" w:right="1080" w:bottom="1440" w:left="1080" w:header="851" w:footer="992" w:gutter="0"/>
          <w:cols w:space="425" w:num="1"/>
          <w:docGrid w:type="lines" w:linePitch="312" w:charSpace="0"/>
        </w:sectPr>
      </w:pPr>
    </w:p>
    <w:p>
      <w:pPr>
        <w:pStyle w:val="35"/>
      </w:pPr>
      <w:bookmarkStart w:id="127" w:name="_Toc19970"/>
      <w:r>
        <w:rPr>
          <w:rFonts w:hint="eastAsia"/>
        </w:rPr>
        <w:t>附图5：排污口设置位置及</w:t>
      </w:r>
      <w:r>
        <w:rPr>
          <w:rFonts w:hint="eastAsia"/>
          <w:color w:val="000000" w:themeColor="text1"/>
          <w14:textFill>
            <w14:solidFill>
              <w14:schemeClr w14:val="tx1"/>
            </w14:solidFill>
          </w14:textFill>
        </w:rPr>
        <w:t>排污路径图</w:t>
      </w:r>
      <w:bookmarkEnd w:id="127"/>
    </w:p>
    <w:p>
      <w:pPr>
        <w:pStyle w:val="43"/>
        <w:sectPr>
          <w:pgSz w:w="16838" w:h="11906" w:orient="landscape"/>
          <w:pgMar w:top="1440" w:right="1080" w:bottom="1440" w:left="1080" w:header="851" w:footer="992" w:gutter="0"/>
          <w:cols w:space="425" w:num="1"/>
          <w:docGrid w:type="lines" w:linePitch="312" w:charSpace="0"/>
        </w:sectPr>
      </w:pPr>
      <w:r>
        <mc:AlternateContent>
          <mc:Choice Requires="wps">
            <w:drawing>
              <wp:anchor distT="0" distB="0" distL="114300" distR="114300" simplePos="0" relativeHeight="251685888" behindDoc="0" locked="0" layoutInCell="1" allowOverlap="1">
                <wp:simplePos x="0" y="0"/>
                <wp:positionH relativeFrom="column">
                  <wp:posOffset>2783205</wp:posOffset>
                </wp:positionH>
                <wp:positionV relativeFrom="paragraph">
                  <wp:posOffset>1344295</wp:posOffset>
                </wp:positionV>
                <wp:extent cx="1338580" cy="350520"/>
                <wp:effectExtent l="704850" t="0" r="13970" b="259080"/>
                <wp:wrapNone/>
                <wp:docPr id="1956206412"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9306"/>
                            <a:gd name="adj2" fmla="val 116549"/>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5" o:spid="_x0000_s1026" o:spt="61" type="#_x0000_t61" style="position:absolute;left:0pt;margin-left:219.15pt;margin-top:105.85pt;height:27.6pt;width:105.4pt;z-index:251685888;v-text-anchor:middle;mso-width-relative:page;mso-height-relative:page;" fillcolor="#FFFFFF [3201]" filled="t" stroked="t" coordsize="21600,21600" o:gfxdata="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O6y0WXXAAAACwEAAA8A&#10;AAAAAAAAAQAgAAAAIgAAAGRycy9kb3ducmV2LnhtbFBLAQIUABQAAAAIAIdO4kC6P1BQwwIAAHYF&#10;AAAOAAAAAAAAAAEAIAAAACYBAABkcnMvZTJvRG9jLnhtbFBLBQYAAAAABgAGAFkBAABbBgAAAAA=&#10;" adj="-10650,35975">
                <v:fill on="t" focussize="0,0"/>
                <v:stroke weight="1pt" color="#000000 [3200]" miterlimit="8" joinstyle="miter"/>
                <v:imagedata o:title=""/>
                <o:lock v:ext="edit" aspectratio="f"/>
                <v:textbox>
                  <w:txbxContent>
                    <w:p>
                      <w:pPr>
                        <w:jc w:val="center"/>
                      </w:pPr>
                      <w:r>
                        <w:rPr>
                          <w:rFonts w:hint="eastAsia"/>
                        </w:rPr>
                        <w:t>入河排污口位置</w:t>
                      </w:r>
                    </w:p>
                  </w:txbxContent>
                </v:textbox>
              </v:shape>
            </w:pict>
          </mc:Fallback>
        </mc:AlternateContent>
      </w:r>
      <w:r>
        <w:drawing>
          <wp:anchor distT="0" distB="0" distL="114300" distR="114300" simplePos="0" relativeHeight="251675648" behindDoc="0" locked="0" layoutInCell="1" allowOverlap="1">
            <wp:simplePos x="0" y="0"/>
            <wp:positionH relativeFrom="column">
              <wp:posOffset>8287385</wp:posOffset>
            </wp:positionH>
            <wp:positionV relativeFrom="paragraph">
              <wp:posOffset>79375</wp:posOffset>
            </wp:positionV>
            <wp:extent cx="676910" cy="709295"/>
            <wp:effectExtent l="0" t="0" r="8890" b="0"/>
            <wp:wrapNone/>
            <wp:docPr id="578296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17" name="图片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mc:AlternateContent>
          <mc:Choice Requires="wps">
            <w:drawing>
              <wp:anchor distT="0" distB="0" distL="114300" distR="114300" simplePos="0" relativeHeight="251670528" behindDoc="0" locked="0" layoutInCell="1" allowOverlap="1">
                <wp:simplePos x="0" y="0"/>
                <wp:positionH relativeFrom="column">
                  <wp:posOffset>862330</wp:posOffset>
                </wp:positionH>
                <wp:positionV relativeFrom="paragraph">
                  <wp:posOffset>2779395</wp:posOffset>
                </wp:positionV>
                <wp:extent cx="1064895" cy="350520"/>
                <wp:effectExtent l="6350" t="384175" r="338455" b="8255"/>
                <wp:wrapNone/>
                <wp:docPr id="2115058639" name="对话气泡: 矩形 35"/>
                <wp:cNvGraphicFramePr/>
                <a:graphic xmlns:a="http://schemas.openxmlformats.org/drawingml/2006/main">
                  <a:graphicData uri="http://schemas.microsoft.com/office/word/2010/wordprocessingShape">
                    <wps:wsp>
                      <wps:cNvSpPr/>
                      <wps:spPr>
                        <a:xfrm>
                          <a:off x="0" y="0"/>
                          <a:ext cx="1064895" cy="350520"/>
                        </a:xfrm>
                        <a:prstGeom prst="wedgeRectCallout">
                          <a:avLst>
                            <a:gd name="adj1" fmla="val 77668"/>
                            <a:gd name="adj2" fmla="val -15163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灌溉渠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5" o:spid="_x0000_s1026" o:spt="61" type="#_x0000_t61" style="position:absolute;left:0pt;margin-left:67.9pt;margin-top:218.85pt;height:27.6pt;width:83.85pt;z-index:251670528;v-text-anchor:middle;mso-width-relative:page;mso-height-relative:page;" fillcolor="#FFFFFF [3201]" filled="t" stroked="t" coordsize="21600,21600" o:gfxdata="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PbiXeXZAAAACwEAAA8A&#10;AAAAAAAAAQAgAAAAIgAAAGRycy9kb3ducmV2LnhtbFBLAQIUABQAAAAIAIdO4kAqrNYXwQIAAHYF&#10;AAAOAAAAAAAAAAEAIAAAACgBAABkcnMvZTJvRG9jLnhtbFBLBQYAAAAABgAGAFkBAABbBgAAAAA=&#10;" adj="27576,-21952">
                <v:fill on="t" focussize="0,0"/>
                <v:stroke weight="1pt" color="#000000 [3200]" miterlimit="8" joinstyle="miter"/>
                <v:imagedata o:title=""/>
                <o:lock v:ext="edit" aspectratio="f"/>
                <v:textbox>
                  <w:txbxContent>
                    <w:p>
                      <w:pPr>
                        <w:jc w:val="center"/>
                      </w:pPr>
                      <w:r>
                        <w:rPr>
                          <w:rFonts w:hint="eastAsia"/>
                        </w:rPr>
                        <w:t>灌溉渠</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6985000</wp:posOffset>
                </wp:positionH>
                <wp:positionV relativeFrom="paragraph">
                  <wp:posOffset>3766185</wp:posOffset>
                </wp:positionV>
                <wp:extent cx="1338580" cy="350520"/>
                <wp:effectExtent l="633730" t="221615" r="8890" b="18415"/>
                <wp:wrapNone/>
                <wp:docPr id="143075760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3548"/>
                            <a:gd name="adj2" fmla="val -10887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白河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5" o:spid="_x0000_s1026" o:spt="61" type="#_x0000_t61" style="position:absolute;left:0pt;margin-left:550pt;margin-top:296.55pt;height:27.6pt;width:105.4pt;z-index:251671552;v-text-anchor:middle;mso-width-relative:page;mso-height-relative:page;" fillcolor="#FFFFFF [3201]" filled="t" stroked="t" coordsize="21600,21600" o:gfxdata="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danwp9oAAAANAQAA&#10;DwAAAAAAAAABACAAAAAiAAAAZHJzL2Rvd25yZXYueG1sUEsBAhQAFAAAAAgAh07iQHGIN1bCAgAA&#10;dwUAAA4AAAAAAAAAAQAgAAAAKQEAAGRycy9lMm9Eb2MueG1sUEsFBgAAAAAGAAYAWQEAAF0GAAAA&#10;AA==&#10;" adj="-9406,-12717">
                <v:fill on="t" focussize="0,0"/>
                <v:stroke weight="1pt" color="#000000 [3200]" miterlimit="8" joinstyle="miter"/>
                <v:imagedata o:title=""/>
                <o:lock v:ext="edit" aspectratio="f"/>
                <v:textbox>
                  <w:txbxContent>
                    <w:p>
                      <w:pPr>
                        <w:jc w:val="center"/>
                      </w:pPr>
                      <w:r>
                        <w:rPr>
                          <w:rFonts w:hint="eastAsia"/>
                        </w:rPr>
                        <w:t>白河</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7378700</wp:posOffset>
                </wp:positionH>
                <wp:positionV relativeFrom="paragraph">
                  <wp:posOffset>2257425</wp:posOffset>
                </wp:positionV>
                <wp:extent cx="1338580" cy="350520"/>
                <wp:effectExtent l="559435" t="671830" r="6985" b="6350"/>
                <wp:wrapNone/>
                <wp:docPr id="93201475"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88614"/>
                            <a:gd name="adj2" fmla="val -232789"/>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汇入白河口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5" o:spid="_x0000_s1026" o:spt="61" type="#_x0000_t61" style="position:absolute;left:0pt;margin-left:581pt;margin-top:177.75pt;height:27.6pt;width:105.4pt;z-index:251672576;v-text-anchor:middle;mso-width-relative:page;mso-height-relative:page;" fillcolor="#FFFFFF [3201]" filled="t" stroked="t" coordsize="21600,21600" o:gfxdata="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4DK5OdkAAAANAQAADwAA&#10;AAAAAAABACAAAAAiAAAAZHJzL2Rvd25yZXYueG1sUEsBAhQAFAAAAAgAh07iQIWI/WvAAgAAdQUA&#10;AA4AAAAAAAAAAQAgAAAAKAEAAGRycy9lMm9Eb2MueG1sUEsFBgAAAAAGAAYAWQEAAFoGAAAAAA==&#10;" adj="-8341,-39482">
                <v:fill on="t" focussize="0,0"/>
                <v:stroke weight="1pt" color="#000000 [3200]" miterlimit="8" joinstyle="miter"/>
                <v:imagedata o:title=""/>
                <o:lock v:ext="edit" aspectratio="f"/>
                <v:textbox>
                  <w:txbxContent>
                    <w:p>
                      <w:pPr>
                        <w:jc w:val="center"/>
                      </w:pPr>
                      <w:r>
                        <w:rPr>
                          <w:rFonts w:hint="eastAsia"/>
                        </w:rPr>
                        <w:t>汇入白河口</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3338830</wp:posOffset>
                </wp:positionH>
                <wp:positionV relativeFrom="paragraph">
                  <wp:posOffset>4029075</wp:posOffset>
                </wp:positionV>
                <wp:extent cx="1338580" cy="350520"/>
                <wp:effectExtent l="6350" t="6350" r="674370" b="500380"/>
                <wp:wrapNone/>
                <wp:docPr id="207698025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5683"/>
                            <a:gd name="adj2" fmla="val 18442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论证范围终点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5" o:spid="_x0000_s1026" o:spt="61" type="#_x0000_t61" style="position:absolute;left:0pt;margin-left:262.9pt;margin-top:317.25pt;height:27.6pt;width:105.4pt;z-index:251673600;v-text-anchor:middle;mso-width-relative:page;mso-height-relative:page;" fillcolor="#FFFFFF [3201]" filled="t" stroked="t" coordsize="21600,21600" o:gfxdata="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URDuK3AAAAAsBAAAP&#10;AAAAAAAAAAEAIAAAACIAAABkcnMvZG93bnJldi54bWxQSwECFAAUAAAACACHTuJADkmo/b8CAAB1&#10;BQAADgAAAAAAAAABACAAAAArAQAAZHJzL2Uyb0RvYy54bWxQSwUGAAAAAAYABgBZAQAAXAYAAAAA&#10;" adj="31468,50635">
                <v:fill on="t" focussize="0,0"/>
                <v:stroke weight="1pt" color="#000000 [3200]" miterlimit="8" joinstyle="miter"/>
                <v:imagedata o:title=""/>
                <o:lock v:ext="edit" aspectratio="f"/>
                <v:textbox>
                  <w:txbxContent>
                    <w:p>
                      <w:pPr>
                        <w:jc w:val="center"/>
                      </w:pPr>
                      <w:r>
                        <w:rPr>
                          <w:rFonts w:hint="eastAsia"/>
                        </w:rPr>
                        <w:t>论证范围终点</w:t>
                      </w:r>
                    </w:p>
                  </w:txbxContent>
                </v:textbox>
              </v:shape>
            </w:pict>
          </mc:Fallback>
        </mc:AlternateContent>
      </w:r>
      <w:r>
        <w:drawing>
          <wp:inline distT="0" distB="0" distL="114300" distR="114300">
            <wp:extent cx="8639810" cy="4975225"/>
            <wp:effectExtent l="9525" t="9525" r="18415" b="2540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46"/>
                    <a:stretch>
                      <a:fillRect/>
                    </a:stretch>
                  </pic:blipFill>
                  <pic:spPr>
                    <a:xfrm>
                      <a:off x="0" y="0"/>
                      <a:ext cx="8639810" cy="4975225"/>
                    </a:xfrm>
                    <a:prstGeom prst="rect">
                      <a:avLst/>
                    </a:prstGeom>
                    <a:noFill/>
                    <a:ln>
                      <a:solidFill>
                        <a:schemeClr val="tx1"/>
                      </a:solidFill>
                    </a:ln>
                  </pic:spPr>
                </pic:pic>
              </a:graphicData>
            </a:graphic>
          </wp:inline>
        </w:drawing>
      </w:r>
    </w:p>
    <w:p>
      <w:pPr>
        <w:pStyle w:val="35"/>
      </w:pPr>
      <w:bookmarkStart w:id="128" w:name="_Toc18462"/>
      <w:r>
        <w:rPr>
          <w:rFonts w:hint="eastAsia"/>
        </w:rPr>
        <w:t>附图6：区域水系图</w:t>
      </w:r>
      <w:bookmarkEnd w:id="128"/>
    </w:p>
    <w:p>
      <w:pPr>
        <w:pStyle w:val="43"/>
        <w:sectPr>
          <w:pgSz w:w="16838" w:h="11906" w:orient="landscape"/>
          <w:pgMar w:top="1440" w:right="1080" w:bottom="1440" w:left="1080" w:header="851" w:footer="992" w:gutter="0"/>
          <w:cols w:space="425" w:num="1"/>
          <w:docGrid w:type="lines" w:linePitch="312" w:charSpace="0"/>
        </w:sectPr>
      </w:pPr>
      <w:r>
        <mc:AlternateContent>
          <mc:Choice Requires="wps">
            <w:drawing>
              <wp:anchor distT="0" distB="0" distL="114300" distR="114300" simplePos="0" relativeHeight="251679744" behindDoc="0" locked="0" layoutInCell="1" allowOverlap="1">
                <wp:simplePos x="0" y="0"/>
                <wp:positionH relativeFrom="column">
                  <wp:posOffset>5432425</wp:posOffset>
                </wp:positionH>
                <wp:positionV relativeFrom="paragraph">
                  <wp:posOffset>2757805</wp:posOffset>
                </wp:positionV>
                <wp:extent cx="943610" cy="302260"/>
                <wp:effectExtent l="555625" t="6350" r="24765" b="15240"/>
                <wp:wrapNone/>
                <wp:docPr id="30" name="矩形标注 30"/>
                <wp:cNvGraphicFramePr/>
                <a:graphic xmlns:a="http://schemas.openxmlformats.org/drawingml/2006/main">
                  <a:graphicData uri="http://schemas.microsoft.com/office/word/2010/wordprocessingShape">
                    <wps:wsp>
                      <wps:cNvSpPr/>
                      <wps:spPr>
                        <a:xfrm>
                          <a:off x="0" y="0"/>
                          <a:ext cx="943610" cy="302260"/>
                        </a:xfrm>
                        <a:prstGeom prst="wedgeRectCallout">
                          <a:avLst>
                            <a:gd name="adj1" fmla="val -103499"/>
                            <a:gd name="adj2" fmla="val -2331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白河</w:t>
                            </w:r>
                          </w:p>
                          <w:p>
                            <w:pPr>
                              <w:jc w:val="center"/>
                              <w:rPr>
                                <w:color w:val="000000" w:themeColor="text1"/>
                                <w14:textFill>
                                  <w14:solidFill>
                                    <w14:schemeClr w14:val="tx1"/>
                                  </w14:solidFill>
                                </w14:textFill>
                              </w:rPr>
                            </w:pP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7.75pt;margin-top:217.15pt;height:23.8pt;width:74.3pt;z-index:251679744;v-text-anchor:middle;mso-width-relative:page;mso-height-relative:page;" fillcolor="#FFFFFF [3212]" filled="t" stroked="t" coordsize="21600,21600" o:gfxdata="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KPLMc3ZAAAADAEAAA8AAAAAAAAAAQAgAAAAIgAAAGRycy9k&#10;b3ducmV2LnhtbFBLAQIUABQAAAAIAIdO4kCqmPabrAIAAGYFAAAOAAAAAAAAAAEAIAAAACgBAABk&#10;cnMvZTJvRG9jLnhtbFBLBQYAAAAABgAGAFkBAABGBgAAAAA=&#10;" adj="-11556,5763">
                <v:fill on="t"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白河</w:t>
                      </w:r>
                    </w:p>
                    <w:p>
                      <w:pPr>
                        <w:jc w:val="center"/>
                        <w:rPr>
                          <w:color w:val="000000" w:themeColor="text1"/>
                          <w14:textFill>
                            <w14:solidFill>
                              <w14:schemeClr w14:val="tx1"/>
                            </w14:solidFill>
                          </w14:textFill>
                        </w:rPr>
                      </w:pP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排污口位置</w:t>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4836795</wp:posOffset>
                </wp:positionH>
                <wp:positionV relativeFrom="paragraph">
                  <wp:posOffset>2531745</wp:posOffset>
                </wp:positionV>
                <wp:extent cx="166370" cy="403860"/>
                <wp:effectExtent l="13970" t="6985" r="29210" b="8255"/>
                <wp:wrapNone/>
                <wp:docPr id="46" name="任意多边形 46"/>
                <wp:cNvGraphicFramePr/>
                <a:graphic xmlns:a="http://schemas.openxmlformats.org/drawingml/2006/main">
                  <a:graphicData uri="http://schemas.microsoft.com/office/word/2010/wordprocessingShape">
                    <wps:wsp>
                      <wps:cNvSpPr/>
                      <wps:spPr>
                        <a:xfrm>
                          <a:off x="5522595" y="3743325"/>
                          <a:ext cx="166370" cy="403860"/>
                        </a:xfrm>
                        <a:custGeom>
                          <a:avLst/>
                          <a:gdLst>
                            <a:gd name="connisteX0" fmla="*/ 166370 w 166370"/>
                            <a:gd name="connsiteY0" fmla="*/ 0 h 403860"/>
                            <a:gd name="connisteX1" fmla="*/ 130810 w 166370"/>
                            <a:gd name="connsiteY1" fmla="*/ 70485 h 403860"/>
                            <a:gd name="connisteX2" fmla="*/ 113030 w 166370"/>
                            <a:gd name="connsiteY2" fmla="*/ 208280 h 403860"/>
                            <a:gd name="connisteX3" fmla="*/ 88900 w 166370"/>
                            <a:gd name="connsiteY3" fmla="*/ 249555 h 403860"/>
                            <a:gd name="connisteX4" fmla="*/ 0 w 166370"/>
                            <a:gd name="connsiteY4" fmla="*/ 403860 h 40386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66370" h="403860">
                              <a:moveTo>
                                <a:pt x="166370" y="0"/>
                              </a:moveTo>
                              <a:lnTo>
                                <a:pt x="130810" y="70485"/>
                              </a:lnTo>
                              <a:lnTo>
                                <a:pt x="113030" y="208280"/>
                              </a:lnTo>
                              <a:lnTo>
                                <a:pt x="88900" y="249555"/>
                              </a:lnTo>
                              <a:lnTo>
                                <a:pt x="0" y="403860"/>
                              </a:lnTo>
                            </a:path>
                          </a:pathLst>
                        </a:custGeom>
                        <a:noFill/>
                        <a:ln w="317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0.85pt;margin-top:199.35pt;height:31.8pt;width:13.1pt;z-index:251684864;mso-width-relative:page;mso-height-relative:page;" filled="f" stroked="t" coordsize="166370,403860" o:gfxdata="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&#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nmuFfbAAAACwEAAA8AAAAAAAAAAQAgAAAAIgAAAGRy&#10;cy9kb3ducmV2LnhtbFBLAQIUABQAAAAIAIdO4kDgpq0zHwMAAEoIAAAOAAAAAAAAAAEAIAAAACoB&#10;AABkcnMvZTJvRG9jLnhtbFBLBQYAAAAABgAGAFkBAAC7BgAAAAA=&#10;" path="m166370,0l130810,70485,113030,208280,88900,249555,0,403860e">
                <v:path o:connectlocs="166370,0;130810,70485;113030,208280;88900,249555;0,403860" o:connectangles="0,0,0,0,0"/>
                <v:fill on="f" focussize="0,0"/>
                <v:stroke weight="2.5pt" color="#FF0000 [2404]" miterlimit="8" joinstyle="miter"/>
                <v:imagedata o:title=""/>
                <o:lock v:ext="edit" aspectratio="f"/>
              </v:shape>
            </w:pict>
          </mc:Fallback>
        </mc:AlternateContent>
      </w:r>
      <w:r>
        <w:rPr>
          <w14:ligatures w14:val="standardContextual"/>
        </w:rPr>
        <w:drawing>
          <wp:anchor distT="0" distB="0" distL="114300" distR="114300" simplePos="0" relativeHeight="251676672" behindDoc="0" locked="0" layoutInCell="1" allowOverlap="1">
            <wp:simplePos x="0" y="0"/>
            <wp:positionH relativeFrom="column">
              <wp:posOffset>7900670</wp:posOffset>
            </wp:positionH>
            <wp:positionV relativeFrom="paragraph">
              <wp:posOffset>58420</wp:posOffset>
            </wp:positionV>
            <wp:extent cx="676910" cy="709295"/>
            <wp:effectExtent l="0" t="0" r="8890" b="0"/>
            <wp:wrapNone/>
            <wp:docPr id="1630137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7343" name="图片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mc:AlternateContent>
          <mc:Choice Requires="wps">
            <w:drawing>
              <wp:anchor distT="0" distB="0" distL="114300" distR="114300" simplePos="0" relativeHeight="251678720" behindDoc="0" locked="0" layoutInCell="1" allowOverlap="1">
                <wp:simplePos x="0" y="0"/>
                <wp:positionH relativeFrom="column">
                  <wp:posOffset>5360670</wp:posOffset>
                </wp:positionH>
                <wp:positionV relativeFrom="paragraph">
                  <wp:posOffset>2365375</wp:posOffset>
                </wp:positionV>
                <wp:extent cx="1116965" cy="302260"/>
                <wp:effectExtent l="401320" t="6350" r="24765" b="15240"/>
                <wp:wrapNone/>
                <wp:docPr id="29" name="矩形标注 29"/>
                <wp:cNvGraphicFramePr/>
                <a:graphic xmlns:a="http://schemas.openxmlformats.org/drawingml/2006/main">
                  <a:graphicData uri="http://schemas.microsoft.com/office/word/2010/wordprocessingShape">
                    <wps:wsp>
                      <wps:cNvSpPr/>
                      <wps:spPr>
                        <a:xfrm>
                          <a:off x="5960745" y="3602990"/>
                          <a:ext cx="1116965" cy="302260"/>
                        </a:xfrm>
                        <a:prstGeom prst="wedgeRectCallout">
                          <a:avLst>
                            <a:gd name="adj1" fmla="val -81426"/>
                            <a:gd name="adj2" fmla="val 8193"/>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2.1pt;margin-top:186.25pt;height:23.8pt;width:87.95pt;z-index:251678720;v-text-anchor:middle;mso-width-relative:page;mso-height-relative:page;" fillcolor="#FFFFFF [3212]" filled="t" stroked="t" coordsize="21600,21600" o:gfxdata="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CllUYtgAAAAMAQAADwAAAAAAAAABACAA&#10;AAAiAAAAZHJzL2Rvd25yZXYueG1sUEsBAhQAFAAAAAgAh07iQHJTrpC4AgAAcAUAAA4AAAAAAAAA&#10;AQAgAAAAJwEAAGRycy9lMm9Eb2MueG1sUEsFBgAAAAAGAAYAWQEAAFEGAAAAAA==&#10;" adj="-6788,12570">
                <v:fill on="t"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入河排污口位置</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3778885</wp:posOffset>
                </wp:positionH>
                <wp:positionV relativeFrom="paragraph">
                  <wp:posOffset>2704465</wp:posOffset>
                </wp:positionV>
                <wp:extent cx="943610" cy="302260"/>
                <wp:effectExtent l="6350" t="154940" r="97790" b="19050"/>
                <wp:wrapNone/>
                <wp:docPr id="32" name="矩形标注 32"/>
                <wp:cNvGraphicFramePr/>
                <a:graphic xmlns:a="http://schemas.openxmlformats.org/drawingml/2006/main">
                  <a:graphicData uri="http://schemas.microsoft.com/office/word/2010/wordprocessingShape">
                    <wps:wsp>
                      <wps:cNvSpPr/>
                      <wps:spPr>
                        <a:xfrm>
                          <a:off x="0" y="0"/>
                          <a:ext cx="943610" cy="302260"/>
                        </a:xfrm>
                        <a:prstGeom prst="wedgeRectCallout">
                          <a:avLst>
                            <a:gd name="adj1" fmla="val 55316"/>
                            <a:gd name="adj2" fmla="val -9495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灌溉渠</w:t>
                            </w: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7.55pt;margin-top:212.95pt;height:23.8pt;width:74.3pt;z-index:251681792;v-text-anchor:middle;mso-width-relative:page;mso-height-relative:page;" fillcolor="#FFFFFF [3212]" filled="t" stroked="t" coordsize="21600,21600" o:gfxdata="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MvMMX2QAAAAsBAAAPAAAAAAAAAAEAIAAAACIAAABkcnMv&#10;ZG93bnJldi54bWxQSwECFAAUAAAACACHTuJA71Y8Wa0CAABkBQAADgAAAAAAAAABACAAAAAoAQAA&#10;ZHJzL2Uyb0RvYy54bWxQSwUGAAAAAAYABgBZAQAARwYAAAAA&#10;" adj="22748,-9711">
                <v:fill on="t"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灌溉渠</w:t>
                      </w: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排污口位置</w:t>
                      </w: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4251960</wp:posOffset>
                </wp:positionH>
                <wp:positionV relativeFrom="paragraph">
                  <wp:posOffset>1921510</wp:posOffset>
                </wp:positionV>
                <wp:extent cx="943610" cy="302260"/>
                <wp:effectExtent l="6350" t="6350" r="21590" b="300990"/>
                <wp:wrapNone/>
                <wp:docPr id="33" name="矩形标注 33"/>
                <wp:cNvGraphicFramePr/>
                <a:graphic xmlns:a="http://schemas.openxmlformats.org/drawingml/2006/main">
                  <a:graphicData uri="http://schemas.microsoft.com/office/word/2010/wordprocessingShape">
                    <wps:wsp>
                      <wps:cNvSpPr/>
                      <wps:spPr>
                        <a:xfrm>
                          <a:off x="0" y="0"/>
                          <a:ext cx="943610" cy="302260"/>
                        </a:xfrm>
                        <a:prstGeom prst="wedgeRectCallout">
                          <a:avLst>
                            <a:gd name="adj1" fmla="val -15343"/>
                            <a:gd name="adj2" fmla="val 14285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w:t>
                            </w: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4.8pt;margin-top:151.3pt;height:23.8pt;width:74.3pt;z-index:251682816;v-text-anchor:middle;mso-width-relative:page;mso-height-relative:page;" fillcolor="#FFFFFF [3212]" filled="t" stroked="t" coordsize="21600,21600" o:gfxdata="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OUHn22AAAAAsBAAAPAAAAAAAAAAEAIAAAACIAAABkcnMv&#10;ZG93bnJldi54bWxQSwECFAAUAAAACACHTuJAVbeyTa4CAABlBQAADgAAAAAAAAABACAAAAAnAQAA&#10;ZHJzL2Uyb0RvYy54bWxQSwUGAAAAAAYABgBZAQAARwYAAAAA&#10;" adj="7486,41657">
                <v:fill on="t"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w:t>
                      </w: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排污口位置</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4497070</wp:posOffset>
                </wp:positionH>
                <wp:positionV relativeFrom="paragraph">
                  <wp:posOffset>2452370</wp:posOffset>
                </wp:positionV>
                <wp:extent cx="156210" cy="154940"/>
                <wp:effectExtent l="19050" t="21590" r="34290" b="33020"/>
                <wp:wrapNone/>
                <wp:docPr id="31" name="五角星 31"/>
                <wp:cNvGraphicFramePr/>
                <a:graphic xmlns:a="http://schemas.openxmlformats.org/drawingml/2006/main">
                  <a:graphicData uri="http://schemas.microsoft.com/office/word/2010/wordprocessingShape">
                    <wps:wsp>
                      <wps:cNvSpPr/>
                      <wps:spPr>
                        <a:xfrm>
                          <a:off x="5182870" y="3724275"/>
                          <a:ext cx="156210" cy="154940"/>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4.1pt;margin-top:193.1pt;height:12.2pt;width:12.3pt;z-index:251680768;v-text-anchor:middle;mso-width-relative:page;mso-height-relative:page;" fillcolor="#4472C4 [3204]" filled="t" stroked="t" coordsize="156210,154940" o:gfxdata="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42QLQdkAAAALAQAADwAAAAAAAAABACAAAAAiAAAAZHJzL2Rvd25yZXYueG1sUEsBAhQAFAAA&#10;AAgAh07iQCj2JXWZAgAAJwUAAA4AAAAAAAAAAQAgAAAAKAEAAGRycy9lMm9Eb2MueG1sUEsFBgAA&#10;AAAGAAYAWQEAADMGAAAAAA==&#10;" path="m0,59181l59667,59182,78105,0,96542,59182,156209,59181,107937,95757,126376,154939,78105,118362,29833,154939,48272,95757xe">
                <v:path o:connectlocs="78105,0;0,59181;29833,154939;126376,154939;156209,59181" o:connectangles="247,164,82,82,0"/>
                <v:fill on="t" focussize="0,0"/>
                <v:stroke weight="1pt" color="#2F5597 [2404]" miterlimit="8" joinstyle="miter"/>
                <v:imagedata o:title=""/>
                <o:lock v:ext="edit" aspectratio="f"/>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4565650</wp:posOffset>
                </wp:positionH>
                <wp:positionV relativeFrom="paragraph">
                  <wp:posOffset>2517140</wp:posOffset>
                </wp:positionV>
                <wp:extent cx="434975" cy="40640"/>
                <wp:effectExtent l="1270" t="12700" r="1905" b="22860"/>
                <wp:wrapNone/>
                <wp:docPr id="26" name="任意多边形 26"/>
                <wp:cNvGraphicFramePr/>
                <a:graphic xmlns:a="http://schemas.openxmlformats.org/drawingml/2006/main">
                  <a:graphicData uri="http://schemas.microsoft.com/office/word/2010/wordprocessingShape">
                    <wps:wsp>
                      <wps:cNvSpPr/>
                      <wps:spPr>
                        <a:xfrm>
                          <a:off x="5251450" y="3728720"/>
                          <a:ext cx="434975" cy="40640"/>
                        </a:xfrm>
                        <a:custGeom>
                          <a:avLst/>
                          <a:gdLst>
                            <a:gd name="connisteX0" fmla="*/ 0 w 434975"/>
                            <a:gd name="connsiteY0" fmla="*/ 40640 h 40640"/>
                            <a:gd name="connisteX1" fmla="*/ 434975 w 434975"/>
                            <a:gd name="connsiteY1" fmla="*/ 0 h 40640"/>
                          </a:gdLst>
                          <a:ahLst/>
                          <a:cxnLst>
                            <a:cxn ang="0">
                              <a:pos x="connisteX0" y="connsiteY0"/>
                            </a:cxn>
                            <a:cxn ang="0">
                              <a:pos x="connisteX1" y="connsiteY1"/>
                            </a:cxn>
                          </a:cxnLst>
                          <a:rect l="l" t="t" r="r" b="b"/>
                          <a:pathLst>
                            <a:path w="434975" h="40640">
                              <a:moveTo>
                                <a:pt x="0" y="40640"/>
                              </a:moveTo>
                              <a:lnTo>
                                <a:pt x="434975" y="0"/>
                              </a:lnTo>
                            </a:path>
                          </a:pathLst>
                        </a:custGeom>
                        <a:noFill/>
                        <a:ln w="25400">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9.5pt;margin-top:198.2pt;height:3.2pt;width:34.25pt;z-index:251677696;mso-width-relative:page;mso-height-relative:page;" filled="f" stroked="t" coordsize="434975,40640" o:gfxdata="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unlEtsAAAALAQAADwAAAAAAAAABACAAAAAiAAAAZHJz&#10;L2Rvd25yZXYueG1sUEsBAhQAFAAAAAgAh07iQJmF2DOsAgAA1QUAAA4AAAAAAAAAAQAgAAAAKgEA&#10;AGRycy9lMm9Eb2MueG1sUEsFBgAAAAAGAAYAWQEAAEgGAAAAAA==&#10;" path="m0,40640l434975,0e">
                <v:path o:connectlocs="0,40640;434975,0" o:connectangles="0,0"/>
                <v:fill on="f" focussize="0,0"/>
                <v:stroke weight="2pt" color="#ED7D31 [3205]" miterlimit="8" joinstyle="miter"/>
                <v:imagedata o:title=""/>
                <o:lock v:ext="edit" aspectratio="f"/>
              </v:shape>
            </w:pict>
          </mc:Fallback>
        </mc:AlternateContent>
      </w:r>
      <w:r>
        <w:drawing>
          <wp:inline distT="0" distB="0" distL="114300" distR="114300">
            <wp:extent cx="7898130" cy="5039995"/>
            <wp:effectExtent l="9525" t="9525" r="17145" b="1778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47"/>
                    <a:stretch>
                      <a:fillRect/>
                    </a:stretch>
                  </pic:blipFill>
                  <pic:spPr>
                    <a:xfrm>
                      <a:off x="0" y="0"/>
                      <a:ext cx="7898130" cy="5039995"/>
                    </a:xfrm>
                    <a:prstGeom prst="rect">
                      <a:avLst/>
                    </a:prstGeom>
                    <a:noFill/>
                    <a:ln>
                      <a:solidFill>
                        <a:schemeClr val="tx1"/>
                      </a:solidFill>
                    </a:ln>
                  </pic:spPr>
                </pic:pic>
              </a:graphicData>
            </a:graphic>
          </wp:inline>
        </w:drawing>
      </w:r>
    </w:p>
    <w:p>
      <w:pPr>
        <w:pStyle w:val="35"/>
      </w:pPr>
      <w:bookmarkStart w:id="129" w:name="_Toc21726"/>
      <w:r>
        <w:rPr>
          <w:rFonts w:hint="eastAsia"/>
        </w:rPr>
        <w:t>附图7：监测点位图</w:t>
      </w:r>
      <w:bookmarkEnd w:id="129"/>
    </w:p>
    <w:p>
      <w:pPr>
        <w:pStyle w:val="43"/>
        <w:sectPr>
          <w:pgSz w:w="16838" w:h="11906" w:orient="landscape"/>
          <w:pgMar w:top="1080" w:right="1440" w:bottom="1080" w:left="1440" w:header="851" w:footer="992" w:gutter="0"/>
          <w:cols w:space="425" w:num="1"/>
          <w:docGrid w:type="lines" w:linePitch="312" w:charSpace="0"/>
        </w:sectPr>
      </w:pPr>
      <w:r>
        <w:rPr>
          <w14:ligatures w14:val="standardContextual"/>
        </w:rPr>
        <w:drawing>
          <wp:anchor distT="0" distB="0" distL="114300" distR="114300" simplePos="0" relativeHeight="251683840" behindDoc="0" locked="0" layoutInCell="1" allowOverlap="1">
            <wp:simplePos x="0" y="0"/>
            <wp:positionH relativeFrom="column">
              <wp:posOffset>8167370</wp:posOffset>
            </wp:positionH>
            <wp:positionV relativeFrom="paragraph">
              <wp:posOffset>59055</wp:posOffset>
            </wp:positionV>
            <wp:extent cx="676910" cy="709295"/>
            <wp:effectExtent l="0" t="0" r="8890" b="14605"/>
            <wp:wrapNone/>
            <wp:docPr id="915360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60428" name="图片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76910" cy="709295"/>
                    </a:xfrm>
                    <a:prstGeom prst="rect">
                      <a:avLst/>
                    </a:prstGeom>
                  </pic:spPr>
                </pic:pic>
              </a:graphicData>
            </a:graphic>
          </wp:anchor>
        </w:drawing>
      </w:r>
      <w:r>
        <w:drawing>
          <wp:inline distT="0" distB="0" distL="114300" distR="114300">
            <wp:extent cx="8859520" cy="4874260"/>
            <wp:effectExtent l="9525" t="9525" r="27305" b="1206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48"/>
                    <a:stretch>
                      <a:fillRect/>
                    </a:stretch>
                  </pic:blipFill>
                  <pic:spPr>
                    <a:xfrm>
                      <a:off x="0" y="0"/>
                      <a:ext cx="8859520" cy="4874260"/>
                    </a:xfrm>
                    <a:prstGeom prst="rect">
                      <a:avLst/>
                    </a:prstGeom>
                    <a:noFill/>
                    <a:ln>
                      <a:solidFill>
                        <a:schemeClr val="tx1"/>
                      </a:solidFill>
                    </a:ln>
                  </pic:spPr>
                </pic:pic>
              </a:graphicData>
            </a:graphic>
          </wp:inline>
        </w:drawing>
      </w:r>
    </w:p>
    <w:p>
      <w:pPr>
        <w:pStyle w:val="35"/>
      </w:pPr>
      <w:bookmarkStart w:id="130" w:name="_Toc5399"/>
      <w:r>
        <w:rPr>
          <w:rFonts w:hint="eastAsia"/>
        </w:rPr>
        <w:t>附图8：现场照片</w:t>
      </w:r>
      <w:bookmarkEnd w:id="130"/>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9"/>
        <w:gridCol w:w="4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30"/>
              <w:spacing w:line="240" w:lineRule="auto"/>
              <w:ind w:firstLine="0" w:firstLineChars="0"/>
              <w:jc w:val="center"/>
            </w:pPr>
            <w:r>
              <w:rPr>
                <w:rFonts w:hint="eastAsia"/>
              </w:rPr>
              <w:drawing>
                <wp:inline distT="0" distB="0" distL="114300" distR="114300">
                  <wp:extent cx="2559685" cy="1918970"/>
                  <wp:effectExtent l="0" t="0" r="12065" b="5080"/>
                  <wp:docPr id="35" name="图片 35" descr="DJI_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JI_0299"/>
                          <pic:cNvPicPr>
                            <a:picLocks noChangeAspect="1"/>
                          </pic:cNvPicPr>
                        </pic:nvPicPr>
                        <pic:blipFill>
                          <a:blip r:embed="rId49"/>
                          <a:stretch>
                            <a:fillRect/>
                          </a:stretch>
                        </pic:blipFill>
                        <pic:spPr>
                          <a:xfrm>
                            <a:off x="0" y="0"/>
                            <a:ext cx="2559685" cy="1918970"/>
                          </a:xfrm>
                          <a:prstGeom prst="rect">
                            <a:avLst/>
                          </a:prstGeom>
                        </pic:spPr>
                      </pic:pic>
                    </a:graphicData>
                  </a:graphic>
                </wp:inline>
              </w:drawing>
            </w:r>
          </w:p>
        </w:tc>
        <w:tc>
          <w:tcPr>
            <w:tcW w:w="4261" w:type="dxa"/>
            <w:vAlign w:val="center"/>
          </w:tcPr>
          <w:p>
            <w:pPr>
              <w:pStyle w:val="20"/>
              <w:widowControl/>
              <w:spacing w:beforeAutospacing="0" w:afterAutospacing="0"/>
              <w:jc w:val="center"/>
            </w:pPr>
            <w:r>
              <w:drawing>
                <wp:inline distT="0" distB="0" distL="114300" distR="114300">
                  <wp:extent cx="2559685" cy="1918970"/>
                  <wp:effectExtent l="0" t="0" r="12065" b="5080"/>
                  <wp:docPr id="3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descr="IMG_256"/>
                          <pic:cNvPicPr>
                            <a:picLocks noChangeAspect="1"/>
                          </pic:cNvPicPr>
                        </pic:nvPicPr>
                        <pic:blipFill>
                          <a:blip r:embed="rId50"/>
                          <a:stretch>
                            <a:fillRect/>
                          </a:stretch>
                        </pic:blipFill>
                        <pic:spPr>
                          <a:xfrm>
                            <a:off x="0" y="0"/>
                            <a:ext cx="2559685" cy="19189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30"/>
              <w:spacing w:line="240" w:lineRule="auto"/>
              <w:ind w:firstLine="0" w:firstLineChars="0"/>
              <w:jc w:val="center"/>
            </w:pPr>
            <w:r>
              <w:rPr>
                <w:rFonts w:hint="eastAsia"/>
              </w:rPr>
              <w:t>污水站建设现状</w:t>
            </w:r>
          </w:p>
        </w:tc>
        <w:tc>
          <w:tcPr>
            <w:tcW w:w="4261" w:type="dxa"/>
            <w:vAlign w:val="center"/>
          </w:tcPr>
          <w:p>
            <w:pPr>
              <w:pStyle w:val="30"/>
              <w:spacing w:line="240" w:lineRule="auto"/>
              <w:ind w:firstLine="0" w:firstLineChars="0"/>
              <w:jc w:val="center"/>
            </w:pPr>
            <w:r>
              <w:rPr>
                <w:rFonts w:hint="eastAsia"/>
              </w:rPr>
              <w:t>南侧灌溉渠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30"/>
              <w:spacing w:line="240" w:lineRule="auto"/>
              <w:ind w:firstLine="0" w:firstLineChars="0"/>
              <w:jc w:val="center"/>
            </w:pPr>
            <w:r>
              <w:drawing>
                <wp:inline distT="0" distB="0" distL="114300" distR="114300">
                  <wp:extent cx="2559685" cy="1918970"/>
                  <wp:effectExtent l="0" t="0" r="12065" b="5080"/>
                  <wp:docPr id="3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descr="IMG_256"/>
                          <pic:cNvPicPr>
                            <a:picLocks noChangeAspect="1"/>
                          </pic:cNvPicPr>
                        </pic:nvPicPr>
                        <pic:blipFill>
                          <a:blip r:embed="rId51"/>
                          <a:stretch>
                            <a:fillRect/>
                          </a:stretch>
                        </pic:blipFill>
                        <pic:spPr>
                          <a:xfrm>
                            <a:off x="0" y="0"/>
                            <a:ext cx="2559685" cy="1918970"/>
                          </a:xfrm>
                          <a:prstGeom prst="rect">
                            <a:avLst/>
                          </a:prstGeom>
                          <a:noFill/>
                          <a:ln w="9525">
                            <a:noFill/>
                          </a:ln>
                        </pic:spPr>
                      </pic:pic>
                    </a:graphicData>
                  </a:graphic>
                </wp:inline>
              </w:drawing>
            </w:r>
          </w:p>
        </w:tc>
        <w:tc>
          <w:tcPr>
            <w:tcW w:w="4261" w:type="dxa"/>
            <w:vAlign w:val="center"/>
          </w:tcPr>
          <w:p>
            <w:pPr>
              <w:pStyle w:val="30"/>
              <w:spacing w:line="240" w:lineRule="auto"/>
              <w:ind w:firstLine="0" w:firstLineChars="0"/>
              <w:jc w:val="center"/>
            </w:pPr>
            <w:r>
              <w:rPr>
                <w:snapToGrid w:val="0"/>
              </w:rPr>
              <w:drawing>
                <wp:inline distT="0" distB="0" distL="114300" distR="114300">
                  <wp:extent cx="2694305" cy="1918970"/>
                  <wp:effectExtent l="0" t="0" r="10795" b="5080"/>
                  <wp:docPr id="38" name="图片 14" descr="IMG_0401"/>
                  <wp:cNvGraphicFramePr/>
                  <a:graphic xmlns:a="http://schemas.openxmlformats.org/drawingml/2006/main">
                    <a:graphicData uri="http://schemas.openxmlformats.org/drawingml/2006/picture">
                      <pic:pic xmlns:pic="http://schemas.openxmlformats.org/drawingml/2006/picture">
                        <pic:nvPicPr>
                          <pic:cNvPr id="38" name="图片 14" descr="IMG_0401"/>
                          <pic:cNvPicPr/>
                        </pic:nvPicPr>
                        <pic:blipFill>
                          <a:blip r:embed="rId52"/>
                          <a:stretch>
                            <a:fillRect/>
                          </a:stretch>
                        </pic:blipFill>
                        <pic:spPr>
                          <a:xfrm>
                            <a:off x="0" y="0"/>
                            <a:ext cx="2694305" cy="19189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pPr>
              <w:pStyle w:val="30"/>
              <w:spacing w:line="240" w:lineRule="auto"/>
              <w:ind w:firstLine="0" w:firstLineChars="0"/>
              <w:jc w:val="center"/>
            </w:pPr>
            <w:r>
              <w:rPr>
                <w:rFonts w:hint="eastAsia"/>
              </w:rPr>
              <w:t>南侧灌溉渠</w:t>
            </w:r>
          </w:p>
        </w:tc>
        <w:tc>
          <w:tcPr>
            <w:tcW w:w="4261" w:type="dxa"/>
            <w:vAlign w:val="center"/>
          </w:tcPr>
          <w:p>
            <w:pPr>
              <w:pStyle w:val="30"/>
              <w:spacing w:line="240" w:lineRule="auto"/>
              <w:ind w:firstLine="0" w:firstLineChars="0"/>
              <w:jc w:val="center"/>
            </w:pPr>
            <w:r>
              <w:rPr>
                <w:rFonts w:hint="eastAsia"/>
              </w:rPr>
              <w:t>白河入河口处现状</w:t>
            </w:r>
          </w:p>
        </w:tc>
      </w:tr>
    </w:tbl>
    <w:p>
      <w:pPr>
        <w:pStyle w:val="30"/>
        <w:ind w:firstLine="0" w:firstLineChars="0"/>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新宋体-18030">
    <w:altName w:val="宋体"/>
    <w:panose1 w:val="00000000000000000000"/>
    <w:charset w:val="00"/>
    <w:family w:val="auto"/>
    <w:pitch w:val="default"/>
    <w:sig w:usb0="00000000" w:usb1="00000000" w:usb2="00000000" w:usb3="00000000" w:csb0="00040001" w:csb1="00000000"/>
  </w:font>
  <w:font w:name="ArialMT">
    <w:altName w:val="Arial"/>
    <w:panose1 w:val="00000000000000000000"/>
    <w:charset w:val="00"/>
    <w:family w:val="swiss"/>
    <w:pitch w:val="default"/>
    <w:sig w:usb0="00000000" w:usb1="00000000" w:usb2="00000000" w:usb3="00000000" w:csb0="00000001" w:csb1="00000000"/>
  </w:font>
  <w:font w:name="Sim Sun+ 2">
    <w:altName w:val="微软雅黑"/>
    <w:panose1 w:val="00000000000000000000"/>
    <w:charset w:val="86"/>
    <w:family w:val="swiss"/>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81225647"/>
    </w:sdtPr>
    <w:sdtContent>
      <w:p>
        <w:pPr>
          <w:pStyle w:val="13"/>
          <w:jc w:val="center"/>
        </w:pPr>
        <w:r>
          <w:fldChar w:fldCharType="begin"/>
        </w:r>
        <w:r>
          <w:instrText xml:space="preserve">PAGE   \* MERGEFORMAT</w:instrText>
        </w:r>
        <w:r>
          <w:fldChar w:fldCharType="separate"/>
        </w:r>
        <w:r>
          <w:rPr>
            <w:lang w:val="zh-CN"/>
          </w:rPr>
          <w:t>2</w:t>
        </w:r>
        <w:r>
          <w:fldChar w:fldCharType="end"/>
        </w:r>
      </w:p>
    </w:sdtContent>
  </w:sdt>
  <w:p>
    <w:pPr>
      <w:pStyle w:val="1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bordersDoNotSurroundHeader w:val="1"/>
  <w:bordersDoNotSurroundFooter w:val="1"/>
  <w:documentProtection w:enforcement="0"/>
  <w:defaultTabStop w:val="420"/>
  <w:drawingGridHorizontalSpacing w:val="10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JjNmQxYjM4ZTM0ZjAwY2E5MzIxZDk1YTRhNGQ1OTQifQ=="/>
    <w:docVar w:name="KSO_WPS_MARK_KEY" w:val="1914a4ea-80b0-426c-a388-10475c17557d"/>
  </w:docVars>
  <w:rsids>
    <w:rsidRoot w:val="008E0829"/>
    <w:rsid w:val="000015FF"/>
    <w:rsid w:val="00027BDA"/>
    <w:rsid w:val="000C20FA"/>
    <w:rsid w:val="00114070"/>
    <w:rsid w:val="0012628E"/>
    <w:rsid w:val="00167EA8"/>
    <w:rsid w:val="001A5F22"/>
    <w:rsid w:val="001F0779"/>
    <w:rsid w:val="00232257"/>
    <w:rsid w:val="0023536B"/>
    <w:rsid w:val="00282819"/>
    <w:rsid w:val="002E0FF8"/>
    <w:rsid w:val="00372518"/>
    <w:rsid w:val="00481663"/>
    <w:rsid w:val="004B3DC3"/>
    <w:rsid w:val="005651F0"/>
    <w:rsid w:val="005D33C9"/>
    <w:rsid w:val="005D4DA3"/>
    <w:rsid w:val="005D6D8A"/>
    <w:rsid w:val="005E78ED"/>
    <w:rsid w:val="006170C7"/>
    <w:rsid w:val="00761114"/>
    <w:rsid w:val="007B4530"/>
    <w:rsid w:val="008114CE"/>
    <w:rsid w:val="00834F96"/>
    <w:rsid w:val="008C4ED6"/>
    <w:rsid w:val="008E0829"/>
    <w:rsid w:val="00920CCA"/>
    <w:rsid w:val="009D7C26"/>
    <w:rsid w:val="009F6E76"/>
    <w:rsid w:val="00A45547"/>
    <w:rsid w:val="00A94129"/>
    <w:rsid w:val="00AA7561"/>
    <w:rsid w:val="00B426CF"/>
    <w:rsid w:val="00BD110C"/>
    <w:rsid w:val="00BD465C"/>
    <w:rsid w:val="00BE7D1C"/>
    <w:rsid w:val="00D3252F"/>
    <w:rsid w:val="00D87156"/>
    <w:rsid w:val="00D92386"/>
    <w:rsid w:val="00E244B8"/>
    <w:rsid w:val="00E459A9"/>
    <w:rsid w:val="00ED4AE2"/>
    <w:rsid w:val="00F6458D"/>
    <w:rsid w:val="02446B26"/>
    <w:rsid w:val="02685C0C"/>
    <w:rsid w:val="02B7449E"/>
    <w:rsid w:val="06691F53"/>
    <w:rsid w:val="0780674B"/>
    <w:rsid w:val="09B725BF"/>
    <w:rsid w:val="0A196C46"/>
    <w:rsid w:val="0E595FFB"/>
    <w:rsid w:val="0F662C7F"/>
    <w:rsid w:val="14FE3648"/>
    <w:rsid w:val="200E62B6"/>
    <w:rsid w:val="20D27BAA"/>
    <w:rsid w:val="20D50184"/>
    <w:rsid w:val="263F36F2"/>
    <w:rsid w:val="271A069A"/>
    <w:rsid w:val="27232C4A"/>
    <w:rsid w:val="2A351FC9"/>
    <w:rsid w:val="3A654B4D"/>
    <w:rsid w:val="3D6762FC"/>
    <w:rsid w:val="40C45691"/>
    <w:rsid w:val="410C6CFB"/>
    <w:rsid w:val="43AE4CE0"/>
    <w:rsid w:val="458A6CEB"/>
    <w:rsid w:val="45AB0777"/>
    <w:rsid w:val="473B2012"/>
    <w:rsid w:val="4B3E520C"/>
    <w:rsid w:val="519D73C6"/>
    <w:rsid w:val="54C852CC"/>
    <w:rsid w:val="578E6029"/>
    <w:rsid w:val="58AC17C8"/>
    <w:rsid w:val="598D0C2A"/>
    <w:rsid w:val="5D0A2042"/>
    <w:rsid w:val="5E6E12D1"/>
    <w:rsid w:val="60B53E38"/>
    <w:rsid w:val="64F77076"/>
    <w:rsid w:val="6B207BC5"/>
    <w:rsid w:val="700C3A2D"/>
    <w:rsid w:val="74875975"/>
    <w:rsid w:val="755B411E"/>
    <w:rsid w:val="767D5809"/>
    <w:rsid w:val="774674DD"/>
    <w:rsid w:val="7BA63759"/>
    <w:rsid w:val="7F2C18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unhideWhenUsed="0" w:uiPriority="22" w:semiHidden="0" w:name="Strong"/>
    <w:lsdException w:unhideWhenUsed="0" w:uiPriority="20" w:semiHidden="0" w:name="Emphasis"/>
    <w:lsdException w:uiPriority="99" w:name="Document Map"/>
    <w:lsdException w:qFormat="1" w:unhideWhenUsed="0" w:uiPriority="99"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lang w:val="en-US" w:eastAsia="zh-CN" w:bidi="ar-SA"/>
    </w:rPr>
  </w:style>
  <w:style w:type="paragraph" w:styleId="2">
    <w:name w:val="heading 1"/>
    <w:basedOn w:val="1"/>
    <w:next w:val="1"/>
    <w:link w:val="33"/>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6"/>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9"/>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52"/>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4">
    <w:name w:val="Default Paragraph Font"/>
    <w:semiHidden/>
    <w:unhideWhenUsed/>
    <w:qFormat/>
    <w:uiPriority w:val="1"/>
  </w:style>
  <w:style w:type="table" w:default="1" w:styleId="22">
    <w:name w:val="Normal Table"/>
    <w:semiHidden/>
    <w:unhideWhenUsed/>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Theme="minorHAnsi" w:hAnsiTheme="minorHAnsi" w:eastAsiaTheme="minorEastAsia" w:cstheme="minorBidi"/>
      <w:sz w:val="21"/>
      <w:szCs w:val="22"/>
      <w14:ligatures w14:val="standardContextual"/>
    </w:rPr>
  </w:style>
  <w:style w:type="paragraph" w:styleId="7">
    <w:name w:val="Body Text"/>
    <w:basedOn w:val="1"/>
    <w:next w:val="8"/>
    <w:link w:val="45"/>
    <w:semiHidden/>
    <w:unhideWhenUsed/>
    <w:qFormat/>
    <w:uiPriority w:val="99"/>
    <w:pPr>
      <w:spacing w:after="120"/>
    </w:pPr>
  </w:style>
  <w:style w:type="paragraph" w:customStyle="1" w:styleId="8">
    <w:name w:val="xl27"/>
    <w:basedOn w:val="1"/>
    <w:qFormat/>
    <w:uiPriority w:val="0"/>
    <w:pPr>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rPr>
  </w:style>
  <w:style w:type="paragraph" w:styleId="9">
    <w:name w:val="toc 5"/>
    <w:basedOn w:val="1"/>
    <w:next w:val="1"/>
    <w:unhideWhenUsed/>
    <w:qFormat/>
    <w:uiPriority w:val="39"/>
    <w:pPr>
      <w:ind w:left="1680" w:leftChars="800"/>
    </w:pPr>
    <w:rPr>
      <w:rFonts w:asciiTheme="minorHAnsi" w:hAnsiTheme="minorHAnsi" w:eastAsiaTheme="minorEastAsia" w:cstheme="minorBidi"/>
      <w:sz w:val="21"/>
      <w:szCs w:val="22"/>
      <w14:ligatures w14:val="standardContextual"/>
    </w:rPr>
  </w:style>
  <w:style w:type="paragraph" w:styleId="10">
    <w:name w:val="toc 3"/>
    <w:basedOn w:val="1"/>
    <w:next w:val="1"/>
    <w:unhideWhenUsed/>
    <w:qFormat/>
    <w:uiPriority w:val="39"/>
    <w:pPr>
      <w:ind w:left="840" w:leftChars="400"/>
    </w:pPr>
  </w:style>
  <w:style w:type="paragraph" w:styleId="11">
    <w:name w:val="Plain Text"/>
    <w:basedOn w:val="1"/>
    <w:link w:val="53"/>
    <w:qFormat/>
    <w:uiPriority w:val="99"/>
    <w:pPr>
      <w:spacing w:line="360" w:lineRule="auto"/>
      <w:ind w:firstLine="200" w:firstLineChars="200"/>
    </w:pPr>
    <w:rPr>
      <w:rFonts w:ascii="ArialMT" w:hAnsi="等线 Light"/>
      <w:kern w:val="0"/>
    </w:rPr>
  </w:style>
  <w:style w:type="paragraph" w:styleId="12">
    <w:name w:val="toc 8"/>
    <w:basedOn w:val="1"/>
    <w:next w:val="1"/>
    <w:unhideWhenUsed/>
    <w:qFormat/>
    <w:uiPriority w:val="39"/>
    <w:pPr>
      <w:ind w:left="2940" w:leftChars="1400"/>
    </w:pPr>
    <w:rPr>
      <w:rFonts w:asciiTheme="minorHAnsi" w:hAnsiTheme="minorHAnsi" w:eastAsiaTheme="minorEastAsia" w:cstheme="minorBidi"/>
      <w:sz w:val="21"/>
      <w:szCs w:val="22"/>
      <w14:ligatures w14:val="standardContextual"/>
    </w:rPr>
  </w:style>
  <w:style w:type="paragraph" w:styleId="13">
    <w:name w:val="footer"/>
    <w:basedOn w:val="1"/>
    <w:link w:val="29"/>
    <w:unhideWhenUsed/>
    <w:qFormat/>
    <w:uiPriority w:val="99"/>
    <w:pPr>
      <w:tabs>
        <w:tab w:val="center" w:pos="4153"/>
        <w:tab w:val="right" w:pos="8306"/>
      </w:tabs>
      <w:snapToGrid w:val="0"/>
      <w:jc w:val="left"/>
    </w:pPr>
    <w:rPr>
      <w:sz w:val="18"/>
      <w:szCs w:val="18"/>
    </w:rPr>
  </w:style>
  <w:style w:type="paragraph" w:styleId="14">
    <w:name w:val="header"/>
    <w:basedOn w:val="1"/>
    <w:link w:val="28"/>
    <w:unhideWhenUsed/>
    <w:qFormat/>
    <w:uiPriority w:val="99"/>
    <w:pPr>
      <w:tabs>
        <w:tab w:val="center" w:pos="4153"/>
        <w:tab w:val="right" w:pos="8306"/>
      </w:tabs>
      <w:snapToGrid w:val="0"/>
      <w:jc w:val="center"/>
    </w:pPr>
    <w:rPr>
      <w:sz w:val="18"/>
      <w:szCs w:val="18"/>
    </w:rPr>
  </w:style>
  <w:style w:type="paragraph" w:styleId="15">
    <w:name w:val="toc 1"/>
    <w:basedOn w:val="1"/>
    <w:next w:val="1"/>
    <w:unhideWhenUsed/>
    <w:qFormat/>
    <w:uiPriority w:val="39"/>
  </w:style>
  <w:style w:type="paragraph" w:styleId="16">
    <w:name w:val="toc 4"/>
    <w:basedOn w:val="1"/>
    <w:next w:val="1"/>
    <w:unhideWhenUsed/>
    <w:qFormat/>
    <w:uiPriority w:val="39"/>
    <w:pPr>
      <w:ind w:left="1260" w:leftChars="600"/>
    </w:pPr>
    <w:rPr>
      <w:rFonts w:asciiTheme="minorHAnsi" w:hAnsiTheme="minorHAnsi" w:eastAsiaTheme="minorEastAsia" w:cstheme="minorBidi"/>
      <w:sz w:val="21"/>
      <w:szCs w:val="22"/>
      <w14:ligatures w14:val="standardContextual"/>
    </w:rPr>
  </w:style>
  <w:style w:type="paragraph" w:styleId="17">
    <w:name w:val="toc 6"/>
    <w:basedOn w:val="1"/>
    <w:next w:val="1"/>
    <w:unhideWhenUsed/>
    <w:qFormat/>
    <w:uiPriority w:val="39"/>
    <w:pPr>
      <w:ind w:left="2100" w:leftChars="1000"/>
    </w:pPr>
    <w:rPr>
      <w:rFonts w:asciiTheme="minorHAnsi" w:hAnsiTheme="minorHAnsi" w:eastAsiaTheme="minorEastAsia" w:cstheme="minorBidi"/>
      <w:sz w:val="21"/>
      <w:szCs w:val="22"/>
      <w14:ligatures w14:val="standardContextual"/>
    </w:rPr>
  </w:style>
  <w:style w:type="paragraph" w:styleId="18">
    <w:name w:val="toc 2"/>
    <w:basedOn w:val="1"/>
    <w:next w:val="1"/>
    <w:unhideWhenUsed/>
    <w:qFormat/>
    <w:uiPriority w:val="39"/>
    <w:pPr>
      <w:ind w:left="420" w:leftChars="200"/>
    </w:pPr>
  </w:style>
  <w:style w:type="paragraph" w:styleId="19">
    <w:name w:val="toc 9"/>
    <w:basedOn w:val="1"/>
    <w:next w:val="1"/>
    <w:unhideWhenUsed/>
    <w:qFormat/>
    <w:uiPriority w:val="39"/>
    <w:pPr>
      <w:ind w:left="3360" w:leftChars="1600"/>
    </w:pPr>
    <w:rPr>
      <w:rFonts w:asciiTheme="minorHAnsi" w:hAnsiTheme="minorHAnsi" w:eastAsiaTheme="minorEastAsia" w:cstheme="minorBidi"/>
      <w:sz w:val="21"/>
      <w:szCs w:val="22"/>
      <w14:ligatures w14:val="standardContextual"/>
    </w:rPr>
  </w:style>
  <w:style w:type="paragraph" w:styleId="20">
    <w:name w:val="Normal (Web)"/>
    <w:basedOn w:val="1"/>
    <w:semiHidden/>
    <w:unhideWhenUsed/>
    <w:qFormat/>
    <w:uiPriority w:val="99"/>
    <w:pPr>
      <w:spacing w:beforeAutospacing="1" w:afterAutospacing="1"/>
      <w:jc w:val="left"/>
    </w:pPr>
    <w:rPr>
      <w:kern w:val="0"/>
      <w:sz w:val="24"/>
    </w:rPr>
  </w:style>
  <w:style w:type="paragraph" w:styleId="21">
    <w:name w:val="Body Text First Indent"/>
    <w:basedOn w:val="7"/>
    <w:link w:val="46"/>
    <w:unhideWhenUsed/>
    <w:qFormat/>
    <w:uiPriority w:val="99"/>
    <w:pPr>
      <w:spacing w:after="0" w:line="360" w:lineRule="auto"/>
      <w:ind w:firstLine="420" w:firstLineChars="100"/>
    </w:pPr>
    <w:rPr>
      <w:rFonts w:eastAsia="仿宋_GB2312"/>
      <w:sz w:val="28"/>
      <w:szCs w:val="24"/>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Hyperlink"/>
    <w:basedOn w:val="24"/>
    <w:unhideWhenUsed/>
    <w:qFormat/>
    <w:uiPriority w:val="99"/>
    <w:rPr>
      <w:color w:val="0000FF"/>
      <w:u w:val="single"/>
    </w:rPr>
  </w:style>
  <w:style w:type="paragraph" w:customStyle="1" w:styleId="26">
    <w:name w:val="风评表头"/>
    <w:basedOn w:val="1"/>
    <w:next w:val="1"/>
    <w:qFormat/>
    <w:uiPriority w:val="0"/>
    <w:pPr>
      <w:snapToGrid w:val="0"/>
      <w:spacing w:beforeLines="100" w:line="480" w:lineRule="exact"/>
      <w:ind w:firstLine="880" w:firstLineChars="200"/>
      <w:jc w:val="center"/>
    </w:pPr>
    <w:rPr>
      <w:rFonts w:eastAsia="黑体"/>
      <w:b/>
      <w:sz w:val="24"/>
      <w:szCs w:val="22"/>
    </w:rPr>
  </w:style>
  <w:style w:type="table" w:customStyle="1" w:styleId="27">
    <w:name w:val="表格-易恒"/>
    <w:basedOn w:val="22"/>
    <w:qFormat/>
    <w:uiPriority w:val="99"/>
  </w:style>
  <w:style w:type="character" w:customStyle="1" w:styleId="28">
    <w:name w:val="页眉 字符"/>
    <w:basedOn w:val="24"/>
    <w:link w:val="14"/>
    <w:qFormat/>
    <w:uiPriority w:val="99"/>
    <w:rPr>
      <w:sz w:val="18"/>
      <w:szCs w:val="18"/>
    </w:rPr>
  </w:style>
  <w:style w:type="character" w:customStyle="1" w:styleId="29">
    <w:name w:val="页脚 字符"/>
    <w:basedOn w:val="24"/>
    <w:link w:val="13"/>
    <w:qFormat/>
    <w:uiPriority w:val="99"/>
    <w:rPr>
      <w:sz w:val="18"/>
      <w:szCs w:val="18"/>
    </w:rPr>
  </w:style>
  <w:style w:type="paragraph" w:customStyle="1" w:styleId="30">
    <w:name w:val="正文-易恒"/>
    <w:basedOn w:val="1"/>
    <w:link w:val="31"/>
    <w:qFormat/>
    <w:uiPriority w:val="0"/>
    <w:pPr>
      <w:spacing w:line="360" w:lineRule="auto"/>
      <w:ind w:firstLine="200" w:firstLineChars="200"/>
    </w:pPr>
    <w:rPr>
      <w:sz w:val="24"/>
    </w:rPr>
  </w:style>
  <w:style w:type="character" w:customStyle="1" w:styleId="31">
    <w:name w:val="正文-易恒 字符"/>
    <w:basedOn w:val="24"/>
    <w:link w:val="30"/>
    <w:qFormat/>
    <w:uiPriority w:val="0"/>
    <w:rPr>
      <w:rFonts w:ascii="Times New Roman" w:hAnsi="Times New Roman" w:eastAsia="宋体"/>
      <w:sz w:val="24"/>
    </w:rPr>
  </w:style>
  <w:style w:type="paragraph" w:customStyle="1" w:styleId="32">
    <w:name w:val="标题1-易恒"/>
    <w:basedOn w:val="2"/>
    <w:next w:val="30"/>
    <w:link w:val="34"/>
    <w:qFormat/>
    <w:uiPriority w:val="0"/>
    <w:pPr>
      <w:spacing w:before="0" w:after="0" w:line="360" w:lineRule="auto"/>
    </w:pPr>
    <w:rPr>
      <w:sz w:val="28"/>
    </w:rPr>
  </w:style>
  <w:style w:type="character" w:customStyle="1" w:styleId="33">
    <w:name w:val="标题 1 字符"/>
    <w:basedOn w:val="24"/>
    <w:link w:val="2"/>
    <w:qFormat/>
    <w:uiPriority w:val="9"/>
    <w:rPr>
      <w:b/>
      <w:bCs/>
      <w:kern w:val="44"/>
      <w:sz w:val="44"/>
      <w:szCs w:val="44"/>
    </w:rPr>
  </w:style>
  <w:style w:type="character" w:customStyle="1" w:styleId="34">
    <w:name w:val="标题1-易恒 字符"/>
    <w:basedOn w:val="33"/>
    <w:link w:val="32"/>
    <w:qFormat/>
    <w:uiPriority w:val="0"/>
    <w:rPr>
      <w:rFonts w:ascii="Times New Roman" w:hAnsi="Times New Roman" w:eastAsia="宋体"/>
      <w:kern w:val="44"/>
      <w:sz w:val="28"/>
      <w:szCs w:val="44"/>
    </w:rPr>
  </w:style>
  <w:style w:type="paragraph" w:customStyle="1" w:styleId="35">
    <w:name w:val="标题2-易恒"/>
    <w:basedOn w:val="3"/>
    <w:next w:val="30"/>
    <w:link w:val="37"/>
    <w:qFormat/>
    <w:uiPriority w:val="0"/>
    <w:pPr>
      <w:spacing w:before="0" w:after="0" w:line="360" w:lineRule="auto"/>
    </w:pPr>
    <w:rPr>
      <w:rFonts w:ascii="Times New Roman" w:hAnsi="Times New Roman" w:eastAsia="宋体"/>
      <w:sz w:val="24"/>
    </w:rPr>
  </w:style>
  <w:style w:type="character" w:customStyle="1" w:styleId="36">
    <w:name w:val="标题 2 字符"/>
    <w:basedOn w:val="24"/>
    <w:link w:val="3"/>
    <w:semiHidden/>
    <w:qFormat/>
    <w:uiPriority w:val="9"/>
    <w:rPr>
      <w:rFonts w:asciiTheme="majorHAnsi" w:hAnsiTheme="majorHAnsi" w:eastAsiaTheme="majorEastAsia" w:cstheme="majorBidi"/>
      <w:b/>
      <w:bCs/>
      <w:sz w:val="32"/>
      <w:szCs w:val="32"/>
    </w:rPr>
  </w:style>
  <w:style w:type="character" w:customStyle="1" w:styleId="37">
    <w:name w:val="标题2-易恒 字符"/>
    <w:basedOn w:val="36"/>
    <w:link w:val="35"/>
    <w:qFormat/>
    <w:uiPriority w:val="0"/>
    <w:rPr>
      <w:rFonts w:ascii="Times New Roman" w:hAnsi="Times New Roman" w:eastAsia="宋体" w:cstheme="majorBidi"/>
      <w:sz w:val="24"/>
      <w:szCs w:val="32"/>
    </w:rPr>
  </w:style>
  <w:style w:type="paragraph" w:customStyle="1" w:styleId="38">
    <w:name w:val="标题3-易恒"/>
    <w:basedOn w:val="4"/>
    <w:next w:val="30"/>
    <w:link w:val="40"/>
    <w:qFormat/>
    <w:uiPriority w:val="0"/>
    <w:pPr>
      <w:spacing w:before="0" w:after="0" w:line="360" w:lineRule="auto"/>
    </w:pPr>
    <w:rPr>
      <w:sz w:val="24"/>
    </w:rPr>
  </w:style>
  <w:style w:type="character" w:customStyle="1" w:styleId="39">
    <w:name w:val="标题 3 字符"/>
    <w:basedOn w:val="24"/>
    <w:link w:val="4"/>
    <w:semiHidden/>
    <w:qFormat/>
    <w:uiPriority w:val="9"/>
    <w:rPr>
      <w:b/>
      <w:bCs/>
      <w:sz w:val="32"/>
      <w:szCs w:val="32"/>
    </w:rPr>
  </w:style>
  <w:style w:type="character" w:customStyle="1" w:styleId="40">
    <w:name w:val="标题3-易恒 字符"/>
    <w:basedOn w:val="39"/>
    <w:link w:val="38"/>
    <w:qFormat/>
    <w:uiPriority w:val="0"/>
    <w:rPr>
      <w:rFonts w:ascii="Times New Roman" w:hAnsi="Times New Roman" w:eastAsia="宋体"/>
      <w:sz w:val="24"/>
      <w:szCs w:val="32"/>
    </w:rPr>
  </w:style>
  <w:style w:type="paragraph" w:customStyle="1" w:styleId="41">
    <w:name w:val="表头-易恒"/>
    <w:basedOn w:val="30"/>
    <w:next w:val="30"/>
    <w:link w:val="42"/>
    <w:qFormat/>
    <w:uiPriority w:val="0"/>
    <w:pPr>
      <w:spacing w:line="240" w:lineRule="auto"/>
      <w:ind w:firstLine="0" w:firstLineChars="0"/>
      <w:jc w:val="center"/>
    </w:pPr>
    <w:rPr>
      <w:b/>
    </w:rPr>
  </w:style>
  <w:style w:type="character" w:customStyle="1" w:styleId="42">
    <w:name w:val="表头-易恒 字符"/>
    <w:basedOn w:val="31"/>
    <w:link w:val="41"/>
    <w:qFormat/>
    <w:uiPriority w:val="0"/>
    <w:rPr>
      <w:rFonts w:ascii="Times New Roman" w:hAnsi="Times New Roman" w:eastAsia="宋体"/>
      <w:b/>
      <w:sz w:val="24"/>
    </w:rPr>
  </w:style>
  <w:style w:type="paragraph" w:customStyle="1" w:styleId="43">
    <w:name w:val="表格1-易恒"/>
    <w:basedOn w:val="30"/>
    <w:link w:val="44"/>
    <w:qFormat/>
    <w:uiPriority w:val="0"/>
    <w:pPr>
      <w:spacing w:line="240" w:lineRule="auto"/>
      <w:ind w:firstLine="0" w:firstLineChars="0"/>
      <w:jc w:val="center"/>
    </w:pPr>
    <w:rPr>
      <w:sz w:val="21"/>
      <w:szCs w:val="21"/>
    </w:rPr>
  </w:style>
  <w:style w:type="character" w:customStyle="1" w:styleId="44">
    <w:name w:val="表格1-易恒 字符"/>
    <w:basedOn w:val="31"/>
    <w:link w:val="43"/>
    <w:qFormat/>
    <w:uiPriority w:val="0"/>
    <w:rPr>
      <w:rFonts w:ascii="Times New Roman" w:hAnsi="Times New Roman" w:eastAsia="宋体"/>
      <w:kern w:val="2"/>
      <w:sz w:val="21"/>
      <w:szCs w:val="21"/>
    </w:rPr>
  </w:style>
  <w:style w:type="character" w:customStyle="1" w:styleId="45">
    <w:name w:val="正文文本 字符"/>
    <w:basedOn w:val="24"/>
    <w:link w:val="7"/>
    <w:semiHidden/>
    <w:qFormat/>
    <w:uiPriority w:val="99"/>
    <w:rPr>
      <w:rFonts w:ascii="Times New Roman" w:hAnsi="Times New Roman" w:eastAsia="宋体" w:cs="Times New Roman"/>
      <w:sz w:val="20"/>
      <w:szCs w:val="20"/>
      <w14:ligatures w14:val="none"/>
    </w:rPr>
  </w:style>
  <w:style w:type="character" w:customStyle="1" w:styleId="46">
    <w:name w:val="正文文本首行缩进 字符"/>
    <w:basedOn w:val="45"/>
    <w:link w:val="21"/>
    <w:qFormat/>
    <w:uiPriority w:val="99"/>
    <w:rPr>
      <w:rFonts w:ascii="Times New Roman" w:hAnsi="Times New Roman" w:eastAsia="仿宋_GB2312" w:cs="Times New Roman"/>
      <w:sz w:val="28"/>
      <w:szCs w:val="24"/>
      <w14:ligatures w14:val="none"/>
    </w:rPr>
  </w:style>
  <w:style w:type="paragraph" w:styleId="47">
    <w:name w:val="List Paragraph"/>
    <w:basedOn w:val="1"/>
    <w:qFormat/>
    <w:uiPriority w:val="34"/>
    <w:pPr>
      <w:widowControl/>
      <w:spacing w:line="360" w:lineRule="auto"/>
      <w:ind w:left="720" w:firstLine="720" w:firstLineChars="200"/>
      <w:contextualSpacing/>
      <w:jc w:val="left"/>
    </w:pPr>
    <w:rPr>
      <w:kern w:val="0"/>
      <w:sz w:val="24"/>
      <w:szCs w:val="24"/>
      <w:lang w:eastAsia="en-US" w:bidi="en-US"/>
    </w:rPr>
  </w:style>
  <w:style w:type="paragraph" w:customStyle="1" w:styleId="48">
    <w:name w:val="表格文字"/>
    <w:basedOn w:val="21"/>
    <w:link w:val="49"/>
    <w:qFormat/>
    <w:uiPriority w:val="0"/>
    <w:pPr>
      <w:adjustRightInd w:val="0"/>
      <w:snapToGrid w:val="0"/>
      <w:spacing w:line="240" w:lineRule="auto"/>
      <w:ind w:firstLine="0" w:firstLineChars="0"/>
      <w:jc w:val="center"/>
    </w:pPr>
    <w:rPr>
      <w:rFonts w:eastAsia="宋体"/>
      <w:sz w:val="21"/>
      <w:szCs w:val="20"/>
      <w:lang w:val="zh-CN"/>
    </w:rPr>
  </w:style>
  <w:style w:type="character" w:customStyle="1" w:styleId="49">
    <w:name w:val="表格文字 Char"/>
    <w:link w:val="48"/>
    <w:qFormat/>
    <w:uiPriority w:val="0"/>
    <w:rPr>
      <w:rFonts w:ascii="Times New Roman" w:hAnsi="Times New Roman" w:eastAsia="宋体" w:cs="Times New Roman"/>
      <w:szCs w:val="20"/>
      <w:lang w:val="zh-CN" w:eastAsia="zh-CN"/>
      <w14:ligatures w14:val="none"/>
    </w:rPr>
  </w:style>
  <w:style w:type="character" w:customStyle="1" w:styleId="50">
    <w:name w:val="text_brbij"/>
    <w:basedOn w:val="24"/>
    <w:qFormat/>
    <w:uiPriority w:val="0"/>
  </w:style>
  <w:style w:type="character" w:customStyle="1" w:styleId="51">
    <w:name w:val="supwrap_fdxan"/>
    <w:basedOn w:val="24"/>
    <w:qFormat/>
    <w:uiPriority w:val="0"/>
  </w:style>
  <w:style w:type="character" w:customStyle="1" w:styleId="52">
    <w:name w:val="标题 4 字符"/>
    <w:basedOn w:val="24"/>
    <w:link w:val="5"/>
    <w:qFormat/>
    <w:uiPriority w:val="0"/>
    <w:rPr>
      <w:rFonts w:asciiTheme="majorHAnsi" w:hAnsiTheme="majorHAnsi" w:eastAsiaTheme="majorEastAsia" w:cstheme="majorBidi"/>
      <w:b/>
      <w:bCs/>
      <w:sz w:val="28"/>
      <w:szCs w:val="28"/>
      <w14:ligatures w14:val="none"/>
    </w:rPr>
  </w:style>
  <w:style w:type="character" w:customStyle="1" w:styleId="53">
    <w:name w:val="纯文本 字符"/>
    <w:basedOn w:val="24"/>
    <w:link w:val="11"/>
    <w:qFormat/>
    <w:uiPriority w:val="99"/>
    <w:rPr>
      <w:rFonts w:ascii="ArialMT" w:hAnsi="等线 Light" w:eastAsia="宋体" w:cs="Times New Roman"/>
      <w:kern w:val="0"/>
      <w:sz w:val="20"/>
      <w:szCs w:val="20"/>
      <w14:ligatures w14:val="none"/>
    </w:rPr>
  </w:style>
  <w:style w:type="paragraph" w:customStyle="1" w:styleId="54">
    <w:name w:val="RAINYON的段落"/>
    <w:qFormat/>
    <w:uiPriority w:val="0"/>
    <w:pPr>
      <w:widowControl w:val="0"/>
      <w:suppressAutoHyphens/>
      <w:topLinePunct/>
      <w:autoSpaceDE w:val="0"/>
      <w:spacing w:line="540" w:lineRule="exact"/>
      <w:ind w:firstLine="200" w:firstLineChars="200"/>
    </w:pPr>
    <w:rPr>
      <w:rFonts w:ascii="Times New Roman" w:hAnsi="Times New Roman" w:eastAsia="宋体" w:cs="Times New Roman"/>
      <w:color w:val="000000"/>
      <w:sz w:val="28"/>
      <w:szCs w:val="28"/>
      <w:lang w:val="en-US" w:eastAsia="zh-CN" w:bidi="ar-SA"/>
    </w:rPr>
  </w:style>
  <w:style w:type="paragraph" w:customStyle="1" w:styleId="55">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56">
    <w:name w:val="未处理的提及1"/>
    <w:basedOn w:val="24"/>
    <w:semiHidden/>
    <w:unhideWhenUsed/>
    <w:qFormat/>
    <w:uiPriority w:val="99"/>
    <w:rPr>
      <w:color w:val="605E5C"/>
      <w:shd w:val="clear" w:color="auto" w:fill="E1DFDD"/>
    </w:rPr>
  </w:style>
  <w:style w:type="paragraph" w:customStyle="1" w:styleId="57">
    <w:name w:val="B正文"/>
    <w:basedOn w:val="1"/>
    <w:qFormat/>
    <w:uiPriority w:val="0"/>
    <w:pPr>
      <w:spacing w:line="240" w:lineRule="exact"/>
      <w:ind w:left="20" w:leftChars="20" w:right="20" w:rightChars="20"/>
      <w:jc w:val="center"/>
    </w:pPr>
    <w:rPr>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5" Type="http://schemas.openxmlformats.org/officeDocument/2006/relationships/fontTable" Target="fontTable.xml"/><Relationship Id="rId54" Type="http://schemas.openxmlformats.org/officeDocument/2006/relationships/customXml" Target="../customXml/item2.xml"/><Relationship Id="rId53" Type="http://schemas.openxmlformats.org/officeDocument/2006/relationships/customXml" Target="../customXml/item1.xml"/><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E6AEC98-C973-4515-9FC5-EB0879B964AC}">
  <ds:schemaRefs/>
</ds:datastoreItem>
</file>

<file path=docProps/app.xml><?xml version="1.0" encoding="utf-8"?>
<Properties xmlns="http://schemas.openxmlformats.org/officeDocument/2006/extended-properties" xmlns:vt="http://schemas.openxmlformats.org/officeDocument/2006/docPropsVTypes">
  <Template>Normal.dotm</Template>
  <Pages>88</Pages>
  <Words>33600</Words>
  <Characters>39785</Characters>
  <Lines>356</Lines>
  <Paragraphs>100</Paragraphs>
  <TotalTime>10</TotalTime>
  <ScaleCrop>false</ScaleCrop>
  <LinksUpToDate>false</LinksUpToDate>
  <CharactersWithSpaces>40281</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2024-03-06T03:12:00Z</dcterms:created>
  <dc:creator>wenzhiliang</dc:creator>
  <cp:lastModifiedBy>蒋阔</cp:lastModifiedBy>
  <dcterms:modified xsi:type="dcterms:W3CDTF">2025-02-10T03:47:58Z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55DDC709FDCE443A996C3E75C130AB67_12</vt:lpwstr>
  </property>
</Properties>
</file>